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D3773A">
      <w:pPr>
        <w:spacing w:line="480" w:lineRule="exact"/>
        <w:rPr>
          <w:rFonts w:hint="eastAsia" w:ascii="仿宋" w:hAnsi="仿宋" w:eastAsia="仿宋" w:cs="仿宋"/>
          <w:bCs/>
          <w:sz w:val="32"/>
          <w:szCs w:val="32"/>
          <w:highlight w:val="none"/>
        </w:rPr>
      </w:pPr>
    </w:p>
    <w:p w14:paraId="5E91C0AA">
      <w:pPr>
        <w:spacing w:line="480" w:lineRule="exact"/>
        <w:jc w:val="center"/>
        <w:rPr>
          <w:rFonts w:hint="eastAsia" w:ascii="仿宋" w:hAnsi="仿宋" w:eastAsia="仿宋" w:cs="仿宋"/>
          <w:b/>
          <w:sz w:val="32"/>
          <w:szCs w:val="32"/>
          <w:highlight w:val="none"/>
        </w:rPr>
      </w:pPr>
    </w:p>
    <w:p w14:paraId="1899165F">
      <w:pPr>
        <w:spacing w:line="360" w:lineRule="auto"/>
        <w:ind w:firstLine="260" w:firstLineChars="50"/>
        <w:jc w:val="center"/>
        <w:rPr>
          <w:rFonts w:hint="eastAsia" w:ascii="仿宋" w:hAnsi="仿宋" w:eastAsia="仿宋" w:cs="仿宋"/>
          <w:b/>
          <w:sz w:val="52"/>
          <w:szCs w:val="52"/>
          <w:highlight w:val="none"/>
        </w:rPr>
      </w:pPr>
    </w:p>
    <w:p w14:paraId="43FC0178">
      <w:pPr>
        <w:spacing w:line="360" w:lineRule="auto"/>
        <w:ind w:firstLine="260" w:firstLineChars="50"/>
        <w:jc w:val="center"/>
        <w:rPr>
          <w:rFonts w:hint="eastAsia" w:ascii="仿宋" w:hAnsi="仿宋" w:eastAsia="仿宋" w:cs="仿宋"/>
          <w:b/>
          <w:sz w:val="52"/>
          <w:szCs w:val="52"/>
          <w:highlight w:val="none"/>
        </w:rPr>
      </w:pPr>
    </w:p>
    <w:p w14:paraId="35D132F5">
      <w:pPr>
        <w:spacing w:line="360" w:lineRule="auto"/>
        <w:ind w:firstLine="260" w:firstLineChars="50"/>
        <w:jc w:val="center"/>
        <w:rPr>
          <w:rFonts w:hint="eastAsia" w:ascii="仿宋" w:hAnsi="仿宋" w:eastAsia="仿宋" w:cs="仿宋"/>
          <w:b/>
          <w:sz w:val="52"/>
          <w:szCs w:val="52"/>
          <w:highlight w:val="none"/>
        </w:rPr>
      </w:pPr>
    </w:p>
    <w:p w14:paraId="359CBD17">
      <w:pPr>
        <w:spacing w:line="360" w:lineRule="auto"/>
        <w:ind w:firstLine="240" w:firstLineChars="50"/>
        <w:jc w:val="center"/>
        <w:rPr>
          <w:rFonts w:hint="eastAsia" w:ascii="仿宋" w:hAnsi="仿宋" w:eastAsia="仿宋" w:cs="仿宋"/>
          <w:b/>
          <w:sz w:val="52"/>
          <w:szCs w:val="52"/>
          <w:highlight w:val="none"/>
        </w:rPr>
      </w:pPr>
      <w:r>
        <w:rPr>
          <w:rFonts w:hint="eastAsia" w:ascii="仿宋" w:hAnsi="仿宋" w:eastAsia="仿宋" w:cs="仿宋"/>
          <w:b/>
          <w:sz w:val="48"/>
          <w:szCs w:val="48"/>
          <w:highlight w:val="none"/>
        </w:rPr>
        <w:t>鞍山市政府采购项目</w:t>
      </w:r>
    </w:p>
    <w:p w14:paraId="590EFE42">
      <w:pPr>
        <w:spacing w:line="360" w:lineRule="auto"/>
        <w:ind w:firstLine="120" w:firstLineChars="50"/>
        <w:jc w:val="center"/>
        <w:rPr>
          <w:rFonts w:hint="eastAsia" w:ascii="仿宋" w:hAnsi="仿宋" w:eastAsia="仿宋" w:cs="仿宋"/>
          <w:b/>
          <w:sz w:val="24"/>
          <w:highlight w:val="none"/>
        </w:rPr>
      </w:pPr>
    </w:p>
    <w:p w14:paraId="2F3D2130">
      <w:pPr>
        <w:spacing w:line="360" w:lineRule="auto"/>
        <w:ind w:firstLine="240" w:firstLineChars="50"/>
        <w:jc w:val="center"/>
        <w:rPr>
          <w:rFonts w:hint="eastAsia" w:ascii="仿宋" w:hAnsi="仿宋" w:eastAsia="仿宋" w:cs="仿宋"/>
          <w:b/>
          <w:sz w:val="48"/>
          <w:szCs w:val="48"/>
          <w:highlight w:val="none"/>
        </w:rPr>
      </w:pPr>
      <w:r>
        <w:rPr>
          <w:rFonts w:hint="eastAsia" w:ascii="仿宋" w:hAnsi="仿宋" w:eastAsia="仿宋" w:cs="仿宋"/>
          <w:b/>
          <w:sz w:val="48"/>
          <w:szCs w:val="48"/>
          <w:highlight w:val="none"/>
        </w:rPr>
        <w:t>服务类竞争性磋商</w:t>
      </w:r>
    </w:p>
    <w:p w14:paraId="572F07E7">
      <w:pPr>
        <w:spacing w:line="360" w:lineRule="auto"/>
        <w:ind w:firstLine="120" w:firstLineChars="50"/>
        <w:jc w:val="center"/>
        <w:rPr>
          <w:rFonts w:hint="eastAsia" w:ascii="仿宋" w:hAnsi="仿宋" w:eastAsia="仿宋" w:cs="仿宋"/>
          <w:b/>
          <w:sz w:val="24"/>
          <w:highlight w:val="none"/>
        </w:rPr>
      </w:pPr>
    </w:p>
    <w:p w14:paraId="424EFE1D">
      <w:pPr>
        <w:spacing w:line="360" w:lineRule="auto"/>
        <w:ind w:firstLine="240" w:firstLineChars="50"/>
        <w:jc w:val="center"/>
        <w:rPr>
          <w:rFonts w:hint="eastAsia" w:ascii="仿宋" w:hAnsi="仿宋" w:eastAsia="仿宋" w:cs="仿宋"/>
          <w:b/>
          <w:sz w:val="48"/>
          <w:szCs w:val="48"/>
          <w:highlight w:val="none"/>
        </w:rPr>
      </w:pPr>
      <w:r>
        <w:rPr>
          <w:rFonts w:hint="eastAsia" w:ascii="仿宋" w:hAnsi="仿宋" w:eastAsia="仿宋" w:cs="仿宋"/>
          <w:b/>
          <w:sz w:val="48"/>
          <w:szCs w:val="48"/>
          <w:highlight w:val="none"/>
        </w:rPr>
        <w:t>采购文件</w:t>
      </w:r>
    </w:p>
    <w:p w14:paraId="6B77662A">
      <w:pPr>
        <w:spacing w:line="480" w:lineRule="exact"/>
        <w:jc w:val="center"/>
        <w:rPr>
          <w:rFonts w:hint="eastAsia" w:ascii="仿宋" w:hAnsi="仿宋" w:eastAsia="仿宋" w:cs="仿宋"/>
          <w:b/>
          <w:sz w:val="24"/>
          <w:highlight w:val="none"/>
        </w:rPr>
      </w:pPr>
    </w:p>
    <w:p w14:paraId="5E974BF9">
      <w:pPr>
        <w:spacing w:line="480" w:lineRule="exact"/>
        <w:jc w:val="center"/>
        <w:rPr>
          <w:rFonts w:hint="eastAsia" w:ascii="仿宋" w:hAnsi="仿宋" w:eastAsia="仿宋" w:cs="仿宋"/>
          <w:b/>
          <w:sz w:val="24"/>
          <w:highlight w:val="none"/>
        </w:rPr>
      </w:pPr>
    </w:p>
    <w:p w14:paraId="6D4A6CE4">
      <w:pPr>
        <w:spacing w:line="480" w:lineRule="exact"/>
        <w:jc w:val="center"/>
        <w:rPr>
          <w:rFonts w:hint="eastAsia" w:ascii="仿宋" w:hAnsi="仿宋" w:eastAsia="仿宋" w:cs="仿宋"/>
          <w:b/>
          <w:sz w:val="24"/>
          <w:highlight w:val="none"/>
        </w:rPr>
      </w:pPr>
    </w:p>
    <w:p w14:paraId="5B405412">
      <w:pPr>
        <w:spacing w:line="480" w:lineRule="exact"/>
        <w:jc w:val="center"/>
        <w:rPr>
          <w:rFonts w:hint="eastAsia" w:ascii="仿宋" w:hAnsi="仿宋" w:eastAsia="仿宋" w:cs="仿宋"/>
          <w:b/>
          <w:sz w:val="24"/>
          <w:highlight w:val="none"/>
        </w:rPr>
      </w:pPr>
    </w:p>
    <w:p w14:paraId="4DE63072">
      <w:pPr>
        <w:spacing w:line="480" w:lineRule="exact"/>
        <w:jc w:val="center"/>
        <w:rPr>
          <w:rFonts w:hint="eastAsia" w:ascii="仿宋" w:hAnsi="仿宋" w:eastAsia="仿宋" w:cs="仿宋"/>
          <w:b/>
          <w:sz w:val="24"/>
          <w:highlight w:val="none"/>
        </w:rPr>
      </w:pPr>
    </w:p>
    <w:p w14:paraId="12DD7390">
      <w:pPr>
        <w:spacing w:line="480" w:lineRule="exact"/>
        <w:jc w:val="center"/>
        <w:rPr>
          <w:rFonts w:hint="eastAsia" w:ascii="仿宋" w:hAnsi="仿宋" w:eastAsia="仿宋" w:cs="仿宋"/>
          <w:b/>
          <w:sz w:val="24"/>
          <w:highlight w:val="none"/>
        </w:rPr>
      </w:pPr>
    </w:p>
    <w:p w14:paraId="54A70F3D">
      <w:pPr>
        <w:spacing w:line="480" w:lineRule="exact"/>
        <w:jc w:val="center"/>
        <w:rPr>
          <w:rFonts w:hint="eastAsia" w:ascii="仿宋" w:hAnsi="仿宋" w:eastAsia="仿宋" w:cs="仿宋"/>
          <w:b/>
          <w:sz w:val="24"/>
          <w:highlight w:val="none"/>
        </w:rPr>
      </w:pPr>
    </w:p>
    <w:p w14:paraId="28006C48">
      <w:pPr>
        <w:spacing w:line="480" w:lineRule="exact"/>
        <w:jc w:val="center"/>
        <w:rPr>
          <w:rFonts w:hint="eastAsia" w:ascii="仿宋" w:hAnsi="仿宋" w:eastAsia="仿宋" w:cs="仿宋"/>
          <w:b/>
          <w:sz w:val="24"/>
          <w:highlight w:val="none"/>
        </w:rPr>
      </w:pPr>
    </w:p>
    <w:p w14:paraId="3346C6D2">
      <w:pPr>
        <w:spacing w:line="480" w:lineRule="exact"/>
        <w:jc w:val="center"/>
        <w:rPr>
          <w:rFonts w:hint="eastAsia" w:ascii="仿宋" w:hAnsi="仿宋" w:eastAsia="仿宋" w:cs="仿宋"/>
          <w:b/>
          <w:sz w:val="24"/>
          <w:highlight w:val="none"/>
        </w:rPr>
      </w:pPr>
    </w:p>
    <w:p w14:paraId="3D4636C3">
      <w:pPr>
        <w:spacing w:line="360" w:lineRule="auto"/>
        <w:ind w:firstLine="846" w:firstLineChars="235"/>
        <w:rPr>
          <w:rFonts w:hint="eastAsia" w:ascii="仿宋" w:hAnsi="仿宋" w:eastAsia="仿宋" w:cs="仿宋"/>
          <w:b/>
          <w:sz w:val="36"/>
          <w:szCs w:val="36"/>
          <w:highlight w:val="none"/>
        </w:rPr>
      </w:pPr>
      <w:r>
        <w:rPr>
          <w:rFonts w:hint="eastAsia" w:ascii="仿宋" w:hAnsi="仿宋" w:eastAsia="仿宋" w:cs="仿宋"/>
          <w:b/>
          <w:sz w:val="36"/>
          <w:szCs w:val="36"/>
          <w:highlight w:val="none"/>
        </w:rPr>
        <w:t>项目名称：建设数智财税信息管控平台项目</w:t>
      </w:r>
    </w:p>
    <w:p w14:paraId="49AFB3D3">
      <w:pPr>
        <w:spacing w:line="360" w:lineRule="auto"/>
        <w:ind w:firstLine="846" w:firstLineChars="235"/>
        <w:rPr>
          <w:rFonts w:hint="eastAsia" w:ascii="仿宋" w:hAnsi="仿宋" w:eastAsia="仿宋" w:cs="仿宋"/>
          <w:b/>
          <w:sz w:val="36"/>
          <w:szCs w:val="36"/>
          <w:highlight w:val="none"/>
        </w:rPr>
      </w:pPr>
      <w:r>
        <w:rPr>
          <w:rFonts w:hint="eastAsia" w:ascii="仿宋" w:hAnsi="仿宋" w:eastAsia="仿宋" w:cs="仿宋"/>
          <w:b/>
          <w:sz w:val="36"/>
          <w:szCs w:val="36"/>
          <w:highlight w:val="none"/>
        </w:rPr>
        <w:t>项目编号：JH25-210303-00025</w:t>
      </w:r>
    </w:p>
    <w:p w14:paraId="74928F73">
      <w:pPr>
        <w:spacing w:line="360" w:lineRule="auto"/>
        <w:ind w:firstLine="846" w:firstLineChars="235"/>
        <w:rPr>
          <w:rFonts w:hint="eastAsia" w:ascii="仿宋" w:hAnsi="仿宋" w:eastAsia="仿宋" w:cs="仿宋"/>
          <w:b/>
          <w:sz w:val="36"/>
          <w:szCs w:val="36"/>
          <w:highlight w:val="none"/>
        </w:rPr>
      </w:pPr>
      <w:r>
        <w:rPr>
          <w:rFonts w:hint="eastAsia" w:ascii="仿宋" w:hAnsi="仿宋" w:eastAsia="仿宋" w:cs="仿宋"/>
          <w:b/>
          <w:sz w:val="36"/>
          <w:szCs w:val="36"/>
          <w:highlight w:val="none"/>
        </w:rPr>
        <w:t>编制单位：辽宁北方招标有限公司</w:t>
      </w:r>
    </w:p>
    <w:p w14:paraId="35961AE6">
      <w:pPr>
        <w:spacing w:line="360" w:lineRule="auto"/>
        <w:ind w:firstLine="846" w:firstLineChars="235"/>
        <w:rPr>
          <w:rFonts w:hint="eastAsia" w:ascii="仿宋" w:hAnsi="仿宋" w:eastAsia="仿宋" w:cs="仿宋"/>
          <w:b/>
          <w:sz w:val="36"/>
          <w:szCs w:val="36"/>
          <w:highlight w:val="none"/>
        </w:rPr>
        <w:sectPr>
          <w:pgSz w:w="11906" w:h="16838"/>
          <w:pgMar w:top="1440" w:right="1800" w:bottom="1440" w:left="1800" w:header="851" w:footer="992" w:gutter="0"/>
          <w:cols w:space="720" w:num="1"/>
          <w:docGrid w:type="linesAndChars" w:linePitch="312" w:charSpace="0"/>
        </w:sectPr>
      </w:pPr>
    </w:p>
    <w:p w14:paraId="5A92C797">
      <w:pPr>
        <w:pStyle w:val="34"/>
        <w:jc w:val="center"/>
        <w:rPr>
          <w:rFonts w:hint="eastAsia" w:ascii="仿宋" w:hAnsi="仿宋" w:eastAsia="仿宋" w:cs="仿宋"/>
          <w:color w:val="auto"/>
          <w:sz w:val="44"/>
          <w:szCs w:val="44"/>
          <w:highlight w:val="none"/>
          <w:lang w:val="zh-CN"/>
        </w:rPr>
      </w:pPr>
      <w:bookmarkStart w:id="0" w:name="_Toc1156"/>
      <w:r>
        <w:rPr>
          <w:rFonts w:hint="eastAsia" w:ascii="仿宋" w:hAnsi="仿宋" w:eastAsia="仿宋" w:cs="仿宋"/>
          <w:color w:val="auto"/>
          <w:sz w:val="44"/>
          <w:szCs w:val="44"/>
          <w:highlight w:val="none"/>
          <w:lang w:val="zh-CN"/>
        </w:rPr>
        <w:t>目  录</w:t>
      </w:r>
      <w:bookmarkEnd w:id="0"/>
    </w:p>
    <w:p w14:paraId="4BFFC41F">
      <w:pPr>
        <w:rPr>
          <w:rFonts w:hint="eastAsia" w:ascii="仿宋" w:hAnsi="仿宋" w:eastAsia="仿宋" w:cs="仿宋"/>
          <w:highlight w:val="none"/>
          <w:lang w:val="zh-CN"/>
        </w:rPr>
      </w:pPr>
    </w:p>
    <w:p w14:paraId="2574D7AA">
      <w:pPr>
        <w:pStyle w:val="16"/>
        <w:tabs>
          <w:tab w:val="right" w:leader="dot" w:pos="8300"/>
        </w:tabs>
      </w:pPr>
      <w:r>
        <w:rPr>
          <w:rFonts w:hint="eastAsia" w:ascii="仿宋" w:hAnsi="仿宋" w:eastAsia="仿宋" w:cs="仿宋"/>
          <w:b/>
          <w:bCs/>
          <w:sz w:val="24"/>
          <w:highlight w:val="none"/>
        </w:rPr>
        <w:fldChar w:fldCharType="begin"/>
      </w:r>
      <w:r>
        <w:rPr>
          <w:rFonts w:hint="eastAsia" w:ascii="仿宋" w:hAnsi="仿宋" w:eastAsia="仿宋" w:cs="仿宋"/>
          <w:b/>
          <w:bCs/>
          <w:sz w:val="24"/>
          <w:highlight w:val="none"/>
        </w:rPr>
        <w:instrText xml:space="preserve">TOC \o "1-1" \h \u </w:instrText>
      </w:r>
      <w:r>
        <w:rPr>
          <w:rFonts w:hint="eastAsia" w:ascii="仿宋" w:hAnsi="仿宋" w:eastAsia="仿宋" w:cs="仿宋"/>
          <w:b/>
          <w:bCs/>
          <w:sz w:val="24"/>
          <w:highlight w:val="none"/>
        </w:rPr>
        <w:fldChar w:fldCharType="separate"/>
      </w:r>
    </w:p>
    <w:p w14:paraId="5ACF4BA7">
      <w:pPr>
        <w:pStyle w:val="16"/>
        <w:tabs>
          <w:tab w:val="right" w:leader="dot" w:pos="8300"/>
        </w:tabs>
        <w:spacing w:line="480" w:lineRule="auto"/>
        <w:rPr>
          <w:rFonts w:hint="eastAsia" w:ascii="仿宋" w:hAnsi="仿宋" w:eastAsia="仿宋" w:cs="仿宋"/>
          <w:b/>
          <w:bCs/>
          <w:sz w:val="24"/>
          <w:szCs w:val="32"/>
        </w:rPr>
      </w:pPr>
      <w:r>
        <w:rPr>
          <w:rFonts w:hint="eastAsia" w:ascii="仿宋" w:hAnsi="仿宋" w:eastAsia="仿宋" w:cs="仿宋"/>
          <w:b/>
          <w:bCs/>
          <w:sz w:val="24"/>
          <w:szCs w:val="32"/>
          <w:highlight w:val="none"/>
        </w:rPr>
        <w:fldChar w:fldCharType="begin"/>
      </w:r>
      <w:r>
        <w:rPr>
          <w:rFonts w:hint="eastAsia" w:ascii="仿宋" w:hAnsi="仿宋" w:eastAsia="仿宋" w:cs="仿宋"/>
          <w:b/>
          <w:bCs/>
          <w:sz w:val="24"/>
          <w:szCs w:val="32"/>
          <w:highlight w:val="none"/>
        </w:rPr>
        <w:instrText xml:space="preserve"> HYPERLINK \l _Toc25421 </w:instrText>
      </w:r>
      <w:r>
        <w:rPr>
          <w:rFonts w:hint="eastAsia" w:ascii="仿宋" w:hAnsi="仿宋" w:eastAsia="仿宋" w:cs="仿宋"/>
          <w:b/>
          <w:bCs/>
          <w:sz w:val="24"/>
          <w:szCs w:val="32"/>
          <w:highlight w:val="none"/>
        </w:rPr>
        <w:fldChar w:fldCharType="separate"/>
      </w:r>
      <w:r>
        <w:rPr>
          <w:rFonts w:hint="eastAsia" w:ascii="仿宋" w:hAnsi="仿宋" w:eastAsia="仿宋" w:cs="仿宋"/>
          <w:b/>
          <w:bCs/>
          <w:sz w:val="24"/>
          <w:szCs w:val="32"/>
          <w:highlight w:val="none"/>
        </w:rPr>
        <w:t>采购公告</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_Toc25421 \h </w:instrText>
      </w:r>
      <w:r>
        <w:rPr>
          <w:rFonts w:hint="eastAsia" w:ascii="仿宋" w:hAnsi="仿宋" w:eastAsia="仿宋" w:cs="仿宋"/>
          <w:b/>
          <w:bCs/>
          <w:sz w:val="24"/>
          <w:szCs w:val="32"/>
        </w:rPr>
        <w:fldChar w:fldCharType="separate"/>
      </w:r>
      <w:r>
        <w:rPr>
          <w:rFonts w:hint="eastAsia" w:ascii="仿宋" w:hAnsi="仿宋" w:eastAsia="仿宋" w:cs="仿宋"/>
          <w:b/>
          <w:bCs/>
          <w:sz w:val="24"/>
          <w:szCs w:val="32"/>
        </w:rPr>
        <w:t>1</w:t>
      </w:r>
      <w:r>
        <w:rPr>
          <w:rFonts w:hint="eastAsia" w:ascii="仿宋" w:hAnsi="仿宋" w:eastAsia="仿宋" w:cs="仿宋"/>
          <w:b/>
          <w:bCs/>
          <w:sz w:val="24"/>
          <w:szCs w:val="32"/>
        </w:rPr>
        <w:fldChar w:fldCharType="end"/>
      </w:r>
      <w:r>
        <w:rPr>
          <w:rFonts w:hint="eastAsia" w:ascii="仿宋" w:hAnsi="仿宋" w:eastAsia="仿宋" w:cs="仿宋"/>
          <w:b/>
          <w:bCs/>
          <w:sz w:val="24"/>
          <w:szCs w:val="32"/>
          <w:highlight w:val="none"/>
        </w:rPr>
        <w:fldChar w:fldCharType="end"/>
      </w:r>
    </w:p>
    <w:p w14:paraId="66CEDA53">
      <w:pPr>
        <w:pStyle w:val="16"/>
        <w:tabs>
          <w:tab w:val="right" w:leader="dot" w:pos="8300"/>
        </w:tabs>
        <w:spacing w:line="480" w:lineRule="auto"/>
        <w:rPr>
          <w:rFonts w:hint="eastAsia" w:ascii="仿宋" w:hAnsi="仿宋" w:eastAsia="仿宋" w:cs="仿宋"/>
          <w:b/>
          <w:bCs/>
          <w:sz w:val="24"/>
          <w:szCs w:val="32"/>
        </w:rPr>
      </w:pPr>
      <w:r>
        <w:rPr>
          <w:rFonts w:hint="eastAsia" w:ascii="仿宋" w:hAnsi="仿宋" w:eastAsia="仿宋" w:cs="仿宋"/>
          <w:b/>
          <w:bCs/>
          <w:sz w:val="24"/>
          <w:szCs w:val="32"/>
          <w:highlight w:val="none"/>
        </w:rPr>
        <w:fldChar w:fldCharType="begin"/>
      </w:r>
      <w:r>
        <w:rPr>
          <w:rFonts w:hint="eastAsia" w:ascii="仿宋" w:hAnsi="仿宋" w:eastAsia="仿宋" w:cs="仿宋"/>
          <w:b/>
          <w:bCs/>
          <w:sz w:val="24"/>
          <w:szCs w:val="32"/>
          <w:highlight w:val="none"/>
        </w:rPr>
        <w:instrText xml:space="preserve"> HYPERLINK \l _Toc10061 </w:instrText>
      </w:r>
      <w:r>
        <w:rPr>
          <w:rFonts w:hint="eastAsia" w:ascii="仿宋" w:hAnsi="仿宋" w:eastAsia="仿宋" w:cs="仿宋"/>
          <w:b/>
          <w:bCs/>
          <w:sz w:val="24"/>
          <w:szCs w:val="32"/>
          <w:highlight w:val="none"/>
        </w:rPr>
        <w:fldChar w:fldCharType="separate"/>
      </w:r>
      <w:r>
        <w:rPr>
          <w:rFonts w:hint="eastAsia" w:ascii="仿宋" w:hAnsi="仿宋" w:eastAsia="仿宋" w:cs="仿宋"/>
          <w:b/>
          <w:bCs/>
          <w:sz w:val="24"/>
          <w:szCs w:val="32"/>
          <w:highlight w:val="none"/>
        </w:rPr>
        <w:t>第一章 供应商须知</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_Toc10061 \h </w:instrText>
      </w:r>
      <w:r>
        <w:rPr>
          <w:rFonts w:hint="eastAsia" w:ascii="仿宋" w:hAnsi="仿宋" w:eastAsia="仿宋" w:cs="仿宋"/>
          <w:b/>
          <w:bCs/>
          <w:sz w:val="24"/>
          <w:szCs w:val="32"/>
        </w:rPr>
        <w:fldChar w:fldCharType="separate"/>
      </w:r>
      <w:r>
        <w:rPr>
          <w:rFonts w:hint="eastAsia" w:ascii="仿宋" w:hAnsi="仿宋" w:eastAsia="仿宋" w:cs="仿宋"/>
          <w:b/>
          <w:bCs/>
          <w:sz w:val="24"/>
          <w:szCs w:val="32"/>
        </w:rPr>
        <w:t>5</w:t>
      </w:r>
      <w:r>
        <w:rPr>
          <w:rFonts w:hint="eastAsia" w:ascii="仿宋" w:hAnsi="仿宋" w:eastAsia="仿宋" w:cs="仿宋"/>
          <w:b/>
          <w:bCs/>
          <w:sz w:val="24"/>
          <w:szCs w:val="32"/>
        </w:rPr>
        <w:fldChar w:fldCharType="end"/>
      </w:r>
      <w:r>
        <w:rPr>
          <w:rFonts w:hint="eastAsia" w:ascii="仿宋" w:hAnsi="仿宋" w:eastAsia="仿宋" w:cs="仿宋"/>
          <w:b/>
          <w:bCs/>
          <w:sz w:val="24"/>
          <w:szCs w:val="32"/>
          <w:highlight w:val="none"/>
        </w:rPr>
        <w:fldChar w:fldCharType="end"/>
      </w:r>
    </w:p>
    <w:p w14:paraId="027F6351">
      <w:pPr>
        <w:pStyle w:val="16"/>
        <w:tabs>
          <w:tab w:val="right" w:leader="dot" w:pos="8300"/>
        </w:tabs>
        <w:spacing w:line="480" w:lineRule="auto"/>
        <w:rPr>
          <w:rFonts w:hint="eastAsia" w:ascii="仿宋" w:hAnsi="仿宋" w:eastAsia="仿宋" w:cs="仿宋"/>
          <w:b/>
          <w:bCs/>
          <w:sz w:val="24"/>
          <w:szCs w:val="32"/>
        </w:rPr>
      </w:pPr>
      <w:r>
        <w:rPr>
          <w:rFonts w:hint="eastAsia" w:ascii="仿宋" w:hAnsi="仿宋" w:eastAsia="仿宋" w:cs="仿宋"/>
          <w:b/>
          <w:bCs/>
          <w:sz w:val="24"/>
          <w:szCs w:val="32"/>
          <w:highlight w:val="none"/>
        </w:rPr>
        <w:fldChar w:fldCharType="begin"/>
      </w:r>
      <w:r>
        <w:rPr>
          <w:rFonts w:hint="eastAsia" w:ascii="仿宋" w:hAnsi="仿宋" w:eastAsia="仿宋" w:cs="仿宋"/>
          <w:b/>
          <w:bCs/>
          <w:sz w:val="24"/>
          <w:szCs w:val="32"/>
          <w:highlight w:val="none"/>
        </w:rPr>
        <w:instrText xml:space="preserve"> HYPERLINK \l _Toc29410 </w:instrText>
      </w:r>
      <w:r>
        <w:rPr>
          <w:rFonts w:hint="eastAsia" w:ascii="仿宋" w:hAnsi="仿宋" w:eastAsia="仿宋" w:cs="仿宋"/>
          <w:b/>
          <w:bCs/>
          <w:sz w:val="24"/>
          <w:szCs w:val="32"/>
          <w:highlight w:val="none"/>
        </w:rPr>
        <w:fldChar w:fldCharType="separate"/>
      </w:r>
      <w:r>
        <w:rPr>
          <w:rFonts w:hint="eastAsia" w:ascii="仿宋" w:hAnsi="仿宋" w:eastAsia="仿宋" w:cs="仿宋"/>
          <w:b/>
          <w:bCs/>
          <w:sz w:val="24"/>
          <w:szCs w:val="32"/>
          <w:highlight w:val="none"/>
        </w:rPr>
        <w:t>第二章 响应文件内容及格式</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_Toc29410 \h </w:instrText>
      </w:r>
      <w:r>
        <w:rPr>
          <w:rFonts w:hint="eastAsia" w:ascii="仿宋" w:hAnsi="仿宋" w:eastAsia="仿宋" w:cs="仿宋"/>
          <w:b/>
          <w:bCs/>
          <w:sz w:val="24"/>
          <w:szCs w:val="32"/>
        </w:rPr>
        <w:fldChar w:fldCharType="separate"/>
      </w:r>
      <w:r>
        <w:rPr>
          <w:rFonts w:hint="eastAsia" w:ascii="仿宋" w:hAnsi="仿宋" w:eastAsia="仿宋" w:cs="仿宋"/>
          <w:b/>
          <w:bCs/>
          <w:sz w:val="24"/>
          <w:szCs w:val="32"/>
        </w:rPr>
        <w:t>21</w:t>
      </w:r>
      <w:r>
        <w:rPr>
          <w:rFonts w:hint="eastAsia" w:ascii="仿宋" w:hAnsi="仿宋" w:eastAsia="仿宋" w:cs="仿宋"/>
          <w:b/>
          <w:bCs/>
          <w:sz w:val="24"/>
          <w:szCs w:val="32"/>
        </w:rPr>
        <w:fldChar w:fldCharType="end"/>
      </w:r>
      <w:r>
        <w:rPr>
          <w:rFonts w:hint="eastAsia" w:ascii="仿宋" w:hAnsi="仿宋" w:eastAsia="仿宋" w:cs="仿宋"/>
          <w:b/>
          <w:bCs/>
          <w:sz w:val="24"/>
          <w:szCs w:val="32"/>
          <w:highlight w:val="none"/>
        </w:rPr>
        <w:fldChar w:fldCharType="end"/>
      </w:r>
    </w:p>
    <w:p w14:paraId="0702DD74">
      <w:pPr>
        <w:pStyle w:val="16"/>
        <w:tabs>
          <w:tab w:val="right" w:leader="dot" w:pos="8300"/>
        </w:tabs>
        <w:spacing w:line="480" w:lineRule="auto"/>
        <w:rPr>
          <w:rFonts w:hint="eastAsia" w:ascii="仿宋" w:hAnsi="仿宋" w:eastAsia="仿宋" w:cs="仿宋"/>
          <w:b/>
          <w:bCs/>
          <w:sz w:val="24"/>
          <w:szCs w:val="32"/>
        </w:rPr>
      </w:pPr>
      <w:r>
        <w:rPr>
          <w:rFonts w:hint="eastAsia" w:ascii="仿宋" w:hAnsi="仿宋" w:eastAsia="仿宋" w:cs="仿宋"/>
          <w:b/>
          <w:bCs/>
          <w:sz w:val="24"/>
          <w:szCs w:val="32"/>
          <w:highlight w:val="none"/>
        </w:rPr>
        <w:fldChar w:fldCharType="begin"/>
      </w:r>
      <w:r>
        <w:rPr>
          <w:rFonts w:hint="eastAsia" w:ascii="仿宋" w:hAnsi="仿宋" w:eastAsia="仿宋" w:cs="仿宋"/>
          <w:b/>
          <w:bCs/>
          <w:sz w:val="24"/>
          <w:szCs w:val="32"/>
          <w:highlight w:val="none"/>
        </w:rPr>
        <w:instrText xml:space="preserve"> HYPERLINK \l _Toc15891 </w:instrText>
      </w:r>
      <w:r>
        <w:rPr>
          <w:rFonts w:hint="eastAsia" w:ascii="仿宋" w:hAnsi="仿宋" w:eastAsia="仿宋" w:cs="仿宋"/>
          <w:b/>
          <w:bCs/>
          <w:sz w:val="24"/>
          <w:szCs w:val="32"/>
          <w:highlight w:val="none"/>
        </w:rPr>
        <w:fldChar w:fldCharType="separate"/>
      </w:r>
      <w:r>
        <w:rPr>
          <w:rFonts w:hint="eastAsia" w:ascii="仿宋" w:hAnsi="仿宋" w:eastAsia="仿宋" w:cs="仿宋"/>
          <w:b/>
          <w:bCs/>
          <w:sz w:val="24"/>
          <w:szCs w:val="32"/>
          <w:highlight w:val="none"/>
        </w:rPr>
        <w:t>第三章 服务需求</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_Toc15891 \h </w:instrText>
      </w:r>
      <w:r>
        <w:rPr>
          <w:rFonts w:hint="eastAsia" w:ascii="仿宋" w:hAnsi="仿宋" w:eastAsia="仿宋" w:cs="仿宋"/>
          <w:b/>
          <w:bCs/>
          <w:sz w:val="24"/>
          <w:szCs w:val="32"/>
        </w:rPr>
        <w:fldChar w:fldCharType="separate"/>
      </w:r>
      <w:r>
        <w:rPr>
          <w:rFonts w:hint="eastAsia" w:ascii="仿宋" w:hAnsi="仿宋" w:eastAsia="仿宋" w:cs="仿宋"/>
          <w:b/>
          <w:bCs/>
          <w:sz w:val="24"/>
          <w:szCs w:val="32"/>
        </w:rPr>
        <w:t>44</w:t>
      </w:r>
      <w:r>
        <w:rPr>
          <w:rFonts w:hint="eastAsia" w:ascii="仿宋" w:hAnsi="仿宋" w:eastAsia="仿宋" w:cs="仿宋"/>
          <w:b/>
          <w:bCs/>
          <w:sz w:val="24"/>
          <w:szCs w:val="32"/>
        </w:rPr>
        <w:fldChar w:fldCharType="end"/>
      </w:r>
      <w:r>
        <w:rPr>
          <w:rFonts w:hint="eastAsia" w:ascii="仿宋" w:hAnsi="仿宋" w:eastAsia="仿宋" w:cs="仿宋"/>
          <w:b/>
          <w:bCs/>
          <w:sz w:val="24"/>
          <w:szCs w:val="32"/>
          <w:highlight w:val="none"/>
        </w:rPr>
        <w:fldChar w:fldCharType="end"/>
      </w:r>
    </w:p>
    <w:p w14:paraId="72CA8B95">
      <w:pPr>
        <w:pStyle w:val="16"/>
        <w:tabs>
          <w:tab w:val="right" w:leader="dot" w:pos="8300"/>
        </w:tabs>
        <w:spacing w:line="480" w:lineRule="auto"/>
        <w:rPr>
          <w:rFonts w:hint="eastAsia" w:ascii="仿宋" w:hAnsi="仿宋" w:eastAsia="仿宋" w:cs="仿宋"/>
          <w:b/>
          <w:bCs/>
          <w:sz w:val="24"/>
          <w:szCs w:val="32"/>
        </w:rPr>
      </w:pPr>
      <w:r>
        <w:rPr>
          <w:rFonts w:hint="eastAsia" w:ascii="仿宋" w:hAnsi="仿宋" w:eastAsia="仿宋" w:cs="仿宋"/>
          <w:b/>
          <w:bCs/>
          <w:sz w:val="24"/>
          <w:szCs w:val="32"/>
          <w:highlight w:val="none"/>
        </w:rPr>
        <w:fldChar w:fldCharType="begin"/>
      </w:r>
      <w:r>
        <w:rPr>
          <w:rFonts w:hint="eastAsia" w:ascii="仿宋" w:hAnsi="仿宋" w:eastAsia="仿宋" w:cs="仿宋"/>
          <w:b/>
          <w:bCs/>
          <w:sz w:val="24"/>
          <w:szCs w:val="32"/>
          <w:highlight w:val="none"/>
        </w:rPr>
        <w:instrText xml:space="preserve"> HYPERLINK \l _Toc13473 </w:instrText>
      </w:r>
      <w:r>
        <w:rPr>
          <w:rFonts w:hint="eastAsia" w:ascii="仿宋" w:hAnsi="仿宋" w:eastAsia="仿宋" w:cs="仿宋"/>
          <w:b/>
          <w:bCs/>
          <w:sz w:val="24"/>
          <w:szCs w:val="32"/>
          <w:highlight w:val="none"/>
        </w:rPr>
        <w:fldChar w:fldCharType="separate"/>
      </w:r>
      <w:r>
        <w:rPr>
          <w:rFonts w:hint="eastAsia" w:ascii="仿宋" w:hAnsi="仿宋" w:eastAsia="仿宋" w:cs="仿宋"/>
          <w:b/>
          <w:bCs/>
          <w:sz w:val="24"/>
          <w:szCs w:val="32"/>
          <w:highlight w:val="none"/>
        </w:rPr>
        <w:t>第四章 磋商内容、磋商过程中可能实质性变动的内容</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_Toc13473 \h </w:instrText>
      </w:r>
      <w:r>
        <w:rPr>
          <w:rFonts w:hint="eastAsia" w:ascii="仿宋" w:hAnsi="仿宋" w:eastAsia="仿宋" w:cs="仿宋"/>
          <w:b/>
          <w:bCs/>
          <w:sz w:val="24"/>
          <w:szCs w:val="32"/>
        </w:rPr>
        <w:fldChar w:fldCharType="separate"/>
      </w:r>
      <w:r>
        <w:rPr>
          <w:rFonts w:hint="eastAsia" w:ascii="仿宋" w:hAnsi="仿宋" w:eastAsia="仿宋" w:cs="仿宋"/>
          <w:b/>
          <w:bCs/>
          <w:sz w:val="24"/>
          <w:szCs w:val="32"/>
        </w:rPr>
        <w:t>49</w:t>
      </w:r>
      <w:r>
        <w:rPr>
          <w:rFonts w:hint="eastAsia" w:ascii="仿宋" w:hAnsi="仿宋" w:eastAsia="仿宋" w:cs="仿宋"/>
          <w:b/>
          <w:bCs/>
          <w:sz w:val="24"/>
          <w:szCs w:val="32"/>
        </w:rPr>
        <w:fldChar w:fldCharType="end"/>
      </w:r>
      <w:r>
        <w:rPr>
          <w:rFonts w:hint="eastAsia" w:ascii="仿宋" w:hAnsi="仿宋" w:eastAsia="仿宋" w:cs="仿宋"/>
          <w:b/>
          <w:bCs/>
          <w:sz w:val="24"/>
          <w:szCs w:val="32"/>
          <w:highlight w:val="none"/>
        </w:rPr>
        <w:fldChar w:fldCharType="end"/>
      </w:r>
    </w:p>
    <w:p w14:paraId="7138280D">
      <w:pPr>
        <w:pStyle w:val="16"/>
        <w:tabs>
          <w:tab w:val="right" w:leader="dot" w:pos="8300"/>
        </w:tabs>
        <w:spacing w:line="480" w:lineRule="auto"/>
        <w:rPr>
          <w:rFonts w:hint="eastAsia" w:ascii="仿宋" w:hAnsi="仿宋" w:eastAsia="仿宋" w:cs="仿宋"/>
          <w:b/>
          <w:bCs/>
          <w:sz w:val="24"/>
          <w:szCs w:val="32"/>
        </w:rPr>
      </w:pPr>
      <w:r>
        <w:rPr>
          <w:rFonts w:hint="eastAsia" w:ascii="仿宋" w:hAnsi="仿宋" w:eastAsia="仿宋" w:cs="仿宋"/>
          <w:b/>
          <w:bCs/>
          <w:sz w:val="24"/>
          <w:szCs w:val="32"/>
          <w:highlight w:val="none"/>
        </w:rPr>
        <w:fldChar w:fldCharType="begin"/>
      </w:r>
      <w:r>
        <w:rPr>
          <w:rFonts w:hint="eastAsia" w:ascii="仿宋" w:hAnsi="仿宋" w:eastAsia="仿宋" w:cs="仿宋"/>
          <w:b/>
          <w:bCs/>
          <w:sz w:val="24"/>
          <w:szCs w:val="32"/>
          <w:highlight w:val="none"/>
        </w:rPr>
        <w:instrText xml:space="preserve"> HYPERLINK \l _Toc25286 </w:instrText>
      </w:r>
      <w:r>
        <w:rPr>
          <w:rFonts w:hint="eastAsia" w:ascii="仿宋" w:hAnsi="仿宋" w:eastAsia="仿宋" w:cs="仿宋"/>
          <w:b/>
          <w:bCs/>
          <w:sz w:val="24"/>
          <w:szCs w:val="32"/>
          <w:highlight w:val="none"/>
        </w:rPr>
        <w:fldChar w:fldCharType="separate"/>
      </w:r>
      <w:r>
        <w:rPr>
          <w:rFonts w:hint="eastAsia" w:ascii="仿宋" w:hAnsi="仿宋" w:eastAsia="仿宋" w:cs="仿宋"/>
          <w:b/>
          <w:bCs/>
          <w:sz w:val="24"/>
          <w:szCs w:val="32"/>
          <w:highlight w:val="none"/>
        </w:rPr>
        <w:t>第五章 评审办法</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_Toc25286 \h </w:instrText>
      </w:r>
      <w:r>
        <w:rPr>
          <w:rFonts w:hint="eastAsia" w:ascii="仿宋" w:hAnsi="仿宋" w:eastAsia="仿宋" w:cs="仿宋"/>
          <w:b/>
          <w:bCs/>
          <w:sz w:val="24"/>
          <w:szCs w:val="32"/>
        </w:rPr>
        <w:fldChar w:fldCharType="separate"/>
      </w:r>
      <w:r>
        <w:rPr>
          <w:rFonts w:hint="eastAsia" w:ascii="仿宋" w:hAnsi="仿宋" w:eastAsia="仿宋" w:cs="仿宋"/>
          <w:b/>
          <w:bCs/>
          <w:sz w:val="24"/>
          <w:szCs w:val="32"/>
        </w:rPr>
        <w:t>50</w:t>
      </w:r>
      <w:r>
        <w:rPr>
          <w:rFonts w:hint="eastAsia" w:ascii="仿宋" w:hAnsi="仿宋" w:eastAsia="仿宋" w:cs="仿宋"/>
          <w:b/>
          <w:bCs/>
          <w:sz w:val="24"/>
          <w:szCs w:val="32"/>
        </w:rPr>
        <w:fldChar w:fldCharType="end"/>
      </w:r>
      <w:r>
        <w:rPr>
          <w:rFonts w:hint="eastAsia" w:ascii="仿宋" w:hAnsi="仿宋" w:eastAsia="仿宋" w:cs="仿宋"/>
          <w:b/>
          <w:bCs/>
          <w:sz w:val="24"/>
          <w:szCs w:val="32"/>
          <w:highlight w:val="none"/>
        </w:rPr>
        <w:fldChar w:fldCharType="end"/>
      </w:r>
    </w:p>
    <w:p w14:paraId="7072A99B">
      <w:pPr>
        <w:pStyle w:val="16"/>
        <w:tabs>
          <w:tab w:val="right" w:leader="dot" w:pos="8300"/>
        </w:tabs>
        <w:spacing w:line="480" w:lineRule="auto"/>
        <w:rPr>
          <w:rFonts w:hint="eastAsia" w:ascii="仿宋" w:hAnsi="仿宋" w:eastAsia="仿宋" w:cs="仿宋"/>
          <w:b/>
          <w:bCs/>
          <w:sz w:val="24"/>
          <w:szCs w:val="32"/>
        </w:rPr>
      </w:pPr>
      <w:r>
        <w:rPr>
          <w:rFonts w:hint="eastAsia" w:ascii="仿宋" w:hAnsi="仿宋" w:eastAsia="仿宋" w:cs="仿宋"/>
          <w:b/>
          <w:bCs/>
          <w:sz w:val="24"/>
          <w:szCs w:val="32"/>
          <w:highlight w:val="none"/>
        </w:rPr>
        <w:fldChar w:fldCharType="begin"/>
      </w:r>
      <w:r>
        <w:rPr>
          <w:rFonts w:hint="eastAsia" w:ascii="仿宋" w:hAnsi="仿宋" w:eastAsia="仿宋" w:cs="仿宋"/>
          <w:b/>
          <w:bCs/>
          <w:sz w:val="24"/>
          <w:szCs w:val="32"/>
          <w:highlight w:val="none"/>
        </w:rPr>
        <w:instrText xml:space="preserve"> HYPERLINK \l _Toc5214 </w:instrText>
      </w:r>
      <w:r>
        <w:rPr>
          <w:rFonts w:hint="eastAsia" w:ascii="仿宋" w:hAnsi="仿宋" w:eastAsia="仿宋" w:cs="仿宋"/>
          <w:b/>
          <w:bCs/>
          <w:sz w:val="24"/>
          <w:szCs w:val="32"/>
          <w:highlight w:val="none"/>
        </w:rPr>
        <w:fldChar w:fldCharType="separate"/>
      </w:r>
      <w:r>
        <w:rPr>
          <w:rFonts w:hint="eastAsia" w:ascii="仿宋" w:hAnsi="仿宋" w:eastAsia="仿宋" w:cs="仿宋"/>
          <w:b/>
          <w:bCs/>
          <w:sz w:val="24"/>
          <w:szCs w:val="32"/>
          <w:highlight w:val="none"/>
        </w:rPr>
        <w:t>第六章 政府采购合同条款及格式</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_Toc5214 \h </w:instrText>
      </w:r>
      <w:r>
        <w:rPr>
          <w:rFonts w:hint="eastAsia" w:ascii="仿宋" w:hAnsi="仿宋" w:eastAsia="仿宋" w:cs="仿宋"/>
          <w:b/>
          <w:bCs/>
          <w:sz w:val="24"/>
          <w:szCs w:val="32"/>
        </w:rPr>
        <w:fldChar w:fldCharType="separate"/>
      </w:r>
      <w:r>
        <w:rPr>
          <w:rFonts w:hint="eastAsia" w:ascii="仿宋" w:hAnsi="仿宋" w:eastAsia="仿宋" w:cs="仿宋"/>
          <w:b/>
          <w:bCs/>
          <w:sz w:val="24"/>
          <w:szCs w:val="32"/>
        </w:rPr>
        <w:t>60</w:t>
      </w:r>
      <w:r>
        <w:rPr>
          <w:rFonts w:hint="eastAsia" w:ascii="仿宋" w:hAnsi="仿宋" w:eastAsia="仿宋" w:cs="仿宋"/>
          <w:b/>
          <w:bCs/>
          <w:sz w:val="24"/>
          <w:szCs w:val="32"/>
        </w:rPr>
        <w:fldChar w:fldCharType="end"/>
      </w:r>
      <w:r>
        <w:rPr>
          <w:rFonts w:hint="eastAsia" w:ascii="仿宋" w:hAnsi="仿宋" w:eastAsia="仿宋" w:cs="仿宋"/>
          <w:b/>
          <w:bCs/>
          <w:sz w:val="24"/>
          <w:szCs w:val="32"/>
          <w:highlight w:val="none"/>
        </w:rPr>
        <w:fldChar w:fldCharType="end"/>
      </w:r>
    </w:p>
    <w:p w14:paraId="51F76F9D">
      <w:pPr>
        <w:spacing w:line="480" w:lineRule="auto"/>
        <w:rPr>
          <w:rFonts w:hint="eastAsia" w:ascii="仿宋" w:hAnsi="仿宋" w:eastAsia="仿宋" w:cs="仿宋"/>
          <w:sz w:val="24"/>
          <w:highlight w:val="none"/>
        </w:rPr>
      </w:pPr>
      <w:r>
        <w:rPr>
          <w:rFonts w:hint="eastAsia" w:ascii="仿宋" w:hAnsi="仿宋" w:eastAsia="仿宋" w:cs="仿宋"/>
          <w:bCs/>
          <w:highlight w:val="none"/>
        </w:rPr>
        <w:fldChar w:fldCharType="end"/>
      </w:r>
    </w:p>
    <w:p w14:paraId="1C81C69C">
      <w:pPr>
        <w:pStyle w:val="39"/>
        <w:tabs>
          <w:tab w:val="right" w:leader="dot" w:pos="8306"/>
        </w:tabs>
        <w:rPr>
          <w:rFonts w:hint="eastAsia" w:ascii="仿宋" w:hAnsi="仿宋" w:eastAsia="仿宋" w:cs="仿宋"/>
          <w:highlight w:val="none"/>
        </w:rPr>
      </w:pPr>
    </w:p>
    <w:p w14:paraId="39AD09B7">
      <w:pPr>
        <w:pStyle w:val="39"/>
        <w:tabs>
          <w:tab w:val="right" w:leader="dot" w:pos="8306"/>
        </w:tabs>
        <w:rPr>
          <w:rFonts w:hint="eastAsia" w:ascii="仿宋" w:hAnsi="仿宋" w:eastAsia="仿宋" w:cs="仿宋"/>
          <w:highlight w:val="none"/>
        </w:rPr>
      </w:pPr>
    </w:p>
    <w:p w14:paraId="3E5A906A">
      <w:pPr>
        <w:pStyle w:val="39"/>
        <w:tabs>
          <w:tab w:val="right" w:leader="dot" w:pos="8306"/>
        </w:tabs>
        <w:rPr>
          <w:rFonts w:hint="eastAsia" w:ascii="仿宋" w:hAnsi="仿宋" w:eastAsia="仿宋" w:cs="仿宋"/>
          <w:highlight w:val="none"/>
        </w:rPr>
      </w:pPr>
    </w:p>
    <w:p w14:paraId="336311AB">
      <w:pPr>
        <w:pStyle w:val="39"/>
        <w:tabs>
          <w:tab w:val="right" w:leader="dot" w:pos="8306"/>
        </w:tabs>
        <w:rPr>
          <w:rFonts w:hint="eastAsia" w:ascii="仿宋" w:hAnsi="仿宋" w:eastAsia="仿宋" w:cs="仿宋"/>
          <w:highlight w:val="none"/>
        </w:rPr>
      </w:pPr>
    </w:p>
    <w:p w14:paraId="7AA99AD2">
      <w:pPr>
        <w:pStyle w:val="39"/>
        <w:tabs>
          <w:tab w:val="left" w:pos="1834"/>
          <w:tab w:val="right" w:leader="dot" w:pos="8306"/>
        </w:tabs>
        <w:rPr>
          <w:rFonts w:hint="eastAsia" w:ascii="仿宋" w:hAnsi="仿宋" w:eastAsia="仿宋" w:cs="仿宋"/>
          <w:b/>
          <w:bCs/>
          <w:highlight w:val="none"/>
        </w:rPr>
      </w:pPr>
      <w:r>
        <w:rPr>
          <w:rFonts w:hint="eastAsia" w:ascii="仿宋" w:hAnsi="仿宋" w:eastAsia="仿宋" w:cs="仿宋"/>
          <w:b/>
          <w:bCs/>
          <w:highlight w:val="none"/>
        </w:rPr>
        <w:tab/>
      </w:r>
    </w:p>
    <w:p w14:paraId="57A551FD">
      <w:pPr>
        <w:adjustRightInd w:val="0"/>
        <w:snapToGrid w:val="0"/>
        <w:spacing w:line="360" w:lineRule="auto"/>
        <w:jc w:val="center"/>
        <w:rPr>
          <w:rFonts w:hint="eastAsia" w:ascii="仿宋" w:hAnsi="仿宋" w:eastAsia="仿宋" w:cs="仿宋"/>
          <w:bCs/>
          <w:highlight w:val="none"/>
        </w:rPr>
        <w:sectPr>
          <w:pgSz w:w="11906" w:h="16838"/>
          <w:pgMar w:top="1440" w:right="1803" w:bottom="1440" w:left="1803" w:header="851" w:footer="992" w:gutter="0"/>
          <w:cols w:space="720" w:num="1"/>
          <w:docGrid w:type="lines" w:linePitch="312" w:charSpace="0"/>
        </w:sectPr>
      </w:pPr>
      <w:r>
        <w:rPr>
          <w:rFonts w:hint="eastAsia" w:ascii="仿宋" w:hAnsi="仿宋" w:eastAsia="仿宋" w:cs="仿宋"/>
          <w:bCs/>
          <w:highlight w:val="none"/>
        </w:rPr>
        <w:tab/>
      </w:r>
      <w:r>
        <w:rPr>
          <w:rFonts w:hint="eastAsia" w:ascii="仿宋" w:hAnsi="仿宋" w:eastAsia="仿宋" w:cs="仿宋"/>
          <w:bCs/>
          <w:highlight w:val="none"/>
        </w:rPr>
        <w:tab/>
      </w:r>
      <w:bookmarkStart w:id="1" w:name="_Toc4485616"/>
    </w:p>
    <w:p w14:paraId="7C473FBB">
      <w:pPr>
        <w:pStyle w:val="2"/>
        <w:adjustRightInd w:val="0"/>
        <w:snapToGrid w:val="0"/>
        <w:spacing w:before="0" w:after="0" w:line="360" w:lineRule="auto"/>
        <w:jc w:val="center"/>
        <w:rPr>
          <w:rFonts w:hint="eastAsia" w:ascii="仿宋" w:hAnsi="仿宋" w:eastAsia="仿宋" w:cs="仿宋"/>
          <w:highlight w:val="none"/>
        </w:rPr>
      </w:pPr>
      <w:bookmarkStart w:id="2" w:name="_Toc32394"/>
      <w:r>
        <w:rPr>
          <w:rFonts w:hint="eastAsia" w:ascii="仿宋" w:hAnsi="仿宋" w:eastAsia="仿宋" w:cs="仿宋"/>
          <w:highlight w:val="none"/>
        </w:rPr>
        <w:t>建设数智财税信息管控平台项目</w:t>
      </w:r>
      <w:bookmarkEnd w:id="2"/>
    </w:p>
    <w:p w14:paraId="5464ED8E">
      <w:pPr>
        <w:pStyle w:val="2"/>
        <w:adjustRightInd w:val="0"/>
        <w:snapToGrid w:val="0"/>
        <w:spacing w:before="0" w:after="0" w:line="360" w:lineRule="auto"/>
        <w:jc w:val="center"/>
        <w:rPr>
          <w:rFonts w:hint="eastAsia" w:ascii="仿宋" w:hAnsi="仿宋" w:eastAsia="仿宋" w:cs="仿宋"/>
          <w:bCs/>
          <w:highlight w:val="none"/>
        </w:rPr>
      </w:pPr>
      <w:bookmarkStart w:id="3" w:name="_Toc25421"/>
      <w:r>
        <w:rPr>
          <w:rFonts w:hint="eastAsia" w:ascii="仿宋" w:hAnsi="仿宋" w:eastAsia="仿宋" w:cs="仿宋"/>
          <w:highlight w:val="none"/>
        </w:rPr>
        <w:t>采购公告</w:t>
      </w:r>
      <w:bookmarkEnd w:id="1"/>
      <w:bookmarkEnd w:id="3"/>
    </w:p>
    <w:p w14:paraId="3EFA4DE8">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 w:hAnsi="仿宋" w:eastAsia="仿宋" w:cs="仿宋"/>
          <w:szCs w:val="21"/>
          <w:highlight w:val="none"/>
        </w:rPr>
      </w:pPr>
      <w:bookmarkStart w:id="4" w:name="_Toc4485617"/>
      <w:r>
        <w:rPr>
          <w:rFonts w:hint="eastAsia" w:ascii="仿宋" w:hAnsi="仿宋" w:eastAsia="仿宋" w:cs="仿宋"/>
          <w:szCs w:val="21"/>
          <w:highlight w:val="none"/>
        </w:rPr>
        <w:t>项目概况</w:t>
      </w:r>
    </w:p>
    <w:p w14:paraId="238B97A6">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bCs/>
          <w:szCs w:val="21"/>
          <w:highlight w:val="none"/>
          <w:u w:val="single"/>
        </w:rPr>
        <w:t xml:space="preserve"> (建设数智财税信息管控平台项目)</w:t>
      </w:r>
      <w:r>
        <w:rPr>
          <w:rFonts w:hint="eastAsia" w:ascii="仿宋" w:hAnsi="仿宋" w:eastAsia="仿宋" w:cs="仿宋"/>
          <w:szCs w:val="21"/>
          <w:highlight w:val="none"/>
        </w:rPr>
        <w:t xml:space="preserve"> 采购项目的潜在供应商应在</w:t>
      </w:r>
      <w:r>
        <w:rPr>
          <w:rFonts w:hint="eastAsia" w:ascii="仿宋" w:hAnsi="仿宋" w:eastAsia="仿宋" w:cs="仿宋"/>
          <w:szCs w:val="21"/>
          <w:highlight w:val="none"/>
          <w:u w:val="single"/>
        </w:rPr>
        <w:t>线上</w:t>
      </w:r>
      <w:r>
        <w:rPr>
          <w:rFonts w:hint="eastAsia" w:ascii="仿宋" w:hAnsi="仿宋" w:eastAsia="仿宋" w:cs="仿宋"/>
          <w:szCs w:val="21"/>
          <w:highlight w:val="none"/>
        </w:rPr>
        <w:t>获取采购文件，并于</w:t>
      </w:r>
      <w:r>
        <w:rPr>
          <w:rFonts w:hint="eastAsia" w:ascii="仿宋" w:hAnsi="仿宋" w:eastAsia="仿宋" w:cs="仿宋"/>
          <w:szCs w:val="21"/>
          <w:highlight w:val="none"/>
          <w:u w:val="single"/>
        </w:rPr>
        <w:t xml:space="preserve"> 2025</w:t>
      </w:r>
      <w:r>
        <w:rPr>
          <w:rFonts w:hint="eastAsia" w:ascii="仿宋" w:hAnsi="仿宋" w:eastAsia="仿宋" w:cs="仿宋"/>
          <w:bCs/>
          <w:szCs w:val="21"/>
          <w:highlight w:val="none"/>
          <w:u w:val="single"/>
        </w:rPr>
        <w:t>年12月</w:t>
      </w:r>
      <w:r>
        <w:rPr>
          <w:rFonts w:hint="eastAsia" w:ascii="仿宋" w:hAnsi="仿宋" w:eastAsia="仿宋" w:cs="仿宋"/>
          <w:bCs/>
          <w:szCs w:val="21"/>
          <w:highlight w:val="none"/>
          <w:u w:val="single"/>
          <w:lang w:val="en-US" w:eastAsia="zh-CN"/>
        </w:rPr>
        <w:t>17</w:t>
      </w:r>
      <w:r>
        <w:rPr>
          <w:rFonts w:hint="eastAsia" w:ascii="仿宋" w:hAnsi="仿宋" w:eastAsia="仿宋" w:cs="仿宋"/>
          <w:bCs/>
          <w:szCs w:val="21"/>
          <w:highlight w:val="none"/>
          <w:u w:val="single"/>
        </w:rPr>
        <w:t>日09点30分</w:t>
      </w:r>
      <w:r>
        <w:rPr>
          <w:rFonts w:hint="eastAsia" w:ascii="仿宋" w:hAnsi="仿宋" w:eastAsia="仿宋" w:cs="仿宋"/>
          <w:bCs/>
          <w:szCs w:val="21"/>
          <w:highlight w:val="none"/>
        </w:rPr>
        <w:t>（北京时间）前提交响应文件</w:t>
      </w:r>
      <w:r>
        <w:rPr>
          <w:rFonts w:hint="eastAsia" w:ascii="仿宋" w:hAnsi="仿宋" w:eastAsia="仿宋" w:cs="仿宋"/>
          <w:szCs w:val="21"/>
          <w:highlight w:val="none"/>
        </w:rPr>
        <w:t>。</w:t>
      </w:r>
    </w:p>
    <w:p w14:paraId="3D457107">
      <w:pPr>
        <w:adjustRightInd w:val="0"/>
        <w:snapToGrid w:val="0"/>
        <w:spacing w:line="360" w:lineRule="auto"/>
        <w:rPr>
          <w:rFonts w:hint="eastAsia" w:ascii="仿宋" w:hAnsi="仿宋" w:eastAsia="仿宋" w:cs="仿宋"/>
          <w:szCs w:val="21"/>
          <w:highlight w:val="none"/>
        </w:rPr>
      </w:pPr>
    </w:p>
    <w:p w14:paraId="2C0DFC73">
      <w:pPr>
        <w:adjustRightInd w:val="0"/>
        <w:snapToGrid w:val="0"/>
        <w:spacing w:line="360" w:lineRule="auto"/>
        <w:rPr>
          <w:rFonts w:hint="eastAsia" w:ascii="仿宋" w:hAnsi="仿宋" w:eastAsia="仿宋" w:cs="仿宋"/>
          <w:szCs w:val="21"/>
          <w:highlight w:val="none"/>
        </w:rPr>
      </w:pPr>
      <w:bookmarkStart w:id="5" w:name="_Toc35393629"/>
      <w:bookmarkStart w:id="6" w:name="_Toc28359012"/>
      <w:bookmarkStart w:id="7" w:name="_Toc35393798"/>
      <w:bookmarkStart w:id="8" w:name="_Toc28359089"/>
      <w:r>
        <w:rPr>
          <w:rFonts w:hint="eastAsia" w:ascii="仿宋" w:hAnsi="仿宋" w:eastAsia="仿宋" w:cs="仿宋"/>
          <w:szCs w:val="21"/>
          <w:highlight w:val="none"/>
        </w:rPr>
        <w:t>一、项目基本情况</w:t>
      </w:r>
      <w:bookmarkEnd w:id="5"/>
      <w:bookmarkEnd w:id="6"/>
      <w:bookmarkEnd w:id="7"/>
      <w:bookmarkEnd w:id="8"/>
    </w:p>
    <w:p w14:paraId="2F9A98A0">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szCs w:val="21"/>
          <w:highlight w:val="none"/>
        </w:rPr>
        <w:t>项目编号：</w:t>
      </w:r>
      <w:r>
        <w:rPr>
          <w:rFonts w:hint="eastAsia" w:ascii="仿宋" w:hAnsi="仿宋" w:eastAsia="仿宋" w:cs="仿宋"/>
          <w:bCs/>
          <w:szCs w:val="21"/>
          <w:highlight w:val="none"/>
        </w:rPr>
        <w:t>JH25-210303-00025</w:t>
      </w:r>
    </w:p>
    <w:p w14:paraId="58DE0B97">
      <w:pPr>
        <w:adjustRightInd w:val="0"/>
        <w:snapToGrid w:val="0"/>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项目名称：</w:t>
      </w:r>
      <w:r>
        <w:rPr>
          <w:rFonts w:hint="eastAsia" w:ascii="仿宋" w:hAnsi="仿宋" w:eastAsia="仿宋" w:cs="仿宋"/>
          <w:bCs/>
          <w:szCs w:val="21"/>
          <w:highlight w:val="none"/>
        </w:rPr>
        <w:t>建设数智财税信息管控平台项目</w:t>
      </w:r>
    </w:p>
    <w:p w14:paraId="596F750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采购方式：竞争性磋商</w:t>
      </w:r>
    </w:p>
    <w:p w14:paraId="23EA3B5B">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预算金额（元）：1,800,000</w:t>
      </w:r>
    </w:p>
    <w:p w14:paraId="6BF3DE68">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最高限价（元）：1,800,000</w:t>
      </w:r>
    </w:p>
    <w:p w14:paraId="05A83F8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采购需求：详见采购文件第三章服务需求</w:t>
      </w:r>
    </w:p>
    <w:p w14:paraId="22991E4B">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合同履行期限：合同签订后</w:t>
      </w:r>
      <w:r>
        <w:rPr>
          <w:rFonts w:ascii="仿宋" w:hAnsi="仿宋" w:eastAsia="仿宋" w:cs="仿宋"/>
          <w:szCs w:val="21"/>
          <w:highlight w:val="none"/>
        </w:rPr>
        <w:t>2个月</w:t>
      </w:r>
      <w:r>
        <w:rPr>
          <w:rFonts w:hint="eastAsia" w:ascii="仿宋" w:hAnsi="仿宋" w:eastAsia="仿宋" w:cs="仿宋"/>
          <w:szCs w:val="21"/>
          <w:highlight w:val="none"/>
        </w:rPr>
        <w:t>（具体时间以合同签订为准）</w:t>
      </w:r>
    </w:p>
    <w:p w14:paraId="672BE255">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需落实的政府采购政策内容：促进中小企业、促进残疾人就业、支持监狱企业、支持脱贫攻坚、节能产品、环境标志产品等相关政策。</w:t>
      </w:r>
    </w:p>
    <w:p w14:paraId="1996D4D6">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本项目（是/否）接受联合体投标：否</w:t>
      </w:r>
    </w:p>
    <w:p w14:paraId="4A6FD62E">
      <w:pPr>
        <w:adjustRightInd w:val="0"/>
        <w:snapToGrid w:val="0"/>
        <w:spacing w:line="360" w:lineRule="auto"/>
        <w:rPr>
          <w:rFonts w:hint="eastAsia" w:ascii="仿宋" w:hAnsi="仿宋" w:eastAsia="仿宋" w:cs="仿宋"/>
          <w:szCs w:val="21"/>
          <w:highlight w:val="none"/>
        </w:rPr>
      </w:pPr>
      <w:bookmarkStart w:id="9" w:name="_Toc35393630"/>
      <w:bookmarkStart w:id="10" w:name="_Toc28359013"/>
      <w:bookmarkStart w:id="11" w:name="_Toc28359090"/>
      <w:bookmarkStart w:id="12" w:name="_Toc35393799"/>
      <w:r>
        <w:rPr>
          <w:rFonts w:hint="eastAsia" w:ascii="仿宋" w:hAnsi="仿宋" w:eastAsia="仿宋" w:cs="仿宋"/>
          <w:szCs w:val="21"/>
          <w:highlight w:val="none"/>
        </w:rPr>
        <w:t>二、供应商的资格要求：</w:t>
      </w:r>
      <w:bookmarkEnd w:id="9"/>
      <w:bookmarkEnd w:id="10"/>
      <w:bookmarkEnd w:id="11"/>
      <w:bookmarkEnd w:id="12"/>
    </w:p>
    <w:p w14:paraId="3F7884A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1.满足《中华人民共和国政府采购法》第二十二条规定；</w:t>
      </w:r>
    </w:p>
    <w:p w14:paraId="0D8570EE">
      <w:pPr>
        <w:adjustRightInd w:val="0"/>
        <w:snapToGrid w:val="0"/>
        <w:spacing w:line="360" w:lineRule="auto"/>
        <w:ind w:firstLine="420" w:firstLineChars="200"/>
        <w:rPr>
          <w:rFonts w:hint="eastAsia" w:ascii="仿宋" w:hAnsi="仿宋" w:eastAsia="仿宋" w:cs="仿宋"/>
          <w:szCs w:val="21"/>
          <w:highlight w:val="none"/>
        </w:rPr>
      </w:pPr>
      <w:bookmarkStart w:id="13" w:name="_Toc28359014"/>
      <w:bookmarkStart w:id="14" w:name="_Toc28359091"/>
      <w:r>
        <w:rPr>
          <w:rFonts w:hint="eastAsia" w:ascii="仿宋" w:hAnsi="仿宋" w:eastAsia="仿宋" w:cs="仿宋"/>
          <w:szCs w:val="21"/>
          <w:highlight w:val="none"/>
        </w:rPr>
        <w:t>2.落实政府采购政策需满足的资格要求：本项目专门面向中小微企业，供应商应为中小微企业、监狱企业、残疾人福利性单位</w:t>
      </w:r>
    </w:p>
    <w:p w14:paraId="534A1CC6">
      <w:pPr>
        <w:adjustRightInd w:val="0"/>
        <w:snapToGrid w:val="0"/>
        <w:spacing w:line="360" w:lineRule="auto"/>
        <w:ind w:firstLine="420" w:firstLineChars="200"/>
        <w:rPr>
          <w:rFonts w:hint="eastAsia" w:ascii="仿宋" w:hAnsi="仿宋" w:eastAsia="仿宋" w:cs="仿宋"/>
          <w:i/>
          <w:iCs/>
          <w:szCs w:val="21"/>
          <w:highlight w:val="none"/>
          <w:u w:val="single"/>
        </w:rPr>
      </w:pPr>
      <w:r>
        <w:rPr>
          <w:rFonts w:hint="eastAsia" w:ascii="仿宋" w:hAnsi="仿宋" w:eastAsia="仿宋" w:cs="仿宋"/>
          <w:szCs w:val="21"/>
          <w:highlight w:val="none"/>
        </w:rPr>
        <w:t>3.本项目的特定资格要求：无</w:t>
      </w:r>
    </w:p>
    <w:p w14:paraId="5D3EA84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三、政府采购供应商入库须知</w:t>
      </w:r>
    </w:p>
    <w:p w14:paraId="47C994AA">
      <w:pPr>
        <w:adjustRightInd w:val="0"/>
        <w:snapToGrid w:val="0"/>
        <w:spacing w:line="360" w:lineRule="auto"/>
        <w:ind w:firstLine="420" w:firstLineChars="200"/>
        <w:rPr>
          <w:rFonts w:hint="eastAsia" w:ascii="仿宋" w:hAnsi="仿宋" w:eastAsia="仿宋" w:cs="仿宋"/>
          <w:szCs w:val="21"/>
          <w:highlight w:val="none"/>
        </w:rPr>
      </w:pPr>
      <w:bookmarkStart w:id="15" w:name="_Toc35393800"/>
      <w:bookmarkStart w:id="16" w:name="_Toc35393631"/>
      <w:r>
        <w:rPr>
          <w:rFonts w:hint="eastAsia" w:ascii="仿宋" w:hAnsi="仿宋" w:eastAsia="仿宋" w:cs="仿宋"/>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1B59097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四、获取采购文件</w:t>
      </w:r>
      <w:bookmarkEnd w:id="13"/>
      <w:bookmarkEnd w:id="14"/>
      <w:bookmarkEnd w:id="15"/>
      <w:bookmarkEnd w:id="16"/>
    </w:p>
    <w:p w14:paraId="41CBD2B2">
      <w:pPr>
        <w:adjustRightInd w:val="0"/>
        <w:snapToGrid w:val="0"/>
        <w:spacing w:line="360" w:lineRule="auto"/>
        <w:ind w:firstLine="540"/>
        <w:rPr>
          <w:rFonts w:hint="eastAsia" w:ascii="仿宋" w:hAnsi="仿宋" w:eastAsia="仿宋" w:cs="仿宋"/>
          <w:szCs w:val="21"/>
          <w:highlight w:val="none"/>
          <w:u w:val="single"/>
        </w:rPr>
      </w:pPr>
      <w:r>
        <w:rPr>
          <w:rFonts w:hint="eastAsia" w:ascii="仿宋" w:hAnsi="仿宋" w:eastAsia="仿宋" w:cs="仿宋"/>
          <w:szCs w:val="21"/>
          <w:highlight w:val="none"/>
        </w:rPr>
        <w:t>时间：</w:t>
      </w:r>
      <w:r>
        <w:rPr>
          <w:rFonts w:hint="eastAsia" w:ascii="仿宋" w:hAnsi="仿宋" w:eastAsia="仿宋" w:cs="仿宋"/>
          <w:szCs w:val="21"/>
          <w:highlight w:val="none"/>
          <w:u w:val="single"/>
        </w:rPr>
        <w:t xml:space="preserve"> 2025年</w:t>
      </w:r>
      <w:r>
        <w:rPr>
          <w:rFonts w:hint="eastAsia" w:ascii="仿宋" w:hAnsi="仿宋" w:eastAsia="仿宋" w:cs="仿宋"/>
          <w:szCs w:val="21"/>
          <w:highlight w:val="none"/>
          <w:u w:val="single"/>
          <w:lang w:val="en-US" w:eastAsia="zh-CN"/>
        </w:rPr>
        <w:t>12</w:t>
      </w:r>
      <w:r>
        <w:rPr>
          <w:rFonts w:hint="eastAsia" w:ascii="仿宋" w:hAnsi="仿宋" w:eastAsia="仿宋" w:cs="仿宋"/>
          <w:szCs w:val="21"/>
          <w:highlight w:val="none"/>
          <w:u w:val="single"/>
        </w:rPr>
        <w:t>月</w:t>
      </w:r>
      <w:r>
        <w:rPr>
          <w:rFonts w:hint="eastAsia" w:ascii="仿宋" w:hAnsi="仿宋" w:eastAsia="仿宋" w:cs="仿宋"/>
          <w:szCs w:val="21"/>
          <w:highlight w:val="none"/>
          <w:u w:val="single"/>
          <w:lang w:val="en-US" w:eastAsia="zh-CN"/>
        </w:rPr>
        <w:t>03</w:t>
      </w:r>
      <w:r>
        <w:rPr>
          <w:rFonts w:hint="eastAsia" w:ascii="仿宋" w:hAnsi="仿宋" w:eastAsia="仿宋" w:cs="仿宋"/>
          <w:szCs w:val="21"/>
          <w:highlight w:val="none"/>
          <w:u w:val="single"/>
        </w:rPr>
        <w:t>日23时59分至2025年12月</w:t>
      </w:r>
      <w:r>
        <w:rPr>
          <w:rFonts w:hint="eastAsia" w:ascii="仿宋" w:hAnsi="仿宋" w:eastAsia="仿宋" w:cs="仿宋"/>
          <w:szCs w:val="21"/>
          <w:highlight w:val="none"/>
          <w:u w:val="single"/>
          <w:lang w:val="en-US" w:eastAsia="zh-CN"/>
        </w:rPr>
        <w:t>11</w:t>
      </w:r>
      <w:r>
        <w:rPr>
          <w:rFonts w:hint="eastAsia" w:ascii="仿宋" w:hAnsi="仿宋" w:eastAsia="仿宋" w:cs="仿宋"/>
          <w:szCs w:val="21"/>
          <w:highlight w:val="none"/>
          <w:u w:val="single"/>
        </w:rPr>
        <w:t>日00时00分</w:t>
      </w:r>
    </w:p>
    <w:p w14:paraId="435EDBAB">
      <w:pPr>
        <w:adjustRightInd w:val="0"/>
        <w:snapToGrid w:val="0"/>
        <w:spacing w:line="360" w:lineRule="auto"/>
        <w:ind w:firstLine="540"/>
        <w:rPr>
          <w:rFonts w:hint="eastAsia" w:ascii="仿宋" w:hAnsi="仿宋" w:eastAsia="仿宋" w:cs="仿宋"/>
          <w:szCs w:val="21"/>
          <w:highlight w:val="none"/>
          <w:u w:val="single"/>
        </w:rPr>
      </w:pPr>
      <w:r>
        <w:rPr>
          <w:rFonts w:hint="eastAsia" w:ascii="仿宋" w:hAnsi="仿宋" w:eastAsia="仿宋" w:cs="仿宋"/>
          <w:szCs w:val="21"/>
          <w:highlight w:val="none"/>
        </w:rPr>
        <w:t>地点：辽宁政府采购网</w:t>
      </w:r>
    </w:p>
    <w:p w14:paraId="291E0344">
      <w:pPr>
        <w:adjustRightInd w:val="0"/>
        <w:snapToGrid w:val="0"/>
        <w:spacing w:line="360" w:lineRule="auto"/>
        <w:ind w:firstLine="540"/>
        <w:rPr>
          <w:rFonts w:hint="eastAsia" w:ascii="仿宋" w:hAnsi="仿宋" w:eastAsia="仿宋" w:cs="仿宋"/>
          <w:szCs w:val="21"/>
          <w:highlight w:val="none"/>
          <w:u w:val="single"/>
        </w:rPr>
      </w:pPr>
      <w:r>
        <w:rPr>
          <w:rFonts w:hint="eastAsia" w:ascii="仿宋" w:hAnsi="仿宋" w:eastAsia="仿宋" w:cs="仿宋"/>
          <w:szCs w:val="21"/>
          <w:highlight w:val="none"/>
        </w:rPr>
        <w:t>方式：在线下载</w:t>
      </w:r>
    </w:p>
    <w:p w14:paraId="7F7020DD">
      <w:pPr>
        <w:adjustRightInd w:val="0"/>
        <w:snapToGrid w:val="0"/>
        <w:spacing w:line="360" w:lineRule="auto"/>
        <w:ind w:firstLine="540"/>
        <w:rPr>
          <w:rFonts w:hint="eastAsia" w:ascii="仿宋" w:hAnsi="仿宋" w:eastAsia="仿宋" w:cs="仿宋"/>
          <w:szCs w:val="21"/>
          <w:highlight w:val="none"/>
        </w:rPr>
      </w:pPr>
      <w:r>
        <w:rPr>
          <w:rFonts w:hint="eastAsia" w:ascii="仿宋" w:hAnsi="仿宋" w:eastAsia="仿宋" w:cs="仿宋"/>
          <w:szCs w:val="21"/>
          <w:highlight w:val="none"/>
        </w:rPr>
        <w:t>售价：免费</w:t>
      </w:r>
    </w:p>
    <w:p w14:paraId="0BA9C456">
      <w:pPr>
        <w:adjustRightInd w:val="0"/>
        <w:snapToGrid w:val="0"/>
        <w:spacing w:line="360" w:lineRule="auto"/>
        <w:rPr>
          <w:rFonts w:hint="eastAsia" w:ascii="仿宋" w:hAnsi="仿宋" w:eastAsia="仿宋" w:cs="仿宋"/>
          <w:szCs w:val="21"/>
          <w:highlight w:val="none"/>
        </w:rPr>
      </w:pPr>
      <w:bookmarkStart w:id="17" w:name="_Toc28359092"/>
      <w:bookmarkStart w:id="18" w:name="_Toc28359015"/>
      <w:bookmarkStart w:id="19" w:name="_Toc35393801"/>
      <w:bookmarkStart w:id="20" w:name="_Toc35393632"/>
      <w:r>
        <w:rPr>
          <w:rFonts w:hint="eastAsia" w:ascii="仿宋" w:hAnsi="仿宋" w:eastAsia="仿宋" w:cs="仿宋"/>
          <w:szCs w:val="21"/>
          <w:highlight w:val="none"/>
        </w:rPr>
        <w:t>五、响应文件提交</w:t>
      </w:r>
      <w:bookmarkEnd w:id="17"/>
      <w:bookmarkEnd w:id="18"/>
      <w:bookmarkEnd w:id="19"/>
      <w:bookmarkEnd w:id="20"/>
    </w:p>
    <w:p w14:paraId="0ADDC913">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szCs w:val="21"/>
          <w:highlight w:val="none"/>
        </w:rPr>
        <w:t>截止时间：</w:t>
      </w:r>
      <w:r>
        <w:rPr>
          <w:rFonts w:hint="eastAsia" w:ascii="仿宋" w:hAnsi="仿宋" w:eastAsia="仿宋" w:cs="仿宋"/>
          <w:szCs w:val="21"/>
          <w:highlight w:val="none"/>
          <w:u w:val="single"/>
        </w:rPr>
        <w:t xml:space="preserve"> 2025</w:t>
      </w:r>
      <w:r>
        <w:rPr>
          <w:rFonts w:hint="eastAsia" w:ascii="仿宋" w:hAnsi="仿宋" w:eastAsia="仿宋" w:cs="仿宋"/>
          <w:bCs/>
          <w:szCs w:val="21"/>
          <w:highlight w:val="none"/>
          <w:u w:val="single"/>
        </w:rPr>
        <w:t>年12月</w:t>
      </w:r>
      <w:r>
        <w:rPr>
          <w:rFonts w:hint="eastAsia" w:ascii="仿宋" w:hAnsi="仿宋" w:eastAsia="仿宋" w:cs="仿宋"/>
          <w:bCs/>
          <w:szCs w:val="21"/>
          <w:highlight w:val="none"/>
          <w:u w:val="single"/>
          <w:lang w:val="en-US" w:eastAsia="zh-CN"/>
        </w:rPr>
        <w:t>17</w:t>
      </w:r>
      <w:r>
        <w:rPr>
          <w:rFonts w:hint="eastAsia" w:ascii="仿宋" w:hAnsi="仿宋" w:eastAsia="仿宋" w:cs="仿宋"/>
          <w:bCs/>
          <w:szCs w:val="21"/>
          <w:highlight w:val="none"/>
          <w:u w:val="single"/>
        </w:rPr>
        <w:t>日09点30分</w:t>
      </w:r>
      <w:r>
        <w:rPr>
          <w:rFonts w:hint="eastAsia" w:ascii="仿宋" w:hAnsi="仿宋" w:eastAsia="仿宋" w:cs="仿宋"/>
          <w:bCs/>
          <w:szCs w:val="21"/>
          <w:highlight w:val="none"/>
        </w:rPr>
        <w:t>（北京时间）</w:t>
      </w:r>
    </w:p>
    <w:p w14:paraId="7977895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地点：辽宁政府采购网</w:t>
      </w:r>
    </w:p>
    <w:p w14:paraId="79DD75BF">
      <w:pPr>
        <w:adjustRightInd w:val="0"/>
        <w:snapToGrid w:val="0"/>
        <w:spacing w:line="360" w:lineRule="auto"/>
        <w:rPr>
          <w:rFonts w:hint="eastAsia" w:ascii="仿宋" w:hAnsi="仿宋" w:eastAsia="仿宋" w:cs="仿宋"/>
          <w:szCs w:val="21"/>
          <w:highlight w:val="none"/>
        </w:rPr>
      </w:pPr>
      <w:bookmarkStart w:id="21" w:name="_Toc35393633"/>
      <w:bookmarkStart w:id="22" w:name="_Toc28359093"/>
      <w:bookmarkStart w:id="23" w:name="_Toc35393802"/>
      <w:bookmarkStart w:id="24" w:name="_Toc28359016"/>
      <w:r>
        <w:rPr>
          <w:rFonts w:hint="eastAsia" w:ascii="仿宋" w:hAnsi="仿宋" w:eastAsia="仿宋" w:cs="仿宋"/>
          <w:szCs w:val="21"/>
          <w:highlight w:val="none"/>
        </w:rPr>
        <w:t>六、开启</w:t>
      </w:r>
      <w:bookmarkEnd w:id="21"/>
      <w:bookmarkEnd w:id="22"/>
      <w:bookmarkEnd w:id="23"/>
      <w:bookmarkEnd w:id="24"/>
    </w:p>
    <w:p w14:paraId="3FFB0CCF">
      <w:pPr>
        <w:adjustRightInd w:val="0"/>
        <w:snapToGrid w:val="0"/>
        <w:spacing w:line="360" w:lineRule="auto"/>
        <w:ind w:firstLine="420" w:firstLineChars="200"/>
        <w:rPr>
          <w:rFonts w:hint="eastAsia" w:ascii="仿宋" w:hAnsi="仿宋" w:eastAsia="仿宋" w:cs="仿宋"/>
          <w:bCs/>
          <w:szCs w:val="21"/>
          <w:highlight w:val="none"/>
          <w:u w:val="single"/>
        </w:rPr>
      </w:pPr>
      <w:r>
        <w:rPr>
          <w:rFonts w:hint="eastAsia" w:ascii="仿宋" w:hAnsi="仿宋" w:eastAsia="仿宋" w:cs="仿宋"/>
          <w:szCs w:val="21"/>
          <w:highlight w:val="none"/>
        </w:rPr>
        <w:t>时间：</w:t>
      </w:r>
      <w:r>
        <w:rPr>
          <w:rFonts w:hint="eastAsia" w:ascii="仿宋" w:hAnsi="仿宋" w:eastAsia="仿宋" w:cs="仿宋"/>
          <w:szCs w:val="21"/>
          <w:highlight w:val="none"/>
          <w:u w:val="single"/>
        </w:rPr>
        <w:t xml:space="preserve"> 2025</w:t>
      </w:r>
      <w:r>
        <w:rPr>
          <w:rFonts w:hint="eastAsia" w:ascii="仿宋" w:hAnsi="仿宋" w:eastAsia="仿宋" w:cs="仿宋"/>
          <w:bCs/>
          <w:szCs w:val="21"/>
          <w:highlight w:val="none"/>
          <w:u w:val="single"/>
        </w:rPr>
        <w:t>年12月</w:t>
      </w:r>
      <w:r>
        <w:rPr>
          <w:rFonts w:hint="eastAsia" w:ascii="仿宋" w:hAnsi="仿宋" w:eastAsia="仿宋" w:cs="仿宋"/>
          <w:bCs/>
          <w:szCs w:val="21"/>
          <w:highlight w:val="none"/>
          <w:u w:val="single"/>
          <w:lang w:val="en-US" w:eastAsia="zh-CN"/>
        </w:rPr>
        <w:t>17</w:t>
      </w:r>
      <w:r>
        <w:rPr>
          <w:rFonts w:hint="eastAsia" w:ascii="仿宋" w:hAnsi="仿宋" w:eastAsia="仿宋" w:cs="仿宋"/>
          <w:bCs/>
          <w:szCs w:val="21"/>
          <w:highlight w:val="none"/>
          <w:u w:val="single"/>
        </w:rPr>
        <w:t>日09点30分</w:t>
      </w:r>
      <w:r>
        <w:rPr>
          <w:rFonts w:hint="eastAsia" w:ascii="仿宋" w:hAnsi="仿宋" w:eastAsia="仿宋" w:cs="仿宋"/>
          <w:bCs/>
          <w:szCs w:val="21"/>
          <w:highlight w:val="none"/>
        </w:rPr>
        <w:t>（北京时间）</w:t>
      </w:r>
    </w:p>
    <w:p w14:paraId="1D2734BF">
      <w:pPr>
        <w:adjustRightInd w:val="0"/>
        <w:snapToGrid w:val="0"/>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地点：鞍山市公共资源交易中心(鞍山市铁西区人民路269-271号)</w:t>
      </w:r>
    </w:p>
    <w:p w14:paraId="041F4B2C">
      <w:pPr>
        <w:adjustRightInd w:val="0"/>
        <w:snapToGrid w:val="0"/>
        <w:spacing w:line="360" w:lineRule="auto"/>
        <w:rPr>
          <w:rFonts w:hint="eastAsia" w:ascii="仿宋" w:hAnsi="仿宋" w:eastAsia="仿宋" w:cs="仿宋"/>
          <w:szCs w:val="21"/>
          <w:highlight w:val="none"/>
        </w:rPr>
      </w:pPr>
      <w:bookmarkStart w:id="25" w:name="_Toc28359017"/>
      <w:bookmarkStart w:id="26" w:name="_Toc28359094"/>
      <w:bookmarkStart w:id="27" w:name="_Toc35393803"/>
      <w:bookmarkStart w:id="28" w:name="_Toc35393634"/>
      <w:r>
        <w:rPr>
          <w:rFonts w:hint="eastAsia" w:ascii="仿宋" w:hAnsi="仿宋" w:eastAsia="仿宋" w:cs="仿宋"/>
          <w:szCs w:val="21"/>
          <w:highlight w:val="none"/>
        </w:rPr>
        <w:t>七、公告期限</w:t>
      </w:r>
      <w:bookmarkEnd w:id="25"/>
      <w:bookmarkEnd w:id="26"/>
      <w:bookmarkEnd w:id="27"/>
      <w:bookmarkEnd w:id="28"/>
    </w:p>
    <w:p w14:paraId="3F938AE9">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自本公告发布之日起3个工作日。</w:t>
      </w:r>
    </w:p>
    <w:p w14:paraId="1A44E1C4">
      <w:pPr>
        <w:keepNext/>
        <w:keepLines/>
        <w:adjustRightInd w:val="0"/>
        <w:snapToGrid w:val="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八、质疑与投诉</w:t>
      </w:r>
    </w:p>
    <w:p w14:paraId="5F95DCDD">
      <w:pPr>
        <w:widowControl/>
        <w:adjustRightInd w:val="0"/>
        <w:snapToGrid w:val="0"/>
        <w:spacing w:line="360" w:lineRule="auto"/>
        <w:ind w:firstLine="539"/>
        <w:jc w:val="left"/>
        <w:rPr>
          <w:rFonts w:hint="eastAsia" w:ascii="仿宋" w:hAnsi="仿宋" w:eastAsia="仿宋" w:cs="仿宋"/>
          <w:szCs w:val="21"/>
          <w:highlight w:val="none"/>
        </w:rPr>
      </w:pPr>
      <w:r>
        <w:rPr>
          <w:rFonts w:hint="eastAsia" w:ascii="仿宋" w:hAnsi="仿宋" w:eastAsia="仿宋" w:cs="仿宋"/>
          <w:szCs w:val="21"/>
          <w:highlight w:val="none"/>
        </w:rPr>
        <w:t>供应商认为自己的权益受到损害的，可以在知道或者应知其权益受到损害之日起七个工作日内，向采购代理机构或采购人提出质疑。</w:t>
      </w:r>
    </w:p>
    <w:p w14:paraId="13470120">
      <w:pPr>
        <w:widowControl/>
        <w:adjustRightInd w:val="0"/>
        <w:snapToGrid w:val="0"/>
        <w:spacing w:line="360" w:lineRule="auto"/>
        <w:ind w:firstLine="480"/>
        <w:jc w:val="left"/>
        <w:rPr>
          <w:rFonts w:hint="eastAsia" w:ascii="仿宋" w:hAnsi="仿宋" w:eastAsia="仿宋" w:cs="仿宋"/>
          <w:szCs w:val="21"/>
          <w:highlight w:val="none"/>
        </w:rPr>
      </w:pPr>
      <w:r>
        <w:rPr>
          <w:rFonts w:hint="eastAsia" w:ascii="仿宋" w:hAnsi="仿宋" w:eastAsia="仿宋" w:cs="仿宋"/>
          <w:szCs w:val="21"/>
          <w:highlight w:val="none"/>
        </w:rPr>
        <w:t>1、接收质疑函方式：线上或书面纸质质疑函</w:t>
      </w:r>
    </w:p>
    <w:p w14:paraId="2602DF40">
      <w:pPr>
        <w:widowControl/>
        <w:adjustRightInd w:val="0"/>
        <w:snapToGrid w:val="0"/>
        <w:spacing w:line="360" w:lineRule="auto"/>
        <w:ind w:firstLine="480"/>
        <w:jc w:val="left"/>
        <w:rPr>
          <w:rFonts w:hint="eastAsia" w:ascii="仿宋" w:hAnsi="仿宋" w:eastAsia="仿宋" w:cs="仿宋"/>
          <w:szCs w:val="21"/>
          <w:highlight w:val="none"/>
        </w:rPr>
      </w:pPr>
      <w:r>
        <w:rPr>
          <w:rFonts w:hint="eastAsia" w:ascii="仿宋" w:hAnsi="仿宋" w:eastAsia="仿宋" w:cs="仿宋"/>
          <w:szCs w:val="21"/>
          <w:highlight w:val="none"/>
        </w:rPr>
        <w:t>2、质疑函内容、格式：应符合《政府采购质疑和投诉办法》相关规定和财政部制定的《政府采购质疑函范本》格式，详见辽宁政府采购网。</w:t>
      </w:r>
    </w:p>
    <w:p w14:paraId="573B5DAF">
      <w:pPr>
        <w:widowControl/>
        <w:adjustRightInd w:val="0"/>
        <w:snapToGrid w:val="0"/>
        <w:spacing w:line="360" w:lineRule="auto"/>
        <w:ind w:firstLine="480"/>
        <w:jc w:val="left"/>
        <w:rPr>
          <w:rFonts w:hint="eastAsia" w:ascii="仿宋" w:hAnsi="仿宋" w:eastAsia="仿宋" w:cs="仿宋"/>
          <w:szCs w:val="21"/>
          <w:highlight w:val="none"/>
        </w:rPr>
      </w:pPr>
      <w:r>
        <w:rPr>
          <w:rFonts w:hint="eastAsia" w:ascii="仿宋" w:hAnsi="仿宋" w:eastAsia="仿宋" w:cs="仿宋"/>
          <w:szCs w:val="21"/>
          <w:highlight w:val="none"/>
        </w:rPr>
        <w:t>质疑供应商对采购人、采购代理机构的答复不满意，或者采购人、采购代理机构未在规定时间内作出答复的，可以在答复期满后15个工作日内向本级财政部门提起投诉。</w:t>
      </w:r>
    </w:p>
    <w:p w14:paraId="1B85EEB3">
      <w:pPr>
        <w:numPr>
          <w:ilvl w:val="0"/>
          <w:numId w:val="2"/>
        </w:numPr>
        <w:adjustRightInd w:val="0"/>
        <w:snapToGrid w:val="0"/>
        <w:spacing w:line="360" w:lineRule="auto"/>
        <w:rPr>
          <w:rFonts w:hint="eastAsia" w:ascii="仿宋" w:hAnsi="仿宋" w:eastAsia="仿宋" w:cs="仿宋"/>
          <w:szCs w:val="21"/>
          <w:highlight w:val="none"/>
        </w:rPr>
      </w:pPr>
      <w:bookmarkStart w:id="29" w:name="_Toc35393804"/>
      <w:bookmarkStart w:id="30" w:name="_Toc35393635"/>
      <w:r>
        <w:rPr>
          <w:rFonts w:hint="eastAsia" w:ascii="仿宋" w:hAnsi="仿宋" w:eastAsia="仿宋" w:cs="仿宋"/>
          <w:szCs w:val="21"/>
          <w:highlight w:val="none"/>
        </w:rPr>
        <w:t>其他补充事宜</w:t>
      </w:r>
      <w:bookmarkEnd w:id="29"/>
      <w:bookmarkEnd w:id="30"/>
    </w:p>
    <w:p w14:paraId="686A2310">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1.供应商应认真学习电子投标（响应）文件制作教程，有任何技术问题可拨打网站客服电话进行咨询：400-128-8588。供应商因自身操作问题导致的一切不良后果由供应商自身负责。</w:t>
      </w:r>
    </w:p>
    <w:p w14:paraId="7FEB09FB">
      <w:pPr>
        <w:widowControl/>
        <w:adjustRightInd w:val="0"/>
        <w:snapToGrid w:val="0"/>
        <w:spacing w:line="360" w:lineRule="auto"/>
        <w:ind w:firstLine="480"/>
        <w:jc w:val="left"/>
        <w:rPr>
          <w:rFonts w:hint="eastAsia" w:ascii="仿宋" w:hAnsi="仿宋" w:eastAsia="仿宋" w:cs="仿宋"/>
          <w:szCs w:val="21"/>
          <w:highlight w:val="none"/>
        </w:rPr>
      </w:pPr>
      <w:r>
        <w:rPr>
          <w:rFonts w:hint="eastAsia" w:ascii="仿宋" w:hAnsi="仿宋" w:eastAsia="仿宋" w:cs="仿宋"/>
          <w:szCs w:val="21"/>
          <w:highlight w:val="none"/>
        </w:rPr>
        <w:t>2.供应商应在网上按政策要求获取采购文件截止时间前进行线上报名、并在递交投标（响应）文件截止时间前在电子评审系统中上传报价及投标（响应）文件，供应商应在辽宁政府采购网上按照相关政策和要求递交电子投标（响应）文件，同时应于递交投标（响应）文件截止时间前以电子邮件的形式提交加密备份文件，并承诺备份文件与电子评审系统中上传的投标（响应）文件内容、格式一致（承诺书格式自拟，在投标（响应）文件中体现），备系统突发故障使用。供应商仅提交备份文件的，投标（响应）无效。本项目接收备份文件电子邮箱：</w:t>
      </w:r>
      <w:r>
        <w:rPr>
          <w:rFonts w:hint="eastAsia" w:ascii="仿宋" w:hAnsi="仿宋" w:eastAsia="仿宋" w:cs="仿宋"/>
          <w:bCs/>
          <w:szCs w:val="21"/>
          <w:highlight w:val="none"/>
        </w:rPr>
        <w:t>lnbfzbyxgs@163.com</w:t>
      </w:r>
      <w:r>
        <w:rPr>
          <w:rFonts w:hint="eastAsia" w:ascii="仿宋" w:hAnsi="仿宋" w:eastAsia="仿宋" w:cs="仿宋"/>
          <w:szCs w:val="21"/>
          <w:highlight w:val="none"/>
        </w:rPr>
        <w:t>。如因供应商自身原因导致未线上递交响应文件影响电子评审的，视为放弃投标（响应）。如因供应商自身原因未对文件校验造成信息缺失、文件内容或格式不正确以及备份文件不符合要求等问题影响评审的，由供应商自行承担相应责任。</w:t>
      </w:r>
    </w:p>
    <w:p w14:paraId="6100D973">
      <w:pPr>
        <w:widowControl/>
        <w:adjustRightInd w:val="0"/>
        <w:snapToGrid w:val="0"/>
        <w:spacing w:line="360" w:lineRule="auto"/>
        <w:ind w:firstLine="480"/>
        <w:jc w:val="left"/>
        <w:rPr>
          <w:rFonts w:hint="eastAsia" w:ascii="仿宋" w:hAnsi="仿宋" w:eastAsia="仿宋" w:cs="仿宋"/>
          <w:szCs w:val="21"/>
          <w:highlight w:val="none"/>
        </w:rPr>
      </w:pP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投标供应商不到现场参加开标，授权代表人应在开标后采用线上解密的方式解密电子文件（解密时间为30分钟内），不接受其他方式解密。如因供应商自身原因造成投标（响应）文件未在规定时间内解密的，视为放弃投标（响应）。</w:t>
      </w:r>
    </w:p>
    <w:p w14:paraId="1BB3EB99">
      <w:pPr>
        <w:widowControl/>
        <w:adjustRightInd w:val="0"/>
        <w:snapToGrid w:val="0"/>
        <w:spacing w:line="360" w:lineRule="auto"/>
        <w:ind w:firstLine="480"/>
        <w:jc w:val="left"/>
        <w:rPr>
          <w:rFonts w:hint="eastAsia" w:ascii="仿宋" w:hAnsi="仿宋" w:eastAsia="仿宋" w:cs="仿宋"/>
          <w:szCs w:val="21"/>
          <w:highlight w:val="none"/>
        </w:rPr>
      </w:pPr>
      <w:r>
        <w:rPr>
          <w:rFonts w:hint="eastAsia" w:ascii="仿宋" w:hAnsi="仿宋" w:eastAsia="仿宋" w:cs="仿宋"/>
          <w:szCs w:val="21"/>
          <w:highlight w:val="none"/>
          <w:lang w:val="en-US" w:eastAsia="zh-CN"/>
        </w:rPr>
        <w:t>4</w:t>
      </w:r>
      <w:r>
        <w:rPr>
          <w:rFonts w:hint="eastAsia" w:ascii="仿宋" w:hAnsi="仿宋" w:eastAsia="仿宋" w:cs="仿宋"/>
          <w:szCs w:val="21"/>
          <w:highlight w:val="none"/>
        </w:rPr>
        <w:t>.自2024年9月23日起，项目二次报价环节系统功能发生调整，在二次报价环节，所有供应商应该按照采购文件的要求进行报价。若供应商未进行二次报价，或未能在规定的时间内提交报价，系统将自动认定该供应商为退出报价，同时，该供应商也将失去继续参与后续流程的资格。</w:t>
      </w:r>
    </w:p>
    <w:p w14:paraId="30185DAA">
      <w:pPr>
        <w:widowControl/>
        <w:adjustRightInd w:val="0"/>
        <w:snapToGrid w:val="0"/>
        <w:spacing w:line="360" w:lineRule="auto"/>
        <w:ind w:firstLine="480"/>
        <w:jc w:val="left"/>
        <w:rPr>
          <w:rFonts w:hint="eastAsia" w:ascii="仿宋" w:hAnsi="仿宋" w:eastAsia="仿宋" w:cs="仿宋"/>
          <w:szCs w:val="21"/>
          <w:highlight w:val="none"/>
        </w:rPr>
      </w:pPr>
      <w:r>
        <w:rPr>
          <w:rFonts w:hint="eastAsia" w:ascii="仿宋" w:hAnsi="仿宋" w:eastAsia="仿宋" w:cs="仿宋"/>
          <w:szCs w:val="21"/>
          <w:highlight w:val="none"/>
        </w:rPr>
        <w:t>为避免因二次报价环节引发质疑和投诉，请每位供应商都能充分了解报价要求，并按时完成报价提交。</w:t>
      </w:r>
    </w:p>
    <w:p w14:paraId="4903D68E">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lang w:val="en-US" w:eastAsia="zh-CN"/>
        </w:rPr>
        <w:t>5</w:t>
      </w:r>
      <w:r>
        <w:rPr>
          <w:rFonts w:hint="eastAsia" w:ascii="仿宋" w:hAnsi="仿宋" w:eastAsia="仿宋" w:cs="仿宋"/>
          <w:szCs w:val="21"/>
          <w:highlight w:val="none"/>
        </w:rPr>
        <w:t>.供应商在电子评审活动中因供应商原因出现以下情形的，应按如下规定进行处理：</w:t>
      </w:r>
    </w:p>
    <w:p w14:paraId="2D139EC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（1）因供应商原因造成响应文件未解密的；</w:t>
      </w:r>
    </w:p>
    <w:p w14:paraId="1F639F26">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（2）因供应商自用设备原因造成的未在规定时间内解密、上传文件或投标（响应）报价等问题影响电子评审的；</w:t>
      </w:r>
    </w:p>
    <w:p w14:paraId="5A1A32E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（3）因供应商原因未对文件校验造成信息缺失、文件内容或格式不正确以及备份文件不符合要求等问题影响评审的。</w:t>
      </w:r>
    </w:p>
    <w:p w14:paraId="7BDAA37F">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出现前款（1）（2）情形的，视为放弃投标（响应）；出现前款（3）情形的，由供应商自行承担相应责任。</w:t>
      </w:r>
    </w:p>
    <w:p w14:paraId="4D252385">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lang w:val="en-US" w:eastAsia="zh-CN"/>
        </w:rPr>
        <w:t>6</w:t>
      </w:r>
      <w:r>
        <w:rPr>
          <w:rFonts w:hint="eastAsia" w:ascii="仿宋" w:hAnsi="仿宋" w:eastAsia="仿宋" w:cs="仿宋"/>
          <w:szCs w:val="21"/>
          <w:highlight w:val="none"/>
        </w:rPr>
        <w:t>.评审过程中非供应商原因造成的电子投标（响应）文件无法解密或电子评标（评审）无法正常进行的，经平台运维服务机构鉴定，上报本级财政部门批准后，分类进行处理。其中：</w:t>
      </w:r>
    </w:p>
    <w:p w14:paraId="07F4B425">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（1）接受投标（响应）文件截止时间前出现上述情形影响供应商上传投标（响应）文件但不影响采购活动公平公正的，可使用备份文件进行评审；</w:t>
      </w:r>
    </w:p>
    <w:p w14:paraId="03C7E64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（2）接受投标（响应）文件截止时间后出现上述情形但短时间可以消除的，应当延长评审时间，短时间内无法消除的，可使用备份文件进行评审；</w:t>
      </w:r>
    </w:p>
    <w:p w14:paraId="16675847">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（3）出现影响或可能影响采购活动公平公正的，应当重新开展采购活动。</w:t>
      </w:r>
    </w:p>
    <w:p w14:paraId="01FF88D9">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lang w:val="en-US" w:eastAsia="zh-CN"/>
        </w:rPr>
        <w:t>7</w:t>
      </w:r>
      <w:r>
        <w:rPr>
          <w:rFonts w:hint="eastAsia" w:ascii="仿宋" w:hAnsi="仿宋" w:eastAsia="仿宋" w:cs="仿宋"/>
          <w:szCs w:val="21"/>
          <w:highlight w:val="none"/>
        </w:rPr>
        <w:t>.开标会议采用网络直播的方式，供应商无需到达开标现场，对于未参加网络直播开标的供应商视为默认认同开标会议的程序，相关供应商不得事后对开标会议的程序提出任何异议。网络直播开标会议时间同递交响应文件截止时间，供应商需自行下载“腾讯会议”APP，会议号：</w:t>
      </w:r>
      <w:r>
        <w:rPr>
          <w:rFonts w:hint="eastAsia" w:ascii="仿宋" w:hAnsi="仿宋" w:eastAsia="仿宋" w:cs="仿宋"/>
          <w:szCs w:val="21"/>
          <w:highlight w:val="none"/>
          <w:lang w:val="en-US" w:eastAsia="zh-CN"/>
        </w:rPr>
        <w:t>795 465 098</w:t>
      </w:r>
      <w:r>
        <w:rPr>
          <w:rFonts w:hint="eastAsia" w:ascii="仿宋" w:hAnsi="仿宋" w:eastAsia="仿宋" w:cs="仿宋"/>
          <w:szCs w:val="21"/>
          <w:highlight w:val="none"/>
        </w:rPr>
        <w:t>。供应商授权代表或法定代表人应于投标截止时间前进入会议室，并将“个人名称”改为单位简称+姓名（授权代表或法定代表人应在单位简称后加上“授权代表或法定代表人”字样），以方便交流。开标会议过程中需要供应商签字确认的相关表格采用现场语音确认的方式，代理机构将如实记录相关内容，并存档相关视频资料，不再要求供应商在纸质表格上签字确认。开标会议过程中请各供应商授权代表保持通讯方式的畅通，若因供应商自身原因导致无法取得联系的，视为供应商认可相关内容。</w:t>
      </w:r>
    </w:p>
    <w:p w14:paraId="206395F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lang w:val="en-US" w:eastAsia="zh-CN"/>
        </w:rPr>
        <w:t>8</w:t>
      </w:r>
      <w:r>
        <w:rPr>
          <w:rFonts w:hint="eastAsia" w:ascii="仿宋" w:hAnsi="仿宋" w:eastAsia="仿宋" w:cs="仿宋"/>
          <w:szCs w:val="21"/>
          <w:highlight w:val="none"/>
        </w:rPr>
        <w:t>.本项目需要提供演示，供应商须提供技术规格偏离表中所涉及设备的系统功能演示视频，视频能够清晰演示系统的功能，视频合计不超过15分钟，视频文件须采用通用可播放格式（推荐MP4、AVI格式），分辨率不低于1920×1080，画面清晰、声音清楚，无杂音、无卡顿，确保评审委员会可正常播放（视频需存储在U盘内, U盘上标签写明项目名称、投标人等信息，U盘留存不予退回）。U盘中仅可存储本次项目的演示视频文件，不得包含无关文件、病毒文件及可执行程序，若出现文件无法播放或存在安全风险的，视为U盘内容无效。视频U盘仅接受快递，快递单上须注明：项目名称、项目编号、所投包号、法定代表授权人</w:t>
      </w:r>
      <w:r>
        <w:rPr>
          <w:rFonts w:hint="eastAsia" w:ascii="仿宋" w:hAnsi="仿宋" w:eastAsia="仿宋" w:cs="仿宋"/>
          <w:kern w:val="0"/>
          <w:szCs w:val="21"/>
          <w:highlight w:val="none"/>
        </w:rPr>
        <w:t>姓名及手机号，</w:t>
      </w:r>
      <w:r>
        <w:rPr>
          <w:rFonts w:hint="eastAsia" w:ascii="仿宋" w:hAnsi="仿宋" w:eastAsia="仿宋" w:cs="仿宋"/>
          <w:szCs w:val="21"/>
          <w:highlight w:val="none"/>
        </w:rPr>
        <w:t>保证填写信息完全</w:t>
      </w:r>
      <w:r>
        <w:rPr>
          <w:rFonts w:hint="eastAsia" w:ascii="仿宋" w:hAnsi="仿宋" w:eastAsia="仿宋" w:cs="仿宋"/>
          <w:kern w:val="0"/>
          <w:szCs w:val="21"/>
          <w:highlight w:val="none"/>
        </w:rPr>
        <w:t>。</w:t>
      </w:r>
      <w:r>
        <w:rPr>
          <w:rFonts w:hint="eastAsia" w:ascii="仿宋" w:hAnsi="仿宋" w:eastAsia="仿宋" w:cs="仿宋"/>
          <w:szCs w:val="21"/>
          <w:highlight w:val="none"/>
        </w:rPr>
        <w:t xml:space="preserve">收件地址：鞍山市公共资源交易中心219房间（辽宁省鞍山市铁西区人民路269-271号） 收件人：孟晓龙（须本人签收） 联系电话：0412-5555682 手机：13604227393 备注：8:30至16:30（工作日）收件。 </w:t>
      </w:r>
    </w:p>
    <w:p w14:paraId="544EEADF">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 </w:t>
      </w:r>
      <w:r>
        <w:rPr>
          <w:rFonts w:hint="eastAsia" w:ascii="仿宋" w:hAnsi="仿宋" w:eastAsia="仿宋" w:cs="仿宋"/>
          <w:szCs w:val="21"/>
          <w:highlight w:val="none"/>
          <w:lang w:val="en-US" w:eastAsia="zh-CN"/>
        </w:rPr>
        <w:t>9</w:t>
      </w:r>
      <w:r>
        <w:rPr>
          <w:rFonts w:hint="eastAsia" w:ascii="仿宋" w:hAnsi="仿宋" w:eastAsia="仿宋" w:cs="仿宋"/>
          <w:szCs w:val="21"/>
          <w:highlight w:val="none"/>
        </w:rPr>
        <w:t>.本招标公告以辽宁政府采购网为准。</w:t>
      </w:r>
    </w:p>
    <w:p w14:paraId="743C21AC">
      <w:pPr>
        <w:tabs>
          <w:tab w:val="left" w:pos="5188"/>
        </w:tabs>
        <w:adjustRightInd w:val="0"/>
        <w:snapToGrid w:val="0"/>
        <w:spacing w:line="360" w:lineRule="auto"/>
        <w:rPr>
          <w:rFonts w:hint="eastAsia" w:ascii="仿宋" w:hAnsi="仿宋" w:eastAsia="仿宋" w:cs="仿宋"/>
          <w:szCs w:val="21"/>
          <w:highlight w:val="none"/>
        </w:rPr>
      </w:pPr>
      <w:bookmarkStart w:id="31" w:name="_Toc28359095"/>
      <w:bookmarkStart w:id="32" w:name="_Toc35393636"/>
      <w:bookmarkStart w:id="33" w:name="_Toc35393805"/>
      <w:bookmarkStart w:id="34" w:name="_Toc28359018"/>
      <w:r>
        <w:rPr>
          <w:rFonts w:hint="eastAsia" w:ascii="仿宋" w:hAnsi="仿宋" w:eastAsia="仿宋" w:cs="仿宋"/>
          <w:szCs w:val="21"/>
          <w:highlight w:val="none"/>
        </w:rPr>
        <w:t>十、凡对本次采购提出询问，请按以下方式联系。</w:t>
      </w:r>
      <w:bookmarkEnd w:id="31"/>
      <w:bookmarkEnd w:id="32"/>
      <w:bookmarkEnd w:id="33"/>
      <w:bookmarkEnd w:id="34"/>
      <w:r>
        <w:rPr>
          <w:rFonts w:hint="eastAsia" w:ascii="仿宋" w:hAnsi="仿宋" w:eastAsia="仿宋" w:cs="仿宋"/>
          <w:szCs w:val="21"/>
          <w:highlight w:val="none"/>
        </w:rPr>
        <w:tab/>
      </w:r>
    </w:p>
    <w:p w14:paraId="41E4B6CD">
      <w:pPr>
        <w:adjustRightInd w:val="0"/>
        <w:snapToGrid w:val="0"/>
        <w:spacing w:line="360" w:lineRule="auto"/>
        <w:ind w:left="495" w:firstLine="210" w:firstLineChars="100"/>
        <w:rPr>
          <w:rFonts w:hint="eastAsia" w:ascii="仿宋" w:hAnsi="仿宋" w:eastAsia="仿宋" w:cs="仿宋"/>
          <w:szCs w:val="21"/>
          <w:highlight w:val="none"/>
        </w:rPr>
      </w:pPr>
      <w:r>
        <w:rPr>
          <w:rFonts w:hint="eastAsia" w:ascii="仿宋" w:hAnsi="仿宋" w:eastAsia="仿宋" w:cs="仿宋"/>
          <w:szCs w:val="21"/>
          <w:highlight w:val="none"/>
        </w:rPr>
        <w:t>1.采购人信息</w:t>
      </w:r>
    </w:p>
    <w:p w14:paraId="7E459EED">
      <w:pPr>
        <w:widowControl/>
        <w:adjustRightInd w:val="0"/>
        <w:snapToGrid w:val="0"/>
        <w:spacing w:line="360" w:lineRule="auto"/>
        <w:ind w:firstLine="613" w:firstLineChars="292"/>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名称：</w:t>
      </w:r>
      <w:r>
        <w:rPr>
          <w:rFonts w:hint="eastAsia" w:ascii="仿宋" w:hAnsi="仿宋" w:eastAsia="仿宋" w:cs="仿宋"/>
          <w:szCs w:val="21"/>
          <w:highlight w:val="none"/>
        </w:rPr>
        <w:t>鞍山市铁西区财政局</w:t>
      </w:r>
    </w:p>
    <w:p w14:paraId="4FEEDCBD">
      <w:pPr>
        <w:widowControl/>
        <w:adjustRightInd w:val="0"/>
        <w:snapToGrid w:val="0"/>
        <w:spacing w:line="360" w:lineRule="auto"/>
        <w:ind w:firstLine="613" w:firstLineChars="292"/>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地址：</w:t>
      </w:r>
      <w:r>
        <w:rPr>
          <w:rFonts w:hint="eastAsia" w:ascii="仿宋" w:hAnsi="仿宋" w:eastAsia="仿宋" w:cs="仿宋"/>
          <w:szCs w:val="21"/>
          <w:highlight w:val="none"/>
        </w:rPr>
        <w:t>鞍山市铁西区共和街64栋</w:t>
      </w:r>
    </w:p>
    <w:p w14:paraId="19971534">
      <w:pPr>
        <w:widowControl/>
        <w:adjustRightInd w:val="0"/>
        <w:snapToGrid w:val="0"/>
        <w:spacing w:line="360" w:lineRule="auto"/>
        <w:ind w:firstLine="613" w:firstLineChars="292"/>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联系方式：</w:t>
      </w:r>
      <w:r>
        <w:rPr>
          <w:rFonts w:hint="eastAsia" w:ascii="仿宋" w:hAnsi="仿宋" w:eastAsia="仿宋" w:cs="仿宋"/>
          <w:szCs w:val="21"/>
          <w:highlight w:val="none"/>
        </w:rPr>
        <w:t xml:space="preserve">8853515 </w:t>
      </w:r>
    </w:p>
    <w:p w14:paraId="54153DDC">
      <w:pPr>
        <w:adjustRightInd w:val="0"/>
        <w:snapToGrid w:val="0"/>
        <w:spacing w:line="360" w:lineRule="auto"/>
        <w:ind w:left="495" w:firstLine="210" w:firstLineChars="100"/>
        <w:rPr>
          <w:rFonts w:hint="eastAsia" w:ascii="仿宋" w:hAnsi="仿宋" w:eastAsia="仿宋" w:cs="仿宋"/>
          <w:szCs w:val="21"/>
          <w:highlight w:val="none"/>
        </w:rPr>
      </w:pPr>
      <w:r>
        <w:rPr>
          <w:rFonts w:hint="eastAsia" w:ascii="仿宋" w:hAnsi="仿宋" w:eastAsia="仿宋" w:cs="仿宋"/>
          <w:szCs w:val="21"/>
          <w:highlight w:val="none"/>
        </w:rPr>
        <w:t>2.采购代理机构信息</w:t>
      </w:r>
    </w:p>
    <w:p w14:paraId="4DF3162F">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 xml:space="preserve">名称： </w:t>
      </w:r>
      <w:r>
        <w:rPr>
          <w:rFonts w:hint="eastAsia" w:ascii="仿宋" w:hAnsi="仿宋" w:eastAsia="仿宋" w:cs="仿宋"/>
          <w:kern w:val="0"/>
          <w:szCs w:val="21"/>
          <w:highlight w:val="none"/>
        </w:rPr>
        <w:t>辽宁北方招标有限公司</w:t>
      </w:r>
    </w:p>
    <w:p w14:paraId="01A6ED2F">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 xml:space="preserve">地址： </w:t>
      </w:r>
      <w:r>
        <w:rPr>
          <w:rFonts w:hint="eastAsia" w:ascii="仿宋" w:hAnsi="仿宋" w:eastAsia="仿宋" w:cs="仿宋"/>
          <w:kern w:val="0"/>
          <w:szCs w:val="21"/>
          <w:highlight w:val="none"/>
        </w:rPr>
        <w:t>沈阳市和平区三好街136号，新世界丰盛商务大厦20楼2008、2009室</w:t>
      </w:r>
    </w:p>
    <w:p w14:paraId="7BE5CAF5">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联系方式：</w:t>
      </w:r>
      <w:r>
        <w:rPr>
          <w:rFonts w:hint="eastAsia" w:ascii="仿宋" w:hAnsi="仿宋" w:eastAsia="仿宋" w:cs="仿宋"/>
          <w:kern w:val="0"/>
          <w:szCs w:val="21"/>
          <w:highlight w:val="none"/>
        </w:rPr>
        <w:t>024-23180166-8003</w:t>
      </w:r>
    </w:p>
    <w:p w14:paraId="39A823A0">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邮箱地址：lnbfzbyxgs@163.com</w:t>
      </w:r>
    </w:p>
    <w:p w14:paraId="026B717E">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 xml:space="preserve">开户行： </w:t>
      </w:r>
      <w:r>
        <w:rPr>
          <w:rFonts w:hint="eastAsia" w:ascii="仿宋" w:hAnsi="仿宋" w:eastAsia="仿宋" w:cs="仿宋"/>
          <w:kern w:val="0"/>
          <w:szCs w:val="21"/>
          <w:highlight w:val="none"/>
        </w:rPr>
        <w:t>广发银行沈河支行</w:t>
      </w:r>
    </w:p>
    <w:p w14:paraId="6EEDA35F">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账户名称：</w:t>
      </w:r>
      <w:r>
        <w:rPr>
          <w:rFonts w:hint="eastAsia" w:ascii="仿宋" w:hAnsi="仿宋" w:eastAsia="仿宋" w:cs="仿宋"/>
          <w:kern w:val="0"/>
          <w:szCs w:val="21"/>
          <w:highlight w:val="none"/>
        </w:rPr>
        <w:t>辽宁北方招标有限公司</w:t>
      </w:r>
    </w:p>
    <w:p w14:paraId="2DA160FC">
      <w:pPr>
        <w:adjustRightInd w:val="0"/>
        <w:snapToGrid w:val="0"/>
        <w:spacing w:line="360" w:lineRule="auto"/>
        <w:ind w:firstLine="630" w:firstLineChars="300"/>
        <w:rPr>
          <w:rFonts w:hint="eastAsia" w:ascii="仿宋" w:hAnsi="仿宋" w:eastAsia="仿宋" w:cs="仿宋"/>
          <w:bCs/>
          <w:szCs w:val="21"/>
          <w:highlight w:val="none"/>
        </w:rPr>
      </w:pPr>
      <w:r>
        <w:rPr>
          <w:rFonts w:hint="eastAsia" w:ascii="仿宋" w:hAnsi="仿宋" w:eastAsia="仿宋" w:cs="仿宋"/>
          <w:bCs/>
          <w:szCs w:val="21"/>
          <w:highlight w:val="none"/>
        </w:rPr>
        <w:t>账号：</w:t>
      </w:r>
      <w:r>
        <w:rPr>
          <w:rFonts w:hint="eastAsia" w:ascii="仿宋" w:hAnsi="仿宋" w:eastAsia="仿宋" w:cs="仿宋"/>
          <w:kern w:val="0"/>
          <w:szCs w:val="21"/>
          <w:highlight w:val="none"/>
        </w:rPr>
        <w:t>9550880222173100117</w:t>
      </w:r>
    </w:p>
    <w:p w14:paraId="23127C7D">
      <w:pPr>
        <w:adjustRightInd w:val="0"/>
        <w:snapToGrid w:val="0"/>
        <w:spacing w:line="360" w:lineRule="auto"/>
        <w:ind w:left="495" w:firstLine="210" w:firstLineChars="100"/>
        <w:rPr>
          <w:rFonts w:hint="eastAsia" w:ascii="仿宋" w:hAnsi="仿宋" w:eastAsia="仿宋" w:cs="仿宋"/>
          <w:szCs w:val="21"/>
          <w:highlight w:val="none"/>
        </w:rPr>
      </w:pPr>
      <w:r>
        <w:rPr>
          <w:rFonts w:hint="eastAsia" w:ascii="仿宋" w:hAnsi="仿宋" w:eastAsia="仿宋" w:cs="仿宋"/>
          <w:szCs w:val="21"/>
          <w:highlight w:val="none"/>
        </w:rPr>
        <w:t>3.项目联系方式</w:t>
      </w:r>
    </w:p>
    <w:p w14:paraId="173E9231">
      <w:pPr>
        <w:adjustRightInd w:val="0"/>
        <w:snapToGrid w:val="0"/>
        <w:spacing w:line="360" w:lineRule="auto"/>
        <w:ind w:left="495" w:firstLine="210" w:firstLineChars="100"/>
        <w:rPr>
          <w:rFonts w:hint="eastAsia" w:ascii="仿宋" w:hAnsi="仿宋" w:eastAsia="仿宋" w:cs="仿宋"/>
          <w:szCs w:val="21"/>
          <w:highlight w:val="none"/>
        </w:rPr>
      </w:pPr>
      <w:r>
        <w:rPr>
          <w:rFonts w:hint="eastAsia" w:ascii="仿宋" w:hAnsi="仿宋" w:eastAsia="仿宋" w:cs="仿宋"/>
          <w:szCs w:val="21"/>
          <w:highlight w:val="none"/>
        </w:rPr>
        <w:t>项目联系</w:t>
      </w:r>
      <w:r>
        <w:rPr>
          <w:rFonts w:hint="eastAsia" w:ascii="仿宋" w:hAnsi="仿宋" w:eastAsia="仿宋" w:cs="仿宋"/>
          <w:kern w:val="0"/>
          <w:szCs w:val="21"/>
          <w:highlight w:val="none"/>
        </w:rPr>
        <w:t>人：张恒伟、鲁晓荻、刘丽军、王玉伟、王健、彭雪</w:t>
      </w:r>
    </w:p>
    <w:p w14:paraId="567B1FEA">
      <w:pPr>
        <w:adjustRightInd w:val="0"/>
        <w:snapToGrid w:val="0"/>
        <w:spacing w:line="360" w:lineRule="auto"/>
        <w:ind w:left="495" w:firstLine="210" w:firstLineChars="100"/>
        <w:rPr>
          <w:rFonts w:hint="eastAsia" w:ascii="仿宋" w:hAnsi="仿宋" w:eastAsia="仿宋" w:cs="仿宋"/>
          <w:szCs w:val="21"/>
          <w:highlight w:val="none"/>
        </w:rPr>
      </w:pPr>
      <w:r>
        <w:rPr>
          <w:rFonts w:hint="eastAsia" w:ascii="仿宋" w:hAnsi="仿宋" w:eastAsia="仿宋" w:cs="仿宋"/>
          <w:szCs w:val="21"/>
          <w:highlight w:val="none"/>
        </w:rPr>
        <w:t>电　话：</w:t>
      </w:r>
      <w:r>
        <w:rPr>
          <w:rFonts w:hint="eastAsia" w:ascii="仿宋" w:hAnsi="仿宋" w:eastAsia="仿宋" w:cs="仿宋"/>
          <w:bCs/>
          <w:szCs w:val="21"/>
          <w:highlight w:val="none"/>
        </w:rPr>
        <w:t>024-23180166</w:t>
      </w:r>
      <w:r>
        <w:rPr>
          <w:rFonts w:hint="eastAsia" w:ascii="仿宋" w:hAnsi="仿宋" w:eastAsia="仿宋" w:cs="仿宋"/>
          <w:kern w:val="0"/>
          <w:szCs w:val="21"/>
          <w:highlight w:val="none"/>
        </w:rPr>
        <w:t>-8003</w:t>
      </w:r>
    </w:p>
    <w:p w14:paraId="4C84441A">
      <w:pPr>
        <w:pStyle w:val="2"/>
        <w:keepNext w:val="0"/>
        <w:pageBreakBefore/>
        <w:adjustRightInd w:val="0"/>
        <w:snapToGrid w:val="0"/>
        <w:spacing w:before="319" w:beforeLines="100" w:after="319" w:afterLines="100" w:line="360" w:lineRule="auto"/>
        <w:jc w:val="center"/>
        <w:rPr>
          <w:rFonts w:hint="eastAsia" w:ascii="仿宋" w:hAnsi="仿宋" w:eastAsia="仿宋" w:cs="仿宋"/>
          <w:highlight w:val="none"/>
        </w:rPr>
      </w:pPr>
      <w:bookmarkStart w:id="35" w:name="_Toc10061"/>
      <w:r>
        <w:rPr>
          <w:rFonts w:hint="eastAsia" w:ascii="仿宋" w:hAnsi="仿宋" w:eastAsia="仿宋" w:cs="仿宋"/>
          <w:highlight w:val="none"/>
        </w:rPr>
        <w:t>第一章 供应商须知</w:t>
      </w:r>
      <w:bookmarkEnd w:id="4"/>
      <w:bookmarkEnd w:id="35"/>
    </w:p>
    <w:p w14:paraId="09356919">
      <w:pPr>
        <w:pStyle w:val="3"/>
        <w:adjustRightInd w:val="0"/>
        <w:snapToGrid w:val="0"/>
        <w:spacing w:before="0" w:after="0" w:line="360" w:lineRule="auto"/>
        <w:jc w:val="center"/>
        <w:rPr>
          <w:rFonts w:hint="eastAsia" w:ascii="仿宋" w:hAnsi="仿宋" w:eastAsia="仿宋" w:cs="仿宋"/>
          <w:highlight w:val="none"/>
        </w:rPr>
      </w:pPr>
      <w:bookmarkStart w:id="36" w:name="_Toc533340139"/>
      <w:bookmarkStart w:id="37" w:name="_Toc4485618"/>
      <w:r>
        <w:rPr>
          <w:rFonts w:hint="eastAsia" w:ascii="仿宋" w:hAnsi="仿宋" w:eastAsia="仿宋" w:cs="仿宋"/>
          <w:highlight w:val="none"/>
        </w:rPr>
        <w:t>一 供应商须知表</w:t>
      </w:r>
      <w:bookmarkEnd w:id="36"/>
      <w:bookmarkEnd w:id="37"/>
    </w:p>
    <w:tbl>
      <w:tblPr>
        <w:tblStyle w:val="20"/>
        <w:tblW w:w="9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2111"/>
        <w:gridCol w:w="5995"/>
      </w:tblGrid>
      <w:tr w14:paraId="06876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blHeader/>
          <w:jc w:val="center"/>
        </w:trPr>
        <w:tc>
          <w:tcPr>
            <w:tcW w:w="1087" w:type="dxa"/>
            <w:vAlign w:val="center"/>
          </w:tcPr>
          <w:p w14:paraId="610D9AC7">
            <w:pPr>
              <w:widowControl/>
              <w:jc w:val="center"/>
              <w:rPr>
                <w:rFonts w:hint="eastAsia" w:ascii="仿宋" w:hAnsi="仿宋" w:eastAsia="仿宋" w:cs="仿宋"/>
                <w:kern w:val="0"/>
                <w:szCs w:val="21"/>
                <w:highlight w:val="none"/>
              </w:rPr>
            </w:pPr>
            <w:bookmarkStart w:id="38" w:name="招标项目基本内容及要求其他：Block"/>
            <w:bookmarkEnd w:id="38"/>
            <w:bookmarkStart w:id="39" w:name="招标项目基本内容及要求：Block"/>
            <w:bookmarkEnd w:id="39"/>
            <w:bookmarkStart w:id="40" w:name="sys_招标项目基本内容及要求其他：Block"/>
            <w:bookmarkEnd w:id="40"/>
            <w:bookmarkStart w:id="41" w:name="sys_招标项目基本内容及要求：Block"/>
            <w:bookmarkEnd w:id="41"/>
            <w:r>
              <w:rPr>
                <w:rFonts w:hint="eastAsia" w:ascii="仿宋" w:hAnsi="仿宋" w:eastAsia="仿宋" w:cs="仿宋"/>
                <w:kern w:val="0"/>
                <w:szCs w:val="21"/>
                <w:highlight w:val="none"/>
              </w:rPr>
              <w:t>条款号</w:t>
            </w:r>
          </w:p>
        </w:tc>
        <w:tc>
          <w:tcPr>
            <w:tcW w:w="2111" w:type="dxa"/>
            <w:vAlign w:val="center"/>
          </w:tcPr>
          <w:p w14:paraId="61F7B50F">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   目</w:t>
            </w:r>
          </w:p>
        </w:tc>
        <w:tc>
          <w:tcPr>
            <w:tcW w:w="5995" w:type="dxa"/>
            <w:vAlign w:val="center"/>
          </w:tcPr>
          <w:p w14:paraId="76E9E872">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内     容</w:t>
            </w:r>
          </w:p>
        </w:tc>
      </w:tr>
      <w:tr w14:paraId="58AFE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1087" w:type="dxa"/>
            <w:vAlign w:val="center"/>
          </w:tcPr>
          <w:p w14:paraId="12CBC064">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1.1</w:t>
            </w:r>
          </w:p>
        </w:tc>
        <w:tc>
          <w:tcPr>
            <w:tcW w:w="2111" w:type="dxa"/>
            <w:vAlign w:val="center"/>
          </w:tcPr>
          <w:p w14:paraId="2DA0653E">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采购人</w:t>
            </w:r>
          </w:p>
        </w:tc>
        <w:tc>
          <w:tcPr>
            <w:tcW w:w="5995" w:type="dxa"/>
            <w:vAlign w:val="center"/>
          </w:tcPr>
          <w:p w14:paraId="7D58B5BD">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名称：鞍山市铁西区财政局</w:t>
            </w:r>
          </w:p>
          <w:p w14:paraId="4F411908">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地址：鞍山市铁西区共和街64栋</w:t>
            </w:r>
          </w:p>
          <w:p w14:paraId="0F6A2E09">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联系人：王露露</w:t>
            </w:r>
          </w:p>
          <w:p w14:paraId="7774D8D9">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电  话：8853515</w:t>
            </w:r>
          </w:p>
        </w:tc>
      </w:tr>
      <w:tr w14:paraId="76530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7" w:type="dxa"/>
            <w:vAlign w:val="center"/>
          </w:tcPr>
          <w:p w14:paraId="6EED7DA8">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1.2</w:t>
            </w:r>
          </w:p>
        </w:tc>
        <w:tc>
          <w:tcPr>
            <w:tcW w:w="2111" w:type="dxa"/>
            <w:vAlign w:val="center"/>
          </w:tcPr>
          <w:p w14:paraId="27FA8D05">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采购代理机构</w:t>
            </w:r>
          </w:p>
        </w:tc>
        <w:tc>
          <w:tcPr>
            <w:tcW w:w="5995" w:type="dxa"/>
            <w:vAlign w:val="center"/>
          </w:tcPr>
          <w:p w14:paraId="5200BD60">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名  称： 辽宁北方招标有限公司  </w:t>
            </w:r>
          </w:p>
          <w:p w14:paraId="016DED70">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地  址： 沈阳市和平区三好街136号，新世界丰盛商务大厦20楼2008、2009室 </w:t>
            </w:r>
          </w:p>
          <w:p w14:paraId="713A81D4">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联系人： 张恒伟、鲁晓荻、刘丽军、王玉伟、王健、彭雪</w:t>
            </w:r>
          </w:p>
          <w:p w14:paraId="6C939F4B">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电  话： 024-23180166-8003</w:t>
            </w:r>
          </w:p>
        </w:tc>
      </w:tr>
      <w:tr w14:paraId="2DFA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7" w:type="dxa"/>
            <w:vAlign w:val="center"/>
          </w:tcPr>
          <w:p w14:paraId="694ACD43">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1.3.4</w:t>
            </w:r>
          </w:p>
        </w:tc>
        <w:tc>
          <w:tcPr>
            <w:tcW w:w="2111" w:type="dxa"/>
            <w:vAlign w:val="center"/>
          </w:tcPr>
          <w:p w14:paraId="75B181E4">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合格供应商还要满足的其它资格条件</w:t>
            </w:r>
          </w:p>
        </w:tc>
        <w:tc>
          <w:tcPr>
            <w:tcW w:w="5995" w:type="dxa"/>
            <w:vAlign w:val="center"/>
          </w:tcPr>
          <w:p w14:paraId="35D10004">
            <w:pPr>
              <w:widowControl/>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无</w:t>
            </w:r>
          </w:p>
        </w:tc>
      </w:tr>
      <w:tr w14:paraId="354F5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7" w:type="dxa"/>
            <w:vAlign w:val="center"/>
          </w:tcPr>
          <w:p w14:paraId="786B80DA">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1.3.5</w:t>
            </w:r>
          </w:p>
        </w:tc>
        <w:tc>
          <w:tcPr>
            <w:tcW w:w="2111" w:type="dxa"/>
            <w:vAlign w:val="center"/>
          </w:tcPr>
          <w:p w14:paraId="4F3B1E0F">
            <w:pPr>
              <w:tabs>
                <w:tab w:val="left" w:pos="1425"/>
              </w:tabs>
              <w:jc w:val="center"/>
              <w:rPr>
                <w:rFonts w:hint="eastAsia" w:ascii="仿宋" w:hAnsi="仿宋" w:eastAsia="仿宋" w:cs="仿宋"/>
                <w:bCs/>
                <w:kern w:val="0"/>
                <w:szCs w:val="21"/>
                <w:highlight w:val="none"/>
              </w:rPr>
            </w:pPr>
            <w:r>
              <w:rPr>
                <w:rFonts w:hint="eastAsia" w:ascii="仿宋" w:hAnsi="仿宋" w:eastAsia="仿宋" w:cs="仿宋"/>
                <w:kern w:val="0"/>
                <w:szCs w:val="21"/>
                <w:highlight w:val="none"/>
              </w:rPr>
              <w:t>是否为专门面向</w:t>
            </w:r>
            <w:r>
              <w:rPr>
                <w:rFonts w:hint="eastAsia" w:ascii="仿宋" w:hAnsi="仿宋" w:eastAsia="仿宋" w:cs="仿宋"/>
                <w:szCs w:val="21"/>
                <w:highlight w:val="none"/>
              </w:rPr>
              <w:t>中小企业</w:t>
            </w:r>
            <w:r>
              <w:rPr>
                <w:rFonts w:hint="eastAsia" w:ascii="仿宋" w:hAnsi="仿宋" w:eastAsia="仿宋" w:cs="仿宋"/>
                <w:kern w:val="0"/>
                <w:szCs w:val="21"/>
                <w:highlight w:val="none"/>
              </w:rPr>
              <w:t>采购</w:t>
            </w:r>
          </w:p>
        </w:tc>
        <w:tc>
          <w:tcPr>
            <w:tcW w:w="5995" w:type="dxa"/>
            <w:vAlign w:val="center"/>
          </w:tcPr>
          <w:p w14:paraId="29FD10D3">
            <w:pPr>
              <w:rPr>
                <w:rFonts w:hint="eastAsia" w:ascii="仿宋" w:hAnsi="仿宋" w:eastAsia="仿宋" w:cs="仿宋"/>
                <w:b/>
                <w:bCs/>
                <w:kern w:val="0"/>
                <w:szCs w:val="21"/>
                <w:highlight w:val="none"/>
              </w:rPr>
            </w:pPr>
            <w:r>
              <w:rPr>
                <w:rFonts w:hint="eastAsia" w:ascii="仿宋" w:hAnsi="仿宋" w:eastAsia="仿宋" w:cs="仿宋"/>
                <w:kern w:val="0"/>
                <w:szCs w:val="21"/>
                <w:highlight w:val="none"/>
              </w:rPr>
              <w:t>是</w:t>
            </w:r>
          </w:p>
          <w:p w14:paraId="6C7B2D4A">
            <w:pPr>
              <w:rPr>
                <w:rFonts w:hint="eastAsia" w:ascii="仿宋" w:hAnsi="仿宋" w:eastAsia="仿宋" w:cs="仿宋"/>
                <w:kern w:val="0"/>
                <w:szCs w:val="21"/>
                <w:highlight w:val="none"/>
                <w:lang w:val="zh-CN"/>
              </w:rPr>
            </w:pPr>
            <w:r>
              <w:rPr>
                <w:rFonts w:hint="eastAsia" w:ascii="仿宋" w:hAnsi="仿宋" w:eastAsia="仿宋" w:cs="仿宋"/>
                <w:kern w:val="0"/>
                <w:szCs w:val="21"/>
                <w:highlight w:val="none"/>
              </w:rPr>
              <w:t>采购标的对应的中小企业划分标准所属行业：</w:t>
            </w:r>
            <w:r>
              <w:rPr>
                <w:rFonts w:hint="eastAsia" w:ascii="仿宋" w:hAnsi="仿宋" w:eastAsia="仿宋" w:cs="仿宋"/>
                <w:kern w:val="0"/>
                <w:szCs w:val="21"/>
                <w:highlight w:val="none"/>
                <w:lang w:val="zh-CN"/>
              </w:rPr>
              <w:t>其他未列明行业</w:t>
            </w:r>
          </w:p>
          <w:p w14:paraId="4C856A64">
            <w:pPr>
              <w:rPr>
                <w:rFonts w:hint="eastAsia" w:ascii="仿宋" w:hAnsi="仿宋" w:eastAsia="仿宋" w:cs="仿宋"/>
                <w:kern w:val="0"/>
                <w:szCs w:val="21"/>
                <w:highlight w:val="none"/>
              </w:rPr>
            </w:pPr>
            <w:r>
              <w:rPr>
                <w:rFonts w:hint="eastAsia" w:ascii="仿宋" w:hAnsi="仿宋" w:eastAsia="仿宋" w:cs="仿宋"/>
                <w:kern w:val="0"/>
                <w:szCs w:val="21"/>
                <w:highlight w:val="none"/>
              </w:rPr>
              <w:t>标的名称：建设数智财税信息管控平台项目</w:t>
            </w:r>
          </w:p>
        </w:tc>
      </w:tr>
      <w:tr w14:paraId="006DD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7" w:type="dxa"/>
            <w:vAlign w:val="center"/>
          </w:tcPr>
          <w:p w14:paraId="3FDF3C54">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1.3.6</w:t>
            </w:r>
          </w:p>
        </w:tc>
        <w:tc>
          <w:tcPr>
            <w:tcW w:w="2111" w:type="dxa"/>
            <w:vAlign w:val="center"/>
          </w:tcPr>
          <w:p w14:paraId="721A3682">
            <w:pPr>
              <w:tabs>
                <w:tab w:val="left" w:pos="1425"/>
              </w:tabs>
              <w:jc w:val="center"/>
              <w:rPr>
                <w:rFonts w:hint="eastAsia" w:ascii="仿宋" w:hAnsi="仿宋" w:eastAsia="仿宋" w:cs="仿宋"/>
                <w:kern w:val="0"/>
                <w:szCs w:val="21"/>
                <w:highlight w:val="none"/>
              </w:rPr>
            </w:pPr>
            <w:r>
              <w:rPr>
                <w:rFonts w:hint="eastAsia" w:ascii="仿宋" w:hAnsi="仿宋" w:eastAsia="仿宋" w:cs="仿宋"/>
                <w:szCs w:val="21"/>
                <w:highlight w:val="none"/>
              </w:rPr>
              <w:t>是否有政府强制采购的节能产品</w:t>
            </w:r>
          </w:p>
        </w:tc>
        <w:tc>
          <w:tcPr>
            <w:tcW w:w="5995" w:type="dxa"/>
            <w:vAlign w:val="center"/>
          </w:tcPr>
          <w:p w14:paraId="72AA0AD1">
            <w:pPr>
              <w:rPr>
                <w:rFonts w:hint="eastAsia" w:ascii="仿宋" w:hAnsi="仿宋" w:eastAsia="仿宋" w:cs="仿宋"/>
                <w:kern w:val="0"/>
                <w:szCs w:val="21"/>
                <w:highlight w:val="none"/>
              </w:rPr>
            </w:pPr>
            <w:r>
              <w:rPr>
                <w:rFonts w:hint="eastAsia" w:ascii="仿宋" w:hAnsi="仿宋" w:eastAsia="仿宋" w:cs="仿宋"/>
                <w:kern w:val="0"/>
                <w:szCs w:val="21"/>
                <w:highlight w:val="none"/>
              </w:rPr>
              <w:t>没有</w:t>
            </w:r>
          </w:p>
        </w:tc>
      </w:tr>
      <w:tr w14:paraId="0566D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087" w:type="dxa"/>
            <w:vAlign w:val="center"/>
          </w:tcPr>
          <w:p w14:paraId="119811A4">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1.4</w:t>
            </w:r>
          </w:p>
        </w:tc>
        <w:tc>
          <w:tcPr>
            <w:tcW w:w="2111" w:type="dxa"/>
            <w:vAlign w:val="center"/>
          </w:tcPr>
          <w:p w14:paraId="11E97316">
            <w:pPr>
              <w:tabs>
                <w:tab w:val="left" w:pos="1425"/>
              </w:tabs>
              <w:jc w:val="center"/>
              <w:rPr>
                <w:rFonts w:hint="eastAsia" w:ascii="仿宋" w:hAnsi="仿宋" w:eastAsia="仿宋" w:cs="仿宋"/>
                <w:szCs w:val="21"/>
                <w:highlight w:val="none"/>
              </w:rPr>
            </w:pPr>
            <w:r>
              <w:rPr>
                <w:rFonts w:hint="eastAsia" w:ascii="仿宋" w:hAnsi="仿宋" w:eastAsia="仿宋" w:cs="仿宋"/>
                <w:bCs/>
                <w:kern w:val="0"/>
                <w:szCs w:val="21"/>
                <w:highlight w:val="none"/>
              </w:rPr>
              <w:t>是否允许联合体参加政府采购活动</w:t>
            </w:r>
          </w:p>
        </w:tc>
        <w:tc>
          <w:tcPr>
            <w:tcW w:w="5995" w:type="dxa"/>
            <w:vAlign w:val="center"/>
          </w:tcPr>
          <w:p w14:paraId="43F0BBF1">
            <w:pPr>
              <w:rPr>
                <w:rFonts w:hint="eastAsia" w:ascii="仿宋" w:hAnsi="仿宋" w:eastAsia="仿宋" w:cs="仿宋"/>
                <w:kern w:val="0"/>
                <w:szCs w:val="21"/>
                <w:highlight w:val="none"/>
              </w:rPr>
            </w:pPr>
            <w:r>
              <w:rPr>
                <w:rFonts w:hint="eastAsia" w:ascii="仿宋" w:hAnsi="仿宋" w:eastAsia="仿宋" w:cs="仿宋"/>
                <w:kern w:val="0"/>
                <w:szCs w:val="21"/>
                <w:highlight w:val="none"/>
              </w:rPr>
              <w:t>否</w:t>
            </w:r>
          </w:p>
        </w:tc>
      </w:tr>
      <w:tr w14:paraId="74CDF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7" w:type="dxa"/>
            <w:vAlign w:val="center"/>
          </w:tcPr>
          <w:p w14:paraId="5649DB6A">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1.4.8</w:t>
            </w:r>
          </w:p>
        </w:tc>
        <w:tc>
          <w:tcPr>
            <w:tcW w:w="2111" w:type="dxa"/>
            <w:vAlign w:val="center"/>
          </w:tcPr>
          <w:p w14:paraId="6A736785">
            <w:pPr>
              <w:tabs>
                <w:tab w:val="left" w:pos="1425"/>
              </w:tabs>
              <w:jc w:val="center"/>
              <w:rPr>
                <w:rFonts w:hint="eastAsia" w:ascii="仿宋" w:hAnsi="仿宋" w:eastAsia="仿宋" w:cs="仿宋"/>
                <w:szCs w:val="21"/>
                <w:highlight w:val="none"/>
              </w:rPr>
            </w:pPr>
            <w:r>
              <w:rPr>
                <w:rFonts w:hint="eastAsia" w:ascii="仿宋" w:hAnsi="仿宋" w:eastAsia="仿宋" w:cs="仿宋"/>
                <w:bCs/>
                <w:kern w:val="0"/>
                <w:szCs w:val="21"/>
                <w:highlight w:val="none"/>
              </w:rPr>
              <w:t>联合体的其他资格要求</w:t>
            </w:r>
          </w:p>
        </w:tc>
        <w:tc>
          <w:tcPr>
            <w:tcW w:w="5995" w:type="dxa"/>
            <w:vAlign w:val="center"/>
          </w:tcPr>
          <w:p w14:paraId="68573660">
            <w:pP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无</w:t>
            </w:r>
          </w:p>
        </w:tc>
      </w:tr>
      <w:tr w14:paraId="562BC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087" w:type="dxa"/>
            <w:vAlign w:val="center"/>
          </w:tcPr>
          <w:p w14:paraId="1BBC0895">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2.2</w:t>
            </w:r>
          </w:p>
        </w:tc>
        <w:tc>
          <w:tcPr>
            <w:tcW w:w="2111" w:type="dxa"/>
            <w:vAlign w:val="center"/>
          </w:tcPr>
          <w:p w14:paraId="17A1F41A">
            <w:pPr>
              <w:tabs>
                <w:tab w:val="left" w:pos="1425"/>
              </w:tabs>
              <w:jc w:val="cente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项目预算金额、最高限价</w:t>
            </w:r>
          </w:p>
        </w:tc>
        <w:tc>
          <w:tcPr>
            <w:tcW w:w="5995" w:type="dxa"/>
            <w:vAlign w:val="center"/>
          </w:tcPr>
          <w:p w14:paraId="3B1E5739">
            <w:pPr>
              <w:rPr>
                <w:rFonts w:hint="eastAsia" w:ascii="仿宋" w:hAnsi="仿宋" w:eastAsia="仿宋" w:cs="仿宋"/>
                <w:kern w:val="0"/>
                <w:szCs w:val="21"/>
                <w:highlight w:val="none"/>
              </w:rPr>
            </w:pPr>
            <w:r>
              <w:rPr>
                <w:rFonts w:hint="eastAsia" w:ascii="仿宋" w:hAnsi="仿宋" w:eastAsia="仿宋" w:cs="仿宋"/>
                <w:kern w:val="0"/>
                <w:szCs w:val="21"/>
                <w:highlight w:val="none"/>
              </w:rPr>
              <w:t>预算金额（元）：1,800,000</w:t>
            </w:r>
          </w:p>
          <w:p w14:paraId="1604EE04">
            <w:pPr>
              <w:rPr>
                <w:rFonts w:hint="eastAsia" w:ascii="仿宋" w:hAnsi="仿宋" w:eastAsia="仿宋" w:cs="仿宋"/>
                <w:kern w:val="0"/>
                <w:szCs w:val="21"/>
                <w:highlight w:val="none"/>
              </w:rPr>
            </w:pPr>
            <w:r>
              <w:rPr>
                <w:rFonts w:hint="eastAsia" w:ascii="仿宋" w:hAnsi="仿宋" w:eastAsia="仿宋" w:cs="仿宋"/>
                <w:kern w:val="0"/>
                <w:szCs w:val="21"/>
                <w:highlight w:val="none"/>
              </w:rPr>
              <w:t>最高限价（元）：1,800,000</w:t>
            </w:r>
          </w:p>
        </w:tc>
      </w:tr>
      <w:tr w14:paraId="7B563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7" w:type="dxa"/>
            <w:vAlign w:val="center"/>
          </w:tcPr>
          <w:p w14:paraId="6982C361">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4</w:t>
            </w:r>
          </w:p>
        </w:tc>
        <w:tc>
          <w:tcPr>
            <w:tcW w:w="2111" w:type="dxa"/>
            <w:vAlign w:val="center"/>
          </w:tcPr>
          <w:p w14:paraId="588E49E3">
            <w:pPr>
              <w:tabs>
                <w:tab w:val="left" w:pos="1425"/>
              </w:tabs>
              <w:jc w:val="cente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计量单位</w:t>
            </w:r>
          </w:p>
        </w:tc>
        <w:tc>
          <w:tcPr>
            <w:tcW w:w="5995" w:type="dxa"/>
            <w:vAlign w:val="center"/>
          </w:tcPr>
          <w:p w14:paraId="65B567A6">
            <w:pP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中华人民共和国法定计量单位</w:t>
            </w:r>
          </w:p>
        </w:tc>
      </w:tr>
      <w:tr w14:paraId="5DABB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7" w:type="dxa"/>
            <w:vAlign w:val="center"/>
          </w:tcPr>
          <w:p w14:paraId="34B618C7">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6.1</w:t>
            </w:r>
          </w:p>
        </w:tc>
        <w:tc>
          <w:tcPr>
            <w:tcW w:w="2111" w:type="dxa"/>
            <w:vAlign w:val="center"/>
          </w:tcPr>
          <w:p w14:paraId="48E147F5">
            <w:pPr>
              <w:tabs>
                <w:tab w:val="left" w:pos="1425"/>
              </w:tabs>
              <w:jc w:val="cente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现场考察、磋商前答疑会</w:t>
            </w:r>
          </w:p>
        </w:tc>
        <w:tc>
          <w:tcPr>
            <w:tcW w:w="5995" w:type="dxa"/>
            <w:vAlign w:val="center"/>
          </w:tcPr>
          <w:p w14:paraId="05926EA7">
            <w:pPr>
              <w:rPr>
                <w:rFonts w:hint="eastAsia" w:ascii="仿宋" w:hAnsi="仿宋" w:eastAsia="仿宋" w:cs="仿宋"/>
                <w:kern w:val="0"/>
                <w:szCs w:val="21"/>
                <w:highlight w:val="none"/>
              </w:rPr>
            </w:pPr>
            <w:r>
              <w:rPr>
                <w:rFonts w:hint="eastAsia" w:ascii="仿宋" w:hAnsi="仿宋" w:eastAsia="仿宋" w:cs="仿宋"/>
                <w:kern w:val="0"/>
                <w:szCs w:val="21"/>
                <w:highlight w:val="none"/>
              </w:rPr>
              <w:t>不组织</w:t>
            </w:r>
          </w:p>
        </w:tc>
      </w:tr>
      <w:tr w14:paraId="58815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087" w:type="dxa"/>
            <w:vAlign w:val="center"/>
          </w:tcPr>
          <w:p w14:paraId="20BEF407">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11.3</w:t>
            </w:r>
          </w:p>
        </w:tc>
        <w:tc>
          <w:tcPr>
            <w:tcW w:w="2111" w:type="dxa"/>
            <w:vAlign w:val="center"/>
          </w:tcPr>
          <w:p w14:paraId="58A469B6">
            <w:pPr>
              <w:shd w:val="clear" w:color="auto" w:fill="FFFFFF"/>
              <w:jc w:val="center"/>
              <w:rPr>
                <w:rFonts w:hint="eastAsia" w:ascii="仿宋" w:hAnsi="仿宋" w:eastAsia="仿宋" w:cs="仿宋"/>
                <w:bCs/>
                <w:kern w:val="0"/>
                <w:szCs w:val="21"/>
                <w:highlight w:val="none"/>
              </w:rPr>
            </w:pPr>
            <w:r>
              <w:rPr>
                <w:rFonts w:hint="eastAsia" w:ascii="仿宋" w:hAnsi="仿宋" w:eastAsia="仿宋" w:cs="仿宋"/>
                <w:kern w:val="0"/>
                <w:szCs w:val="21"/>
                <w:highlight w:val="none"/>
              </w:rPr>
              <w:t>样品或演示</w:t>
            </w:r>
          </w:p>
        </w:tc>
        <w:tc>
          <w:tcPr>
            <w:tcW w:w="5995" w:type="dxa"/>
            <w:vAlign w:val="center"/>
          </w:tcPr>
          <w:p w14:paraId="36785BA9">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不</w:t>
            </w:r>
            <w:r>
              <w:rPr>
                <w:rFonts w:hint="eastAsia" w:ascii="仿宋" w:hAnsi="仿宋" w:eastAsia="仿宋" w:cs="仿宋"/>
                <w:bCs/>
                <w:kern w:val="0"/>
                <w:szCs w:val="21"/>
                <w:highlight w:val="none"/>
              </w:rPr>
              <w:t>需要提供样品</w:t>
            </w:r>
          </w:p>
          <w:p w14:paraId="4261357D">
            <w:pPr>
              <w:rPr>
                <w:rFonts w:hint="eastAsia" w:ascii="仿宋" w:hAnsi="仿宋" w:eastAsia="仿宋" w:cs="仿宋"/>
                <w:bCs/>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bCs/>
                <w:kern w:val="0"/>
                <w:szCs w:val="21"/>
                <w:highlight w:val="none"/>
              </w:rPr>
              <w:t>需要提供样品</w:t>
            </w:r>
          </w:p>
          <w:p w14:paraId="264DE71C">
            <w:pPr>
              <w:ind w:firstLine="210" w:firstLineChars="100"/>
              <w:rPr>
                <w:rFonts w:hint="eastAsia" w:ascii="仿宋" w:hAnsi="仿宋" w:eastAsia="仿宋" w:cs="仿宋"/>
                <w:bCs/>
                <w:kern w:val="0"/>
                <w:szCs w:val="21"/>
                <w:highlight w:val="none"/>
              </w:rPr>
            </w:pPr>
            <w:r>
              <w:rPr>
                <w:rFonts w:hint="eastAsia" w:ascii="仿宋" w:hAnsi="仿宋" w:eastAsia="仿宋" w:cs="仿宋"/>
                <w:kern w:val="0"/>
                <w:szCs w:val="21"/>
                <w:highlight w:val="none"/>
              </w:rPr>
              <w:t>1、递交</w:t>
            </w:r>
            <w:r>
              <w:rPr>
                <w:rFonts w:hint="eastAsia" w:ascii="仿宋" w:hAnsi="仿宋" w:eastAsia="仿宋" w:cs="仿宋"/>
                <w:bCs/>
                <w:kern w:val="0"/>
                <w:szCs w:val="21"/>
                <w:highlight w:val="none"/>
              </w:rPr>
              <w:t>样品的截止时间：</w:t>
            </w:r>
            <w:r>
              <w:rPr>
                <w:rFonts w:hint="eastAsia" w:ascii="仿宋" w:hAnsi="仿宋" w:eastAsia="仿宋" w:cs="仿宋"/>
                <w:bCs/>
                <w:kern w:val="0"/>
                <w:szCs w:val="21"/>
                <w:highlight w:val="none"/>
                <w:u w:val="single"/>
              </w:rPr>
              <w:t xml:space="preserve">    </w:t>
            </w:r>
            <w:r>
              <w:rPr>
                <w:rFonts w:hint="eastAsia" w:ascii="仿宋" w:hAnsi="仿宋" w:eastAsia="仿宋" w:cs="仿宋"/>
                <w:bCs/>
                <w:kern w:val="0"/>
                <w:szCs w:val="21"/>
                <w:highlight w:val="none"/>
              </w:rPr>
              <w:t>年</w:t>
            </w:r>
            <w:r>
              <w:rPr>
                <w:rFonts w:hint="eastAsia" w:ascii="仿宋" w:hAnsi="仿宋" w:eastAsia="仿宋" w:cs="仿宋"/>
                <w:bCs/>
                <w:kern w:val="0"/>
                <w:szCs w:val="21"/>
                <w:highlight w:val="none"/>
                <w:u w:val="single"/>
              </w:rPr>
              <w:t xml:space="preserve">  </w:t>
            </w:r>
            <w:r>
              <w:rPr>
                <w:rFonts w:hint="eastAsia" w:ascii="仿宋" w:hAnsi="仿宋" w:eastAsia="仿宋" w:cs="仿宋"/>
                <w:bCs/>
                <w:kern w:val="0"/>
                <w:szCs w:val="21"/>
                <w:highlight w:val="none"/>
              </w:rPr>
              <w:t>月</w:t>
            </w:r>
            <w:r>
              <w:rPr>
                <w:rFonts w:hint="eastAsia" w:ascii="仿宋" w:hAnsi="仿宋" w:eastAsia="仿宋" w:cs="仿宋"/>
                <w:bCs/>
                <w:kern w:val="0"/>
                <w:szCs w:val="21"/>
                <w:highlight w:val="none"/>
                <w:u w:val="single"/>
              </w:rPr>
              <w:t xml:space="preserve">  </w:t>
            </w:r>
            <w:r>
              <w:rPr>
                <w:rFonts w:hint="eastAsia" w:ascii="仿宋" w:hAnsi="仿宋" w:eastAsia="仿宋" w:cs="仿宋"/>
                <w:bCs/>
                <w:kern w:val="0"/>
                <w:szCs w:val="21"/>
                <w:highlight w:val="none"/>
              </w:rPr>
              <w:t>日</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时</w:t>
            </w:r>
            <w:r>
              <w:rPr>
                <w:rFonts w:hint="eastAsia" w:ascii="仿宋" w:hAnsi="仿宋" w:eastAsia="仿宋" w:cs="仿宋"/>
                <w:bCs/>
                <w:kern w:val="0"/>
                <w:szCs w:val="21"/>
                <w:highlight w:val="none"/>
              </w:rPr>
              <w:t>（北京时间）</w:t>
            </w:r>
          </w:p>
          <w:p w14:paraId="15A7E9D4">
            <w:pPr>
              <w:ind w:firstLine="525" w:firstLineChars="25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递交样品地点：</w:t>
            </w:r>
            <w:r>
              <w:rPr>
                <w:rFonts w:hint="eastAsia" w:ascii="仿宋" w:hAnsi="仿宋" w:eastAsia="仿宋" w:cs="仿宋_GB2312"/>
                <w:szCs w:val="21"/>
                <w:highlight w:val="none"/>
                <w:u w:val="single"/>
              </w:rPr>
              <w:t xml:space="preserve">      </w:t>
            </w:r>
          </w:p>
          <w:p w14:paraId="65C21685">
            <w:pPr>
              <w:ind w:firstLine="525" w:firstLineChars="25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递交样品联系人：</w:t>
            </w:r>
            <w:r>
              <w:rPr>
                <w:rFonts w:hint="eastAsia" w:ascii="仿宋" w:hAnsi="仿宋" w:eastAsia="仿宋" w:cs="仿宋_GB2312"/>
                <w:szCs w:val="21"/>
                <w:highlight w:val="none"/>
                <w:u w:val="single"/>
              </w:rPr>
              <w:t xml:space="preserve">      </w:t>
            </w:r>
          </w:p>
          <w:p w14:paraId="61E6E879">
            <w:pPr>
              <w:ind w:firstLine="525" w:firstLineChars="25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递交样品联系电话：</w:t>
            </w:r>
            <w:r>
              <w:rPr>
                <w:rFonts w:hint="eastAsia" w:ascii="仿宋" w:hAnsi="仿宋" w:eastAsia="仿宋" w:cs="仿宋_GB2312"/>
                <w:szCs w:val="21"/>
                <w:highlight w:val="none"/>
                <w:u w:val="single"/>
              </w:rPr>
              <w:t xml:space="preserve">      </w:t>
            </w:r>
          </w:p>
          <w:p w14:paraId="727142F8">
            <w:pPr>
              <w:ind w:firstLine="210" w:firstLineChars="100"/>
              <w:rPr>
                <w:rFonts w:hint="eastAsia" w:ascii="仿宋" w:hAnsi="仿宋" w:eastAsia="仿宋" w:cs="仿宋"/>
                <w:bCs/>
                <w:kern w:val="0"/>
                <w:szCs w:val="21"/>
                <w:highlight w:val="none"/>
              </w:rPr>
            </w:pPr>
            <w:r>
              <w:rPr>
                <w:rFonts w:hint="eastAsia" w:ascii="仿宋" w:hAnsi="仿宋" w:eastAsia="仿宋" w:cs="仿宋"/>
                <w:bCs/>
                <w:kern w:val="0"/>
                <w:szCs w:val="21"/>
                <w:highlight w:val="none"/>
              </w:rPr>
              <w:t>2、样品制作的标准和要求：</w:t>
            </w:r>
            <w:r>
              <w:rPr>
                <w:rFonts w:hint="eastAsia" w:ascii="仿宋" w:hAnsi="仿宋" w:eastAsia="仿宋" w:cs="仿宋_GB2312"/>
                <w:szCs w:val="21"/>
                <w:highlight w:val="none"/>
                <w:u w:val="single"/>
              </w:rPr>
              <w:t xml:space="preserve">      </w:t>
            </w:r>
          </w:p>
          <w:p w14:paraId="7E231C33">
            <w:pPr>
              <w:rPr>
                <w:rFonts w:hint="eastAsia" w:ascii="仿宋" w:hAnsi="仿宋" w:eastAsia="仿宋" w:cs="仿宋"/>
                <w:kern w:val="0"/>
                <w:szCs w:val="21"/>
                <w:highlight w:val="none"/>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不</w:t>
            </w:r>
            <w:r>
              <w:rPr>
                <w:rFonts w:hint="eastAsia" w:ascii="仿宋" w:hAnsi="仿宋" w:eastAsia="仿宋" w:cs="仿宋"/>
                <w:bCs/>
                <w:kern w:val="0"/>
                <w:szCs w:val="21"/>
                <w:highlight w:val="none"/>
              </w:rPr>
              <w:t>需要提供演示</w:t>
            </w:r>
          </w:p>
          <w:p w14:paraId="23FDD753">
            <w:pPr>
              <w:rPr>
                <w:rFonts w:hint="eastAsia"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sym w:font="Wingdings 2" w:char="0052"/>
            </w:r>
            <w:r>
              <w:rPr>
                <w:rFonts w:hint="eastAsia" w:ascii="仿宋_GB2312" w:hAnsi="仿宋_GB2312" w:eastAsia="仿宋_GB2312" w:cs="仿宋_GB2312"/>
                <w:kern w:val="0"/>
                <w:szCs w:val="21"/>
                <w:highlight w:val="none"/>
              </w:rPr>
              <w:t>需要</w:t>
            </w:r>
            <w:r>
              <w:rPr>
                <w:rFonts w:hint="eastAsia" w:ascii="仿宋_GB2312" w:hAnsi="仿宋_GB2312" w:eastAsia="仿宋_GB2312" w:cs="仿宋_GB2312"/>
                <w:bCs/>
                <w:kern w:val="0"/>
                <w:szCs w:val="21"/>
                <w:highlight w:val="none"/>
              </w:rPr>
              <w:t>提供演示</w:t>
            </w:r>
          </w:p>
          <w:p w14:paraId="5C3A5C4C">
            <w:pPr>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1、演示时间：</w:t>
            </w:r>
            <w:r>
              <w:rPr>
                <w:rFonts w:hint="eastAsia" w:ascii="仿宋_GB2312" w:hAnsi="仿宋_GB2312" w:eastAsia="仿宋_GB2312" w:cs="仿宋_GB2312"/>
                <w:bCs/>
                <w:kern w:val="0"/>
                <w:szCs w:val="21"/>
                <w:highlight w:val="none"/>
                <w:u w:val="single"/>
              </w:rPr>
              <w:t>评审现场</w:t>
            </w:r>
          </w:p>
          <w:p w14:paraId="45F3C4F2">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演示地点：</w:t>
            </w:r>
            <w:r>
              <w:rPr>
                <w:rFonts w:hint="eastAsia" w:ascii="仿宋_GB2312" w:hAnsi="仿宋_GB2312" w:eastAsia="仿宋_GB2312" w:cs="仿宋_GB2312"/>
                <w:bCs/>
                <w:kern w:val="0"/>
                <w:szCs w:val="21"/>
                <w:highlight w:val="none"/>
                <w:u w:val="single"/>
              </w:rPr>
              <w:t>评审现场</w:t>
            </w:r>
          </w:p>
          <w:p w14:paraId="33D762FD">
            <w:pPr>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演示顺序：</w:t>
            </w:r>
            <w:r>
              <w:rPr>
                <w:rFonts w:hint="eastAsia" w:ascii="仿宋_GB2312" w:hAnsi="仿宋_GB2312" w:eastAsia="仿宋_GB2312" w:cs="仿宋_GB2312"/>
                <w:bCs/>
                <w:kern w:val="0"/>
                <w:szCs w:val="21"/>
                <w:highlight w:val="none"/>
                <w:u w:val="single"/>
              </w:rPr>
              <w:t>投标文件递交顺序</w:t>
            </w:r>
          </w:p>
          <w:p w14:paraId="68FD4D0A">
            <w:pPr>
              <w:rPr>
                <w:rFonts w:hint="eastAsia" w:ascii="仿宋" w:hAnsi="仿宋" w:eastAsia="仿宋" w:cs="仿宋"/>
                <w:kern w:val="0"/>
                <w:szCs w:val="21"/>
                <w:highlight w:val="none"/>
              </w:rPr>
            </w:pPr>
            <w:r>
              <w:rPr>
                <w:rFonts w:hint="eastAsia" w:ascii="仿宋_GB2312" w:hAnsi="仿宋_GB2312" w:eastAsia="仿宋_GB2312" w:cs="仿宋_GB2312"/>
                <w:kern w:val="0"/>
                <w:szCs w:val="21"/>
                <w:highlight w:val="none"/>
              </w:rPr>
              <w:t>2、演示要求：</w:t>
            </w:r>
            <w:r>
              <w:rPr>
                <w:rFonts w:hint="eastAsia" w:ascii="仿宋" w:hAnsi="仿宋" w:eastAsia="仿宋" w:cs="仿宋"/>
                <w:szCs w:val="21"/>
                <w:highlight w:val="none"/>
              </w:rPr>
              <w:t>供应商须提供技术规格偏离表中所涉及设备的系统功能演示视频，视频能够清晰演示系统的功能，视频合计不超过15分钟，视频文件须采用通用可播放格式（推荐MP4、AVI格式），分辨率不低于1920×1080，画面清晰、声音清楚，无杂音、无卡顿，确保评审委员会可正常播放（视频需存储在U盘内, U盘上标签写明项目名称、投标人等信息，U盘留存不予退回）。U盘中仅可存储本次项目的演示视频文件，不得包含无关文件、病毒文件及可执行程序，若出现文件无法播放或存在安全风险的，视为U盘内容无效。</w:t>
            </w:r>
          </w:p>
        </w:tc>
      </w:tr>
      <w:tr w14:paraId="08335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087" w:type="dxa"/>
            <w:vAlign w:val="center"/>
          </w:tcPr>
          <w:p w14:paraId="75E3AB01">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12.1</w:t>
            </w:r>
          </w:p>
        </w:tc>
        <w:tc>
          <w:tcPr>
            <w:tcW w:w="2111" w:type="dxa"/>
            <w:vAlign w:val="center"/>
          </w:tcPr>
          <w:p w14:paraId="3A243322">
            <w:pPr>
              <w:tabs>
                <w:tab w:val="left" w:pos="1425"/>
              </w:tabs>
              <w:jc w:val="cente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响应报价货币要求</w:t>
            </w:r>
          </w:p>
        </w:tc>
        <w:tc>
          <w:tcPr>
            <w:tcW w:w="5995" w:type="dxa"/>
            <w:vAlign w:val="center"/>
          </w:tcPr>
          <w:p w14:paraId="19CA7D3D">
            <w:pPr>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所有响应文件中均按</w:t>
            </w:r>
            <w:r>
              <w:rPr>
                <w:rFonts w:hint="eastAsia" w:ascii="仿宋" w:hAnsi="仿宋" w:eastAsia="仿宋" w:cs="仿宋"/>
                <w:kern w:val="0"/>
                <w:szCs w:val="21"/>
                <w:highlight w:val="none"/>
                <w:u w:val="single"/>
              </w:rPr>
              <w:t xml:space="preserve"> 人民币 </w:t>
            </w:r>
            <w:r>
              <w:rPr>
                <w:rFonts w:hint="eastAsia" w:ascii="仿宋" w:hAnsi="仿宋" w:eastAsia="仿宋" w:cs="仿宋"/>
                <w:kern w:val="0"/>
                <w:szCs w:val="21"/>
                <w:highlight w:val="none"/>
              </w:rPr>
              <w:t>货币进行报价。</w:t>
            </w:r>
          </w:p>
        </w:tc>
      </w:tr>
      <w:tr w14:paraId="04AE4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087" w:type="dxa"/>
            <w:vAlign w:val="center"/>
          </w:tcPr>
          <w:p w14:paraId="34B03771">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13.1</w:t>
            </w:r>
          </w:p>
        </w:tc>
        <w:tc>
          <w:tcPr>
            <w:tcW w:w="2111" w:type="dxa"/>
            <w:vAlign w:val="center"/>
          </w:tcPr>
          <w:p w14:paraId="674BCC81">
            <w:pPr>
              <w:jc w:val="center"/>
              <w:rPr>
                <w:rFonts w:hint="eastAsia" w:ascii="仿宋" w:hAnsi="仿宋" w:eastAsia="仿宋" w:cs="仿宋"/>
                <w:szCs w:val="21"/>
                <w:highlight w:val="none"/>
              </w:rPr>
            </w:pPr>
            <w:r>
              <w:rPr>
                <w:rFonts w:hint="eastAsia" w:ascii="仿宋" w:hAnsi="仿宋" w:eastAsia="仿宋" w:cs="仿宋"/>
                <w:szCs w:val="21"/>
                <w:highlight w:val="none"/>
              </w:rPr>
              <w:t>磋商保证金</w:t>
            </w:r>
          </w:p>
        </w:tc>
        <w:tc>
          <w:tcPr>
            <w:tcW w:w="5995" w:type="dxa"/>
            <w:vAlign w:val="center"/>
          </w:tcPr>
          <w:p w14:paraId="61F164A0">
            <w:pPr>
              <w:rPr>
                <w:rFonts w:hint="eastAsia" w:ascii="仿宋" w:hAnsi="仿宋" w:eastAsia="仿宋" w:cs="仿宋"/>
                <w:szCs w:val="21"/>
                <w:highlight w:val="none"/>
              </w:rPr>
            </w:pPr>
            <w:r>
              <w:rPr>
                <w:rFonts w:hint="eastAsia" w:ascii="仿宋" w:hAnsi="仿宋" w:eastAsia="仿宋" w:cs="仿宋"/>
                <w:kern w:val="0"/>
                <w:szCs w:val="21"/>
                <w:highlight w:val="none"/>
              </w:rPr>
              <w:t>不收取</w:t>
            </w:r>
          </w:p>
        </w:tc>
      </w:tr>
      <w:tr w14:paraId="1128B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087" w:type="dxa"/>
            <w:vAlign w:val="center"/>
          </w:tcPr>
          <w:p w14:paraId="2BE6365F">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15.1</w:t>
            </w:r>
          </w:p>
        </w:tc>
        <w:tc>
          <w:tcPr>
            <w:tcW w:w="2111" w:type="dxa"/>
            <w:vAlign w:val="center"/>
          </w:tcPr>
          <w:p w14:paraId="39C0B746">
            <w:pPr>
              <w:jc w:val="center"/>
              <w:rPr>
                <w:rFonts w:hint="eastAsia" w:ascii="仿宋" w:hAnsi="仿宋" w:eastAsia="仿宋" w:cs="仿宋"/>
                <w:szCs w:val="21"/>
                <w:highlight w:val="none"/>
              </w:rPr>
            </w:pPr>
            <w:r>
              <w:rPr>
                <w:rFonts w:hint="eastAsia" w:ascii="仿宋" w:hAnsi="仿宋" w:eastAsia="仿宋" w:cs="仿宋"/>
                <w:szCs w:val="21"/>
                <w:highlight w:val="none"/>
              </w:rPr>
              <w:t>响应有效期</w:t>
            </w:r>
          </w:p>
        </w:tc>
        <w:tc>
          <w:tcPr>
            <w:tcW w:w="5995" w:type="dxa"/>
            <w:vAlign w:val="center"/>
          </w:tcPr>
          <w:p w14:paraId="3143CD53">
            <w:pPr>
              <w:pStyle w:val="5"/>
              <w:rPr>
                <w:rFonts w:hint="eastAsia" w:ascii="仿宋" w:hAnsi="仿宋" w:eastAsia="仿宋" w:cs="仿宋"/>
                <w:kern w:val="0"/>
                <w:szCs w:val="21"/>
                <w:highlight w:val="none"/>
              </w:rPr>
            </w:pPr>
            <w:r>
              <w:rPr>
                <w:rFonts w:hint="eastAsia" w:ascii="仿宋" w:hAnsi="仿宋" w:eastAsia="仿宋" w:cs="仿宋"/>
                <w:kern w:val="0"/>
                <w:szCs w:val="21"/>
                <w:highlight w:val="none"/>
              </w:rPr>
              <w:t>90日历日</w:t>
            </w:r>
          </w:p>
        </w:tc>
      </w:tr>
      <w:tr w14:paraId="0D190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087" w:type="dxa"/>
            <w:vAlign w:val="center"/>
          </w:tcPr>
          <w:p w14:paraId="62A54944">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16.1</w:t>
            </w:r>
          </w:p>
        </w:tc>
        <w:tc>
          <w:tcPr>
            <w:tcW w:w="2111" w:type="dxa"/>
            <w:vAlign w:val="center"/>
          </w:tcPr>
          <w:p w14:paraId="79F89190">
            <w:pPr>
              <w:widowControl/>
              <w:jc w:val="center"/>
              <w:rPr>
                <w:rFonts w:hint="eastAsia" w:ascii="仿宋" w:hAnsi="仿宋" w:eastAsia="仿宋" w:cs="仿宋"/>
                <w:szCs w:val="21"/>
                <w:highlight w:val="none"/>
              </w:rPr>
            </w:pPr>
            <w:r>
              <w:rPr>
                <w:rFonts w:hint="eastAsia" w:ascii="仿宋" w:hAnsi="仿宋" w:eastAsia="仿宋" w:cs="仿宋"/>
                <w:szCs w:val="21"/>
                <w:highlight w:val="none"/>
              </w:rPr>
              <w:t>响应文件份数</w:t>
            </w:r>
          </w:p>
        </w:tc>
        <w:tc>
          <w:tcPr>
            <w:tcW w:w="5995" w:type="dxa"/>
            <w:vAlign w:val="center"/>
          </w:tcPr>
          <w:p w14:paraId="4FF535AD">
            <w:pPr>
              <w:widowControl/>
              <w:jc w:val="left"/>
              <w:rPr>
                <w:rFonts w:hint="eastAsia" w:ascii="仿宋" w:hAnsi="仿宋" w:eastAsia="仿宋" w:cs="仿宋"/>
                <w:bCs/>
                <w:kern w:val="0"/>
                <w:szCs w:val="21"/>
                <w:highlight w:val="none"/>
              </w:rPr>
            </w:pPr>
            <w:r>
              <w:rPr>
                <w:rFonts w:hint="eastAsia" w:ascii="仿宋" w:hAnsi="仿宋" w:eastAsia="仿宋" w:cs="仿宋"/>
                <w:bCs/>
                <w:szCs w:val="21"/>
                <w:highlight w:val="none"/>
              </w:rPr>
              <w:t>电子响应文件按辽宁政府采购网相关规定制作上传。</w:t>
            </w:r>
          </w:p>
        </w:tc>
      </w:tr>
      <w:tr w14:paraId="62C21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087" w:type="dxa"/>
            <w:vAlign w:val="center"/>
          </w:tcPr>
          <w:p w14:paraId="14CCF6AA">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18.1</w:t>
            </w:r>
          </w:p>
        </w:tc>
        <w:tc>
          <w:tcPr>
            <w:tcW w:w="2111" w:type="dxa"/>
            <w:vAlign w:val="center"/>
          </w:tcPr>
          <w:p w14:paraId="161F8D09">
            <w:pPr>
              <w:widowControl/>
              <w:jc w:val="center"/>
              <w:rPr>
                <w:rFonts w:hint="eastAsia" w:ascii="仿宋" w:hAnsi="仿宋" w:eastAsia="仿宋" w:cs="仿宋"/>
                <w:szCs w:val="21"/>
                <w:highlight w:val="none"/>
              </w:rPr>
            </w:pPr>
            <w:r>
              <w:rPr>
                <w:rFonts w:hint="eastAsia" w:ascii="仿宋" w:hAnsi="仿宋" w:eastAsia="仿宋" w:cs="仿宋"/>
                <w:szCs w:val="21"/>
                <w:highlight w:val="none"/>
              </w:rPr>
              <w:t>递交响应文件截止时间、地点：</w:t>
            </w:r>
          </w:p>
        </w:tc>
        <w:tc>
          <w:tcPr>
            <w:tcW w:w="5995" w:type="dxa"/>
            <w:vAlign w:val="center"/>
          </w:tcPr>
          <w:p w14:paraId="53724B5D">
            <w:pPr>
              <w:widowControl/>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详见采购公告，以采购公告规定时间、地点为准。</w:t>
            </w:r>
          </w:p>
        </w:tc>
      </w:tr>
      <w:tr w14:paraId="2626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087" w:type="dxa"/>
            <w:vAlign w:val="center"/>
          </w:tcPr>
          <w:p w14:paraId="4B2D58A3">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20.1</w:t>
            </w:r>
          </w:p>
        </w:tc>
        <w:tc>
          <w:tcPr>
            <w:tcW w:w="2111" w:type="dxa"/>
            <w:vAlign w:val="center"/>
          </w:tcPr>
          <w:p w14:paraId="25AE4F8A">
            <w:pPr>
              <w:widowControl/>
              <w:jc w:val="center"/>
              <w:rPr>
                <w:rFonts w:hint="eastAsia" w:ascii="仿宋" w:hAnsi="仿宋" w:eastAsia="仿宋" w:cs="仿宋"/>
                <w:szCs w:val="21"/>
                <w:highlight w:val="none"/>
              </w:rPr>
            </w:pPr>
            <w:r>
              <w:rPr>
                <w:rFonts w:hint="eastAsia" w:ascii="仿宋" w:hAnsi="仿宋" w:eastAsia="仿宋" w:cs="仿宋"/>
                <w:szCs w:val="21"/>
                <w:highlight w:val="none"/>
              </w:rPr>
              <w:t>磋商会议时间、地点：</w:t>
            </w:r>
          </w:p>
        </w:tc>
        <w:tc>
          <w:tcPr>
            <w:tcW w:w="5995" w:type="dxa"/>
            <w:vAlign w:val="center"/>
          </w:tcPr>
          <w:p w14:paraId="2B2E314F">
            <w:pPr>
              <w:widowControl/>
              <w:rPr>
                <w:rFonts w:hint="eastAsia" w:ascii="仿宋" w:hAnsi="仿宋" w:eastAsia="仿宋" w:cs="仿宋"/>
                <w:kern w:val="0"/>
                <w:szCs w:val="21"/>
                <w:highlight w:val="none"/>
              </w:rPr>
            </w:pPr>
            <w:r>
              <w:rPr>
                <w:rFonts w:hint="eastAsia" w:ascii="仿宋" w:hAnsi="仿宋" w:eastAsia="仿宋" w:cs="仿宋"/>
                <w:kern w:val="0"/>
                <w:szCs w:val="21"/>
                <w:highlight w:val="none"/>
              </w:rPr>
              <w:t>详见采购公告，以采购公告规定时间、地点为准。</w:t>
            </w:r>
          </w:p>
        </w:tc>
      </w:tr>
      <w:tr w14:paraId="1D2DB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087" w:type="dxa"/>
            <w:vAlign w:val="center"/>
          </w:tcPr>
          <w:p w14:paraId="29F6537C">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21.2</w:t>
            </w:r>
          </w:p>
        </w:tc>
        <w:tc>
          <w:tcPr>
            <w:tcW w:w="2111" w:type="dxa"/>
            <w:vAlign w:val="center"/>
          </w:tcPr>
          <w:p w14:paraId="69ED804E">
            <w:pPr>
              <w:widowControl/>
              <w:jc w:val="center"/>
              <w:rPr>
                <w:rFonts w:hint="eastAsia" w:ascii="仿宋" w:hAnsi="仿宋" w:eastAsia="仿宋" w:cs="仿宋"/>
                <w:szCs w:val="21"/>
                <w:highlight w:val="none"/>
              </w:rPr>
            </w:pPr>
            <w:r>
              <w:rPr>
                <w:rFonts w:hint="eastAsia" w:ascii="仿宋" w:hAnsi="仿宋" w:eastAsia="仿宋" w:cs="仿宋"/>
                <w:szCs w:val="21"/>
                <w:highlight w:val="none"/>
              </w:rPr>
              <w:t>磋商小组组成</w:t>
            </w:r>
          </w:p>
        </w:tc>
        <w:tc>
          <w:tcPr>
            <w:tcW w:w="5995" w:type="dxa"/>
            <w:vAlign w:val="center"/>
          </w:tcPr>
          <w:p w14:paraId="57601C62">
            <w:pPr>
              <w:widowControl/>
              <w:rPr>
                <w:rFonts w:hint="eastAsia" w:ascii="仿宋" w:hAnsi="仿宋" w:eastAsia="仿宋" w:cs="仿宋"/>
                <w:kern w:val="0"/>
                <w:szCs w:val="21"/>
                <w:highlight w:val="none"/>
              </w:rPr>
            </w:pPr>
            <w:r>
              <w:rPr>
                <w:rFonts w:hint="eastAsia" w:ascii="仿宋" w:hAnsi="仿宋" w:eastAsia="仿宋" w:cs="仿宋"/>
                <w:szCs w:val="21"/>
                <w:highlight w:val="none"/>
              </w:rPr>
              <w:t>磋商小组由采购人代表</w:t>
            </w:r>
            <w:r>
              <w:rPr>
                <w:rFonts w:hint="eastAsia" w:ascii="仿宋" w:hAnsi="仿宋" w:eastAsia="仿宋" w:cs="仿宋"/>
                <w:szCs w:val="21"/>
                <w:highlight w:val="none"/>
                <w:u w:val="single"/>
              </w:rPr>
              <w:t xml:space="preserve"> 1 </w:t>
            </w:r>
            <w:r>
              <w:rPr>
                <w:rFonts w:hint="eastAsia" w:ascii="仿宋" w:hAnsi="仿宋" w:eastAsia="仿宋" w:cs="仿宋"/>
                <w:szCs w:val="21"/>
                <w:highlight w:val="none"/>
              </w:rPr>
              <w:t>人，评审专家</w:t>
            </w:r>
            <w:r>
              <w:rPr>
                <w:rFonts w:hint="eastAsia" w:ascii="仿宋" w:hAnsi="仿宋" w:eastAsia="仿宋" w:cs="仿宋"/>
                <w:szCs w:val="21"/>
                <w:highlight w:val="none"/>
                <w:u w:val="single"/>
              </w:rPr>
              <w:t xml:space="preserve"> 2 </w:t>
            </w:r>
            <w:r>
              <w:rPr>
                <w:rFonts w:hint="eastAsia" w:ascii="仿宋" w:hAnsi="仿宋" w:eastAsia="仿宋" w:cs="仿宋"/>
                <w:szCs w:val="21"/>
                <w:highlight w:val="none"/>
              </w:rPr>
              <w:t>人组成，共</w:t>
            </w:r>
            <w:r>
              <w:rPr>
                <w:rFonts w:hint="eastAsia" w:ascii="仿宋" w:hAnsi="仿宋" w:eastAsia="仿宋" w:cs="仿宋"/>
                <w:szCs w:val="21"/>
                <w:highlight w:val="none"/>
                <w:u w:val="single"/>
              </w:rPr>
              <w:t xml:space="preserve"> 3 </w:t>
            </w:r>
            <w:r>
              <w:rPr>
                <w:rFonts w:hint="eastAsia" w:ascii="仿宋" w:hAnsi="仿宋" w:eastAsia="仿宋" w:cs="仿宋"/>
                <w:szCs w:val="21"/>
                <w:highlight w:val="none"/>
              </w:rPr>
              <w:t>人。</w:t>
            </w:r>
          </w:p>
        </w:tc>
      </w:tr>
      <w:tr w14:paraId="346B3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087" w:type="dxa"/>
            <w:vAlign w:val="center"/>
          </w:tcPr>
          <w:p w14:paraId="7D2946A2">
            <w:pPr>
              <w:widowControl/>
              <w:jc w:val="center"/>
              <w:rPr>
                <w:rFonts w:hint="eastAsia" w:ascii="仿宋" w:hAnsi="仿宋" w:eastAsia="仿宋" w:cs="仿宋"/>
                <w:kern w:val="0"/>
                <w:szCs w:val="21"/>
                <w:highlight w:val="none"/>
              </w:rPr>
            </w:pPr>
            <w:r>
              <w:rPr>
                <w:rFonts w:hint="eastAsia" w:ascii="仿宋_GB2312" w:hAnsi="仿宋_GB2312" w:eastAsia="仿宋_GB2312" w:cs="仿宋_GB2312"/>
                <w:kern w:val="0"/>
                <w:szCs w:val="21"/>
                <w:highlight w:val="none"/>
              </w:rPr>
              <w:t>24.1</w:t>
            </w:r>
          </w:p>
        </w:tc>
        <w:tc>
          <w:tcPr>
            <w:tcW w:w="2111" w:type="dxa"/>
            <w:vAlign w:val="center"/>
          </w:tcPr>
          <w:p w14:paraId="3387B7C1">
            <w:pPr>
              <w:shd w:val="clear" w:color="auto" w:fill="FFFFFF"/>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样品的评审办法以及评审标准</w:t>
            </w:r>
          </w:p>
          <w:p w14:paraId="78A1272D">
            <w:pPr>
              <w:shd w:val="clear" w:color="auto" w:fill="FFFFFF"/>
              <w:jc w:val="center"/>
              <w:rPr>
                <w:rFonts w:hint="eastAsia" w:ascii="仿宋" w:hAnsi="仿宋" w:eastAsia="仿宋" w:cs="仿宋"/>
                <w:szCs w:val="21"/>
                <w:highlight w:val="none"/>
              </w:rPr>
            </w:pPr>
            <w:r>
              <w:rPr>
                <w:rFonts w:hint="eastAsia" w:ascii="仿宋_GB2312" w:hAnsi="仿宋_GB2312" w:eastAsia="仿宋_GB2312" w:cs="仿宋_GB2312"/>
                <w:szCs w:val="21"/>
                <w:highlight w:val="none"/>
              </w:rPr>
              <w:t>演示的评审办法及评审标准</w:t>
            </w:r>
          </w:p>
        </w:tc>
        <w:tc>
          <w:tcPr>
            <w:tcW w:w="5995" w:type="dxa"/>
            <w:vAlign w:val="center"/>
          </w:tcPr>
          <w:p w14:paraId="5968CECD">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bCs/>
                <w:kern w:val="0"/>
                <w:szCs w:val="21"/>
                <w:highlight w:val="none"/>
              </w:rPr>
              <w:t>样品：</w:t>
            </w:r>
          </w:p>
          <w:p w14:paraId="24D26637">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1、样品评审办法：</w:t>
            </w:r>
            <w:r>
              <w:rPr>
                <w:rFonts w:hint="eastAsia" w:ascii="仿宋_GB2312" w:hAnsi="仿宋_GB2312" w:eastAsia="仿宋_GB2312" w:cs="仿宋_GB2312"/>
                <w:kern w:val="0"/>
                <w:szCs w:val="21"/>
                <w:highlight w:val="none"/>
                <w:u w:val="single"/>
              </w:rPr>
              <w:t xml:space="preserve">                 </w:t>
            </w:r>
          </w:p>
          <w:p w14:paraId="36A81A5B">
            <w:pPr>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2、样品评审标准：</w:t>
            </w:r>
            <w:r>
              <w:rPr>
                <w:rFonts w:hint="eastAsia" w:ascii="仿宋_GB2312" w:hAnsi="仿宋_GB2312" w:eastAsia="仿宋_GB2312" w:cs="仿宋_GB2312"/>
                <w:kern w:val="0"/>
                <w:szCs w:val="21"/>
                <w:highlight w:val="none"/>
                <w:u w:val="single"/>
              </w:rPr>
              <w:t xml:space="preserve">                 </w:t>
            </w:r>
          </w:p>
          <w:p w14:paraId="6A07EEBF">
            <w:pPr>
              <w:rPr>
                <w:rFonts w:hint="eastAsia" w:ascii="仿宋_GB2312" w:hAnsi="仿宋_GB2312" w:eastAsia="仿宋_GB2312" w:cs="仿宋_GB2312"/>
                <w:kern w:val="0"/>
                <w:szCs w:val="21"/>
                <w:highlight w:val="none"/>
                <w:u w:val="single"/>
              </w:rPr>
            </w:pPr>
          </w:p>
          <w:p w14:paraId="4D5EFF7C">
            <w:pPr>
              <w:rPr>
                <w:rFonts w:hint="eastAsia" w:ascii="仿宋" w:hAnsi="仿宋" w:eastAsia="仿宋" w:cs="仿宋_GB2312"/>
                <w:kern w:val="0"/>
                <w:szCs w:val="21"/>
                <w:highlight w:val="none"/>
              </w:rPr>
            </w:pPr>
            <w:r>
              <w:rPr>
                <w:rFonts w:hint="eastAsia" w:ascii="仿宋" w:hAnsi="仿宋" w:eastAsia="仿宋" w:cs="仿宋_GB2312"/>
                <w:kern w:val="0"/>
                <w:szCs w:val="21"/>
                <w:highlight w:val="none"/>
              </w:rPr>
              <w:sym w:font="Wingdings 2" w:char="0052"/>
            </w:r>
            <w:r>
              <w:rPr>
                <w:rFonts w:hint="eastAsia" w:ascii="仿宋" w:hAnsi="仿宋" w:eastAsia="仿宋" w:cs="仿宋_GB2312"/>
                <w:kern w:val="0"/>
                <w:szCs w:val="21"/>
                <w:highlight w:val="none"/>
              </w:rPr>
              <w:t>演示：</w:t>
            </w:r>
          </w:p>
          <w:p w14:paraId="507C19AE">
            <w:pPr>
              <w:rPr>
                <w:rFonts w:hint="eastAsia" w:ascii="仿宋" w:hAnsi="仿宋" w:eastAsia="仿宋" w:cs="仿宋_GB2312"/>
                <w:kern w:val="0"/>
                <w:szCs w:val="21"/>
                <w:highlight w:val="none"/>
              </w:rPr>
            </w:pPr>
            <w:r>
              <w:rPr>
                <w:rFonts w:hint="eastAsia" w:ascii="仿宋" w:hAnsi="仿宋" w:eastAsia="仿宋" w:cs="仿宋_GB2312"/>
                <w:kern w:val="0"/>
                <w:szCs w:val="21"/>
                <w:highlight w:val="none"/>
              </w:rPr>
              <w:t>1、演示评审方法：</w:t>
            </w:r>
            <w:r>
              <w:rPr>
                <w:rFonts w:hint="eastAsia" w:ascii="仿宋" w:hAnsi="仿宋" w:eastAsia="仿宋" w:cs="仿宋"/>
                <w:kern w:val="0"/>
                <w:szCs w:val="21"/>
                <w:highlight w:val="none"/>
                <w:u w:val="single"/>
              </w:rPr>
              <w:t xml:space="preserve"> 详见评分细则 </w:t>
            </w:r>
            <w:r>
              <w:rPr>
                <w:rFonts w:hint="eastAsia" w:ascii="仿宋" w:hAnsi="仿宋" w:eastAsia="仿宋" w:cs="仿宋"/>
                <w:szCs w:val="21"/>
                <w:highlight w:val="none"/>
              </w:rPr>
              <w:t xml:space="preserve"> </w:t>
            </w:r>
          </w:p>
          <w:p w14:paraId="43F1F5B0">
            <w:pPr>
              <w:rPr>
                <w:rFonts w:hint="eastAsia" w:ascii="仿宋" w:hAnsi="仿宋" w:eastAsia="仿宋" w:cs="仿宋"/>
                <w:szCs w:val="21"/>
                <w:highlight w:val="none"/>
              </w:rPr>
            </w:pPr>
            <w:r>
              <w:rPr>
                <w:rFonts w:hint="eastAsia" w:ascii="仿宋" w:hAnsi="仿宋" w:eastAsia="仿宋" w:cs="仿宋_GB2312"/>
                <w:kern w:val="0"/>
                <w:szCs w:val="21"/>
                <w:highlight w:val="none"/>
              </w:rPr>
              <w:t>2、演示评审标准：</w:t>
            </w:r>
            <w:r>
              <w:rPr>
                <w:rFonts w:hint="eastAsia" w:ascii="仿宋" w:hAnsi="仿宋" w:eastAsia="仿宋" w:cs="仿宋"/>
                <w:kern w:val="0"/>
                <w:szCs w:val="21"/>
                <w:highlight w:val="none"/>
                <w:u w:val="single"/>
              </w:rPr>
              <w:t xml:space="preserve"> 详见评分细则 </w:t>
            </w:r>
            <w:r>
              <w:rPr>
                <w:rFonts w:hint="eastAsia" w:ascii="仿宋" w:hAnsi="仿宋" w:eastAsia="仿宋" w:cs="仿宋"/>
                <w:szCs w:val="21"/>
                <w:highlight w:val="none"/>
              </w:rPr>
              <w:t xml:space="preserve"> </w:t>
            </w:r>
          </w:p>
        </w:tc>
      </w:tr>
      <w:tr w14:paraId="05D64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087" w:type="dxa"/>
            <w:vAlign w:val="center"/>
          </w:tcPr>
          <w:p w14:paraId="0FAC8220">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29.2</w:t>
            </w:r>
          </w:p>
        </w:tc>
        <w:tc>
          <w:tcPr>
            <w:tcW w:w="2111" w:type="dxa"/>
            <w:vAlign w:val="center"/>
          </w:tcPr>
          <w:p w14:paraId="6808BC65">
            <w:pPr>
              <w:widowControl/>
              <w:jc w:val="center"/>
              <w:rPr>
                <w:rFonts w:hint="eastAsia" w:ascii="仿宋" w:hAnsi="仿宋" w:eastAsia="仿宋" w:cs="仿宋"/>
                <w:szCs w:val="21"/>
                <w:highlight w:val="none"/>
              </w:rPr>
            </w:pPr>
            <w:r>
              <w:rPr>
                <w:rFonts w:hint="eastAsia" w:ascii="仿宋" w:hAnsi="仿宋" w:eastAsia="仿宋" w:cs="仿宋"/>
                <w:szCs w:val="21"/>
                <w:highlight w:val="none"/>
              </w:rPr>
              <w:t>评审办法</w:t>
            </w:r>
          </w:p>
        </w:tc>
        <w:tc>
          <w:tcPr>
            <w:tcW w:w="5995" w:type="dxa"/>
            <w:vAlign w:val="center"/>
          </w:tcPr>
          <w:p w14:paraId="3230666E">
            <w:pPr>
              <w:widowControl/>
              <w:rPr>
                <w:rFonts w:hint="eastAsia" w:ascii="仿宋" w:hAnsi="仿宋" w:eastAsia="仿宋" w:cs="仿宋"/>
                <w:szCs w:val="21"/>
                <w:highlight w:val="none"/>
              </w:rPr>
            </w:pPr>
            <w:r>
              <w:rPr>
                <w:rFonts w:hint="eastAsia" w:ascii="仿宋" w:hAnsi="仿宋" w:eastAsia="仿宋" w:cs="仿宋"/>
                <w:szCs w:val="21"/>
                <w:highlight w:val="none"/>
              </w:rPr>
              <w:t>综合评分法</w:t>
            </w:r>
          </w:p>
        </w:tc>
      </w:tr>
      <w:tr w14:paraId="75254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87" w:type="dxa"/>
            <w:vAlign w:val="center"/>
          </w:tcPr>
          <w:p w14:paraId="0880F209">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31.2</w:t>
            </w:r>
          </w:p>
        </w:tc>
        <w:tc>
          <w:tcPr>
            <w:tcW w:w="2111" w:type="dxa"/>
            <w:vAlign w:val="center"/>
          </w:tcPr>
          <w:p w14:paraId="55D1E729">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推荐成交候选供应商的数量</w:t>
            </w:r>
          </w:p>
        </w:tc>
        <w:tc>
          <w:tcPr>
            <w:tcW w:w="5995" w:type="dxa"/>
            <w:vAlign w:val="center"/>
          </w:tcPr>
          <w:p w14:paraId="709DE9F5">
            <w:pPr>
              <w:widowControl/>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3家        </w:t>
            </w:r>
          </w:p>
        </w:tc>
      </w:tr>
      <w:tr w14:paraId="32FF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87" w:type="dxa"/>
            <w:vAlign w:val="center"/>
          </w:tcPr>
          <w:p w14:paraId="31781B3B">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33</w:t>
            </w:r>
          </w:p>
        </w:tc>
        <w:tc>
          <w:tcPr>
            <w:tcW w:w="2111" w:type="dxa"/>
            <w:vAlign w:val="center"/>
          </w:tcPr>
          <w:p w14:paraId="67B97CD3">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确定成交供应商的方式</w:t>
            </w:r>
          </w:p>
        </w:tc>
        <w:tc>
          <w:tcPr>
            <w:tcW w:w="5995" w:type="dxa"/>
            <w:vAlign w:val="center"/>
          </w:tcPr>
          <w:p w14:paraId="51F6950D">
            <w:pPr>
              <w:widowControl/>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成交供应商数量：1家   </w:t>
            </w:r>
          </w:p>
          <w:p w14:paraId="7BC0EADC">
            <w:pPr>
              <w:widowControl/>
              <w:rPr>
                <w:rFonts w:hint="eastAsia" w:ascii="仿宋" w:hAnsi="仿宋" w:eastAsia="仿宋" w:cs="仿宋"/>
                <w:kern w:val="0"/>
                <w:szCs w:val="21"/>
                <w:highlight w:val="none"/>
              </w:rPr>
            </w:pPr>
            <w:r>
              <w:rPr>
                <w:rFonts w:hint="eastAsia" w:ascii="仿宋" w:hAnsi="仿宋" w:eastAsia="仿宋" w:cs="仿宋"/>
                <w:kern w:val="0"/>
                <w:szCs w:val="21"/>
                <w:highlight w:val="none"/>
              </w:rPr>
              <w:t>采购人委托磋商小组直接确定成交供应商</w:t>
            </w:r>
          </w:p>
        </w:tc>
      </w:tr>
      <w:tr w14:paraId="7D8A9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87" w:type="dxa"/>
            <w:vAlign w:val="center"/>
          </w:tcPr>
          <w:p w14:paraId="7C3B7F05">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37.1</w:t>
            </w:r>
          </w:p>
        </w:tc>
        <w:tc>
          <w:tcPr>
            <w:tcW w:w="2111" w:type="dxa"/>
            <w:vAlign w:val="center"/>
          </w:tcPr>
          <w:p w14:paraId="1184D7DC">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履约保证金</w:t>
            </w:r>
          </w:p>
        </w:tc>
        <w:tc>
          <w:tcPr>
            <w:tcW w:w="5995" w:type="dxa"/>
            <w:vAlign w:val="center"/>
          </w:tcPr>
          <w:p w14:paraId="3059BBE9">
            <w:pPr>
              <w:widowControl/>
              <w:rPr>
                <w:rFonts w:hint="eastAsia" w:ascii="仿宋" w:hAnsi="仿宋" w:eastAsia="仿宋" w:cs="仿宋"/>
                <w:kern w:val="0"/>
                <w:szCs w:val="21"/>
                <w:highlight w:val="none"/>
              </w:rPr>
            </w:pPr>
            <w:r>
              <w:rPr>
                <w:rFonts w:hint="eastAsia" w:ascii="仿宋" w:hAnsi="仿宋" w:eastAsia="仿宋" w:cs="仿宋"/>
                <w:kern w:val="0"/>
                <w:szCs w:val="21"/>
                <w:highlight w:val="none"/>
              </w:rPr>
              <w:t>本项目不收取履约保证金</w:t>
            </w:r>
          </w:p>
        </w:tc>
      </w:tr>
      <w:tr w14:paraId="7F83B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87" w:type="dxa"/>
            <w:vAlign w:val="center"/>
          </w:tcPr>
          <w:p w14:paraId="4962B844">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38</w:t>
            </w:r>
          </w:p>
        </w:tc>
        <w:tc>
          <w:tcPr>
            <w:tcW w:w="2111" w:type="dxa"/>
            <w:vAlign w:val="center"/>
          </w:tcPr>
          <w:p w14:paraId="6B43EF47">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采购代理服务费</w:t>
            </w:r>
          </w:p>
        </w:tc>
        <w:tc>
          <w:tcPr>
            <w:tcW w:w="5995" w:type="dxa"/>
            <w:vAlign w:val="center"/>
          </w:tcPr>
          <w:p w14:paraId="283F6A2F">
            <w:pPr>
              <w:widowControl/>
              <w:rPr>
                <w:rFonts w:hint="eastAsia" w:ascii="仿宋" w:hAnsi="仿宋" w:eastAsia="仿宋" w:cs="仿宋"/>
                <w:kern w:val="0"/>
                <w:szCs w:val="21"/>
                <w:highlight w:val="none"/>
              </w:rPr>
            </w:pPr>
            <w:r>
              <w:rPr>
                <w:rFonts w:hint="eastAsia" w:ascii="仿宋" w:hAnsi="仿宋" w:eastAsia="仿宋" w:cs="仿宋"/>
                <w:kern w:val="0"/>
                <w:szCs w:val="21"/>
                <w:highlight w:val="none"/>
              </w:rPr>
              <w:t>本项目收取采购代理服务费</w:t>
            </w:r>
          </w:p>
          <w:p w14:paraId="23D95C6D">
            <w:pPr>
              <w:widowControl/>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本项目采购代理服务费由</w:t>
            </w:r>
            <w:r>
              <w:rPr>
                <w:rFonts w:hint="eastAsia" w:ascii="仿宋" w:hAnsi="仿宋" w:eastAsia="仿宋" w:cs="仿宋"/>
                <w:kern w:val="0"/>
                <w:szCs w:val="21"/>
                <w:highlight w:val="none"/>
                <w:u w:val="single"/>
              </w:rPr>
              <w:t>成交</w:t>
            </w:r>
            <w:r>
              <w:rPr>
                <w:rFonts w:hint="eastAsia" w:ascii="仿宋" w:hAnsi="仿宋" w:eastAsia="仿宋" w:cs="仿宋"/>
                <w:kern w:val="0"/>
                <w:szCs w:val="21"/>
                <w:highlight w:val="none"/>
                <w:u w:val="single"/>
                <w:lang w:val="zh-CN"/>
              </w:rPr>
              <w:t>供应商</w:t>
            </w:r>
            <w:r>
              <w:rPr>
                <w:rFonts w:hint="eastAsia" w:ascii="仿宋" w:hAnsi="仿宋" w:eastAsia="仿宋" w:cs="仿宋"/>
                <w:kern w:val="0"/>
                <w:szCs w:val="21"/>
                <w:highlight w:val="none"/>
              </w:rPr>
              <w:t>向采购代理机构予以支付。</w:t>
            </w:r>
          </w:p>
          <w:p w14:paraId="64BB82C9">
            <w:pPr>
              <w:widowControl/>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支付标准：</w:t>
            </w:r>
            <w:r>
              <w:rPr>
                <w:rFonts w:hint="eastAsia" w:ascii="仿宋" w:hAnsi="仿宋" w:eastAsia="仿宋" w:cs="仿宋"/>
                <w:kern w:val="0"/>
                <w:szCs w:val="21"/>
                <w:highlight w:val="none"/>
                <w:u w:val="single"/>
              </w:rPr>
              <w:t>代理服务费按成交价的1.5%计取，中标人在缴纳招标代理服务费后方可领取中标通知书</w:t>
            </w:r>
            <w:r>
              <w:rPr>
                <w:rFonts w:hint="eastAsia" w:ascii="仿宋" w:hAnsi="仿宋" w:eastAsia="仿宋" w:cs="仿宋"/>
                <w:kern w:val="0"/>
                <w:szCs w:val="21"/>
                <w:highlight w:val="none"/>
              </w:rPr>
              <w:t xml:space="preserve">      </w:t>
            </w:r>
          </w:p>
          <w:p w14:paraId="089533E9">
            <w:pPr>
              <w:widowControl/>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支付形式：</w:t>
            </w:r>
            <w:r>
              <w:rPr>
                <w:rFonts w:hint="eastAsia" w:ascii="仿宋" w:hAnsi="仿宋" w:eastAsia="仿宋" w:cs="仿宋"/>
                <w:kern w:val="0"/>
                <w:szCs w:val="21"/>
                <w:highlight w:val="none"/>
                <w:u w:val="single"/>
              </w:rPr>
              <w:t>电汇</w:t>
            </w:r>
          </w:p>
          <w:p w14:paraId="5EF531C8">
            <w:pPr>
              <w:widowControl/>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支付时间：</w:t>
            </w:r>
            <w:r>
              <w:rPr>
                <w:rFonts w:hint="eastAsia" w:ascii="仿宋" w:hAnsi="仿宋" w:eastAsia="仿宋" w:cs="仿宋"/>
                <w:kern w:val="0"/>
                <w:szCs w:val="21"/>
                <w:highlight w:val="none"/>
                <w:u w:val="single"/>
              </w:rPr>
              <w:t xml:space="preserve">领取中标通知书前一次性支付 </w:t>
            </w:r>
          </w:p>
        </w:tc>
      </w:tr>
      <w:tr w14:paraId="47ED1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1087" w:type="dxa"/>
            <w:vAlign w:val="center"/>
          </w:tcPr>
          <w:p w14:paraId="7A537CBC">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41.3</w:t>
            </w:r>
          </w:p>
        </w:tc>
        <w:tc>
          <w:tcPr>
            <w:tcW w:w="2111" w:type="dxa"/>
            <w:vAlign w:val="center"/>
          </w:tcPr>
          <w:p w14:paraId="6FE51F9F">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质疑</w:t>
            </w:r>
          </w:p>
        </w:tc>
        <w:tc>
          <w:tcPr>
            <w:tcW w:w="5995" w:type="dxa"/>
            <w:vAlign w:val="center"/>
          </w:tcPr>
          <w:p w14:paraId="43FB032F">
            <w:pPr>
              <w:widowControl/>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一、供应商认为自己的权益受到损害的，可以在知道或者应知其权益受到损害之日起七个工作日内，向采购代理机构提出质疑。</w:t>
            </w:r>
          </w:p>
          <w:p w14:paraId="0FB5F59F">
            <w:pPr>
              <w:widowControl/>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1、接收质疑函的方式：依据《辽宁省政府采购电子化质疑投诉管理办法》辽财采规〔2021〕8 号文件的相关规定，可依托辽宁政府采购网电子化质疑投诉系统，开展政府采购电子化质疑的提出。质疑供应商无法在系统中提出质疑的，可继续采取现场提交、邮寄、电子邮件等方式进行质疑。</w:t>
            </w:r>
          </w:p>
          <w:p w14:paraId="529C9C8B">
            <w:pPr>
              <w:widowControl/>
              <w:ind w:firstLine="420" w:firstLineChars="200"/>
              <w:rPr>
                <w:rFonts w:hint="eastAsia" w:ascii="仿宋" w:hAnsi="仿宋" w:eastAsia="仿宋" w:cs="仿宋"/>
                <w:kern w:val="0"/>
                <w:szCs w:val="21"/>
                <w:highlight w:val="none"/>
                <w:u w:val="single"/>
              </w:rPr>
            </w:pPr>
            <w:r>
              <w:rPr>
                <w:rFonts w:hint="eastAsia" w:ascii="仿宋" w:hAnsi="仿宋" w:eastAsia="仿宋" w:cs="仿宋"/>
                <w:szCs w:val="21"/>
                <w:highlight w:val="none"/>
              </w:rPr>
              <w:t>联系单位：</w:t>
            </w:r>
            <w:r>
              <w:rPr>
                <w:rFonts w:hint="eastAsia" w:ascii="仿宋" w:hAnsi="仿宋" w:eastAsia="仿宋" w:cs="仿宋"/>
                <w:kern w:val="0"/>
                <w:szCs w:val="21"/>
                <w:highlight w:val="none"/>
                <w:u w:val="single"/>
              </w:rPr>
              <w:t>辽宁北方招标有限公司</w:t>
            </w:r>
          </w:p>
          <w:p w14:paraId="5D2E5AC9">
            <w:pPr>
              <w:widowControl/>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 系 人：</w:t>
            </w:r>
            <w:r>
              <w:rPr>
                <w:rFonts w:hint="eastAsia" w:ascii="仿宋" w:hAnsi="仿宋" w:eastAsia="仿宋" w:cs="仿宋"/>
                <w:kern w:val="0"/>
                <w:szCs w:val="21"/>
                <w:highlight w:val="none"/>
                <w:u w:val="single"/>
              </w:rPr>
              <w:t>张恒伟</w:t>
            </w:r>
          </w:p>
          <w:p w14:paraId="565DA623">
            <w:pPr>
              <w:widowControl/>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联系电话：</w:t>
            </w:r>
            <w:r>
              <w:rPr>
                <w:rFonts w:hint="eastAsia" w:ascii="仿宋" w:hAnsi="仿宋" w:eastAsia="仿宋" w:cs="仿宋"/>
                <w:kern w:val="0"/>
                <w:szCs w:val="21"/>
                <w:highlight w:val="none"/>
                <w:u w:val="single"/>
              </w:rPr>
              <w:t>024-23180166</w:t>
            </w:r>
          </w:p>
          <w:p w14:paraId="61BB73BD">
            <w:pPr>
              <w:widowControl/>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通讯地址：</w:t>
            </w:r>
            <w:r>
              <w:rPr>
                <w:rFonts w:hint="eastAsia" w:ascii="仿宋" w:hAnsi="仿宋" w:eastAsia="仿宋" w:cs="仿宋"/>
                <w:szCs w:val="21"/>
                <w:highlight w:val="none"/>
                <w:u w:val="single"/>
              </w:rPr>
              <w:t>沈阳市和平区三好街136号，新世界丰盛商务大厦20楼2008、2009室</w:t>
            </w:r>
          </w:p>
          <w:p w14:paraId="6F54107E">
            <w:pPr>
              <w:pStyle w:val="5"/>
              <w:ind w:firstLine="420" w:firstLineChars="200"/>
              <w:rPr>
                <w:rFonts w:hint="eastAsia" w:ascii="仿宋" w:hAnsi="仿宋" w:eastAsia="仿宋" w:cs="仿宋"/>
                <w:kern w:val="0"/>
                <w:highlight w:val="none"/>
              </w:rPr>
            </w:pPr>
            <w:r>
              <w:rPr>
                <w:rFonts w:hint="eastAsia" w:ascii="仿宋" w:hAnsi="仿宋" w:eastAsia="仿宋" w:cs="仿宋"/>
                <w:kern w:val="0"/>
                <w:highlight w:val="none"/>
              </w:rPr>
              <w:t>注：电子化质疑投诉，是依托辽宁政府采购网电子化质疑投诉系统，开展政府采购电子化质疑的提出和答复、投诉的提起和处理，实现全流程电子化办公。</w:t>
            </w:r>
          </w:p>
          <w:p w14:paraId="0709B520">
            <w:pPr>
              <w:pStyle w:val="5"/>
              <w:ind w:firstLine="420" w:firstLineChars="200"/>
              <w:rPr>
                <w:rFonts w:hint="eastAsia" w:ascii="仿宋" w:hAnsi="仿宋" w:eastAsia="仿宋" w:cs="仿宋"/>
                <w:kern w:val="0"/>
                <w:highlight w:val="none"/>
              </w:rPr>
            </w:pPr>
            <w:r>
              <w:rPr>
                <w:rFonts w:hint="eastAsia" w:ascii="仿宋" w:hAnsi="仿宋" w:eastAsia="仿宋" w:cs="仿宋"/>
                <w:kern w:val="0"/>
                <w:highlight w:val="none"/>
              </w:rPr>
              <w:t>2、质疑函的内容、格式：应符合《政府采购质疑和投诉办法》相关规定和财政部门制定的《政府采购质疑函范本》格式以及《辽宁省政府采购电子化质疑投诉管理办法》辽财采规〔2021〕8 号文件的相关规定。</w:t>
            </w:r>
          </w:p>
          <w:p w14:paraId="1A765023">
            <w:pPr>
              <w:widowControl/>
              <w:rPr>
                <w:rFonts w:hint="eastAsia" w:ascii="仿宋" w:hAnsi="仿宋" w:eastAsia="仿宋" w:cs="仿宋"/>
                <w:kern w:val="0"/>
                <w:szCs w:val="21"/>
                <w:highlight w:val="none"/>
              </w:rPr>
            </w:pPr>
            <w:r>
              <w:rPr>
                <w:rFonts w:hint="eastAsia" w:ascii="仿宋" w:hAnsi="仿宋" w:eastAsia="仿宋" w:cs="仿宋"/>
                <w:kern w:val="0"/>
                <w:highlight w:val="none"/>
              </w:rPr>
              <w:t>二、供应商应在法定质疑期内一次性针对同一采购程序环节提出质疑，否则针对再次提出质疑将不予接收。（采购程序环节分为：采购公告、采购文件、采购过程、成交结果）</w:t>
            </w:r>
          </w:p>
        </w:tc>
      </w:tr>
      <w:tr w14:paraId="7CA8C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1087" w:type="dxa"/>
            <w:vAlign w:val="center"/>
          </w:tcPr>
          <w:p w14:paraId="6E4297E3">
            <w:pPr>
              <w:widowControl/>
              <w:jc w:val="center"/>
              <w:rPr>
                <w:rFonts w:hint="eastAsia" w:ascii="仿宋" w:hAnsi="仿宋" w:eastAsia="仿宋" w:cs="仿宋"/>
                <w:kern w:val="0"/>
                <w:szCs w:val="21"/>
                <w:highlight w:val="none"/>
              </w:rPr>
            </w:pPr>
          </w:p>
        </w:tc>
        <w:tc>
          <w:tcPr>
            <w:tcW w:w="2111" w:type="dxa"/>
            <w:vAlign w:val="center"/>
          </w:tcPr>
          <w:p w14:paraId="0BC9D781">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其他要求</w:t>
            </w:r>
          </w:p>
        </w:tc>
        <w:tc>
          <w:tcPr>
            <w:tcW w:w="5995" w:type="dxa"/>
            <w:vAlign w:val="center"/>
          </w:tcPr>
          <w:p w14:paraId="595D230A">
            <w:pPr>
              <w:rPr>
                <w:rFonts w:hint="eastAsia" w:ascii="仿宋" w:hAnsi="仿宋" w:eastAsia="仿宋" w:cs="仿宋"/>
                <w:highlight w:val="none"/>
              </w:rPr>
            </w:pPr>
            <w:r>
              <w:rPr>
                <w:rFonts w:hint="eastAsia" w:ascii="仿宋" w:hAnsi="仿宋" w:eastAsia="仿宋" w:cs="仿宋"/>
                <w:highlight w:val="none"/>
              </w:rPr>
              <w:t>1、电子文件报送、响应报价提交截止时间：同提交响应文件截止时间、磋商会议时间；</w:t>
            </w:r>
          </w:p>
          <w:p w14:paraId="651612CB">
            <w:pPr>
              <w:rPr>
                <w:rFonts w:hint="eastAsia" w:ascii="仿宋" w:hAnsi="仿宋" w:eastAsia="仿宋" w:cs="仿宋"/>
                <w:highlight w:val="none"/>
              </w:rPr>
            </w:pPr>
            <w:r>
              <w:rPr>
                <w:rFonts w:hint="eastAsia" w:ascii="仿宋" w:hAnsi="仿宋" w:eastAsia="仿宋" w:cs="仿宋"/>
                <w:highlight w:val="none"/>
              </w:rPr>
              <w:t>2、电子文件解密时间：30分钟；</w:t>
            </w:r>
          </w:p>
          <w:p w14:paraId="1ADBDF9F">
            <w:pPr>
              <w:rPr>
                <w:rFonts w:hint="eastAsia" w:ascii="仿宋" w:hAnsi="仿宋" w:eastAsia="仿宋" w:cs="仿宋"/>
                <w:highlight w:val="none"/>
              </w:rPr>
            </w:pPr>
            <w:r>
              <w:rPr>
                <w:rFonts w:hint="eastAsia" w:ascii="仿宋" w:hAnsi="仿宋" w:eastAsia="仿宋" w:cs="仿宋"/>
                <w:highlight w:val="none"/>
              </w:rPr>
              <w:t>3、供应商需自备电子解密设备，代理公司不提供解密设备。</w:t>
            </w:r>
          </w:p>
          <w:p w14:paraId="001EA37E">
            <w:pPr>
              <w:rPr>
                <w:rFonts w:hint="eastAsia" w:ascii="仿宋" w:hAnsi="仿宋" w:eastAsia="仿宋" w:cs="仿宋"/>
                <w:highlight w:val="none"/>
              </w:rPr>
            </w:pPr>
            <w:r>
              <w:rPr>
                <w:rFonts w:hint="eastAsia" w:ascii="仿宋" w:hAnsi="仿宋" w:eastAsia="仿宋" w:cs="仿宋"/>
                <w:highlight w:val="none"/>
              </w:rPr>
              <w:t>4、供应商在电子评审活动中出现以下情形的，应按如下规定进行处理：</w:t>
            </w:r>
          </w:p>
          <w:p w14:paraId="3272CC40">
            <w:pPr>
              <w:rPr>
                <w:rFonts w:hint="eastAsia" w:ascii="仿宋" w:hAnsi="仿宋" w:eastAsia="仿宋" w:cs="仿宋"/>
                <w:highlight w:val="none"/>
              </w:rPr>
            </w:pPr>
            <w:r>
              <w:rPr>
                <w:rFonts w:hint="eastAsia" w:ascii="仿宋" w:hAnsi="仿宋" w:eastAsia="仿宋" w:cs="仿宋"/>
                <w:highlight w:val="none"/>
              </w:rPr>
              <w:t xml:space="preserve">    （1）因供应商原因造成响应文件未解密的；</w:t>
            </w:r>
          </w:p>
          <w:p w14:paraId="791284EC">
            <w:pPr>
              <w:rPr>
                <w:rFonts w:hint="eastAsia" w:ascii="仿宋" w:hAnsi="仿宋" w:eastAsia="仿宋" w:cs="仿宋"/>
                <w:highlight w:val="none"/>
              </w:rPr>
            </w:pPr>
            <w:r>
              <w:rPr>
                <w:rFonts w:hint="eastAsia" w:ascii="仿宋" w:hAnsi="仿宋" w:eastAsia="仿宋" w:cs="仿宋"/>
                <w:highlight w:val="none"/>
              </w:rPr>
              <w:t xml:space="preserve">    （2）因供应商自用设备原因造成的未在规定时间内解密、上传文件或响应报价等问题影响电子评审的；</w:t>
            </w:r>
          </w:p>
          <w:p w14:paraId="56823982">
            <w:pPr>
              <w:rPr>
                <w:rFonts w:hint="eastAsia" w:ascii="仿宋" w:hAnsi="仿宋" w:eastAsia="仿宋" w:cs="仿宋"/>
                <w:highlight w:val="none"/>
              </w:rPr>
            </w:pPr>
            <w:r>
              <w:rPr>
                <w:rFonts w:hint="eastAsia" w:ascii="仿宋" w:hAnsi="仿宋" w:eastAsia="仿宋" w:cs="仿宋"/>
                <w:highlight w:val="none"/>
              </w:rPr>
              <w:t xml:space="preserve">    （3）因供应商原因未对文件校验造成信息缺失、文件内容或格式不正确以及备份文件不符合要求等问题影响评审的。</w:t>
            </w:r>
          </w:p>
          <w:p w14:paraId="5CE52018">
            <w:pPr>
              <w:rPr>
                <w:rFonts w:hint="eastAsia" w:ascii="仿宋" w:hAnsi="仿宋" w:eastAsia="仿宋" w:cs="仿宋"/>
                <w:highlight w:val="none"/>
              </w:rPr>
            </w:pPr>
            <w:r>
              <w:rPr>
                <w:rFonts w:hint="eastAsia" w:ascii="仿宋" w:hAnsi="仿宋" w:eastAsia="仿宋" w:cs="仿宋"/>
                <w:highlight w:val="none"/>
              </w:rPr>
              <w:t xml:space="preserve">    出现前款（1）（2）情形的，视为放弃投标；出现前款（3）情形的，由供应商自行承担相应责任。</w:t>
            </w:r>
          </w:p>
          <w:p w14:paraId="5D0D19D3">
            <w:pPr>
              <w:rPr>
                <w:rFonts w:hint="eastAsia" w:ascii="仿宋" w:hAnsi="仿宋" w:eastAsia="仿宋" w:cs="仿宋"/>
                <w:highlight w:val="none"/>
              </w:rPr>
            </w:pPr>
            <w:r>
              <w:rPr>
                <w:rFonts w:hint="eastAsia" w:ascii="仿宋" w:hAnsi="仿宋" w:eastAsia="仿宋" w:cs="仿宋"/>
                <w:highlight w:val="none"/>
              </w:rPr>
              <w:t>5、采购活动中出现以下情况，导致电子评审系统无法正常运行，或者无法保证电子评审的公平、公正和安全时，采购人、采购代理机构应按以下规定处理：</w:t>
            </w:r>
          </w:p>
          <w:p w14:paraId="5AA49D13">
            <w:pPr>
              <w:rPr>
                <w:rFonts w:hint="eastAsia" w:ascii="仿宋" w:hAnsi="仿宋" w:eastAsia="仿宋" w:cs="仿宋"/>
                <w:highlight w:val="none"/>
              </w:rPr>
            </w:pPr>
            <w:r>
              <w:rPr>
                <w:rFonts w:hint="eastAsia" w:ascii="仿宋" w:hAnsi="仿宋" w:eastAsia="仿宋" w:cs="仿宋"/>
                <w:highlight w:val="none"/>
              </w:rPr>
              <w:t xml:space="preserve">    （1）电子评审系统发生故障导致无法登录访问；</w:t>
            </w:r>
          </w:p>
          <w:p w14:paraId="782AD18B">
            <w:pPr>
              <w:rPr>
                <w:rFonts w:hint="eastAsia" w:ascii="仿宋" w:hAnsi="仿宋" w:eastAsia="仿宋" w:cs="仿宋"/>
                <w:highlight w:val="none"/>
              </w:rPr>
            </w:pPr>
            <w:r>
              <w:rPr>
                <w:rFonts w:hint="eastAsia" w:ascii="仿宋" w:hAnsi="仿宋" w:eastAsia="仿宋" w:cs="仿宋"/>
                <w:highlight w:val="none"/>
              </w:rPr>
              <w:t xml:space="preserve">    （2）电子评审系统数据库出现错误，不能进行正常操作的；</w:t>
            </w:r>
          </w:p>
          <w:p w14:paraId="1DB5B410">
            <w:pPr>
              <w:rPr>
                <w:rFonts w:hint="eastAsia" w:ascii="仿宋" w:hAnsi="仿宋" w:eastAsia="仿宋" w:cs="仿宋"/>
                <w:highlight w:val="none"/>
              </w:rPr>
            </w:pPr>
            <w:r>
              <w:rPr>
                <w:rFonts w:hint="eastAsia" w:ascii="仿宋" w:hAnsi="仿宋" w:eastAsia="仿宋" w:cs="仿宋"/>
                <w:highlight w:val="none"/>
              </w:rPr>
              <w:t xml:space="preserve">    （3）电子评审系统出现严重安全漏洞，有潜在泄密危险的；</w:t>
            </w:r>
          </w:p>
          <w:p w14:paraId="5EC9994F">
            <w:pPr>
              <w:rPr>
                <w:rFonts w:hint="eastAsia" w:ascii="仿宋" w:hAnsi="仿宋" w:eastAsia="仿宋" w:cs="仿宋"/>
                <w:highlight w:val="none"/>
              </w:rPr>
            </w:pPr>
            <w:r>
              <w:rPr>
                <w:rFonts w:hint="eastAsia" w:ascii="仿宋" w:hAnsi="仿宋" w:eastAsia="仿宋" w:cs="仿宋"/>
                <w:highlight w:val="none"/>
              </w:rPr>
              <w:t xml:space="preserve">    （4）病毒发作导致不能进行正常操作的；</w:t>
            </w:r>
          </w:p>
          <w:p w14:paraId="770B612F">
            <w:pPr>
              <w:rPr>
                <w:rFonts w:hint="eastAsia" w:ascii="仿宋" w:hAnsi="仿宋" w:eastAsia="仿宋" w:cs="仿宋"/>
                <w:highlight w:val="none"/>
              </w:rPr>
            </w:pPr>
            <w:r>
              <w:rPr>
                <w:rFonts w:hint="eastAsia" w:ascii="仿宋" w:hAnsi="仿宋" w:eastAsia="仿宋" w:cs="仿宋"/>
                <w:highlight w:val="none"/>
              </w:rPr>
              <w:t xml:space="preserve">    （5）其他无法保证电子评审的公平、公正和安全的情况。</w:t>
            </w:r>
          </w:p>
          <w:p w14:paraId="0A9C4116">
            <w:pPr>
              <w:rPr>
                <w:rFonts w:hint="eastAsia" w:ascii="仿宋" w:hAnsi="仿宋" w:eastAsia="仿宋" w:cs="仿宋"/>
                <w:highlight w:val="none"/>
              </w:rPr>
            </w:pPr>
            <w:r>
              <w:rPr>
                <w:rFonts w:hint="eastAsia" w:ascii="仿宋" w:hAnsi="仿宋" w:eastAsia="仿宋" w:cs="仿宋"/>
                <w:highlight w:val="none"/>
              </w:rPr>
              <w:t xml:space="preserve">    出现上述情形，采购人或采购代理机构应及时向辽宁政府采购网平台运维服务机构申请技术鉴定，同时提供用户账号、项目名称及编号、具体情形等相关信息，并保持通讯畅通。平台运维服务机构将在30 分钟内对问题进行鉴定，将鉴定结果反馈采购人或采购代理机构，并记录存档。采购人、采购代理机构应将有关情况请示本级财政部门后，分类进行处理。其中：</w:t>
            </w:r>
          </w:p>
          <w:p w14:paraId="2779A9F5">
            <w:pPr>
              <w:rPr>
                <w:rFonts w:hint="eastAsia" w:ascii="仿宋" w:hAnsi="仿宋" w:eastAsia="仿宋" w:cs="仿宋"/>
                <w:highlight w:val="none"/>
              </w:rPr>
            </w:pPr>
            <w:r>
              <w:rPr>
                <w:rFonts w:hint="eastAsia" w:ascii="仿宋" w:hAnsi="仿宋" w:eastAsia="仿宋" w:cs="仿宋"/>
                <w:highlight w:val="none"/>
              </w:rPr>
              <w:t xml:space="preserve">    （1）接收投标文件截止时间前出现上述情形影响供应商上传投标文件但不影响采购活动公平公正的，可使用其备份文件进行评审。</w:t>
            </w:r>
          </w:p>
          <w:p w14:paraId="0179E1FE">
            <w:pPr>
              <w:rPr>
                <w:rFonts w:hint="eastAsia" w:ascii="仿宋" w:hAnsi="仿宋" w:eastAsia="仿宋" w:cs="仿宋"/>
                <w:highlight w:val="none"/>
              </w:rPr>
            </w:pPr>
            <w:r>
              <w:rPr>
                <w:rFonts w:hint="eastAsia" w:ascii="仿宋" w:hAnsi="仿宋" w:eastAsia="仿宋" w:cs="仿宋"/>
                <w:highlight w:val="none"/>
              </w:rPr>
              <w:t xml:space="preserve">    （2）接收投标文件截止时间后出现上述情形但短时间可以消除的，应当延长评审时间，短时间内无法消除的，可启用备份文件进行评审。</w:t>
            </w:r>
          </w:p>
          <w:p w14:paraId="3BDF736A">
            <w:pPr>
              <w:rPr>
                <w:rFonts w:hint="eastAsia" w:ascii="仿宋" w:hAnsi="仿宋" w:eastAsia="仿宋" w:cs="仿宋"/>
                <w:highlight w:val="none"/>
              </w:rPr>
            </w:pPr>
            <w:r>
              <w:rPr>
                <w:rFonts w:hint="eastAsia" w:ascii="仿宋" w:hAnsi="仿宋" w:eastAsia="仿宋" w:cs="仿宋"/>
                <w:highlight w:val="none"/>
              </w:rPr>
              <w:t xml:space="preserve">    （3）出现影响或可能影响采购活动公平公正的，应当重新开展采购活动。因未进行技术鉴定或未报本级财政部门造成质疑投诉的，由采购人、采购代理机构自行承担相应责任。</w:t>
            </w:r>
          </w:p>
          <w:p w14:paraId="065B6E72">
            <w:pPr>
              <w:rPr>
                <w:rFonts w:hint="eastAsia" w:ascii="仿宋" w:hAnsi="仿宋" w:eastAsia="仿宋" w:cs="仿宋"/>
                <w:kern w:val="0"/>
                <w:highlight w:val="none"/>
              </w:rPr>
            </w:pPr>
            <w:r>
              <w:rPr>
                <w:rFonts w:hint="eastAsia" w:ascii="仿宋" w:hAnsi="仿宋" w:eastAsia="仿宋" w:cs="仿宋"/>
                <w:highlight w:val="none"/>
              </w:rPr>
              <w:t>6、启用备份文件应由采购人、采购代理机构和相关供应商共同签字确认，供应商未到场的，通过视频方式进行确认。系统恢复后采购人或采购代理机构应及时将备份文件上传至电子评审系统，并将存储备份文件的介质与采购档案一并存档。供应商上传的响应文件正常解密的且采购活动正常进行的，备份文件自动失效。</w:t>
            </w:r>
          </w:p>
        </w:tc>
      </w:tr>
      <w:tr w14:paraId="55B8F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1087" w:type="dxa"/>
            <w:vAlign w:val="center"/>
          </w:tcPr>
          <w:p w14:paraId="7308C778">
            <w:pPr>
              <w:widowControl/>
              <w:jc w:val="center"/>
              <w:rPr>
                <w:rFonts w:hint="eastAsia" w:ascii="仿宋" w:hAnsi="仿宋" w:eastAsia="仿宋" w:cs="仿宋"/>
                <w:kern w:val="0"/>
                <w:szCs w:val="21"/>
                <w:highlight w:val="none"/>
              </w:rPr>
            </w:pPr>
          </w:p>
        </w:tc>
        <w:tc>
          <w:tcPr>
            <w:tcW w:w="2111" w:type="dxa"/>
            <w:vAlign w:val="center"/>
          </w:tcPr>
          <w:p w14:paraId="32D9351D">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发票开具</w:t>
            </w:r>
          </w:p>
        </w:tc>
        <w:tc>
          <w:tcPr>
            <w:tcW w:w="5995" w:type="dxa"/>
            <w:vAlign w:val="center"/>
          </w:tcPr>
          <w:p w14:paraId="51D77060">
            <w:pPr>
              <w:rPr>
                <w:rFonts w:hint="eastAsia" w:ascii="仿宋" w:hAnsi="仿宋" w:eastAsia="仿宋" w:cs="仿宋"/>
                <w:highlight w:val="none"/>
              </w:rPr>
            </w:pPr>
            <w:r>
              <w:rPr>
                <w:rFonts w:hint="eastAsia" w:ascii="仿宋" w:hAnsi="仿宋" w:eastAsia="仿宋" w:cs="仿宋"/>
                <w:highlight w:val="none"/>
              </w:rPr>
              <w:t>我公司开具均为电子发票，并通过邮箱发送，要求如下：</w:t>
            </w:r>
          </w:p>
          <w:p w14:paraId="50FF00B8">
            <w:pPr>
              <w:rPr>
                <w:rFonts w:hint="eastAsia" w:ascii="仿宋" w:hAnsi="仿宋" w:eastAsia="仿宋" w:cs="仿宋"/>
                <w:highlight w:val="none"/>
              </w:rPr>
            </w:pPr>
            <w:r>
              <w:rPr>
                <w:rFonts w:hint="eastAsia" w:ascii="仿宋" w:hAnsi="仿宋" w:eastAsia="仿宋" w:cs="仿宋"/>
                <w:highlight w:val="none"/>
              </w:rPr>
              <w:t>1、将开票申请发送至</w:t>
            </w:r>
            <w:r>
              <w:rPr>
                <w:highlight w:val="none"/>
              </w:rPr>
              <w:fldChar w:fldCharType="begin"/>
            </w:r>
            <w:r>
              <w:rPr>
                <w:highlight w:val="none"/>
              </w:rPr>
              <w:instrText xml:space="preserve"> HYPERLINK "mailto:lnbfcwb@163.com" </w:instrText>
            </w:r>
            <w:r>
              <w:rPr>
                <w:highlight w:val="none"/>
              </w:rPr>
              <w:fldChar w:fldCharType="separate"/>
            </w:r>
            <w:r>
              <w:rPr>
                <w:rFonts w:hint="eastAsia" w:ascii="仿宋" w:hAnsi="仿宋" w:eastAsia="仿宋" w:cs="仿宋"/>
                <w:highlight w:val="none"/>
              </w:rPr>
              <w:t>lnbfcwb@163.com</w:t>
            </w:r>
            <w:r>
              <w:rPr>
                <w:rFonts w:hint="eastAsia" w:ascii="仿宋" w:hAnsi="仿宋" w:eastAsia="仿宋" w:cs="仿宋"/>
                <w:highlight w:val="none"/>
              </w:rPr>
              <w:fldChar w:fldCharType="end"/>
            </w:r>
            <w:r>
              <w:rPr>
                <w:rFonts w:hint="eastAsia" w:ascii="仿宋" w:hAnsi="仿宋" w:eastAsia="仿宋" w:cs="仿宋"/>
                <w:highlight w:val="none"/>
              </w:rPr>
              <w:t xml:space="preserve"> ,并备注好供应商名称、项目名称、金额、用途（标书款、代理费）、所需发票类型（专票、普票）</w:t>
            </w:r>
          </w:p>
          <w:p w14:paraId="61CB779F">
            <w:pPr>
              <w:rPr>
                <w:rFonts w:hint="eastAsia" w:ascii="仿宋" w:hAnsi="仿宋" w:eastAsia="仿宋" w:cs="仿宋"/>
                <w:kern w:val="0"/>
                <w:highlight w:val="none"/>
              </w:rPr>
            </w:pPr>
            <w:r>
              <w:rPr>
                <w:rFonts w:hint="eastAsia" w:ascii="仿宋" w:hAnsi="仿宋" w:eastAsia="仿宋" w:cs="仿宋"/>
                <w:highlight w:val="none"/>
              </w:rPr>
              <w:t>2、开票周期：5个工作日</w:t>
            </w:r>
          </w:p>
        </w:tc>
      </w:tr>
    </w:tbl>
    <w:p w14:paraId="33837950">
      <w:pPr>
        <w:pStyle w:val="3"/>
        <w:adjustRightInd w:val="0"/>
        <w:snapToGrid w:val="0"/>
        <w:spacing w:before="0" w:after="0" w:line="360" w:lineRule="auto"/>
        <w:jc w:val="center"/>
        <w:rPr>
          <w:rFonts w:hint="eastAsia" w:ascii="仿宋" w:hAnsi="仿宋" w:eastAsia="仿宋" w:cs="仿宋"/>
          <w:highlight w:val="none"/>
        </w:rPr>
      </w:pPr>
      <w:r>
        <w:rPr>
          <w:rFonts w:hint="eastAsia" w:ascii="仿宋" w:hAnsi="仿宋" w:eastAsia="仿宋" w:cs="仿宋"/>
          <w:sz w:val="21"/>
          <w:szCs w:val="21"/>
          <w:highlight w:val="none"/>
        </w:rPr>
        <w:br w:type="page"/>
      </w:r>
      <w:bookmarkStart w:id="42" w:name="_Toc533340140"/>
      <w:bookmarkStart w:id="43" w:name="_Toc4485619"/>
      <w:r>
        <w:rPr>
          <w:rFonts w:hint="eastAsia" w:ascii="仿宋" w:hAnsi="仿宋" w:eastAsia="仿宋" w:cs="仿宋"/>
          <w:szCs w:val="32"/>
          <w:highlight w:val="none"/>
        </w:rPr>
        <w:t>二</w:t>
      </w:r>
      <w:r>
        <w:rPr>
          <w:rFonts w:hint="eastAsia" w:ascii="仿宋" w:hAnsi="仿宋" w:eastAsia="仿宋" w:cs="仿宋"/>
          <w:highlight w:val="none"/>
        </w:rPr>
        <w:t xml:space="preserve"> 总则</w:t>
      </w:r>
      <w:bookmarkEnd w:id="42"/>
      <w:bookmarkEnd w:id="43"/>
    </w:p>
    <w:p w14:paraId="55D1D09F">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1.采购人、采购代理机构及供应商</w:t>
      </w:r>
    </w:p>
    <w:p w14:paraId="6D3D467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1.1采购人：是指依法进行政府采购的国家机关、事业单位、团体组织。本项目采购人见供应商须知表1.1条。</w:t>
      </w:r>
    </w:p>
    <w:p w14:paraId="62C43F5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1.2采购代理机构：是指集中采购机构或从事采购代理业务的社会中介机构，本项目的采购代理机构见供应商须知表1.2条。</w:t>
      </w:r>
    </w:p>
    <w:p w14:paraId="1DBF6BE3">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★1.3供应商：是指向采购人提供货物、工程或者服务的法人、非法人组织或者自然人。本项目的供应商及其响应服务须满足以下条件：</w:t>
      </w:r>
    </w:p>
    <w:p w14:paraId="539AB78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1.3.1在中华人民共和国境内注册，能够独立承担民事责任，有生产或供应能力的本国供应商。</w:t>
      </w:r>
    </w:p>
    <w:p w14:paraId="717FD4F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1.3.2符合《中华人民共和国政府采购法》第二十二条关于供应商条件的规定，遵守本项目采购人本级和上级财政部门关于政府采购的有关规定。</w:t>
      </w:r>
    </w:p>
    <w:p w14:paraId="5019EB8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1.3.3以采购代理机构认可的方式获得了本项目的采购文件。</w:t>
      </w:r>
    </w:p>
    <w:p w14:paraId="0D6DBE8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1.3.4符合供应商须知表1.3.4条中规定的其他要求。</w:t>
      </w:r>
    </w:p>
    <w:p w14:paraId="463275F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1.3.5若供应商须知表1.3.5条中写明专门面向中小企业采购的，如供应商为非中小企业且所响应产品为非中小企业产品，其响应文件将被认定为</w:t>
      </w:r>
      <w:r>
        <w:rPr>
          <w:rFonts w:hint="eastAsia" w:ascii="仿宋" w:hAnsi="仿宋" w:eastAsia="仿宋" w:cs="仿宋"/>
          <w:b/>
          <w:bCs/>
          <w:szCs w:val="21"/>
          <w:highlight w:val="none"/>
        </w:rPr>
        <w:t>无效响应</w:t>
      </w:r>
      <w:r>
        <w:rPr>
          <w:rFonts w:hint="eastAsia" w:ascii="仿宋" w:hAnsi="仿宋" w:eastAsia="仿宋" w:cs="仿宋"/>
          <w:szCs w:val="21"/>
          <w:highlight w:val="none"/>
        </w:rPr>
        <w:t>。</w:t>
      </w:r>
    </w:p>
    <w:p w14:paraId="18E45E6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1.3.6若供应商须知表1.3.6款中写明采购服务所伴随的货物为财政部、发展改革委、生态环境部等部门发布的品目清单中属于实施政府强制采购品目清单范围的节能产品，如供应商所响应伴随的货物不具备依据国家确定的认证机构出具的、处于有效期之内的节能产品认证证书，其响应文件将被认定为</w:t>
      </w:r>
      <w:r>
        <w:rPr>
          <w:rFonts w:hint="eastAsia" w:ascii="仿宋" w:hAnsi="仿宋" w:eastAsia="仿宋" w:cs="仿宋"/>
          <w:b/>
          <w:bCs/>
          <w:szCs w:val="21"/>
          <w:highlight w:val="none"/>
        </w:rPr>
        <w:t>无效响应</w:t>
      </w:r>
      <w:r>
        <w:rPr>
          <w:rFonts w:hint="eastAsia" w:ascii="仿宋" w:hAnsi="仿宋" w:eastAsia="仿宋" w:cs="仿宋"/>
          <w:szCs w:val="21"/>
          <w:highlight w:val="none"/>
        </w:rPr>
        <w:t>。</w:t>
      </w:r>
    </w:p>
    <w:p w14:paraId="0C0718F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★1.4如供应商须知表1.4条中允许联合体参加采购活动的，对联合体规定如下：</w:t>
      </w:r>
    </w:p>
    <w:p w14:paraId="0755C3B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1.4.1两个以上供应商可以组成一个联合体，以一个供应商的身份参加采购活动。</w:t>
      </w:r>
    </w:p>
    <w:p w14:paraId="0042840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1.4.2联合体各方均应符合《中华人民共和国政府采购法》第二十二条规定的条件。</w:t>
      </w:r>
    </w:p>
    <w:p w14:paraId="12D0932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1.4.3采购人根据采购项目对供应商的特殊要求，联合体中至少应当有一方符合相关规定。</w:t>
      </w:r>
    </w:p>
    <w:p w14:paraId="66AA345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1.4.4联合体各方应签订共同参加采购活动协议，明确约定联合体各方承担的工作和相应的责任。</w:t>
      </w:r>
    </w:p>
    <w:p w14:paraId="2AA7729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1.4.5大中型企业、其他自然人、法人或者非法人组织与小型、微型企业组成联合体共同参加采购活动，共同参加采购活动协议中应写明小型、微型企业的协议合同金额占到共同参加采购活动协议响应总金额的比例。</w:t>
      </w:r>
    </w:p>
    <w:p w14:paraId="74E2D2C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1.4.6联合体中有同类资质的供应商按照联合体分工承担相同工作的，按照较低的资质等级确定联合体的资质等级。</w:t>
      </w:r>
    </w:p>
    <w:p w14:paraId="3CBC2B2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1.4.7以联合体形式参加政府采购活动的，联合体各方不得再单独参加或者与其他供应商另外组成联合体参加本项目采购活动，否则相关响应文件将被认定为</w:t>
      </w:r>
      <w:r>
        <w:rPr>
          <w:rFonts w:hint="eastAsia" w:ascii="仿宋" w:hAnsi="仿宋" w:eastAsia="仿宋" w:cs="仿宋"/>
          <w:b/>
          <w:szCs w:val="21"/>
          <w:highlight w:val="none"/>
        </w:rPr>
        <w:t>无效响应。</w:t>
      </w:r>
    </w:p>
    <w:p w14:paraId="19D0468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（1）两个以上的自然人、法人或者其他组织可以组成一个联合体，以一个供应商的身份共同参加政府采购活动。</w:t>
      </w:r>
    </w:p>
    <w:p w14:paraId="662E1D8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（2）联合体成交的，联合体各方应共同与采购人签订采购合同，就采购合同约定的事项对采购人承担连带责任。</w:t>
      </w:r>
    </w:p>
    <w:p w14:paraId="122EB8C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1.4.8对联合体参加采购活动的其他资格要求见供应商须知表1.4.8条。</w:t>
      </w:r>
    </w:p>
    <w:p w14:paraId="2572844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★1.5单位负责人为同一人或者存在直接控股、管理关系的不同供应商，其相关响应将被认定为</w:t>
      </w:r>
      <w:r>
        <w:rPr>
          <w:rFonts w:hint="eastAsia" w:ascii="仿宋" w:hAnsi="仿宋" w:eastAsia="仿宋" w:cs="仿宋"/>
          <w:b/>
          <w:szCs w:val="21"/>
          <w:highlight w:val="none"/>
        </w:rPr>
        <w:t>无效响应</w:t>
      </w:r>
      <w:r>
        <w:rPr>
          <w:rFonts w:hint="eastAsia" w:ascii="仿宋" w:hAnsi="仿宋" w:eastAsia="仿宋" w:cs="仿宋"/>
          <w:szCs w:val="21"/>
          <w:highlight w:val="none"/>
        </w:rPr>
        <w:t>。</w:t>
      </w:r>
    </w:p>
    <w:p w14:paraId="354877A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★1.6为本项目提供过整体设计、规范编制或者项目管理、监理、检测等服务的供应商，不得再参加本项目上述服务以外的其他采购活动，否则其响应文件将被认定为</w:t>
      </w:r>
      <w:r>
        <w:rPr>
          <w:rFonts w:hint="eastAsia" w:ascii="仿宋" w:hAnsi="仿宋" w:eastAsia="仿宋" w:cs="仿宋"/>
          <w:b/>
          <w:szCs w:val="21"/>
          <w:highlight w:val="none"/>
        </w:rPr>
        <w:t>无效响应</w:t>
      </w:r>
      <w:r>
        <w:rPr>
          <w:rFonts w:hint="eastAsia" w:ascii="仿宋" w:hAnsi="仿宋" w:eastAsia="仿宋" w:cs="仿宋"/>
          <w:szCs w:val="21"/>
          <w:highlight w:val="none"/>
        </w:rPr>
        <w:t>。</w:t>
      </w:r>
    </w:p>
    <w:p w14:paraId="3823D4F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★1.7供应商在磋商过程中不得向采购人提供、给予任何有价值的物品，影响其正常决策行为。一经发现，其将被认定为</w:t>
      </w:r>
      <w:r>
        <w:rPr>
          <w:rFonts w:hint="eastAsia" w:ascii="仿宋" w:hAnsi="仿宋" w:eastAsia="仿宋" w:cs="仿宋"/>
          <w:b/>
          <w:szCs w:val="21"/>
          <w:highlight w:val="none"/>
        </w:rPr>
        <w:t>无效响应</w:t>
      </w:r>
      <w:r>
        <w:rPr>
          <w:rFonts w:hint="eastAsia" w:ascii="仿宋" w:hAnsi="仿宋" w:eastAsia="仿宋" w:cs="仿宋"/>
          <w:szCs w:val="21"/>
          <w:highlight w:val="none"/>
        </w:rPr>
        <w:t>。</w:t>
      </w:r>
    </w:p>
    <w:p w14:paraId="51AD7BD1">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2.资金来源</w:t>
      </w:r>
    </w:p>
    <w:p w14:paraId="0773DF5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2.1本项目的采购人已获得足以支付本次磋商后所签订的合同项下的资金（包括财政性资金和本项目采购中无法与财政性资金分割的非财政性资金）。</w:t>
      </w:r>
    </w:p>
    <w:p w14:paraId="034BBAF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★2.2项目预算金额和分项或分包最高限价见供应商须知表2.2条。</w:t>
      </w:r>
    </w:p>
    <w:p w14:paraId="0B51401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★2.3供应商报价超过采购文件规定的预算金额或者分项、分包最高限价的，其响应文件将被认定为</w:t>
      </w:r>
      <w:r>
        <w:rPr>
          <w:rFonts w:hint="eastAsia" w:ascii="仿宋" w:hAnsi="仿宋" w:eastAsia="仿宋" w:cs="仿宋"/>
          <w:b/>
          <w:szCs w:val="21"/>
          <w:highlight w:val="none"/>
        </w:rPr>
        <w:t>无效响应</w:t>
      </w:r>
      <w:r>
        <w:rPr>
          <w:rFonts w:hint="eastAsia" w:ascii="仿宋" w:hAnsi="仿宋" w:eastAsia="仿宋" w:cs="仿宋"/>
          <w:szCs w:val="21"/>
          <w:highlight w:val="none"/>
        </w:rPr>
        <w:t>。</w:t>
      </w:r>
    </w:p>
    <w:p w14:paraId="4714BDCD">
      <w:pPr>
        <w:adjustRightInd w:val="0"/>
        <w:snapToGrid w:val="0"/>
        <w:spacing w:line="360" w:lineRule="auto"/>
        <w:rPr>
          <w:rFonts w:hint="eastAsia" w:ascii="仿宋" w:hAnsi="仿宋" w:eastAsia="仿宋" w:cs="仿宋"/>
          <w:b/>
          <w:szCs w:val="21"/>
          <w:highlight w:val="none"/>
        </w:rPr>
      </w:pPr>
      <w:bookmarkStart w:id="44" w:name="_Toc266951048"/>
      <w:r>
        <w:rPr>
          <w:rFonts w:hint="eastAsia" w:ascii="仿宋" w:hAnsi="仿宋" w:eastAsia="仿宋" w:cs="仿宋"/>
          <w:b/>
          <w:szCs w:val="21"/>
          <w:highlight w:val="none"/>
        </w:rPr>
        <w:t>3.语言文字</w:t>
      </w:r>
      <w:bookmarkEnd w:id="44"/>
    </w:p>
    <w:p w14:paraId="01C22D38">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除专用术语外，与磋商有关的语言均使用中文。必要时专用术语应附有中文注释。对不同文字文本响应文件的解释发生异议的，以中文文本为准。</w:t>
      </w:r>
    </w:p>
    <w:p w14:paraId="114D7A0A">
      <w:pPr>
        <w:adjustRightInd w:val="0"/>
        <w:snapToGrid w:val="0"/>
        <w:spacing w:line="360" w:lineRule="auto"/>
        <w:rPr>
          <w:rFonts w:hint="eastAsia" w:ascii="仿宋" w:hAnsi="仿宋" w:eastAsia="仿宋" w:cs="仿宋"/>
          <w:b/>
          <w:szCs w:val="21"/>
          <w:highlight w:val="none"/>
        </w:rPr>
      </w:pPr>
      <w:bookmarkStart w:id="45" w:name="_1.8_计量单位"/>
      <w:bookmarkEnd w:id="45"/>
      <w:bookmarkStart w:id="46" w:name="_Toc266951049"/>
      <w:r>
        <w:rPr>
          <w:rFonts w:hint="eastAsia" w:ascii="仿宋" w:hAnsi="仿宋" w:eastAsia="仿宋" w:cs="仿宋"/>
          <w:b/>
          <w:szCs w:val="21"/>
          <w:highlight w:val="none"/>
        </w:rPr>
        <w:t>★4.计量单位</w:t>
      </w:r>
      <w:bookmarkEnd w:id="46"/>
    </w:p>
    <w:p w14:paraId="644F8A0E">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除供应商须知表4条中有特殊要求外，响应文件中所使用的计量单位，应采用中华人民共和国法定计量单位。</w:t>
      </w:r>
    </w:p>
    <w:p w14:paraId="5A70234F">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★5.磋商费用</w:t>
      </w:r>
    </w:p>
    <w:p w14:paraId="1B0780F1">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不论磋商的结果如何，供应商应承担所有与本次政府采购活动有关的费用。</w:t>
      </w:r>
    </w:p>
    <w:p w14:paraId="09EA5EF8">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★6.现场考察、磋商前答疑会</w:t>
      </w:r>
    </w:p>
    <w:p w14:paraId="7F49F32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6.1</w:t>
      </w:r>
      <w:r>
        <w:rPr>
          <w:highlight w:val="none"/>
        </w:rPr>
        <w:fldChar w:fldCharType="begin"/>
      </w:r>
      <w:r>
        <w:rPr>
          <w:highlight w:val="none"/>
        </w:rPr>
        <w:instrText xml:space="preserve"> HYPERLINK \l "_踏勘现场" </w:instrText>
      </w:r>
      <w:r>
        <w:rPr>
          <w:highlight w:val="none"/>
        </w:rPr>
        <w:fldChar w:fldCharType="separate"/>
      </w:r>
      <w:r>
        <w:rPr>
          <w:rFonts w:hint="eastAsia" w:ascii="仿宋" w:hAnsi="仿宋" w:eastAsia="仿宋" w:cs="仿宋"/>
          <w:szCs w:val="21"/>
          <w:highlight w:val="none"/>
        </w:rPr>
        <w:t>供应商须知表</w:t>
      </w:r>
      <w:r>
        <w:rPr>
          <w:rFonts w:hint="eastAsia" w:ascii="仿宋" w:hAnsi="仿宋" w:eastAsia="仿宋" w:cs="仿宋"/>
          <w:szCs w:val="21"/>
          <w:highlight w:val="none"/>
        </w:rPr>
        <w:fldChar w:fldCharType="end"/>
      </w:r>
      <w:r>
        <w:rPr>
          <w:rFonts w:hint="eastAsia" w:ascii="仿宋" w:hAnsi="仿宋" w:eastAsia="仿宋" w:cs="仿宋"/>
          <w:szCs w:val="21"/>
          <w:highlight w:val="none"/>
        </w:rPr>
        <w:t>6.1条规定组织现场考察或磋商前答疑会的，采购人按</w:t>
      </w:r>
      <w:r>
        <w:rPr>
          <w:highlight w:val="none"/>
        </w:rPr>
        <w:fldChar w:fldCharType="begin"/>
      </w:r>
      <w:r>
        <w:rPr>
          <w:highlight w:val="none"/>
        </w:rPr>
        <w:instrText xml:space="preserve"> HYPERLINK \l "_踏勘现场" </w:instrText>
      </w:r>
      <w:r>
        <w:rPr>
          <w:highlight w:val="none"/>
        </w:rPr>
        <w:fldChar w:fldCharType="separate"/>
      </w:r>
      <w:r>
        <w:rPr>
          <w:rFonts w:hint="eastAsia" w:ascii="仿宋" w:hAnsi="仿宋" w:eastAsia="仿宋" w:cs="仿宋"/>
          <w:szCs w:val="21"/>
          <w:highlight w:val="none"/>
        </w:rPr>
        <w:t>供应商须知表</w:t>
      </w:r>
      <w:r>
        <w:rPr>
          <w:rFonts w:hint="eastAsia" w:ascii="仿宋" w:hAnsi="仿宋" w:eastAsia="仿宋" w:cs="仿宋"/>
          <w:szCs w:val="21"/>
          <w:highlight w:val="none"/>
        </w:rPr>
        <w:fldChar w:fldCharType="end"/>
      </w:r>
      <w:r>
        <w:rPr>
          <w:rFonts w:hint="eastAsia" w:ascii="仿宋" w:hAnsi="仿宋" w:eastAsia="仿宋" w:cs="仿宋"/>
          <w:szCs w:val="21"/>
          <w:highlight w:val="none"/>
        </w:rPr>
        <w:t>6.1条规定的时间、地点组织供应商现场考察或磋商前答疑会，或者在领取采购文件期限截止后以书面形式通知所有获取采购文件的潜在供应商。</w:t>
      </w:r>
    </w:p>
    <w:p w14:paraId="53024608">
      <w:pPr>
        <w:adjustRightInd w:val="0"/>
        <w:snapToGrid w:val="0"/>
        <w:spacing w:line="360" w:lineRule="auto"/>
        <w:rPr>
          <w:rFonts w:hint="eastAsia" w:ascii="仿宋" w:hAnsi="仿宋" w:eastAsia="仿宋" w:cs="仿宋"/>
          <w:szCs w:val="21"/>
          <w:highlight w:val="none"/>
        </w:rPr>
      </w:pPr>
      <w:bookmarkStart w:id="47" w:name="_1.10_投标预备会"/>
      <w:bookmarkEnd w:id="47"/>
      <w:r>
        <w:rPr>
          <w:rFonts w:hint="eastAsia" w:ascii="仿宋" w:hAnsi="仿宋" w:eastAsia="仿宋" w:cs="仿宋"/>
          <w:szCs w:val="21"/>
          <w:highlight w:val="none"/>
        </w:rPr>
        <w:t>6.2由于未参加现场考察或磋商前答疑而导致对项目实际情况不了解，影响技术文件编制、</w:t>
      </w:r>
      <w:r>
        <w:rPr>
          <w:highlight w:val="none"/>
        </w:rPr>
        <w:fldChar w:fldCharType="begin"/>
      </w:r>
      <w:r>
        <w:rPr>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highlight w:val="none"/>
        </w:rPr>
        <w:fldChar w:fldCharType="separate"/>
      </w:r>
      <w:r>
        <w:rPr>
          <w:rFonts w:hint="eastAsia" w:ascii="仿宋" w:hAnsi="仿宋" w:eastAsia="仿宋" w:cs="仿宋"/>
          <w:szCs w:val="21"/>
          <w:highlight w:val="none"/>
        </w:rPr>
        <w:t>响应报价</w:t>
      </w:r>
      <w:r>
        <w:rPr>
          <w:rFonts w:hint="eastAsia" w:ascii="仿宋" w:hAnsi="仿宋" w:eastAsia="仿宋" w:cs="仿宋"/>
          <w:szCs w:val="21"/>
          <w:highlight w:val="none"/>
        </w:rPr>
        <w:fldChar w:fldCharType="end"/>
      </w:r>
      <w:r>
        <w:rPr>
          <w:rFonts w:hint="eastAsia" w:ascii="仿宋" w:hAnsi="仿宋" w:eastAsia="仿宋" w:cs="仿宋"/>
          <w:szCs w:val="21"/>
          <w:highlight w:val="none"/>
        </w:rPr>
        <w:t>准确性、综合因素响应不全面等问题的，由供应商自行承担相应后果。</w:t>
      </w:r>
    </w:p>
    <w:p w14:paraId="19458E8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6.3现场考察及磋商前答疑会所发生的费用及一切责任由供应商自行承担。</w:t>
      </w:r>
    </w:p>
    <w:p w14:paraId="1C79A0EB">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7.适用法律</w:t>
      </w:r>
    </w:p>
    <w:p w14:paraId="011F22FA">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项目的采购人、采购代理机构、供应商、磋商小组的相关行为均受《中华人民共和国政府采购法》、《中华人民共和国政府采购法实施条例》、《政府采购竞争性磋商采购方式暂行办法》及本项目本级和上级财政部门关于政府采购有关规定的约束，其权利受到上述法律法规的保护。</w:t>
      </w:r>
    </w:p>
    <w:p w14:paraId="228D8EDD">
      <w:pPr>
        <w:pStyle w:val="3"/>
        <w:adjustRightInd w:val="0"/>
        <w:snapToGrid w:val="0"/>
        <w:spacing w:before="319" w:beforeLines="100" w:after="159" w:afterLines="50" w:line="360" w:lineRule="auto"/>
        <w:jc w:val="center"/>
        <w:rPr>
          <w:rFonts w:hint="eastAsia" w:ascii="仿宋" w:hAnsi="仿宋" w:eastAsia="仿宋" w:cs="仿宋"/>
          <w:highlight w:val="none"/>
        </w:rPr>
      </w:pPr>
      <w:bookmarkStart w:id="48" w:name="_Toc4485620"/>
      <w:bookmarkStart w:id="49" w:name="_Toc533340141"/>
      <w:r>
        <w:rPr>
          <w:rFonts w:hint="eastAsia" w:ascii="仿宋" w:hAnsi="仿宋" w:eastAsia="仿宋" w:cs="仿宋"/>
          <w:highlight w:val="none"/>
        </w:rPr>
        <w:t xml:space="preserve">三 </w:t>
      </w:r>
      <w:bookmarkEnd w:id="48"/>
      <w:bookmarkEnd w:id="49"/>
      <w:r>
        <w:rPr>
          <w:rFonts w:hint="eastAsia" w:ascii="仿宋" w:hAnsi="仿宋" w:eastAsia="仿宋" w:cs="仿宋"/>
          <w:highlight w:val="none"/>
        </w:rPr>
        <w:t>采购文件</w:t>
      </w:r>
    </w:p>
    <w:p w14:paraId="2BAE770D">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8.采购文件构成</w:t>
      </w:r>
    </w:p>
    <w:p w14:paraId="5F19E6A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8.1采购文件共六章，内容如下:</w:t>
      </w:r>
    </w:p>
    <w:p w14:paraId="7FB199D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采购公告</w:t>
      </w:r>
    </w:p>
    <w:p w14:paraId="5B670207">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第一章 供应商须知</w:t>
      </w:r>
    </w:p>
    <w:p w14:paraId="19C5A06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第二章 响应文件内容及格式</w:t>
      </w:r>
    </w:p>
    <w:p w14:paraId="4DA6A146">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第三章 服务需求</w:t>
      </w:r>
    </w:p>
    <w:p w14:paraId="0C85D3D3">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第四章 磋商内容、磋商过程中可能实质性变动的内容</w:t>
      </w:r>
    </w:p>
    <w:p w14:paraId="051BED85">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第五章 评审办法</w:t>
      </w:r>
    </w:p>
    <w:p w14:paraId="1B73ACB5">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第六章 政府采购合同条款及格式</w:t>
      </w:r>
    </w:p>
    <w:p w14:paraId="3FB567B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★8.2供应商应认真阅读采购文件所有的事项、格式、条款等。如供应商没有按照采购文件要求提交资料，或者响应文件没有对采购文件做出实质性响应，可能导致其响应文件被认定为</w:t>
      </w:r>
      <w:r>
        <w:rPr>
          <w:rFonts w:hint="eastAsia" w:ascii="仿宋" w:hAnsi="仿宋" w:eastAsia="仿宋" w:cs="仿宋"/>
          <w:b/>
          <w:bCs/>
          <w:szCs w:val="21"/>
          <w:highlight w:val="none"/>
        </w:rPr>
        <w:t>无效响应</w:t>
      </w:r>
      <w:r>
        <w:rPr>
          <w:rFonts w:hint="eastAsia" w:ascii="仿宋" w:hAnsi="仿宋" w:eastAsia="仿宋" w:cs="仿宋"/>
          <w:szCs w:val="21"/>
          <w:highlight w:val="none"/>
        </w:rPr>
        <w:t>。</w:t>
      </w:r>
    </w:p>
    <w:p w14:paraId="2D5951D1">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9.采购文件的澄清与修改</w:t>
      </w:r>
    </w:p>
    <w:p w14:paraId="56A49372">
      <w:pPr>
        <w:adjustRightInd w:val="0"/>
        <w:snapToGrid w:val="0"/>
        <w:spacing w:line="360" w:lineRule="auto"/>
        <w:rPr>
          <w:rFonts w:hint="eastAsia" w:ascii="仿宋" w:hAnsi="仿宋" w:eastAsia="仿宋" w:cs="仿宋"/>
          <w:szCs w:val="21"/>
          <w:highlight w:val="none"/>
          <w:shd w:val="clear" w:color="auto" w:fill="FFFFFF"/>
        </w:rPr>
      </w:pPr>
      <w:r>
        <w:rPr>
          <w:rFonts w:hint="eastAsia" w:ascii="仿宋" w:hAnsi="仿宋" w:eastAsia="仿宋" w:cs="仿宋"/>
          <w:szCs w:val="21"/>
          <w:highlight w:val="none"/>
        </w:rPr>
        <w:t>9.1</w:t>
      </w:r>
      <w:r>
        <w:rPr>
          <w:rFonts w:hint="eastAsia" w:ascii="仿宋" w:hAnsi="仿宋" w:eastAsia="仿宋" w:cs="仿宋"/>
          <w:szCs w:val="21"/>
          <w:highlight w:val="none"/>
          <w:shd w:val="clear" w:color="auto" w:fill="FFFFFF"/>
        </w:rPr>
        <w:t>采购人、采购代理机构可以对已发出的采购文件进行必要的澄清或者修改。澄清或者修改的内容可能影响响应文件编制的，应当在递交首次响应文件截止时间至少3个工作日前，</w:t>
      </w:r>
      <w:r>
        <w:rPr>
          <w:rFonts w:hint="eastAsia" w:ascii="仿宋" w:hAnsi="仿宋" w:eastAsia="仿宋" w:cs="仿宋"/>
          <w:szCs w:val="21"/>
          <w:highlight w:val="none"/>
        </w:rPr>
        <w:t>在原公告发布媒体上发布变更公告</w:t>
      </w:r>
      <w:r>
        <w:rPr>
          <w:rFonts w:hint="eastAsia" w:ascii="仿宋" w:hAnsi="仿宋" w:eastAsia="仿宋" w:cs="仿宋"/>
          <w:szCs w:val="21"/>
          <w:highlight w:val="none"/>
          <w:shd w:val="clear" w:color="auto" w:fill="FFFFFF"/>
        </w:rPr>
        <w:t>，以书面形式通知所有接收采购文件的供应商，不足3个工作日的，应当顺延首次递交响应文件截止时间。</w:t>
      </w:r>
    </w:p>
    <w:p w14:paraId="02B9521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9.2澄清或者修改的内容为采购文件的组成部分，对所有采购文件的收受人具有约束力。供应商在收到上述通知后，应及时向采购代理机构回函确认。</w:t>
      </w:r>
    </w:p>
    <w:p w14:paraId="1A8DD488">
      <w:pPr>
        <w:pStyle w:val="3"/>
        <w:adjustRightInd w:val="0"/>
        <w:snapToGrid w:val="0"/>
        <w:spacing w:before="319" w:beforeLines="100" w:after="159" w:afterLines="50" w:line="360" w:lineRule="auto"/>
        <w:jc w:val="center"/>
        <w:rPr>
          <w:rFonts w:hint="eastAsia" w:ascii="仿宋" w:hAnsi="仿宋" w:eastAsia="仿宋" w:cs="仿宋"/>
          <w:highlight w:val="none"/>
        </w:rPr>
      </w:pPr>
      <w:bookmarkStart w:id="50" w:name="_Toc533340142"/>
      <w:bookmarkStart w:id="51" w:name="_Toc4485621"/>
      <w:r>
        <w:rPr>
          <w:rFonts w:hint="eastAsia" w:ascii="仿宋" w:hAnsi="仿宋" w:eastAsia="仿宋" w:cs="仿宋"/>
          <w:highlight w:val="none"/>
        </w:rPr>
        <w:t>四  响应文件的编制</w:t>
      </w:r>
      <w:bookmarkEnd w:id="50"/>
      <w:bookmarkEnd w:id="51"/>
    </w:p>
    <w:p w14:paraId="4E1F1909">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bCs/>
          <w:szCs w:val="21"/>
          <w:highlight w:val="none"/>
        </w:rPr>
        <w:t>10.</w:t>
      </w:r>
      <w:r>
        <w:rPr>
          <w:rFonts w:hint="eastAsia" w:ascii="仿宋" w:hAnsi="仿宋" w:eastAsia="仿宋" w:cs="仿宋"/>
          <w:b/>
          <w:szCs w:val="21"/>
          <w:highlight w:val="none"/>
        </w:rPr>
        <w:t>响应范围</w:t>
      </w:r>
    </w:p>
    <w:p w14:paraId="1A103E8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10.1项目有分包的，供应商可对采购文件其中某一个分包或几个分包进行响应。</w:t>
      </w:r>
    </w:p>
    <w:p w14:paraId="7C3B3C65">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szCs w:val="21"/>
          <w:highlight w:val="none"/>
        </w:rPr>
        <w:t>★10.2供应商应当对所响应分包采购文件中“服务需求”所列的所有服务内容进行响应，如仅响应分包中某一部分内容，其该包响应文件将被认定为</w:t>
      </w:r>
      <w:r>
        <w:rPr>
          <w:rFonts w:hint="eastAsia" w:ascii="仿宋" w:hAnsi="仿宋" w:eastAsia="仿宋" w:cs="仿宋"/>
          <w:b/>
          <w:szCs w:val="21"/>
          <w:highlight w:val="none"/>
        </w:rPr>
        <w:t>无效响应。</w:t>
      </w:r>
    </w:p>
    <w:p w14:paraId="0788E4DB">
      <w:pPr>
        <w:adjustRightInd w:val="0"/>
        <w:snapToGrid w:val="0"/>
        <w:spacing w:line="360" w:lineRule="auto"/>
        <w:rPr>
          <w:rFonts w:hint="eastAsia" w:ascii="仿宋" w:hAnsi="仿宋" w:eastAsia="仿宋" w:cs="仿宋"/>
          <w:highlight w:val="none"/>
        </w:rPr>
      </w:pPr>
      <w:r>
        <w:rPr>
          <w:rFonts w:hint="eastAsia" w:ascii="仿宋" w:hAnsi="仿宋" w:eastAsia="仿宋" w:cs="仿宋"/>
          <w:szCs w:val="21"/>
          <w:highlight w:val="none"/>
        </w:rPr>
        <w:t>10.3无论采购文件第三章服务需求中是否要求，供应商所响应的服务均应符合国家强制性标准。</w:t>
      </w:r>
    </w:p>
    <w:p w14:paraId="29C06A45">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11.响应文件构成</w:t>
      </w:r>
    </w:p>
    <w:p w14:paraId="55B9A23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★11.1供应商应完整地按采购文件提供的响应文件格式及要求编写响应文件。响应文件应包括资格证明文件、符合性证明文件、其它材料三部分。具体详见第二章 响应文件内容及格式。</w:t>
      </w:r>
    </w:p>
    <w:p w14:paraId="4D903CC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11.2供应商应按采购文件提供的格式编写响应文件。采购文件提供标准格式的按标准格式填列，未提供标准格式的可自行拟定。</w:t>
      </w:r>
    </w:p>
    <w:p w14:paraId="31790F6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11.3样品或演示要求详见供应商须知表11.3条。</w:t>
      </w:r>
    </w:p>
    <w:p w14:paraId="0C511CEB">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★12.响应报价</w:t>
      </w:r>
    </w:p>
    <w:p w14:paraId="1ECF1AD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12.1所有响应均按供应商须知表12.1条中要求货币进行报价。供应商的响应报价应遵守《中华人民共和国价格法》。同时，根据《中华人民共和国政府采购法》第三条的规定，为保证公平竞争，如有服务主体部分的赠与行为，其响应文件将被认定为无效响应。</w:t>
      </w:r>
    </w:p>
    <w:p w14:paraId="0A44ADA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12.2供应商应按采购文件要求在相关表格中标明响应服务及伴随货物的单价和总价，并由法定代表人（非法人组织的负责人）或其委托代理人签署。</w:t>
      </w:r>
    </w:p>
    <w:p w14:paraId="07C69E76">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12.3供应商提交的最后报价,在合同履行过程中是固定不变的，不得以任何理由予以变更。任何包含价格调整要求的响应，其响应文件将被认定为无效响应。</w:t>
      </w:r>
    </w:p>
    <w:p w14:paraId="69B9D09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12.4每种服务只能有一个响应报价。采购人不接受具有附加条件的报价。</w:t>
      </w:r>
    </w:p>
    <w:p w14:paraId="1883DB6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12.5除非采购文件另有规定，报价原则上精确到小数点后两位。</w:t>
      </w:r>
    </w:p>
    <w:p w14:paraId="158551F2">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★13.磋商保证金</w:t>
      </w:r>
    </w:p>
    <w:p w14:paraId="36A55BA0">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13.1供应商应提交供应商须知表13.1条中规定的磋商保证金，并作为其响应文件的一部分。</w:t>
      </w:r>
    </w:p>
    <w:p w14:paraId="00B8D123">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13.2磋商保证金缴纳人、采购文件领取人、提交响应文件登记人和供应商必须为同一组织机构或联合体内不同成员单位，否则将视同未按采购文件规定交纳保证金。</w:t>
      </w:r>
    </w:p>
    <w:p w14:paraId="4D3BCE2E">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13.3供应商存在下列情形的，磋商保证金不予退还:</w:t>
      </w:r>
    </w:p>
    <w:p w14:paraId="0A61A9D6">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（1）供应商在提交响应文件截止时间后撤回响应文件的；</w:t>
      </w:r>
    </w:p>
    <w:p w14:paraId="5FBD1DA1">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（2）供应商在响应文件中提供虚假材料的；</w:t>
      </w:r>
    </w:p>
    <w:p w14:paraId="75268DBD">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（3）成交后除因不可抗力或者采购文件认可的情形以外，不按本须知第36条的规定与采购人签订合同的；</w:t>
      </w:r>
    </w:p>
    <w:p w14:paraId="63188D36">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（4）成交后不按本须知第37条的规定提交履约保证金的;</w:t>
      </w:r>
    </w:p>
    <w:p w14:paraId="3FEE2CB4">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（5）成交后不按本须知第38条的规定缴纳采购代理服务费的;</w:t>
      </w:r>
    </w:p>
    <w:p w14:paraId="2F35D84C">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（6）采购文件规定的其他保证金不予退还情形或存在其他违法违规行为的。</w:t>
      </w:r>
    </w:p>
    <w:p w14:paraId="3FB7AC7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13.4联合体参加采购活动的，可以由联合体中的一方或者共同提交磋商保证金。以一方名义提交磋商保证金的，对联合体各方均具有约束力。</w:t>
      </w:r>
    </w:p>
    <w:p w14:paraId="045FDDF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13.5磋商保证金的退还</w:t>
      </w:r>
    </w:p>
    <w:p w14:paraId="6CD3484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13.5.1成交供应商应在与采购人签订合同之日起5个工作日内，及时联系保证金收受机构办理磋商保证金退还手续。</w:t>
      </w:r>
    </w:p>
    <w:p w14:paraId="0089068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13.5.2未成交供应商的保证金将在成交通知书发出之日暨成交结果公告公布之日起5个工作日内无息退还。供应商应及时联系保证金收受机构办理退还磋商保证金手续。</w:t>
      </w:r>
    </w:p>
    <w:p w14:paraId="23CBC24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13.5.3供应商在递交响应文件截止时间前撤回已提交的响应文件的，供应商应自采购人或者采购代理机构收到供应商书面撤回通知之日起５个工作日内，及时联系保证金收受机构办理磋商保证金退还手续。</w:t>
      </w:r>
    </w:p>
    <w:p w14:paraId="5AEA07B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13.5.4政府采购担保函不予退回。</w:t>
      </w:r>
    </w:p>
    <w:p w14:paraId="5F36297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13.6因供应商自身原因导致无法及时退还的，采购人或采购代理机构将不承担相应责任。</w:t>
      </w:r>
    </w:p>
    <w:p w14:paraId="3BE0BA41">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★14.证明响应标的的合格性和符合采购文件规定的技术文件</w:t>
      </w:r>
    </w:p>
    <w:p w14:paraId="3756202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14.供应商应提交证明文件，证明其响应内容符合采购文件规定。该证明文件是响应文件的一部分。</w:t>
      </w:r>
    </w:p>
    <w:p w14:paraId="7E1CA8D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14.2上款所述的证明文件，可以是文字资料、图纸和数据。</w:t>
      </w:r>
    </w:p>
    <w:p w14:paraId="2C867283">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★15.响应有效期</w:t>
      </w:r>
    </w:p>
    <w:p w14:paraId="3CE3D1C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15.1响应应在供应商须知表15.1条中规定的响应有效期内保持有效。响应有效期不满足要求的响应，其响应文件将被认定为无效响应。</w:t>
      </w:r>
    </w:p>
    <w:p w14:paraId="0AF4608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15.2在特殊情况下，采购人或采购代理机构可根据实际情况，在原响应有效期截止之前，要求供应商延长响应的有效期。接受该要求的供应商将不会被要求和允许修正其响应，且本须知中有关磋商保证金的要求须在延长的有效期内继续有效。供应商可以拒绝延长响应有效期的要求，其磋商保证金将及时无息退还。上述要求和答复都应以书面形式提交。</w:t>
      </w:r>
    </w:p>
    <w:p w14:paraId="5C2786E3">
      <w:pPr>
        <w:adjustRightInd w:val="0"/>
        <w:snapToGrid w:val="0"/>
        <w:spacing w:line="360" w:lineRule="auto"/>
        <w:rPr>
          <w:rFonts w:hint="eastAsia" w:ascii="仿宋" w:hAnsi="仿宋" w:eastAsia="仿宋" w:cs="仿宋"/>
          <w:b/>
          <w:szCs w:val="21"/>
          <w:highlight w:val="none"/>
        </w:rPr>
      </w:pPr>
      <w:bookmarkStart w:id="52" w:name="_Toc4485622"/>
      <w:bookmarkStart w:id="53" w:name="_Toc533340143"/>
      <w:r>
        <w:rPr>
          <w:rFonts w:hint="eastAsia" w:ascii="仿宋" w:hAnsi="仿宋" w:eastAsia="仿宋" w:cs="仿宋"/>
          <w:b/>
          <w:szCs w:val="21"/>
          <w:highlight w:val="none"/>
        </w:rPr>
        <w:t>16.响应文件的签署及规定</w:t>
      </w:r>
    </w:p>
    <w:p w14:paraId="736E919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16.1供应商应按供应商须知表16.1款中的规定，准备和递交响应文件正本、副本和电子文档。</w:t>
      </w:r>
    </w:p>
    <w:p w14:paraId="73D574D3">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★16.2每份响应文件封皮须清楚地标明“正本”或“副本”。若正本和副本不符，以正本为准。</w:t>
      </w:r>
    </w:p>
    <w:p w14:paraId="5EEFAA6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16.3响应文件的正本需打印或用不褪色墨水书写，并由供应商的法定代表人（非法人组织负责人）或经其正式委托代理人按采购文件规定在响应文件上签字或盖章，并加盖单位印章。委托代理人须持有书面的“法定代表人（非法人组织负责人）授权委托书”，并将其附在响应文件中。如对响应文件进行了修改，则应由供应商的法定代表人（非法人组织负责人）或其委托代理人在每一修改处签字。响应文件的副本可采用正本的复印件。</w:t>
      </w:r>
    </w:p>
    <w:p w14:paraId="2B6A0778">
      <w:pPr>
        <w:pStyle w:val="3"/>
        <w:adjustRightInd w:val="0"/>
        <w:snapToGrid w:val="0"/>
        <w:spacing w:before="319" w:beforeLines="100" w:after="159" w:afterLines="50" w:line="360" w:lineRule="auto"/>
        <w:jc w:val="center"/>
        <w:rPr>
          <w:rFonts w:hint="eastAsia" w:ascii="仿宋" w:hAnsi="仿宋" w:eastAsia="仿宋" w:cs="仿宋"/>
          <w:highlight w:val="none"/>
        </w:rPr>
      </w:pPr>
      <w:r>
        <w:rPr>
          <w:rFonts w:hint="eastAsia" w:ascii="仿宋" w:hAnsi="仿宋" w:eastAsia="仿宋" w:cs="仿宋"/>
          <w:highlight w:val="none"/>
        </w:rPr>
        <w:t>五 响应文件的递交</w:t>
      </w:r>
    </w:p>
    <w:p w14:paraId="1DAD4157">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★17.响应文件的密封和标记</w:t>
      </w:r>
    </w:p>
    <w:p w14:paraId="1AB069A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17.1供应商应将响应文件密封，将正本和所有的副本、电子文档密封，并进行包封。</w:t>
      </w:r>
    </w:p>
    <w:p w14:paraId="7CD28E66">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17.2所有包装封皮上均应：</w:t>
      </w:r>
    </w:p>
    <w:p w14:paraId="34ADD19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（1）注明项目名称、项目编号、包号、供应商名称。</w:t>
      </w:r>
    </w:p>
    <w:p w14:paraId="0B4F904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（2）加盖供应商单位公章。</w:t>
      </w:r>
    </w:p>
    <w:p w14:paraId="065E297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17.3如果供应商未按上述要求密封，其响应文件将被</w:t>
      </w:r>
      <w:r>
        <w:rPr>
          <w:rFonts w:hint="eastAsia" w:ascii="仿宋" w:hAnsi="仿宋" w:eastAsia="仿宋" w:cs="仿宋"/>
          <w:b/>
          <w:szCs w:val="21"/>
          <w:highlight w:val="none"/>
        </w:rPr>
        <w:t>拒绝接收</w:t>
      </w:r>
      <w:r>
        <w:rPr>
          <w:rFonts w:hint="eastAsia" w:ascii="仿宋" w:hAnsi="仿宋" w:eastAsia="仿宋" w:cs="仿宋"/>
          <w:szCs w:val="21"/>
          <w:highlight w:val="none"/>
        </w:rPr>
        <w:t>。</w:t>
      </w:r>
    </w:p>
    <w:p w14:paraId="65698CE0">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★18.递交响应文件截止</w:t>
      </w:r>
    </w:p>
    <w:p w14:paraId="1D4E54A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18.1供应商应在供应商须知表18.1条中规定的截止时间前，将响应文件递交到供应商须知表18.1条中规定的地点。</w:t>
      </w:r>
    </w:p>
    <w:p w14:paraId="6111638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18.2采购人和采购代理机构有权按本须知的规定，延迟递交响应文件截止时间。在此情况下，采购人、采购代理机构和供应商受递交响应文件截止时间制约的所有权利和义务均应延长至新的截止时间。</w:t>
      </w:r>
    </w:p>
    <w:p w14:paraId="73231C7C">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★19.响应文件的接收、修改与撤回</w:t>
      </w:r>
    </w:p>
    <w:p w14:paraId="2508ABF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19.1在递交响应文件截止时间后送达的响应文件,采购人和采购代理机构将</w:t>
      </w:r>
      <w:r>
        <w:rPr>
          <w:rFonts w:hint="eastAsia" w:ascii="仿宋" w:hAnsi="仿宋" w:eastAsia="仿宋" w:cs="仿宋"/>
          <w:b/>
          <w:szCs w:val="21"/>
          <w:highlight w:val="none"/>
        </w:rPr>
        <w:t>拒绝接收。</w:t>
      </w:r>
    </w:p>
    <w:p w14:paraId="58BA2AB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19.2递交响应文件以后，如果供应商要进行修改或撤回响应文件，须提出书面申请并在提交响应文件截止时间前送达磋商地点，供应商对响应文件的修改或撤回通知应按本须知规定编制、密封、标记。采购人和采购代理机构将予以接收，并视为响应文件的组成部分，否则，修改后的响应文件或撤回行为无效。</w:t>
      </w:r>
    </w:p>
    <w:p w14:paraId="7905EF0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19.3在提交响应文件截止时间之后，除需提交最后报价外，供应商不得对其响应文件做任何修改；</w:t>
      </w:r>
    </w:p>
    <w:p w14:paraId="73B0722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19.4采购人和采购代理机构对所接收并进行磋商的响应文件概不退回。</w:t>
      </w:r>
    </w:p>
    <w:p w14:paraId="5318376E">
      <w:pPr>
        <w:pStyle w:val="3"/>
        <w:adjustRightInd w:val="0"/>
        <w:snapToGrid w:val="0"/>
        <w:spacing w:before="319" w:beforeLines="100" w:after="0" w:line="360" w:lineRule="auto"/>
        <w:jc w:val="center"/>
        <w:rPr>
          <w:rFonts w:hint="eastAsia" w:ascii="仿宋" w:hAnsi="仿宋" w:eastAsia="仿宋" w:cs="仿宋"/>
          <w:highlight w:val="none"/>
        </w:rPr>
      </w:pPr>
      <w:r>
        <w:rPr>
          <w:rFonts w:hint="eastAsia" w:ascii="仿宋" w:hAnsi="仿宋" w:eastAsia="仿宋" w:cs="仿宋"/>
          <w:highlight w:val="none"/>
        </w:rPr>
        <w:t>六 磋商及评审</w:t>
      </w:r>
    </w:p>
    <w:p w14:paraId="63135B23">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★20.磋商会议</w:t>
      </w:r>
    </w:p>
    <w:p w14:paraId="789C484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20.1采购人和采购代理机构将按供应商须知表20.1条中规定的时间和地点组织磋商会议，并邀请所有供应商代表参加。</w:t>
      </w:r>
    </w:p>
    <w:p w14:paraId="1E8E6BBF">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供应商不足3家的，不得继续磋商。</w:t>
      </w:r>
    </w:p>
    <w:p w14:paraId="58C833A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20.2由供应商或其推选的代表检查响应文件的密封情况，确认无误后进行记录。</w:t>
      </w:r>
    </w:p>
    <w:p w14:paraId="1372B9D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20.3供应商代表对磋商会议过程有疑义，以及认为采购人、采购代理机构相关工作人员有需要回避的情形的，应当场提出询问或者回避申请。</w:t>
      </w:r>
    </w:p>
    <w:p w14:paraId="3350C9C5">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★21.组建磋商小组</w:t>
      </w:r>
    </w:p>
    <w:p w14:paraId="3D5961C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21.1按照《政府采购竞争性磋商采购方式暂行办法》有关规定依法组建磋商小组，负责本项目评审工作。</w:t>
      </w:r>
    </w:p>
    <w:p w14:paraId="29091FF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highlight w:val="none"/>
        </w:rPr>
        <w:t>21.2磋商小组由采购人代表和评审专家共3人以上单数组成。达到公开招标数额的项目，磋商小组应该由5人以上单数组成。</w:t>
      </w:r>
      <w:r>
        <w:rPr>
          <w:rFonts w:hint="eastAsia" w:ascii="仿宋" w:hAnsi="仿宋" w:eastAsia="仿宋" w:cs="仿宋"/>
          <w:szCs w:val="21"/>
          <w:highlight w:val="none"/>
        </w:rPr>
        <w:t>本项目磋商小组组成详见供应商须知表21.2条。</w:t>
      </w:r>
    </w:p>
    <w:p w14:paraId="5E1CB05B">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★22.资格审查</w:t>
      </w:r>
    </w:p>
    <w:p w14:paraId="0DA67A8A">
      <w:pPr>
        <w:adjustRightInd w:val="0"/>
        <w:snapToGrid w:val="0"/>
        <w:spacing w:line="360" w:lineRule="auto"/>
        <w:rPr>
          <w:rFonts w:hint="eastAsia" w:ascii="仿宋" w:hAnsi="仿宋" w:eastAsia="仿宋" w:cs="仿宋"/>
          <w:szCs w:val="21"/>
          <w:highlight w:val="none"/>
          <w:shd w:val="clear" w:color="auto" w:fill="FFFFFF"/>
        </w:rPr>
      </w:pPr>
      <w:r>
        <w:rPr>
          <w:rFonts w:hint="eastAsia" w:ascii="仿宋" w:hAnsi="仿宋" w:eastAsia="仿宋" w:cs="仿宋"/>
          <w:highlight w:val="none"/>
        </w:rPr>
        <w:t>22.1磋商小组依据法律法规和采购文件中规定的内容，对供应商的资格（提交的资格证明材料）进行审查。未通过资格审查的供应商不能进入下一阶段评审；通过资格审查的供应商不足3家的</w:t>
      </w:r>
      <w:r>
        <w:rPr>
          <w:rFonts w:hint="eastAsia" w:ascii="仿宋" w:hAnsi="仿宋" w:eastAsia="仿宋" w:cs="仿宋"/>
          <w:szCs w:val="21"/>
          <w:highlight w:val="none"/>
          <w:shd w:val="clear" w:color="auto" w:fill="FFFFFF"/>
        </w:rPr>
        <w:t>，不得进入下一阶段评审，但本须知22.2条规定的情形除外。</w:t>
      </w:r>
    </w:p>
    <w:p w14:paraId="46B7ADB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22.2采用竞争性磋商采购方式采购的政府购买服务项目（含政府和社会资本合作项目），在采购过程中通过资格审查的供应商（社会资本）只有2家的，竞争性磋商采购活动可以继续进行。</w:t>
      </w:r>
    </w:p>
    <w:p w14:paraId="0F8F239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shd w:val="clear" w:color="auto" w:fill="FFFFFF"/>
        </w:rPr>
        <w:t>22.3</w:t>
      </w:r>
      <w:r>
        <w:rPr>
          <w:rFonts w:hint="eastAsia" w:ascii="仿宋" w:hAnsi="仿宋" w:eastAsia="仿宋" w:cs="仿宋"/>
          <w:szCs w:val="21"/>
          <w:highlight w:val="none"/>
        </w:rPr>
        <w:t>采购人或采购代理机构将在递交响应文件截止时间前一个工作日至资格审查结束前的期间内查询供应商的信用记录。供应商存在不良信用记录的，其响应将被认定为</w:t>
      </w:r>
      <w:r>
        <w:rPr>
          <w:rFonts w:hint="eastAsia" w:ascii="仿宋" w:hAnsi="仿宋" w:eastAsia="仿宋" w:cs="仿宋"/>
          <w:b/>
          <w:bCs/>
          <w:szCs w:val="21"/>
          <w:highlight w:val="none"/>
        </w:rPr>
        <w:t>无效响应</w:t>
      </w:r>
      <w:r>
        <w:rPr>
          <w:rFonts w:hint="eastAsia" w:ascii="仿宋" w:hAnsi="仿宋" w:eastAsia="仿宋" w:cs="仿宋"/>
          <w:szCs w:val="21"/>
          <w:highlight w:val="none"/>
        </w:rPr>
        <w:t>。</w:t>
      </w:r>
    </w:p>
    <w:p w14:paraId="0154110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shd w:val="clear" w:color="auto" w:fill="FFFFFF"/>
        </w:rPr>
        <w:t>22.3.1</w:t>
      </w:r>
      <w:r>
        <w:rPr>
          <w:rFonts w:hint="eastAsia" w:ascii="仿宋" w:hAnsi="仿宋" w:eastAsia="仿宋" w:cs="仿宋"/>
          <w:szCs w:val="21"/>
          <w:highlight w:val="none"/>
        </w:rPr>
        <w:t>不良信用记录指：供应商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111CDDA2">
      <w:pPr>
        <w:adjustRightInd w:val="0"/>
        <w:snapToGrid w:val="0"/>
        <w:spacing w:line="360" w:lineRule="auto"/>
        <w:ind w:firstLine="420" w:firstLineChars="200"/>
        <w:rPr>
          <w:rFonts w:hint="eastAsia" w:ascii="仿宋" w:hAnsi="仿宋" w:eastAsia="仿宋" w:cs="仿宋"/>
          <w:szCs w:val="21"/>
          <w:highlight w:val="none"/>
          <w:shd w:val="clear" w:color="auto" w:fill="FFFFFF"/>
        </w:rPr>
      </w:pPr>
      <w:r>
        <w:rPr>
          <w:rFonts w:hint="eastAsia" w:ascii="仿宋" w:hAnsi="仿宋" w:eastAsia="仿宋" w:cs="仿宋"/>
          <w:szCs w:val="21"/>
          <w:highlight w:val="none"/>
        </w:rPr>
        <w:t>以</w:t>
      </w:r>
      <w:r>
        <w:rPr>
          <w:rFonts w:hint="eastAsia" w:ascii="仿宋" w:hAnsi="仿宋" w:eastAsia="仿宋" w:cs="仿宋"/>
          <w:szCs w:val="21"/>
          <w:highlight w:val="none"/>
          <w:shd w:val="clear" w:color="auto" w:fill="FFFFFF"/>
        </w:rPr>
        <w:t>联合体形式参加政府采购活动的，联合体任何成员存在以上不良信用记录的，联合体响应文件将被认定为</w:t>
      </w:r>
      <w:r>
        <w:rPr>
          <w:rFonts w:hint="eastAsia" w:ascii="仿宋" w:hAnsi="仿宋" w:eastAsia="仿宋" w:cs="仿宋"/>
          <w:b/>
          <w:bCs/>
          <w:szCs w:val="21"/>
          <w:highlight w:val="none"/>
          <w:shd w:val="clear" w:color="auto" w:fill="FFFFFF"/>
        </w:rPr>
        <w:t>无效响应</w:t>
      </w:r>
      <w:r>
        <w:rPr>
          <w:rFonts w:hint="eastAsia" w:ascii="仿宋" w:hAnsi="仿宋" w:eastAsia="仿宋" w:cs="仿宋"/>
          <w:szCs w:val="21"/>
          <w:highlight w:val="none"/>
          <w:shd w:val="clear" w:color="auto" w:fill="FFFFFF"/>
        </w:rPr>
        <w:t>。</w:t>
      </w:r>
    </w:p>
    <w:p w14:paraId="1B6F3EE9">
      <w:pPr>
        <w:adjustRightInd w:val="0"/>
        <w:snapToGrid w:val="0"/>
        <w:spacing w:line="360" w:lineRule="auto"/>
        <w:rPr>
          <w:rFonts w:hint="eastAsia" w:ascii="仿宋" w:hAnsi="仿宋" w:eastAsia="仿宋" w:cs="仿宋"/>
          <w:szCs w:val="21"/>
          <w:highlight w:val="none"/>
          <w:shd w:val="clear" w:color="auto" w:fill="FFFFFF"/>
        </w:rPr>
      </w:pPr>
      <w:r>
        <w:rPr>
          <w:rFonts w:hint="eastAsia" w:ascii="仿宋" w:hAnsi="仿宋" w:eastAsia="仿宋" w:cs="仿宋"/>
          <w:szCs w:val="21"/>
          <w:highlight w:val="none"/>
        </w:rPr>
        <w:t>22.3.2</w:t>
      </w:r>
      <w:r>
        <w:rPr>
          <w:rFonts w:hint="eastAsia" w:ascii="仿宋" w:hAnsi="仿宋" w:eastAsia="仿宋" w:cs="仿宋"/>
          <w:szCs w:val="21"/>
          <w:highlight w:val="none"/>
          <w:shd w:val="clear" w:color="auto" w:fill="FFFFFF"/>
        </w:rPr>
        <w:t>查询及记录方式：采购代理机构经办人将查询网页打印并存档备查。供应商不良信用记录以采购人或采购代理机构查询结果为准。</w:t>
      </w:r>
    </w:p>
    <w:p w14:paraId="15CD3252">
      <w:pPr>
        <w:adjustRightInd w:val="0"/>
        <w:snapToGrid w:val="0"/>
        <w:spacing w:line="360" w:lineRule="auto"/>
        <w:ind w:firstLine="420" w:firstLineChars="200"/>
        <w:rPr>
          <w:rFonts w:hint="eastAsia" w:ascii="仿宋" w:hAnsi="仿宋" w:eastAsia="仿宋" w:cs="仿宋"/>
          <w:szCs w:val="21"/>
          <w:highlight w:val="none"/>
          <w:shd w:val="clear" w:color="auto" w:fill="FFFFFF"/>
        </w:rPr>
      </w:pPr>
      <w:r>
        <w:rPr>
          <w:rFonts w:hint="eastAsia" w:ascii="仿宋" w:hAnsi="仿宋" w:eastAsia="仿宋" w:cs="仿宋"/>
          <w:szCs w:val="21"/>
          <w:highlight w:val="none"/>
          <w:shd w:val="clear" w:color="auto" w:fill="FFFFFF"/>
        </w:rPr>
        <w:t>在本采购文件规定的查询时间之后，网站信息发生的任何变更均不再作为评审依据。</w:t>
      </w:r>
    </w:p>
    <w:p w14:paraId="7C10426C">
      <w:pPr>
        <w:adjustRightInd w:val="0"/>
        <w:snapToGrid w:val="0"/>
        <w:spacing w:line="360" w:lineRule="auto"/>
        <w:ind w:firstLine="420" w:firstLineChars="200"/>
        <w:rPr>
          <w:rFonts w:hint="eastAsia" w:ascii="仿宋" w:hAnsi="仿宋" w:eastAsia="仿宋" w:cs="仿宋"/>
          <w:szCs w:val="21"/>
          <w:highlight w:val="none"/>
          <w:shd w:val="clear" w:color="auto" w:fill="FFFFFF"/>
        </w:rPr>
      </w:pPr>
      <w:r>
        <w:rPr>
          <w:rFonts w:hint="eastAsia" w:ascii="仿宋" w:hAnsi="仿宋" w:eastAsia="仿宋" w:cs="仿宋"/>
          <w:szCs w:val="21"/>
          <w:highlight w:val="none"/>
          <w:shd w:val="clear" w:color="auto" w:fill="FFFFFF"/>
        </w:rPr>
        <w:t>供应商在自行提供的与网站信息不一致的其他证明材料亦不作为资格审查依据。</w:t>
      </w:r>
    </w:p>
    <w:p w14:paraId="16D12E7F">
      <w:pPr>
        <w:adjustRightInd w:val="0"/>
        <w:snapToGrid w:val="0"/>
        <w:spacing w:line="360" w:lineRule="auto"/>
        <w:rPr>
          <w:rFonts w:hint="eastAsia" w:ascii="仿宋" w:hAnsi="仿宋" w:eastAsia="仿宋" w:cs="仿宋"/>
          <w:b/>
          <w:szCs w:val="21"/>
          <w:highlight w:val="none"/>
          <w:shd w:val="clear" w:color="auto" w:fill="FFFFFF"/>
        </w:rPr>
      </w:pPr>
      <w:r>
        <w:rPr>
          <w:rFonts w:hint="eastAsia" w:ascii="仿宋" w:hAnsi="仿宋" w:eastAsia="仿宋" w:cs="仿宋"/>
          <w:b/>
          <w:szCs w:val="21"/>
          <w:highlight w:val="none"/>
        </w:rPr>
        <w:t>★</w:t>
      </w:r>
      <w:r>
        <w:rPr>
          <w:rFonts w:hint="eastAsia" w:ascii="仿宋" w:hAnsi="仿宋" w:eastAsia="仿宋" w:cs="仿宋"/>
          <w:b/>
          <w:szCs w:val="21"/>
          <w:highlight w:val="none"/>
          <w:shd w:val="clear" w:color="auto" w:fill="FFFFFF"/>
        </w:rPr>
        <w:t>23.符合性审查</w:t>
      </w:r>
    </w:p>
    <w:p w14:paraId="71F186B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highlight w:val="none"/>
        </w:rPr>
        <w:t>23.1</w:t>
      </w:r>
      <w:r>
        <w:rPr>
          <w:rFonts w:hint="eastAsia" w:ascii="仿宋" w:hAnsi="仿宋" w:eastAsia="仿宋" w:cs="仿宋"/>
          <w:szCs w:val="21"/>
          <w:highlight w:val="none"/>
          <w:shd w:val="clear" w:color="auto" w:fill="FFFFFF"/>
        </w:rPr>
        <w:t>符合性审查是指依据采购文件的规定，从响应文件的有效性和完整性对采购文件的响应程度进行审查，以确定是否对采购文件的实质性要求做出响应。</w:t>
      </w:r>
      <w:r>
        <w:rPr>
          <w:rFonts w:hint="eastAsia" w:ascii="仿宋" w:hAnsi="仿宋" w:eastAsia="仿宋" w:cs="仿宋"/>
          <w:szCs w:val="21"/>
          <w:highlight w:val="none"/>
        </w:rPr>
        <w:t>供应商应按照第二章《响应文件内容及格式》中的相应要求，提交符合性证明材料。未通过符合性审查的供应商不能进入下一阶段评审，其响应将被认定为</w:t>
      </w:r>
      <w:r>
        <w:rPr>
          <w:rFonts w:hint="eastAsia" w:ascii="仿宋" w:hAnsi="仿宋" w:eastAsia="仿宋" w:cs="仿宋"/>
          <w:b/>
          <w:bCs/>
          <w:szCs w:val="21"/>
          <w:highlight w:val="none"/>
        </w:rPr>
        <w:t>无效响应</w:t>
      </w:r>
      <w:r>
        <w:rPr>
          <w:rFonts w:hint="eastAsia" w:ascii="仿宋" w:hAnsi="仿宋" w:eastAsia="仿宋" w:cs="仿宋"/>
          <w:szCs w:val="21"/>
          <w:highlight w:val="none"/>
        </w:rPr>
        <w:t>；通过符合性审查的供应商数量不足3家的，不得作进一步的比较和评价，本须知第23.2条规定的情形除外。</w:t>
      </w:r>
    </w:p>
    <w:p w14:paraId="59CB013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23.2采用竞争性磋商采购方式采购的政府购买服务项目（含政府和社会资本合作项目），在采购过程中通过符合性审查的供应商（社会资本）只有2家的，竞争性磋商采购活动可以继续进行。</w:t>
      </w:r>
    </w:p>
    <w:p w14:paraId="5BFB4F4F">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24.样品及演示</w:t>
      </w:r>
    </w:p>
    <w:p w14:paraId="531E74D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24.1供应商须知表11.3条中要求供应商提供样品或演示的，按照供应商须知表24.1条中样品或演示的评审办法以及评审标准进行评审。</w:t>
      </w:r>
    </w:p>
    <w:p w14:paraId="527578E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24.2采购活动结束后，对于未成交供应商提供的样品，应当及时退还或者经未成交供应商同意后自行处理；对于成交供应商提供的样品，应当按采购文件规定进行保管、封存，并作为履约验收的参考。具体内容见供应商须知表11.3条。</w:t>
      </w:r>
    </w:p>
    <w:p w14:paraId="7FAD22F7">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25.响应文件的澄清</w:t>
      </w:r>
    </w:p>
    <w:p w14:paraId="30235C23">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25.1</w:t>
      </w:r>
      <w:r>
        <w:rPr>
          <w:rFonts w:hint="eastAsia" w:ascii="仿宋" w:hAnsi="仿宋" w:eastAsia="仿宋" w:cs="仿宋"/>
          <w:szCs w:val="21"/>
          <w:highlight w:val="none"/>
          <w:shd w:val="clear" w:color="auto" w:fill="FFFFFF"/>
        </w:rPr>
        <w:t>在磋商期间，磋商小组可以书面要求供应商对其响应文件中含义不明确、同类问题表述不一致或者有明显文字和计算错误的内容</w:t>
      </w:r>
      <w:r>
        <w:rPr>
          <w:rFonts w:hint="eastAsia" w:ascii="仿宋" w:hAnsi="仿宋" w:eastAsia="仿宋" w:cs="仿宋"/>
          <w:szCs w:val="21"/>
          <w:highlight w:val="none"/>
        </w:rPr>
        <w:t>作必要的澄清、说明或补正。供应商的澄清、说明或补正应在磋商小组规定的时间内以书面方式进行，并不得超出响应文件范围或者改变响应文件的实质性内容。供应商拒不进行澄清、说明、补正的，或者不能在规定时间内作出书面澄清、说明、补正的，其响应文件将被作为无效响应处理。</w:t>
      </w:r>
    </w:p>
    <w:p w14:paraId="57926EA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25.1.1供应商的澄清、说明或者补正应当由法定代表人（或非法人组织负责人）或其授权代表签字或者加盖公章。供应商为自然人的，应当由本人签字并附身份证明。</w:t>
      </w:r>
    </w:p>
    <w:p w14:paraId="27ACB306">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25.1.2供应商的澄清、说明或补正将作为响应文件的一部分。</w:t>
      </w:r>
    </w:p>
    <w:p w14:paraId="275CAE4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25.2响应文件报价出现前后不一致的，按照下列规定修正：</w:t>
      </w:r>
    </w:p>
    <w:p w14:paraId="2997472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（1）响应文件中报价一览表内容与响应文件中相应内容不一致的，以报价一览表为准；</w:t>
      </w:r>
    </w:p>
    <w:p w14:paraId="2B9200E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（2）大写金额和小写金额不一致的，以大写金额为准；</w:t>
      </w:r>
    </w:p>
    <w:p w14:paraId="1B38A3C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（3）单价金额小数点或者百分比有明显错位的，以报价一览表的总价为准，并修改单价；</w:t>
      </w:r>
    </w:p>
    <w:p w14:paraId="66F02D0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（4）总价金额与按单价汇总金额不一致的，以单价金额计算结果为准。</w:t>
      </w:r>
    </w:p>
    <w:p w14:paraId="26FBA183">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同时出现两种以上不一致的，按照前款规定的顺序修正。修正后的报价经供应商确认后产生约束力，供应商不确认的，其响应文件将被认定为无效响应。</w:t>
      </w:r>
    </w:p>
    <w:p w14:paraId="1E6FD4C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25.3</w:t>
      </w:r>
      <w:r>
        <w:rPr>
          <w:rFonts w:hint="eastAsia" w:ascii="仿宋" w:hAnsi="仿宋" w:eastAsia="仿宋" w:cs="仿宋"/>
          <w:bCs/>
          <w:szCs w:val="21"/>
          <w:highlight w:val="none"/>
        </w:rPr>
        <w:t>磋商小组认为</w:t>
      </w:r>
      <w:r>
        <w:rPr>
          <w:rFonts w:hint="eastAsia" w:ascii="仿宋" w:hAnsi="仿宋" w:eastAsia="仿宋" w:cs="仿宋"/>
          <w:szCs w:val="21"/>
          <w:highlight w:val="none"/>
        </w:rPr>
        <w:t>供应商的最后报价明显低于其他通过符合性审查供应商的报价，有可能影响服务质量或者不能诚信履约的，应当要求其在磋商现场合理的时间内提供书面说明，必要时提交相关证明材料；供应商不能证明其报价合理性的，磋商小组应当将其作为无效响应处理。提交 证明材料的合理时间按第五章 评审办法规定执行。</w:t>
      </w:r>
    </w:p>
    <w:p w14:paraId="43422331">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★26.磋商</w:t>
      </w:r>
    </w:p>
    <w:p w14:paraId="5B4CED4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26.1磋商小组将集中根据采购文件规定的程序、评定成交的标准等事项与实质性响应采购文件要求的供应商分别进行磋商。在磋商中，磋商的任何一方不得透露与磋商有关的其他供应商的技术资料、价格和其他信息。</w:t>
      </w:r>
    </w:p>
    <w:p w14:paraId="3137E53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26.2在磋商过程中，磋商小组可以根据采购文件和磋商情况，</w:t>
      </w:r>
      <w:r>
        <w:rPr>
          <w:rFonts w:hint="eastAsia" w:ascii="仿宋" w:hAnsi="仿宋" w:eastAsia="仿宋" w:cs="仿宋"/>
          <w:b/>
          <w:szCs w:val="21"/>
          <w:highlight w:val="none"/>
        </w:rPr>
        <w:t>经采购人代表确认后</w:t>
      </w:r>
      <w:r>
        <w:rPr>
          <w:rFonts w:hint="eastAsia" w:ascii="仿宋" w:hAnsi="仿宋" w:eastAsia="仿宋" w:cs="仿宋"/>
          <w:szCs w:val="21"/>
          <w:highlight w:val="none"/>
        </w:rPr>
        <w:t>变动采购需求中的技术、服务要求以及合同草案条例等实质性内容。</w:t>
      </w:r>
    </w:p>
    <w:p w14:paraId="4861EED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26.3对采购文件作出实质性变动是采购文件的有效组成部分，磋商小组将以书面形式同时通知所有参加磋商的供应商。</w:t>
      </w:r>
    </w:p>
    <w:p w14:paraId="7015535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26.4供应商应当按照采购文件的变动情况和磋商小组的要求重新提交响应文件，并由其法定代表人或授权代表签字或者加盖公章。由授权代表签字的，应当附法定代表人（或非法人组织负责人）授权书。供应商为自然人的，应当由本人签字并附身份证明。</w:t>
      </w:r>
    </w:p>
    <w:p w14:paraId="7D2C6176">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★27.最后报价</w:t>
      </w:r>
    </w:p>
    <w:p w14:paraId="2AA3F91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27.1磋商结束后，磋商小组将要求所有实质性响应的供应商在规定时间内提交最后报价，且提交最后报价的供应商不少于3家，本须知第27.2条规定的情形除外。</w:t>
      </w:r>
    </w:p>
    <w:p w14:paraId="6F9869C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27.2采用竞争性磋商方式开展采购的“市场竞争不充分的科研项目，以及需要扶持的科技成果转化项目”，或符合23.2规定的情形的，提交最后报价的供应商可以为2家。</w:t>
      </w:r>
    </w:p>
    <w:p w14:paraId="451F09D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27.3最后报价是供应商响应文件的有效组成部分。</w:t>
      </w:r>
    </w:p>
    <w:p w14:paraId="52C9D51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27.4已提交响应文件的供应商，在提交最后报价之前，可以根据磋商情况退出磋商，退出磋商不视为撤回响应文件，退出磋商不影响退出磋商的供应商对已经递交的响应文件承担法律、法规和采购文件中规定的相应责任。采购人,采购代理机构应当退还退出磋商的供应商的保证金。</w:t>
      </w:r>
    </w:p>
    <w:p w14:paraId="2401F9CE">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★28.响应无效</w:t>
      </w:r>
    </w:p>
    <w:p w14:paraId="7AD90AC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28.1 在比较与评价之前，根据本须知的规定，磋商小组将审查每份响应文件是否实质上响应了采购文件的要求。</w:t>
      </w:r>
    </w:p>
    <w:p w14:paraId="737E93C8">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实质性要求是指采购文件中带有★号标识内容（包括本级及其下级编号中所有内容）等文字说明的要求。</w:t>
      </w:r>
    </w:p>
    <w:p w14:paraId="59F861A8">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kern w:val="0"/>
          <w:szCs w:val="21"/>
          <w:highlight w:val="none"/>
        </w:rPr>
        <w:t>对采购文件的实质性要求进行响应是指与采购文件中带有★号标识内容的文字说明、条款、条件和规格等要求相符。</w:t>
      </w:r>
    </w:p>
    <w:p w14:paraId="28C74991">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如果响应文件没有对采购文件的实质性要求进行响应，将作为</w:t>
      </w:r>
      <w:r>
        <w:rPr>
          <w:rFonts w:hint="eastAsia" w:ascii="仿宋" w:hAnsi="仿宋" w:eastAsia="仿宋" w:cs="仿宋"/>
          <w:b/>
          <w:bCs/>
          <w:szCs w:val="21"/>
          <w:highlight w:val="none"/>
        </w:rPr>
        <w:t>无效响应</w:t>
      </w:r>
      <w:r>
        <w:rPr>
          <w:rFonts w:hint="eastAsia" w:ascii="仿宋" w:hAnsi="仿宋" w:eastAsia="仿宋" w:cs="仿宋"/>
          <w:szCs w:val="21"/>
          <w:highlight w:val="none"/>
        </w:rPr>
        <w:t>处理，供应商不得再对响应文件进行任何修正从而使其响应成为实质上响应。</w:t>
      </w:r>
    </w:p>
    <w:p w14:paraId="005E09D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磋商小组决定是否实质性响应只根据采购文件要求、响应文件内容及财政主管部门指定媒体发布的相关信息。</w:t>
      </w:r>
    </w:p>
    <w:p w14:paraId="32ACE9A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28.2如发现下列情况之一的，其响应文件将被认定为无效响应：</w:t>
      </w:r>
    </w:p>
    <w:p w14:paraId="2E8C965E">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（1）未按采购文件的规定提交磋商保证金的；</w:t>
      </w:r>
    </w:p>
    <w:p w14:paraId="62716F2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（2）未按照采购文件规定要求签署、盖章的；</w:t>
      </w:r>
    </w:p>
    <w:p w14:paraId="34C3528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（3）供应商的报价超过了采购文件中规定的预算金额或者最高限价的；</w:t>
      </w:r>
    </w:p>
    <w:p w14:paraId="44414FC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（4）不具备采购文件中规定的资格要求的；</w:t>
      </w:r>
    </w:p>
    <w:p w14:paraId="189E0CC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（5）不符合法律、法规和采购文件中规定的实质性要求的。</w:t>
      </w:r>
    </w:p>
    <w:p w14:paraId="025D5B2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（6）响应文件含有采购人不能接受的附加条件的；</w:t>
      </w:r>
    </w:p>
    <w:p w14:paraId="527EC2B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（7）属于法律、法规和采购文件中规定的其他无效响应情形的。</w:t>
      </w:r>
    </w:p>
    <w:p w14:paraId="6401586D">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29.比较与评价</w:t>
      </w:r>
    </w:p>
    <w:p w14:paraId="22AA2BE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29.1经符合性审查合格的响应文件，磋商小组将根据采购文件第五章确定的评审办法，对其技术部分和商务部分作进一步的比较和评价。</w:t>
      </w:r>
    </w:p>
    <w:p w14:paraId="75643D9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29.2评审严格按照采购文件的要求和条件进行。按照供应商须知表29.2条规定的综合评分法进行评审，详细评审标准见采购文件第五章 评审方法。</w:t>
      </w:r>
    </w:p>
    <w:p w14:paraId="219C054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综合评分法，是指响应文件满足采购文件全部实质性要求且按评审因素的量化指标评审得分最高的供应商为成交候选供应商的评审方法。</w:t>
      </w:r>
    </w:p>
    <w:p w14:paraId="79824D06">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29.3 根据《财政部 工业和信息化部关于印发&lt;政府采购促进中小企业发展管理办法&gt;的通知》（财库[2020]46号）、《财政部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响应文件中提交了《中小企业声明函》等相关材料或省级以上监狱管理局、戒毒管理局（含新疆生产建设兵团）出具的属于监狱企业的证明文件的供应商，其最后报价扣除 6-10%后参与评审。具体详见第五章 评审办法。</w:t>
      </w:r>
    </w:p>
    <w:p w14:paraId="16D1EB26">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29.4 依据财政部、发展改革委、生态环境部等部门发布的品目清单和国家确定的认证机构出具的、处于有效期之内的节能产品、环境标志产品认证证书实施政府优先采购。具体优先采购办法详见第五章 评审办法。</w:t>
      </w:r>
    </w:p>
    <w:p w14:paraId="0E36CFF9">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29.5依据财政部 国务院扶贫办《关于运用政府采购政策支持脱贫攻坚的通知》（财库〔2019〕27 号）的规定，对于聘用建档立卡贫困人员物业公司的项目，在满足价格扣除条件且在响应文件中提交了《聘用建档立卡贫困人员物业公司声明函》的供应商，对其最后报价扣除后参与评审。具体办法详见第五章 评审办法。</w:t>
      </w:r>
    </w:p>
    <w:p w14:paraId="67D53BA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29.6根据财政部、辽宁省财政厅相关规定，对于列入《创新产品和服务目录》内的产品、服务实施政府优先采购，具体优先采购办法详见第五章 评审办法。</w:t>
      </w:r>
    </w:p>
    <w:p w14:paraId="7A5E5858">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★30.终止本次磋商</w:t>
      </w:r>
    </w:p>
    <w:p w14:paraId="107030A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出现下列情形之一的，采购人或采购代理机构应当终止本次竞争性磋商。</w:t>
      </w:r>
    </w:p>
    <w:p w14:paraId="3B06C30B">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（1）因情况变化，不再符合规定的竞争性磋商采购方式适用情形的；</w:t>
      </w:r>
    </w:p>
    <w:p w14:paraId="0D75511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（2）出现影响采购公正的违法、违规行为的；</w:t>
      </w:r>
    </w:p>
    <w:p w14:paraId="68B3CB5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（3）除本须知27.2条规定的情形外，在采购过程中符合要求的供应商或者报价未超过采购预算或最高限价的供应商不足3家的。</w:t>
      </w:r>
    </w:p>
    <w:p w14:paraId="548DDF51">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（4）因重大变故，采购任务取消的。</w:t>
      </w:r>
    </w:p>
    <w:p w14:paraId="61BCFE2A">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31.成交候选供应商的推荐原则及标准</w:t>
      </w:r>
    </w:p>
    <w:p w14:paraId="2A6F85F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31.1除第34条规定外，磋商结束后，除了算数修正和落实政府采购政策需进行的价格扣除外，不对供应商的响应价格进行任何调整。评审结果按照得分由高至低的顺序排序。具体处理办法详见 第五章 评审方法。</w:t>
      </w:r>
    </w:p>
    <w:p w14:paraId="13746154">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31.2磋商小组将按供应商须知表31.2条中规定的数量推荐成交候选供应商。</w:t>
      </w:r>
    </w:p>
    <w:p w14:paraId="72C6973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31.3因推荐成交候选供应商名单产生其他问题，由磋商小组集体研究处理。</w:t>
      </w:r>
    </w:p>
    <w:p w14:paraId="47A553E2">
      <w:pPr>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★32.保密原则</w:t>
      </w:r>
    </w:p>
    <w:p w14:paraId="2C8FD2A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32.1评审将在严格保密的情况下进行。</w:t>
      </w:r>
    </w:p>
    <w:p w14:paraId="24912A6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32.2有关人员应当遵守评审工作纪律，不得泄露评审文件、评审情况和评审过程中获悉的国家秘密、商业秘密。</w:t>
      </w:r>
    </w:p>
    <w:p w14:paraId="7015AF06">
      <w:pPr>
        <w:pStyle w:val="3"/>
        <w:adjustRightInd w:val="0"/>
        <w:snapToGrid w:val="0"/>
        <w:spacing w:before="159" w:beforeLines="50" w:after="0" w:line="360" w:lineRule="auto"/>
        <w:jc w:val="center"/>
        <w:rPr>
          <w:rFonts w:hint="eastAsia" w:ascii="仿宋" w:hAnsi="仿宋" w:eastAsia="仿宋" w:cs="仿宋"/>
          <w:highlight w:val="none"/>
        </w:rPr>
      </w:pPr>
      <w:r>
        <w:rPr>
          <w:rFonts w:hint="eastAsia" w:ascii="仿宋" w:hAnsi="仿宋" w:eastAsia="仿宋" w:cs="仿宋"/>
          <w:highlight w:val="none"/>
        </w:rPr>
        <w:t>七 确定成交</w:t>
      </w:r>
    </w:p>
    <w:p w14:paraId="0AE87D0F">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33.确定成交供应商</w:t>
      </w:r>
    </w:p>
    <w:p w14:paraId="14124FF0">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采购人在收到评审报告5个工作日内,从评审报告提出的成交候选供应商中,根据质量和服务均能满足采购文件实质性响应要求且综合得分最高的原则确定成交供应商,也可以书面授权磋商小组直接确定成交供应商。本项目成交供应商确定方式详见供应商须知表33条。</w:t>
      </w:r>
    </w:p>
    <w:p w14:paraId="1D917977">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★34.采购任务取消</w:t>
      </w:r>
    </w:p>
    <w:p w14:paraId="70ED847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因重大变故采购任务取消时，采购人有权拒绝任何供应商成交，且对受影响的供应商不承担任何责任。</w:t>
      </w:r>
    </w:p>
    <w:p w14:paraId="62FF0EC9">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35.成交通知书</w:t>
      </w:r>
    </w:p>
    <w:p w14:paraId="6DE71B2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35.1采购人或者采购代理机构应当在成交供应商确定之日起2个工作日内，在辽宁政府采购网及其地方分网媒体上公告成交结果，同时向成交供应商发出成交通知书。</w:t>
      </w:r>
    </w:p>
    <w:p w14:paraId="56094A62">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35.2成交通知书是合同的组成部分。</w:t>
      </w:r>
    </w:p>
    <w:p w14:paraId="3D7779D4">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★36.签订合同</w:t>
      </w:r>
    </w:p>
    <w:p w14:paraId="2B8986E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36.1成交供应商应当自发出成交通知书之日起 30 日内，按照采购文件确定的合同文本以及采购标的、采购金额、采购数量、技术和服务要求等事项签订政府采购合同。</w:t>
      </w:r>
    </w:p>
    <w:p w14:paraId="5608C09A">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36.2除不可抗力等因素外，成交通知书发出后，采购人改变成交结果，或者成交供应商拒绝签订政府采购合同的，应当承担相应的法律责任。</w:t>
      </w:r>
    </w:p>
    <w:p w14:paraId="28D1C3BD">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36.3采购文件、成交供应商的响应文件及其澄清文件等，均为签订合同的依据。所签订的合同不得对采购文件确定的事项和成交供应商响应文件作实质性修改。采购人不得向成交供应商提出超出采购文件以外的任何不合理的要求，作为签订合同的条件，不得与成交供应商订立背离采购文件确定的合同文本以及采购标的、采购金额、采购数量、技术和服务要求等实质性内容的协议。</w:t>
      </w:r>
    </w:p>
    <w:p w14:paraId="124F03CD">
      <w:pPr>
        <w:adjustRightInd w:val="0"/>
        <w:snapToGrid w:val="0"/>
        <w:spacing w:line="360" w:lineRule="auto"/>
        <w:rPr>
          <w:rFonts w:hint="eastAsia" w:ascii="仿宋" w:hAnsi="仿宋" w:eastAsia="仿宋" w:cs="仿宋"/>
          <w:kern w:val="0"/>
          <w:sz w:val="22"/>
          <w:highlight w:val="none"/>
        </w:rPr>
      </w:pPr>
      <w:r>
        <w:rPr>
          <w:rFonts w:hint="eastAsia" w:ascii="仿宋" w:hAnsi="仿宋" w:eastAsia="仿宋" w:cs="仿宋"/>
          <w:szCs w:val="21"/>
          <w:highlight w:val="none"/>
        </w:rPr>
        <w:t>36.4成交供应商拒绝与采购人签订合同的，采购人可以按照评审报告推荐的成交候选供应商名单排序，确定下一成交候选供应商为成交供应商，也可以重新开展政府采购活动。拒绝签订政府采购合同的成交供应商不得参加对该项目重新开展的采购活动</w:t>
      </w:r>
      <w:r>
        <w:rPr>
          <w:rFonts w:hint="eastAsia" w:ascii="仿宋" w:hAnsi="仿宋" w:eastAsia="仿宋" w:cs="仿宋"/>
          <w:kern w:val="0"/>
          <w:sz w:val="22"/>
          <w:highlight w:val="none"/>
        </w:rPr>
        <w:t>。</w:t>
      </w:r>
    </w:p>
    <w:p w14:paraId="7C5196A7">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★37.履约保证金</w:t>
      </w:r>
    </w:p>
    <w:p w14:paraId="610D73EF">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37.1成交供应商应按照供应商须知表37.1条规定向采购人缴纳履约保证金。</w:t>
      </w:r>
    </w:p>
    <w:p w14:paraId="5C258DFC">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37.2如果成交供应商没有按照上述履约保证金的规定执行，将视为拒绝签订合同并放弃成交资格，成交供应商的磋商保证金将不予退还。在此情况下，采购人可确定下一成交候选供应商为成交供应商，也可以重新开展采购活动。</w:t>
      </w:r>
    </w:p>
    <w:p w14:paraId="27C4E78C">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★38.采购代理服务费</w:t>
      </w:r>
    </w:p>
    <w:p w14:paraId="47F3A805">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成交供应商须按照供应商须知表38条规定，向采购代理机构支付采购代理服务费。</w:t>
      </w:r>
    </w:p>
    <w:p w14:paraId="6981B090">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39.廉洁自律规定</w:t>
      </w:r>
    </w:p>
    <w:p w14:paraId="2F5F81F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39.1采购代理机构工作人员不得以不正当手段获取政府采购代理业务，不得与采购人、供应商恶意串通操纵政府采购活动。</w:t>
      </w:r>
    </w:p>
    <w:p w14:paraId="7E09D20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39.2采购代理机构工作人员不得接受采购人或者供应商组织的宴请、旅游、娱乐，不得收受礼品、现金、有价证券等。</w:t>
      </w:r>
    </w:p>
    <w:p w14:paraId="59CAFC3B">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40.人员回避</w:t>
      </w:r>
    </w:p>
    <w:p w14:paraId="5B3B4B5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供应商认为采购人及其相关人员有法律法规所列与其他供应商有利害关系的，可以向采购人或采购代理机构书面提出回避申请，并说明理由。</w:t>
      </w:r>
    </w:p>
    <w:p w14:paraId="0CC6DFCB">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41.质疑与接收</w:t>
      </w:r>
    </w:p>
    <w:p w14:paraId="44841A4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41.1供应商认为采购文件、采购过程和成交结果使自己的权益受到损害的，可以根据《中华人民共和国政府采购法》、《中华人民共和国政府采购法实施条例》、《政府采购竞争性磋商采购方式暂行办法》和《政府采购质疑和投诉办法》的有关规定，依法向采购人或其委托的采购代理机构提出质疑。</w:t>
      </w:r>
    </w:p>
    <w:p w14:paraId="1AF10417">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41.2质疑供应商应按照财政部门制定的《政府采购质疑函范本》格式（详见辽宁政府采购网）和《政府采购质疑和投诉办法》的要求，在法定质疑期内以纸质形式提出质疑，针对同一采购程序环节的质疑应一次性提出。</w:t>
      </w:r>
    </w:p>
    <w:p w14:paraId="2B36A838">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超出法定质疑期的、重复提出的、分次提出的或内容、形式不符合《政府采购质疑和投诉办法》的，质疑供应商将依法承担不利后果。</w:t>
      </w:r>
    </w:p>
    <w:p w14:paraId="6AE03938">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41.3采购代理机构质疑函接收部门、联系电话和通讯地址, 见供应商须知表41.3条。</w:t>
      </w:r>
    </w:p>
    <w:p w14:paraId="3700011F">
      <w:p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42.履约验收</w:t>
      </w:r>
    </w:p>
    <w:p w14:paraId="1637CBC5">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szCs w:val="21"/>
          <w:highlight w:val="none"/>
        </w:rPr>
        <w:t>本项目采购人及其委托的采购代理机构将严格按照政府采购相关法律法规以及《辽宁省政府采购履约验收管理办法》（辽财采〔2017〕603号）的要求进行验收。</w:t>
      </w:r>
    </w:p>
    <w:p w14:paraId="7590FF4F">
      <w:pPr>
        <w:pStyle w:val="2"/>
        <w:adjustRightInd w:val="0"/>
        <w:snapToGrid w:val="0"/>
        <w:spacing w:before="0" w:after="0" w:line="240" w:lineRule="auto"/>
        <w:jc w:val="center"/>
        <w:rPr>
          <w:rFonts w:hint="eastAsia" w:ascii="仿宋" w:hAnsi="仿宋" w:eastAsia="仿宋" w:cs="仿宋"/>
          <w:highlight w:val="none"/>
        </w:rPr>
      </w:pPr>
      <w:bookmarkStart w:id="54" w:name="_Toc4485625"/>
      <w:r>
        <w:rPr>
          <w:rFonts w:hint="eastAsia" w:ascii="仿宋" w:hAnsi="仿宋" w:eastAsia="仿宋" w:cs="仿宋"/>
          <w:highlight w:val="none"/>
        </w:rPr>
        <w:br w:type="page"/>
      </w:r>
      <w:bookmarkStart w:id="55" w:name="_Toc29410"/>
      <w:bookmarkStart w:id="177" w:name="_GoBack"/>
      <w:bookmarkEnd w:id="177"/>
      <w:r>
        <w:rPr>
          <w:rFonts w:hint="eastAsia" w:ascii="仿宋" w:hAnsi="仿宋" w:eastAsia="仿宋" w:cs="仿宋"/>
          <w:highlight w:val="none"/>
        </w:rPr>
        <w:t>第二章 响应文件内容及格式</w:t>
      </w:r>
      <w:bookmarkEnd w:id="54"/>
      <w:bookmarkEnd w:id="55"/>
    </w:p>
    <w:p w14:paraId="569F631F">
      <w:pPr>
        <w:rPr>
          <w:rFonts w:hint="eastAsia" w:ascii="仿宋" w:hAnsi="仿宋" w:eastAsia="仿宋" w:cs="仿宋"/>
          <w:highlight w:val="none"/>
        </w:rPr>
      </w:pPr>
      <w:bookmarkStart w:id="56" w:name="投标文件内容及格式：Block"/>
      <w:bookmarkEnd w:id="56"/>
      <w:bookmarkStart w:id="57" w:name="sys_投标文件内容及格式：Block"/>
      <w:bookmarkEnd w:id="57"/>
      <w:r>
        <w:rPr>
          <w:rFonts w:hint="eastAsia" w:ascii="仿宋" w:hAnsi="仿宋" w:eastAsia="仿宋" w:cs="仿宋"/>
          <w:b/>
          <w:sz w:val="24"/>
          <w:highlight w:val="none"/>
        </w:rPr>
        <w:t>一、响应文件、电子文档的外封面、封口、封皮及目录</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44"/>
        <w:gridCol w:w="882"/>
      </w:tblGrid>
      <w:tr w14:paraId="7F3F5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77" w:type="dxa"/>
            <w:vAlign w:val="center"/>
          </w:tcPr>
          <w:p w14:paraId="3BAA8BFB">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6944" w:type="dxa"/>
            <w:vAlign w:val="center"/>
          </w:tcPr>
          <w:p w14:paraId="18C8EF5B">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内容</w:t>
            </w:r>
          </w:p>
        </w:tc>
        <w:tc>
          <w:tcPr>
            <w:tcW w:w="882" w:type="dxa"/>
            <w:vAlign w:val="center"/>
          </w:tcPr>
          <w:p w14:paraId="6F93415C">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格式</w:t>
            </w:r>
          </w:p>
        </w:tc>
      </w:tr>
      <w:tr w14:paraId="1C858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3BB8D7AC">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c>
          <w:tcPr>
            <w:tcW w:w="6944" w:type="dxa"/>
            <w:vAlign w:val="center"/>
          </w:tcPr>
          <w:p w14:paraId="3D36B3D5">
            <w:pPr>
              <w:snapToGrid w:val="0"/>
              <w:spacing w:line="360" w:lineRule="exact"/>
              <w:jc w:val="left"/>
              <w:rPr>
                <w:rFonts w:hint="eastAsia" w:ascii="仿宋" w:hAnsi="仿宋" w:eastAsia="仿宋" w:cs="仿宋"/>
                <w:szCs w:val="21"/>
                <w:highlight w:val="none"/>
              </w:rPr>
            </w:pPr>
            <w:r>
              <w:rPr>
                <w:rFonts w:hint="eastAsia" w:ascii="仿宋" w:hAnsi="仿宋" w:eastAsia="仿宋" w:cs="仿宋"/>
                <w:szCs w:val="21"/>
                <w:highlight w:val="none"/>
              </w:rPr>
              <w:t>响应文件的外封面及封口</w:t>
            </w:r>
          </w:p>
        </w:tc>
        <w:tc>
          <w:tcPr>
            <w:tcW w:w="882" w:type="dxa"/>
            <w:vAlign w:val="center"/>
          </w:tcPr>
          <w:p w14:paraId="769DBDC1">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r>
      <w:tr w14:paraId="03AF0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4A316805">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c>
          <w:tcPr>
            <w:tcW w:w="6944" w:type="dxa"/>
            <w:vAlign w:val="center"/>
          </w:tcPr>
          <w:p w14:paraId="6470616E">
            <w:pPr>
              <w:snapToGrid w:val="0"/>
              <w:spacing w:line="360" w:lineRule="exact"/>
              <w:jc w:val="left"/>
              <w:rPr>
                <w:rFonts w:hint="eastAsia" w:ascii="仿宋" w:hAnsi="仿宋" w:eastAsia="仿宋" w:cs="仿宋"/>
                <w:szCs w:val="21"/>
                <w:highlight w:val="none"/>
              </w:rPr>
            </w:pPr>
            <w:r>
              <w:rPr>
                <w:rFonts w:hint="eastAsia" w:ascii="仿宋" w:hAnsi="仿宋" w:eastAsia="仿宋" w:cs="仿宋"/>
                <w:szCs w:val="21"/>
                <w:highlight w:val="none"/>
              </w:rPr>
              <w:t>响应文件的封皮</w:t>
            </w:r>
          </w:p>
        </w:tc>
        <w:tc>
          <w:tcPr>
            <w:tcW w:w="882" w:type="dxa"/>
            <w:vAlign w:val="center"/>
          </w:tcPr>
          <w:p w14:paraId="46569C17">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r>
      <w:tr w14:paraId="752ED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6C3D7345">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w:t>
            </w:r>
          </w:p>
        </w:tc>
        <w:tc>
          <w:tcPr>
            <w:tcW w:w="6944" w:type="dxa"/>
            <w:vAlign w:val="center"/>
          </w:tcPr>
          <w:p w14:paraId="0C7C1AC0">
            <w:pPr>
              <w:snapToGrid w:val="0"/>
              <w:spacing w:line="360" w:lineRule="exact"/>
              <w:jc w:val="left"/>
              <w:rPr>
                <w:rFonts w:hint="eastAsia" w:ascii="仿宋" w:hAnsi="仿宋" w:eastAsia="仿宋" w:cs="仿宋"/>
                <w:szCs w:val="21"/>
                <w:highlight w:val="none"/>
              </w:rPr>
            </w:pPr>
            <w:r>
              <w:rPr>
                <w:rFonts w:hint="eastAsia" w:ascii="仿宋" w:hAnsi="仿宋" w:eastAsia="仿宋" w:cs="仿宋"/>
                <w:szCs w:val="21"/>
                <w:highlight w:val="none"/>
              </w:rPr>
              <w:t>响应文件的目录</w:t>
            </w:r>
          </w:p>
        </w:tc>
        <w:tc>
          <w:tcPr>
            <w:tcW w:w="882" w:type="dxa"/>
            <w:vAlign w:val="center"/>
          </w:tcPr>
          <w:p w14:paraId="101AF4D2">
            <w:pPr>
              <w:widowControl/>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w:t>
            </w:r>
          </w:p>
        </w:tc>
      </w:tr>
    </w:tbl>
    <w:p w14:paraId="201C016C">
      <w:pPr>
        <w:spacing w:line="440" w:lineRule="exact"/>
        <w:rPr>
          <w:rFonts w:hint="eastAsia" w:ascii="仿宋" w:hAnsi="仿宋" w:eastAsia="仿宋" w:cs="仿宋"/>
          <w:b/>
          <w:sz w:val="24"/>
          <w:highlight w:val="none"/>
        </w:rPr>
      </w:pPr>
      <w:r>
        <w:rPr>
          <w:rFonts w:hint="eastAsia" w:ascii="仿宋" w:hAnsi="仿宋" w:eastAsia="仿宋" w:cs="仿宋"/>
          <w:b/>
          <w:sz w:val="24"/>
          <w:highlight w:val="none"/>
        </w:rPr>
        <w:t>二、资格证明材料（有一项不符合要求，不能进入下一阶段评审）</w:t>
      </w:r>
    </w:p>
    <w:tbl>
      <w:tblPr>
        <w:tblStyle w:val="20"/>
        <w:tblW w:w="0" w:type="auto"/>
        <w:jc w:val="center"/>
        <w:tblLayout w:type="fixed"/>
        <w:tblCellMar>
          <w:top w:w="0" w:type="dxa"/>
          <w:left w:w="0" w:type="dxa"/>
          <w:bottom w:w="0" w:type="dxa"/>
          <w:right w:w="0" w:type="dxa"/>
        </w:tblCellMar>
      </w:tblPr>
      <w:tblGrid>
        <w:gridCol w:w="654"/>
        <w:gridCol w:w="6843"/>
        <w:gridCol w:w="842"/>
      </w:tblGrid>
      <w:tr w14:paraId="186184E3">
        <w:tblPrEx>
          <w:tblCellMar>
            <w:top w:w="0" w:type="dxa"/>
            <w:left w:w="0" w:type="dxa"/>
            <w:bottom w:w="0" w:type="dxa"/>
            <w:right w:w="0" w:type="dxa"/>
          </w:tblCellMar>
        </w:tblPrEx>
        <w:trPr>
          <w:trHeight w:val="310" w:hRule="atLeast"/>
          <w:tblHeader/>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6F3DC2">
            <w:pPr>
              <w:adjustRightInd w:val="0"/>
              <w:snapToGrid w:val="0"/>
              <w:jc w:val="center"/>
              <w:rPr>
                <w:rFonts w:hint="eastAsia" w:ascii="仿宋" w:hAnsi="仿宋" w:eastAsia="仿宋" w:cs="仿宋"/>
                <w:szCs w:val="21"/>
                <w:highlight w:val="none"/>
              </w:rPr>
            </w:pPr>
            <w:bookmarkStart w:id="58" w:name="sys_资格性证明材料：Document"/>
            <w:bookmarkStart w:id="59" w:name="资格性证明材料：Document"/>
            <w:r>
              <w:rPr>
                <w:rFonts w:hint="eastAsia" w:ascii="仿宋" w:hAnsi="仿宋" w:eastAsia="仿宋" w:cs="仿宋"/>
                <w:szCs w:val="21"/>
                <w:highlight w:val="none"/>
              </w:rPr>
              <w:t>序号</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A13E26">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资格证明材料</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DA2F9D">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格式</w:t>
            </w:r>
          </w:p>
        </w:tc>
      </w:tr>
      <w:tr w14:paraId="0A220157">
        <w:tblPrEx>
          <w:tblCellMar>
            <w:top w:w="0" w:type="dxa"/>
            <w:left w:w="0" w:type="dxa"/>
            <w:bottom w:w="0" w:type="dxa"/>
            <w:right w:w="0" w:type="dxa"/>
          </w:tblCellMar>
        </w:tblPrEx>
        <w:trPr>
          <w:trHeight w:val="893"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033ACB0">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74CCEF">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营业执照或事业单位法人证书或执业许可证等证明文件复印件或自然人的身份证明复印件（自然人身份证明仅在自然人作为响应主体时适用）</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0E69D00">
            <w:pPr>
              <w:adjustRightInd w:val="0"/>
              <w:snapToGrid w:val="0"/>
              <w:jc w:val="center"/>
              <w:rPr>
                <w:rFonts w:hint="eastAsia" w:ascii="仿宋" w:hAnsi="仿宋" w:eastAsia="仿宋" w:cs="仿宋"/>
                <w:szCs w:val="21"/>
                <w:highlight w:val="none"/>
              </w:rPr>
            </w:pPr>
          </w:p>
        </w:tc>
      </w:tr>
      <w:tr w14:paraId="00596869">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9A0F24">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43BC2F">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组织机构代码证复印件（三证合一的不需提供）</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972453">
            <w:pPr>
              <w:adjustRightInd w:val="0"/>
              <w:snapToGrid w:val="0"/>
              <w:jc w:val="center"/>
              <w:rPr>
                <w:rFonts w:hint="eastAsia" w:ascii="仿宋" w:hAnsi="仿宋" w:eastAsia="仿宋" w:cs="仿宋"/>
                <w:szCs w:val="21"/>
                <w:highlight w:val="none"/>
              </w:rPr>
            </w:pPr>
          </w:p>
        </w:tc>
      </w:tr>
      <w:tr w14:paraId="0857960D">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0738F9">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215E1C">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税务登记证复印件（三证合一的不需提供）</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241C1E">
            <w:pPr>
              <w:adjustRightInd w:val="0"/>
              <w:snapToGrid w:val="0"/>
              <w:jc w:val="center"/>
              <w:rPr>
                <w:rFonts w:hint="eastAsia" w:ascii="仿宋" w:hAnsi="仿宋" w:eastAsia="仿宋" w:cs="仿宋"/>
                <w:szCs w:val="21"/>
                <w:highlight w:val="none"/>
              </w:rPr>
            </w:pPr>
          </w:p>
        </w:tc>
      </w:tr>
      <w:tr w14:paraId="4F720E3C">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3241A76">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17DB03">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法定代表人（或非法人组织负责人）身份证明书（自然人参加磋商的无需提供）</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39DA22">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4</w:t>
            </w:r>
          </w:p>
        </w:tc>
      </w:tr>
      <w:tr w14:paraId="099D1297">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99035D">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5</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22F262">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法定代表人（或非法人组织负责人）授权委托书（授权委托人参加磋商的须提供）</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B96D25">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5</w:t>
            </w:r>
          </w:p>
        </w:tc>
      </w:tr>
      <w:tr w14:paraId="5512DC7A">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DEDEC7">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6</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1573C7">
            <w:pPr>
              <w:widowControl/>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具有良好的商业信誉和健全的财务会计制度的承诺函</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0759F5">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6</w:t>
            </w:r>
          </w:p>
        </w:tc>
      </w:tr>
      <w:tr w14:paraId="3789928A">
        <w:tblPrEx>
          <w:tblCellMar>
            <w:top w:w="0" w:type="dxa"/>
            <w:left w:w="0" w:type="dxa"/>
            <w:bottom w:w="0" w:type="dxa"/>
            <w:right w:w="0" w:type="dxa"/>
          </w:tblCellMar>
        </w:tblPrEx>
        <w:trPr>
          <w:trHeight w:val="1184"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A1114E">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7</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21C722">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磋商会议时间前六个月内任一个月的依法缴纳税收的缴款凭据复印件</w:t>
            </w:r>
          </w:p>
          <w:p w14:paraId="37E14F79">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（注：依法免税的供应商，应提供相关证明材料，包括相关法规要求原文及加盖公章的情况说明）</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B2B2FE">
            <w:pPr>
              <w:adjustRightInd w:val="0"/>
              <w:snapToGrid w:val="0"/>
              <w:jc w:val="center"/>
              <w:rPr>
                <w:rFonts w:hint="eastAsia" w:ascii="仿宋" w:hAnsi="仿宋" w:eastAsia="仿宋" w:cs="仿宋"/>
                <w:szCs w:val="21"/>
                <w:highlight w:val="none"/>
              </w:rPr>
            </w:pPr>
          </w:p>
        </w:tc>
      </w:tr>
      <w:tr w14:paraId="68D1E2D1">
        <w:tblPrEx>
          <w:tblCellMar>
            <w:top w:w="0" w:type="dxa"/>
            <w:left w:w="0" w:type="dxa"/>
            <w:bottom w:w="0" w:type="dxa"/>
            <w:right w:w="0" w:type="dxa"/>
          </w:tblCellMar>
        </w:tblPrEx>
        <w:trPr>
          <w:trHeight w:val="1474"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3C790ED">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8</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0F90F1">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磋商会议时间前六个月内任一个月的依法缴纳社会保障资金的缴款凭据复印件</w:t>
            </w:r>
          </w:p>
          <w:p w14:paraId="123833E9">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（注：依法不需要缴纳社会保障资金的供应商，应提供相关证明材料，包括相关法规要求原文及加盖公章的情况说明）</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2C3AA1">
            <w:pPr>
              <w:adjustRightInd w:val="0"/>
              <w:snapToGrid w:val="0"/>
              <w:jc w:val="center"/>
              <w:rPr>
                <w:rFonts w:hint="eastAsia" w:ascii="仿宋" w:hAnsi="仿宋" w:eastAsia="仿宋" w:cs="仿宋"/>
                <w:szCs w:val="21"/>
                <w:highlight w:val="none"/>
              </w:rPr>
            </w:pPr>
          </w:p>
        </w:tc>
      </w:tr>
      <w:tr w14:paraId="733418D9">
        <w:tblPrEx>
          <w:tblCellMar>
            <w:top w:w="0" w:type="dxa"/>
            <w:left w:w="0" w:type="dxa"/>
            <w:bottom w:w="0" w:type="dxa"/>
            <w:right w:w="0" w:type="dxa"/>
          </w:tblCellMar>
        </w:tblPrEx>
        <w:trPr>
          <w:trHeight w:val="310"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F74BD5">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9</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251766">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具备履行合同所必需的设备和专业技术能力声明函</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FF88E8">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7</w:t>
            </w:r>
          </w:p>
        </w:tc>
      </w:tr>
      <w:tr w14:paraId="4248D359">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AA44AE">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10</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1986D4">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参加政府采购活动前3年内在经营活动中没有重大违法记录的书面声明</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562EA8">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8</w:t>
            </w:r>
          </w:p>
        </w:tc>
      </w:tr>
      <w:tr w14:paraId="39937C54">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E0E1E2">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11</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46922A">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信用记录（采购人或采购代理机构将按照采购文件规定的审查期间内进行查询）</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6220DC">
            <w:pPr>
              <w:adjustRightInd w:val="0"/>
              <w:snapToGrid w:val="0"/>
              <w:jc w:val="center"/>
              <w:rPr>
                <w:rFonts w:hint="eastAsia" w:ascii="仿宋" w:hAnsi="仿宋" w:eastAsia="仿宋" w:cs="仿宋"/>
                <w:szCs w:val="21"/>
                <w:highlight w:val="none"/>
              </w:rPr>
            </w:pPr>
          </w:p>
        </w:tc>
      </w:tr>
      <w:tr w14:paraId="7CF042EC">
        <w:tblPrEx>
          <w:tblCellMar>
            <w:top w:w="0" w:type="dxa"/>
            <w:left w:w="0" w:type="dxa"/>
            <w:bottom w:w="0" w:type="dxa"/>
            <w:right w:w="0" w:type="dxa"/>
          </w:tblCellMar>
        </w:tblPrEx>
        <w:trPr>
          <w:trHeight w:val="509" w:hRule="atLeast"/>
          <w:jc w:val="center"/>
        </w:trPr>
        <w:tc>
          <w:tcPr>
            <w:tcW w:w="6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156546">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12</w:t>
            </w:r>
          </w:p>
        </w:tc>
        <w:tc>
          <w:tcPr>
            <w:tcW w:w="68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DB2890">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落实政府采购政策需满足的资格要求（提供中小企业声明函/残疾人福利性单位声明函/由省级以上监狱管理局、戒毒管理局（含新疆生产建设兵团）</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AFF8FF">
            <w:pPr>
              <w:adjustRightInd w:val="0"/>
              <w:snapToGrid w:val="0"/>
              <w:jc w:val="center"/>
              <w:rPr>
                <w:rFonts w:hint="eastAsia" w:ascii="仿宋" w:hAnsi="仿宋" w:eastAsia="仿宋" w:cs="仿宋"/>
                <w:szCs w:val="21"/>
                <w:highlight w:val="none"/>
              </w:rPr>
            </w:pPr>
            <w:r>
              <w:rPr>
                <w:rFonts w:hint="eastAsia" w:ascii="仿宋" w:hAnsi="仿宋" w:eastAsia="仿宋" w:cs="仿宋"/>
                <w:szCs w:val="21"/>
                <w:highlight w:val="none"/>
              </w:rPr>
              <w:t>9/10</w:t>
            </w:r>
          </w:p>
        </w:tc>
      </w:tr>
    </w:tbl>
    <w:p w14:paraId="28445458">
      <w:pPr>
        <w:spacing w:line="440" w:lineRule="exact"/>
        <w:rPr>
          <w:rFonts w:hint="eastAsia" w:ascii="仿宋" w:hAnsi="仿宋" w:eastAsia="仿宋" w:cs="仿宋"/>
          <w:b/>
          <w:sz w:val="24"/>
          <w:highlight w:val="none"/>
        </w:rPr>
      </w:pPr>
      <w:r>
        <w:rPr>
          <w:rFonts w:hint="eastAsia" w:ascii="仿宋" w:hAnsi="仿宋" w:eastAsia="仿宋" w:cs="仿宋"/>
          <w:b/>
          <w:sz w:val="24"/>
          <w:highlight w:val="none"/>
        </w:rPr>
        <w:t>三、符合性证明材料（有一项不符合要求，不能进入下一阶段评审）</w:t>
      </w:r>
    </w:p>
    <w:bookmarkEnd w:id="58"/>
    <w:bookmarkEnd w:id="59"/>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6965"/>
        <w:gridCol w:w="855"/>
      </w:tblGrid>
      <w:tr w14:paraId="3AA59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blHeader/>
          <w:jc w:val="center"/>
        </w:trPr>
        <w:tc>
          <w:tcPr>
            <w:tcW w:w="663" w:type="dxa"/>
            <w:vAlign w:val="center"/>
          </w:tcPr>
          <w:p w14:paraId="60646A24">
            <w:pPr>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6965" w:type="dxa"/>
            <w:vAlign w:val="center"/>
          </w:tcPr>
          <w:p w14:paraId="0748CD6F">
            <w:pPr>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符合性证明材料</w:t>
            </w:r>
          </w:p>
        </w:tc>
        <w:tc>
          <w:tcPr>
            <w:tcW w:w="855" w:type="dxa"/>
            <w:vAlign w:val="center"/>
          </w:tcPr>
          <w:p w14:paraId="0EFDD373">
            <w:pPr>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格式</w:t>
            </w:r>
          </w:p>
        </w:tc>
      </w:tr>
      <w:tr w14:paraId="4752E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7DC9EA0C">
            <w:pPr>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c>
          <w:tcPr>
            <w:tcW w:w="6965" w:type="dxa"/>
            <w:vAlign w:val="center"/>
          </w:tcPr>
          <w:p w14:paraId="4624DA2D">
            <w:pPr>
              <w:spacing w:line="360" w:lineRule="exact"/>
              <w:rPr>
                <w:rFonts w:hint="eastAsia" w:ascii="仿宋" w:hAnsi="仿宋" w:eastAsia="仿宋" w:cs="仿宋"/>
                <w:szCs w:val="21"/>
                <w:highlight w:val="none"/>
              </w:rPr>
            </w:pPr>
            <w:r>
              <w:rPr>
                <w:rFonts w:hint="eastAsia" w:ascii="仿宋" w:hAnsi="仿宋" w:eastAsia="仿宋" w:cs="仿宋"/>
                <w:szCs w:val="21"/>
                <w:highlight w:val="none"/>
              </w:rPr>
              <w:t>响应函</w:t>
            </w:r>
          </w:p>
        </w:tc>
        <w:tc>
          <w:tcPr>
            <w:tcW w:w="855" w:type="dxa"/>
            <w:vAlign w:val="center"/>
          </w:tcPr>
          <w:p w14:paraId="0ED2C818">
            <w:pPr>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11</w:t>
            </w:r>
          </w:p>
        </w:tc>
      </w:tr>
      <w:tr w14:paraId="146D1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52B7279F">
            <w:pPr>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2</w:t>
            </w:r>
          </w:p>
        </w:tc>
        <w:tc>
          <w:tcPr>
            <w:tcW w:w="6965" w:type="dxa"/>
            <w:vAlign w:val="center"/>
          </w:tcPr>
          <w:p w14:paraId="5777E8DC">
            <w:pPr>
              <w:spacing w:line="360" w:lineRule="exact"/>
              <w:rPr>
                <w:rFonts w:hint="eastAsia" w:ascii="仿宋" w:hAnsi="仿宋" w:eastAsia="仿宋" w:cs="仿宋"/>
                <w:szCs w:val="21"/>
                <w:highlight w:val="none"/>
              </w:rPr>
            </w:pPr>
            <w:r>
              <w:rPr>
                <w:rFonts w:hint="eastAsia" w:ascii="仿宋" w:hAnsi="仿宋" w:eastAsia="仿宋" w:cs="仿宋"/>
                <w:szCs w:val="21"/>
                <w:highlight w:val="none"/>
              </w:rPr>
              <w:t>报价一览表</w:t>
            </w:r>
          </w:p>
        </w:tc>
        <w:tc>
          <w:tcPr>
            <w:tcW w:w="855" w:type="dxa"/>
            <w:vAlign w:val="center"/>
          </w:tcPr>
          <w:p w14:paraId="2E2D218E">
            <w:pPr>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12</w:t>
            </w:r>
          </w:p>
        </w:tc>
      </w:tr>
      <w:tr w14:paraId="2B1D3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375AC29C">
            <w:pPr>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w:t>
            </w:r>
          </w:p>
        </w:tc>
        <w:tc>
          <w:tcPr>
            <w:tcW w:w="6965" w:type="dxa"/>
            <w:vAlign w:val="center"/>
          </w:tcPr>
          <w:p w14:paraId="2FE8A97F">
            <w:pPr>
              <w:spacing w:line="360" w:lineRule="exact"/>
              <w:rPr>
                <w:rFonts w:hint="eastAsia" w:ascii="仿宋" w:hAnsi="仿宋" w:eastAsia="仿宋" w:cs="仿宋"/>
                <w:szCs w:val="21"/>
                <w:highlight w:val="none"/>
              </w:rPr>
            </w:pPr>
            <w:r>
              <w:rPr>
                <w:rFonts w:hint="eastAsia" w:ascii="仿宋" w:hAnsi="仿宋" w:eastAsia="仿宋" w:cs="仿宋"/>
                <w:szCs w:val="21"/>
                <w:highlight w:val="none"/>
              </w:rPr>
              <w:t>服务价格明细表</w:t>
            </w:r>
          </w:p>
        </w:tc>
        <w:tc>
          <w:tcPr>
            <w:tcW w:w="855" w:type="dxa"/>
            <w:vAlign w:val="center"/>
          </w:tcPr>
          <w:p w14:paraId="0BBB4A47">
            <w:pPr>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13</w:t>
            </w:r>
          </w:p>
        </w:tc>
      </w:tr>
      <w:tr w14:paraId="6B5B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19E60C5B">
            <w:pPr>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4</w:t>
            </w:r>
          </w:p>
        </w:tc>
        <w:tc>
          <w:tcPr>
            <w:tcW w:w="6965" w:type="dxa"/>
            <w:vAlign w:val="center"/>
          </w:tcPr>
          <w:p w14:paraId="2974B768">
            <w:pPr>
              <w:spacing w:line="360" w:lineRule="exact"/>
              <w:rPr>
                <w:rFonts w:hint="eastAsia" w:ascii="仿宋" w:hAnsi="仿宋" w:eastAsia="仿宋" w:cs="仿宋"/>
                <w:szCs w:val="21"/>
                <w:highlight w:val="none"/>
              </w:rPr>
            </w:pPr>
            <w:r>
              <w:rPr>
                <w:rFonts w:hint="eastAsia" w:ascii="仿宋" w:hAnsi="仿宋" w:eastAsia="仿宋" w:cs="仿宋"/>
                <w:szCs w:val="21"/>
                <w:highlight w:val="none"/>
              </w:rPr>
              <w:t>服务需求响应表</w:t>
            </w:r>
          </w:p>
        </w:tc>
        <w:tc>
          <w:tcPr>
            <w:tcW w:w="855" w:type="dxa"/>
            <w:vAlign w:val="center"/>
          </w:tcPr>
          <w:p w14:paraId="7DACDB08">
            <w:pPr>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14</w:t>
            </w:r>
          </w:p>
        </w:tc>
      </w:tr>
      <w:tr w14:paraId="2B989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3A3B1D9B">
            <w:pPr>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5</w:t>
            </w:r>
          </w:p>
        </w:tc>
        <w:tc>
          <w:tcPr>
            <w:tcW w:w="6965" w:type="dxa"/>
            <w:vAlign w:val="center"/>
          </w:tcPr>
          <w:p w14:paraId="08EB9E5A">
            <w:pPr>
              <w:spacing w:line="36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商务条款偏离表</w:t>
            </w:r>
          </w:p>
        </w:tc>
        <w:tc>
          <w:tcPr>
            <w:tcW w:w="855" w:type="dxa"/>
            <w:vAlign w:val="center"/>
          </w:tcPr>
          <w:p w14:paraId="52268A68">
            <w:pPr>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15</w:t>
            </w:r>
          </w:p>
        </w:tc>
      </w:tr>
      <w:tr w14:paraId="188E4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63" w:type="dxa"/>
            <w:vAlign w:val="center"/>
          </w:tcPr>
          <w:p w14:paraId="18A40097">
            <w:pPr>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6</w:t>
            </w:r>
          </w:p>
        </w:tc>
        <w:tc>
          <w:tcPr>
            <w:tcW w:w="6965" w:type="dxa"/>
            <w:vAlign w:val="center"/>
          </w:tcPr>
          <w:p w14:paraId="66B75AA0">
            <w:pPr>
              <w:spacing w:line="36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供应商关联单位说明</w:t>
            </w:r>
          </w:p>
        </w:tc>
        <w:tc>
          <w:tcPr>
            <w:tcW w:w="855" w:type="dxa"/>
            <w:vAlign w:val="center"/>
          </w:tcPr>
          <w:p w14:paraId="231C87B1">
            <w:pPr>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16</w:t>
            </w:r>
          </w:p>
        </w:tc>
      </w:tr>
      <w:tr w14:paraId="7F8E9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63" w:type="dxa"/>
            <w:vAlign w:val="center"/>
          </w:tcPr>
          <w:p w14:paraId="13C746F1">
            <w:pPr>
              <w:spacing w:line="360" w:lineRule="exact"/>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7</w:t>
            </w:r>
          </w:p>
        </w:tc>
        <w:tc>
          <w:tcPr>
            <w:tcW w:w="6965" w:type="dxa"/>
            <w:vAlign w:val="center"/>
          </w:tcPr>
          <w:p w14:paraId="62626582">
            <w:pPr>
              <w:spacing w:line="360" w:lineRule="exact"/>
              <w:rPr>
                <w:rFonts w:hint="eastAsia" w:ascii="仿宋" w:hAnsi="仿宋" w:eastAsia="仿宋" w:cs="仿宋"/>
                <w:kern w:val="0"/>
                <w:szCs w:val="21"/>
                <w:highlight w:val="none"/>
              </w:rPr>
            </w:pPr>
            <w:r>
              <w:rPr>
                <w:rFonts w:hint="eastAsia" w:ascii="仿宋" w:hAnsi="仿宋" w:eastAsia="仿宋" w:cs="黑体"/>
                <w:kern w:val="0"/>
                <w:szCs w:val="21"/>
                <w:highlight w:val="none"/>
              </w:rPr>
              <w:t>备份文件和电子文件一致性承诺函</w:t>
            </w:r>
          </w:p>
        </w:tc>
        <w:tc>
          <w:tcPr>
            <w:tcW w:w="855" w:type="dxa"/>
            <w:vAlign w:val="center"/>
          </w:tcPr>
          <w:p w14:paraId="1F12035F">
            <w:pPr>
              <w:spacing w:line="360" w:lineRule="exact"/>
              <w:jc w:val="center"/>
              <w:rPr>
                <w:rFonts w:hint="default"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17</w:t>
            </w:r>
          </w:p>
        </w:tc>
      </w:tr>
    </w:tbl>
    <w:p w14:paraId="24BD9A4B">
      <w:pPr>
        <w:spacing w:before="159" w:beforeLines="50" w:line="360" w:lineRule="auto"/>
        <w:ind w:firstLine="480" w:firstLineChars="200"/>
        <w:jc w:val="left"/>
        <w:rPr>
          <w:rFonts w:hint="eastAsia" w:ascii="仿宋" w:hAnsi="仿宋" w:eastAsia="仿宋" w:cs="仿宋"/>
          <w:b/>
          <w:sz w:val="24"/>
          <w:highlight w:val="none"/>
        </w:rPr>
      </w:pPr>
      <w:r>
        <w:rPr>
          <w:rFonts w:hint="eastAsia" w:ascii="仿宋" w:hAnsi="仿宋" w:eastAsia="仿宋" w:cs="仿宋"/>
          <w:b/>
          <w:sz w:val="24"/>
          <w:highlight w:val="none"/>
        </w:rPr>
        <w:t>四、其他材料（如有，请提供；如未提供，响应文件不作无效处理）</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6886"/>
        <w:gridCol w:w="855"/>
      </w:tblGrid>
      <w:tr w14:paraId="42A51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blHeader/>
          <w:jc w:val="center"/>
        </w:trPr>
        <w:tc>
          <w:tcPr>
            <w:tcW w:w="678" w:type="dxa"/>
            <w:vAlign w:val="center"/>
          </w:tcPr>
          <w:p w14:paraId="18D50617">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6886" w:type="dxa"/>
            <w:vAlign w:val="center"/>
          </w:tcPr>
          <w:p w14:paraId="3F5767D6">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其他材料</w:t>
            </w:r>
          </w:p>
        </w:tc>
        <w:tc>
          <w:tcPr>
            <w:tcW w:w="855" w:type="dxa"/>
            <w:vAlign w:val="center"/>
          </w:tcPr>
          <w:p w14:paraId="17376186">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格式</w:t>
            </w:r>
          </w:p>
        </w:tc>
      </w:tr>
      <w:tr w14:paraId="77C4B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14:paraId="5186ECE6">
            <w:pPr>
              <w:adjustRightInd w:val="0"/>
              <w:snapToGrid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1</w:t>
            </w:r>
          </w:p>
        </w:tc>
        <w:tc>
          <w:tcPr>
            <w:tcW w:w="6886" w:type="dxa"/>
            <w:vAlign w:val="center"/>
          </w:tcPr>
          <w:p w14:paraId="403B121D">
            <w:pPr>
              <w:adjustRightInd w:val="0"/>
              <w:snapToGrid w:val="0"/>
              <w:ind w:left="25" w:leftChars="12"/>
              <w:rPr>
                <w:rFonts w:hint="eastAsia" w:ascii="仿宋" w:hAnsi="仿宋" w:eastAsia="仿宋" w:cs="仿宋"/>
                <w:szCs w:val="21"/>
                <w:highlight w:val="none"/>
              </w:rPr>
            </w:pPr>
            <w:r>
              <w:rPr>
                <w:rFonts w:hint="eastAsia" w:ascii="仿宋" w:hAnsi="仿宋" w:eastAsia="仿宋" w:cs="仿宋"/>
                <w:szCs w:val="21"/>
                <w:highlight w:val="none"/>
              </w:rPr>
              <w:t>列入《创新产品和服务目录》内的产品、服务的证明材料（如适用）</w:t>
            </w:r>
          </w:p>
        </w:tc>
        <w:tc>
          <w:tcPr>
            <w:tcW w:w="855" w:type="dxa"/>
            <w:vAlign w:val="center"/>
          </w:tcPr>
          <w:p w14:paraId="3532C537">
            <w:pPr>
              <w:adjustRightInd w:val="0"/>
              <w:snapToGrid w:val="0"/>
              <w:jc w:val="center"/>
              <w:rPr>
                <w:rFonts w:hint="eastAsia" w:ascii="仿宋" w:hAnsi="仿宋" w:eastAsia="仿宋" w:cs="仿宋"/>
                <w:kern w:val="0"/>
                <w:szCs w:val="21"/>
                <w:highlight w:val="none"/>
              </w:rPr>
            </w:pPr>
          </w:p>
        </w:tc>
      </w:tr>
      <w:tr w14:paraId="16541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14:paraId="4FD22359">
            <w:pPr>
              <w:adjustRightInd w:val="0"/>
              <w:snapToGrid w:val="0"/>
              <w:jc w:val="center"/>
              <w:rPr>
                <w:rFonts w:hint="eastAsia" w:ascii="仿宋" w:hAnsi="仿宋" w:eastAsia="仿宋" w:cs="仿宋"/>
                <w:kern w:val="0"/>
                <w:szCs w:val="21"/>
                <w:highlight w:val="none"/>
              </w:rPr>
            </w:pPr>
          </w:p>
        </w:tc>
        <w:tc>
          <w:tcPr>
            <w:tcW w:w="6886" w:type="dxa"/>
            <w:vAlign w:val="center"/>
          </w:tcPr>
          <w:p w14:paraId="4BA2E17A">
            <w:pPr>
              <w:adjustRightInd w:val="0"/>
              <w:snapToGrid w:val="0"/>
              <w:ind w:left="25" w:leftChars="12"/>
              <w:rPr>
                <w:rFonts w:hint="eastAsia" w:ascii="仿宋" w:hAnsi="仿宋" w:eastAsia="仿宋" w:cs="仿宋"/>
                <w:szCs w:val="21"/>
                <w:highlight w:val="none"/>
              </w:rPr>
            </w:pPr>
            <w:r>
              <w:rPr>
                <w:rFonts w:hint="eastAsia" w:ascii="仿宋" w:hAnsi="仿宋" w:eastAsia="仿宋" w:cs="仿宋"/>
                <w:kern w:val="0"/>
                <w:szCs w:val="21"/>
                <w:highlight w:val="none"/>
              </w:rPr>
              <w:t>......</w:t>
            </w:r>
          </w:p>
        </w:tc>
        <w:tc>
          <w:tcPr>
            <w:tcW w:w="855" w:type="dxa"/>
            <w:vAlign w:val="center"/>
          </w:tcPr>
          <w:p w14:paraId="42B0DE7C">
            <w:pPr>
              <w:adjustRightInd w:val="0"/>
              <w:snapToGrid w:val="0"/>
              <w:jc w:val="center"/>
              <w:rPr>
                <w:rFonts w:hint="eastAsia" w:ascii="仿宋" w:hAnsi="仿宋" w:eastAsia="仿宋" w:cs="仿宋"/>
                <w:kern w:val="0"/>
                <w:szCs w:val="21"/>
                <w:highlight w:val="none"/>
              </w:rPr>
            </w:pPr>
          </w:p>
        </w:tc>
      </w:tr>
      <w:tr w14:paraId="0A424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78" w:type="dxa"/>
            <w:vAlign w:val="center"/>
          </w:tcPr>
          <w:p w14:paraId="3392500D">
            <w:pPr>
              <w:adjustRightInd w:val="0"/>
              <w:snapToGrid w:val="0"/>
              <w:jc w:val="center"/>
              <w:rPr>
                <w:rFonts w:hint="eastAsia" w:ascii="仿宋" w:hAnsi="仿宋" w:eastAsia="仿宋" w:cs="仿宋"/>
                <w:kern w:val="0"/>
                <w:szCs w:val="21"/>
                <w:highlight w:val="none"/>
              </w:rPr>
            </w:pPr>
          </w:p>
        </w:tc>
        <w:tc>
          <w:tcPr>
            <w:tcW w:w="6886" w:type="dxa"/>
            <w:vAlign w:val="center"/>
          </w:tcPr>
          <w:p w14:paraId="0F15CD94">
            <w:pPr>
              <w:pStyle w:val="36"/>
              <w:adjustRightInd w:val="0"/>
              <w:snapToGrid w:val="0"/>
              <w:ind w:left="25" w:leftChars="12" w:firstLine="0" w:firstLineChars="0"/>
              <w:rPr>
                <w:rFonts w:hint="eastAsia" w:ascii="仿宋" w:hAnsi="仿宋" w:eastAsia="仿宋" w:cs="仿宋"/>
                <w:kern w:val="0"/>
                <w:szCs w:val="21"/>
                <w:highlight w:val="none"/>
              </w:rPr>
            </w:pPr>
          </w:p>
        </w:tc>
        <w:tc>
          <w:tcPr>
            <w:tcW w:w="855" w:type="dxa"/>
            <w:vAlign w:val="center"/>
          </w:tcPr>
          <w:p w14:paraId="527C6BD9">
            <w:pPr>
              <w:adjustRightInd w:val="0"/>
              <w:snapToGrid w:val="0"/>
              <w:jc w:val="center"/>
              <w:rPr>
                <w:rFonts w:hint="eastAsia" w:ascii="仿宋" w:hAnsi="仿宋" w:eastAsia="仿宋" w:cs="仿宋"/>
                <w:kern w:val="0"/>
                <w:szCs w:val="21"/>
                <w:highlight w:val="none"/>
              </w:rPr>
            </w:pPr>
          </w:p>
        </w:tc>
      </w:tr>
    </w:tbl>
    <w:p w14:paraId="2CFC61DC">
      <w:pPr>
        <w:adjustRightInd w:val="0"/>
        <w:snapToGrid w:val="0"/>
        <w:spacing w:line="360" w:lineRule="auto"/>
        <w:ind w:firstLine="480" w:firstLineChars="200"/>
        <w:rPr>
          <w:rFonts w:hint="eastAsia" w:ascii="仿宋" w:hAnsi="仿宋" w:eastAsia="仿宋" w:cs="仿宋"/>
          <w:b/>
          <w:sz w:val="24"/>
          <w:highlight w:val="none"/>
        </w:rPr>
      </w:pPr>
      <w:r>
        <w:rPr>
          <w:rFonts w:hint="eastAsia" w:ascii="仿宋" w:hAnsi="仿宋" w:eastAsia="仿宋" w:cs="仿宋"/>
          <w:b/>
          <w:sz w:val="24"/>
          <w:highlight w:val="none"/>
        </w:rPr>
        <w:t>重要提示：</w:t>
      </w:r>
    </w:p>
    <w:p w14:paraId="69430E76">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1、供应商提供的证明材料，除需要供应商填报或有特殊说明外，均须按要求提供。</w:t>
      </w:r>
      <w:r>
        <w:rPr>
          <w:rFonts w:hint="eastAsia" w:ascii="仿宋" w:hAnsi="仿宋" w:eastAsia="仿宋" w:cs="仿宋"/>
          <w:b/>
          <w:bCs/>
          <w:szCs w:val="21"/>
          <w:highlight w:val="none"/>
        </w:rPr>
        <w:t xml:space="preserve"> </w:t>
      </w:r>
    </w:p>
    <w:p w14:paraId="4C8EA107">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2、供应商在编制响应文件时，对于给定格式的文件内容，必须按照给定的标准格式进行填报；对于没有给定标准格式的文件内容，可以由供应商自行设计。</w:t>
      </w:r>
    </w:p>
    <w:p w14:paraId="16C4736B">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3、响应文件应用中文书写。响应文件中所附或所引用的材料不是中文时，应附中文译本，并加盖单位公章（自然人参与政府采购活动的，无需加盖单位公章，需要签字）。</w:t>
      </w:r>
    </w:p>
    <w:p w14:paraId="098C9C9A">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4、“资格证明材料”所列内容即为采购项目的资格审查条件，有一项不符合要求，不能进入下一阶段评审。</w:t>
      </w:r>
    </w:p>
    <w:p w14:paraId="7260736B">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5、“符合性证明材料”所列内容即为采购项目的符合性审查条件，有一项不符合要求，不能进入下一阶段评审。</w:t>
      </w:r>
    </w:p>
    <w:p w14:paraId="7938C7E7">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6、“其他材料”为供应商就采购文件要求的以及供应商认为需要提供的相应材料。</w:t>
      </w:r>
    </w:p>
    <w:p w14:paraId="1259E8D3">
      <w:pPr>
        <w:widowControl/>
        <w:jc w:val="left"/>
        <w:rPr>
          <w:rFonts w:hint="eastAsia" w:ascii="仿宋" w:hAnsi="仿宋" w:eastAsia="仿宋" w:cs="仿宋"/>
          <w:kern w:val="0"/>
          <w:sz w:val="20"/>
          <w:szCs w:val="21"/>
          <w:highlight w:val="none"/>
        </w:rPr>
      </w:pPr>
    </w:p>
    <w:p w14:paraId="1E459C87">
      <w:pPr>
        <w:widowControl/>
        <w:jc w:val="left"/>
        <w:outlineLvl w:val="1"/>
        <w:rPr>
          <w:rFonts w:hint="eastAsia" w:ascii="仿宋" w:hAnsi="仿宋" w:eastAsia="仿宋" w:cs="仿宋"/>
          <w:b/>
          <w:bCs/>
          <w:sz w:val="28"/>
          <w:szCs w:val="28"/>
          <w:highlight w:val="none"/>
        </w:rPr>
      </w:pPr>
      <w:r>
        <w:rPr>
          <w:rFonts w:hint="eastAsia" w:ascii="仿宋" w:hAnsi="仿宋" w:eastAsia="仿宋" w:cs="仿宋"/>
          <w:kern w:val="0"/>
          <w:sz w:val="20"/>
          <w:szCs w:val="21"/>
          <w:highlight w:val="none"/>
        </w:rPr>
        <w:br w:type="page"/>
      </w:r>
      <w:bookmarkStart w:id="60" w:name="_Toc4485626"/>
      <w:bookmarkStart w:id="61" w:name="_Toc533340149"/>
      <w:r>
        <w:rPr>
          <w:rFonts w:hint="eastAsia" w:ascii="仿宋" w:hAnsi="仿宋" w:eastAsia="仿宋" w:cs="仿宋"/>
          <w:b/>
          <w:bCs/>
          <w:sz w:val="28"/>
          <w:szCs w:val="28"/>
          <w:highlight w:val="none"/>
        </w:rPr>
        <w:t>格式1</w:t>
      </w:r>
      <w:bookmarkEnd w:id="60"/>
      <w:bookmarkEnd w:id="61"/>
    </w:p>
    <w:p w14:paraId="6F92B185">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响应文件、电子文档外封面、封口格式</w:t>
      </w:r>
    </w:p>
    <w:p w14:paraId="69B12A48">
      <w:pPr>
        <w:rPr>
          <w:rFonts w:hint="eastAsia" w:ascii="仿宋" w:hAnsi="仿宋" w:eastAsia="仿宋" w:cs="仿宋"/>
          <w:highlight w:val="none"/>
        </w:rPr>
      </w:pPr>
      <w:r>
        <w:rPr>
          <w:rFonts w:hint="eastAsia" w:ascii="仿宋" w:hAnsi="仿宋" w:eastAsia="仿宋" w:cs="仿宋"/>
          <w:sz w:val="28"/>
          <w:szCs w:val="28"/>
          <w:highlight w:val="none"/>
        </w:rPr>
        <w:t>封面格式：</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042AD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14:paraId="4CB00CCF">
            <w:pPr>
              <w:jc w:val="center"/>
              <w:rPr>
                <w:rFonts w:hint="eastAsia" w:ascii="仿宋" w:hAnsi="仿宋" w:eastAsia="仿宋" w:cs="仿宋"/>
                <w:b/>
                <w:bCs/>
                <w:highlight w:val="none"/>
              </w:rPr>
            </w:pPr>
          </w:p>
          <w:p w14:paraId="18E83652">
            <w:pPr>
              <w:jc w:val="center"/>
              <w:rPr>
                <w:rFonts w:hint="eastAsia" w:ascii="仿宋" w:hAnsi="仿宋" w:eastAsia="仿宋" w:cs="仿宋"/>
                <w:b/>
                <w:bCs/>
                <w:highlight w:val="none"/>
              </w:rPr>
            </w:pPr>
          </w:p>
          <w:p w14:paraId="1F78A874">
            <w:pPr>
              <w:jc w:val="center"/>
              <w:rPr>
                <w:rFonts w:hint="eastAsia" w:ascii="仿宋" w:hAnsi="仿宋" w:eastAsia="仿宋" w:cs="仿宋"/>
                <w:b/>
                <w:bCs/>
                <w:highlight w:val="none"/>
              </w:rPr>
            </w:pPr>
          </w:p>
          <w:p w14:paraId="72E33A9C">
            <w:pPr>
              <w:jc w:val="center"/>
              <w:rPr>
                <w:rFonts w:hint="eastAsia" w:ascii="仿宋" w:hAnsi="仿宋" w:eastAsia="仿宋" w:cs="仿宋"/>
                <w:b/>
                <w:bCs/>
                <w:highlight w:val="none"/>
              </w:rPr>
            </w:pPr>
          </w:p>
          <w:p w14:paraId="124C7606">
            <w:pPr>
              <w:jc w:val="center"/>
              <w:rPr>
                <w:rFonts w:hint="eastAsia" w:ascii="仿宋" w:hAnsi="仿宋" w:eastAsia="仿宋" w:cs="仿宋"/>
                <w:b/>
                <w:bCs/>
                <w:highlight w:val="none"/>
              </w:rPr>
            </w:pPr>
          </w:p>
          <w:p w14:paraId="1A5887B1">
            <w:pPr>
              <w:jc w:val="center"/>
              <w:rPr>
                <w:rFonts w:hint="eastAsia" w:ascii="仿宋" w:hAnsi="仿宋" w:eastAsia="仿宋" w:cs="仿宋"/>
                <w:b/>
                <w:bCs/>
                <w:highlight w:val="none"/>
              </w:rPr>
            </w:pPr>
            <w:r>
              <w:rPr>
                <w:rFonts w:hint="eastAsia" w:ascii="仿宋" w:hAnsi="仿宋" w:eastAsia="仿宋" w:cs="仿宋"/>
                <w:b/>
                <w:bCs/>
                <w:sz w:val="44"/>
                <w:szCs w:val="52"/>
                <w:highlight w:val="none"/>
              </w:rPr>
              <w:t>响应文件/电子文档</w:t>
            </w:r>
          </w:p>
          <w:p w14:paraId="515A5E07">
            <w:pPr>
              <w:jc w:val="left"/>
              <w:rPr>
                <w:rFonts w:hint="eastAsia" w:ascii="仿宋" w:hAnsi="仿宋" w:eastAsia="仿宋" w:cs="仿宋"/>
                <w:highlight w:val="none"/>
              </w:rPr>
            </w:pPr>
          </w:p>
          <w:p w14:paraId="12D60C63">
            <w:pPr>
              <w:jc w:val="left"/>
              <w:rPr>
                <w:rFonts w:hint="eastAsia" w:ascii="仿宋" w:hAnsi="仿宋" w:eastAsia="仿宋" w:cs="仿宋"/>
                <w:highlight w:val="none"/>
              </w:rPr>
            </w:pPr>
          </w:p>
          <w:p w14:paraId="38A5DD46">
            <w:pPr>
              <w:jc w:val="left"/>
              <w:rPr>
                <w:rFonts w:hint="eastAsia" w:ascii="仿宋" w:hAnsi="仿宋" w:eastAsia="仿宋" w:cs="仿宋"/>
                <w:highlight w:val="none"/>
              </w:rPr>
            </w:pPr>
          </w:p>
          <w:p w14:paraId="4E269FD2">
            <w:pPr>
              <w:jc w:val="left"/>
              <w:rPr>
                <w:rFonts w:hint="eastAsia" w:ascii="仿宋" w:hAnsi="仿宋" w:eastAsia="仿宋" w:cs="仿宋"/>
                <w:highlight w:val="none"/>
              </w:rPr>
            </w:pPr>
          </w:p>
          <w:p w14:paraId="3ACE0984">
            <w:pPr>
              <w:jc w:val="left"/>
              <w:rPr>
                <w:rFonts w:hint="eastAsia" w:ascii="仿宋" w:hAnsi="仿宋" w:eastAsia="仿宋" w:cs="仿宋"/>
                <w:highlight w:val="none"/>
              </w:rPr>
            </w:pPr>
          </w:p>
          <w:p w14:paraId="0D4FD8B6">
            <w:pPr>
              <w:jc w:val="left"/>
              <w:rPr>
                <w:rFonts w:hint="eastAsia" w:ascii="仿宋" w:hAnsi="仿宋" w:eastAsia="仿宋" w:cs="仿宋"/>
                <w:highlight w:val="none"/>
              </w:rPr>
            </w:pPr>
          </w:p>
          <w:p w14:paraId="4B3963BB">
            <w:pPr>
              <w:jc w:val="left"/>
              <w:rPr>
                <w:rFonts w:hint="eastAsia" w:ascii="仿宋" w:hAnsi="仿宋" w:eastAsia="仿宋" w:cs="仿宋"/>
                <w:highlight w:val="none"/>
              </w:rPr>
            </w:pPr>
          </w:p>
          <w:p w14:paraId="73B3DDD0">
            <w:pPr>
              <w:jc w:val="left"/>
              <w:rPr>
                <w:rFonts w:hint="eastAsia" w:ascii="仿宋" w:hAnsi="仿宋" w:eastAsia="仿宋" w:cs="仿宋"/>
                <w:highlight w:val="none"/>
              </w:rPr>
            </w:pPr>
            <w:r>
              <w:rPr>
                <w:rFonts w:hint="eastAsia" w:ascii="仿宋" w:hAnsi="仿宋" w:eastAsia="仿宋" w:cs="仿宋"/>
                <w:highlight w:val="none"/>
              </w:rPr>
              <w:t>所响应包号：第  包</w:t>
            </w:r>
          </w:p>
          <w:p w14:paraId="56516F72">
            <w:pPr>
              <w:jc w:val="left"/>
              <w:rPr>
                <w:rFonts w:hint="eastAsia" w:ascii="仿宋" w:hAnsi="仿宋" w:eastAsia="仿宋" w:cs="仿宋"/>
                <w:highlight w:val="none"/>
              </w:rPr>
            </w:pPr>
          </w:p>
          <w:p w14:paraId="0D2D3E0F">
            <w:pPr>
              <w:jc w:val="left"/>
              <w:rPr>
                <w:rFonts w:hint="eastAsia" w:ascii="仿宋" w:hAnsi="仿宋" w:eastAsia="仿宋" w:cs="仿宋"/>
                <w:highlight w:val="none"/>
              </w:rPr>
            </w:pPr>
            <w:r>
              <w:rPr>
                <w:rFonts w:hint="eastAsia" w:ascii="仿宋" w:hAnsi="仿宋" w:eastAsia="仿宋" w:cs="仿宋"/>
                <w:highlight w:val="none"/>
              </w:rPr>
              <w:t>项目名称：</w:t>
            </w:r>
          </w:p>
          <w:p w14:paraId="1BB29088">
            <w:pPr>
              <w:jc w:val="left"/>
              <w:rPr>
                <w:rFonts w:hint="eastAsia" w:ascii="仿宋" w:hAnsi="仿宋" w:eastAsia="仿宋" w:cs="仿宋"/>
                <w:highlight w:val="none"/>
              </w:rPr>
            </w:pPr>
          </w:p>
          <w:p w14:paraId="2C5F6509">
            <w:pPr>
              <w:jc w:val="left"/>
              <w:rPr>
                <w:rFonts w:hint="eastAsia" w:ascii="仿宋" w:hAnsi="仿宋" w:eastAsia="仿宋" w:cs="仿宋"/>
                <w:highlight w:val="none"/>
              </w:rPr>
            </w:pPr>
            <w:r>
              <w:rPr>
                <w:rFonts w:hint="eastAsia" w:ascii="仿宋" w:hAnsi="仿宋" w:eastAsia="仿宋" w:cs="仿宋"/>
                <w:highlight w:val="none"/>
              </w:rPr>
              <w:t>项目编号：</w:t>
            </w:r>
          </w:p>
          <w:p w14:paraId="62B3C383">
            <w:pPr>
              <w:jc w:val="center"/>
              <w:rPr>
                <w:rFonts w:hint="eastAsia" w:ascii="仿宋" w:hAnsi="仿宋" w:eastAsia="仿宋" w:cs="仿宋"/>
                <w:highlight w:val="none"/>
              </w:rPr>
            </w:pPr>
          </w:p>
          <w:p w14:paraId="2560701A">
            <w:pPr>
              <w:jc w:val="center"/>
              <w:rPr>
                <w:rFonts w:hint="eastAsia" w:ascii="仿宋" w:hAnsi="仿宋" w:eastAsia="仿宋" w:cs="仿宋"/>
                <w:highlight w:val="none"/>
              </w:rPr>
            </w:pPr>
          </w:p>
          <w:p w14:paraId="7FB9646B">
            <w:pPr>
              <w:jc w:val="center"/>
              <w:rPr>
                <w:rFonts w:hint="eastAsia" w:ascii="仿宋" w:hAnsi="仿宋" w:eastAsia="仿宋" w:cs="仿宋"/>
                <w:highlight w:val="none"/>
              </w:rPr>
            </w:pPr>
          </w:p>
          <w:p w14:paraId="064E47F3">
            <w:pPr>
              <w:jc w:val="left"/>
              <w:rPr>
                <w:rFonts w:hint="eastAsia" w:ascii="仿宋" w:hAnsi="仿宋" w:eastAsia="仿宋" w:cs="仿宋"/>
                <w:highlight w:val="none"/>
              </w:rPr>
            </w:pPr>
            <w:r>
              <w:rPr>
                <w:rFonts w:hint="eastAsia" w:ascii="仿宋" w:hAnsi="仿宋" w:eastAsia="仿宋" w:cs="仿宋"/>
                <w:highlight w:val="none"/>
              </w:rPr>
              <w:t>供应商名称（加盖单位公章）：</w:t>
            </w:r>
          </w:p>
        </w:tc>
      </w:tr>
    </w:tbl>
    <w:p w14:paraId="7AB1E27E">
      <w:pPr>
        <w:rPr>
          <w:rFonts w:hint="eastAsia" w:ascii="仿宋" w:hAnsi="仿宋" w:eastAsia="仿宋" w:cs="仿宋"/>
          <w:highlight w:val="none"/>
        </w:rPr>
      </w:pPr>
    </w:p>
    <w:p w14:paraId="154AF5AF">
      <w:pPr>
        <w:rPr>
          <w:rFonts w:hint="eastAsia" w:ascii="仿宋" w:hAnsi="仿宋" w:eastAsia="仿宋" w:cs="仿宋"/>
          <w:highlight w:val="none"/>
        </w:rPr>
      </w:pPr>
    </w:p>
    <w:p w14:paraId="77C0026D">
      <w:pPr>
        <w:rPr>
          <w:rFonts w:hint="eastAsia" w:ascii="仿宋" w:hAnsi="仿宋" w:eastAsia="仿宋" w:cs="仿宋"/>
          <w:highlight w:val="none"/>
        </w:rPr>
      </w:pPr>
      <w:r>
        <w:rPr>
          <w:rFonts w:hint="eastAsia" w:ascii="仿宋" w:hAnsi="仿宋" w:eastAsia="仿宋" w:cs="仿宋"/>
          <w:sz w:val="24"/>
          <w:szCs w:val="32"/>
          <w:highlight w:val="none"/>
        </w:rPr>
        <w:t>封口格式：</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15C99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1C2A1738">
            <w:pPr>
              <w:jc w:val="center"/>
              <w:rPr>
                <w:rFonts w:hint="eastAsia" w:ascii="仿宋" w:hAnsi="仿宋" w:eastAsia="仿宋" w:cs="仿宋"/>
                <w:highlight w:val="none"/>
              </w:rPr>
            </w:pPr>
            <w:r>
              <w:rPr>
                <w:rFonts w:hint="eastAsia" w:ascii="仿宋" w:hAnsi="仿宋" w:eastAsia="仿宋" w:cs="仿宋"/>
                <w:highlight w:val="none"/>
              </w:rPr>
              <w:t>——于   年  月  日   时之前不准启封（公章）——</w:t>
            </w:r>
          </w:p>
        </w:tc>
      </w:tr>
    </w:tbl>
    <w:p w14:paraId="70B900BF">
      <w:pPr>
        <w:widowControl/>
        <w:jc w:val="left"/>
        <w:outlineLvl w:val="1"/>
        <w:rPr>
          <w:rFonts w:hint="eastAsia" w:ascii="仿宋" w:hAnsi="仿宋" w:eastAsia="仿宋" w:cs="仿宋"/>
          <w:b/>
          <w:bCs/>
          <w:sz w:val="28"/>
          <w:szCs w:val="28"/>
          <w:highlight w:val="none"/>
        </w:rPr>
      </w:pPr>
      <w:r>
        <w:rPr>
          <w:rFonts w:hint="eastAsia" w:ascii="仿宋" w:hAnsi="仿宋" w:eastAsia="仿宋" w:cs="仿宋"/>
          <w:highlight w:val="none"/>
        </w:rPr>
        <w:br w:type="page"/>
      </w:r>
      <w:bookmarkStart w:id="62" w:name="_Toc4485627"/>
      <w:bookmarkStart w:id="63" w:name="_Toc533340150"/>
      <w:r>
        <w:rPr>
          <w:rFonts w:hint="eastAsia" w:ascii="仿宋" w:hAnsi="仿宋" w:eastAsia="仿宋" w:cs="仿宋"/>
          <w:b/>
          <w:bCs/>
          <w:sz w:val="28"/>
          <w:szCs w:val="28"/>
          <w:highlight w:val="none"/>
        </w:rPr>
        <w:t>格式2</w:t>
      </w:r>
      <w:bookmarkEnd w:id="62"/>
      <w:bookmarkEnd w:id="63"/>
    </w:p>
    <w:p w14:paraId="045E8A77">
      <w:pPr>
        <w:jc w:val="center"/>
        <w:rPr>
          <w:rFonts w:hint="eastAsia" w:ascii="仿宋" w:hAnsi="仿宋" w:eastAsia="仿宋" w:cs="仿宋"/>
          <w:b/>
          <w:bCs/>
          <w:sz w:val="32"/>
          <w:szCs w:val="32"/>
          <w:highlight w:val="none"/>
        </w:rPr>
      </w:pPr>
      <w:r>
        <w:rPr>
          <w:rFonts w:hint="eastAsia" w:ascii="仿宋" w:hAnsi="仿宋" w:eastAsia="仿宋" w:cs="仿宋"/>
          <w:sz w:val="32"/>
          <w:highlight w:val="none"/>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218D0B2">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1XXs+2QAAAAoBAAAPAAAAAAAA&#10;AAEAIAAAACIAAABkcnMvZG93bnJldi54bWxQSwECFAAUAAAACACHTuJA6Ns0ShECAABEBAAADgAA&#10;AAAAAAABACAAAAAoAQAAZHJzL2Uyb0RvYy54bWxQSwUGAAAAAAYABgBZAQAAqwUAAAAA&#10;">
                <v:fill on="t" focussize="0,0"/>
                <v:stroke color="#000000" joinstyle="miter"/>
                <v:imagedata o:title=""/>
                <o:lock v:ext="edit" aspectratio="f"/>
                <v:textbox>
                  <w:txbxContent>
                    <w:p w14:paraId="2218D0B2">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 w:hAnsi="仿宋" w:eastAsia="仿宋" w:cs="仿宋"/>
          <w:b/>
          <w:bCs/>
          <w:sz w:val="32"/>
          <w:szCs w:val="32"/>
          <w:highlight w:val="none"/>
        </w:rPr>
        <w:t>响应文件的封皮</w:t>
      </w:r>
    </w:p>
    <w:p w14:paraId="39F29A13">
      <w:pPr>
        <w:rPr>
          <w:rFonts w:hint="eastAsia" w:ascii="仿宋" w:hAnsi="仿宋" w:eastAsia="仿宋" w:cs="仿宋"/>
          <w:highlight w:val="none"/>
        </w:rPr>
      </w:pPr>
    </w:p>
    <w:p w14:paraId="2B0D9023">
      <w:pPr>
        <w:rPr>
          <w:rFonts w:hint="eastAsia" w:ascii="仿宋" w:hAnsi="仿宋" w:eastAsia="仿宋" w:cs="仿宋"/>
          <w:highlight w:val="none"/>
        </w:rPr>
      </w:pPr>
    </w:p>
    <w:p w14:paraId="425F6243">
      <w:pPr>
        <w:rPr>
          <w:rFonts w:hint="eastAsia" w:ascii="仿宋" w:hAnsi="仿宋" w:eastAsia="仿宋" w:cs="仿宋"/>
          <w:highlight w:val="none"/>
        </w:rPr>
      </w:pPr>
    </w:p>
    <w:p w14:paraId="60496C1F">
      <w:pPr>
        <w:rPr>
          <w:rFonts w:hint="eastAsia" w:ascii="仿宋" w:hAnsi="仿宋" w:eastAsia="仿宋" w:cs="仿宋"/>
          <w:highlight w:val="none"/>
        </w:rPr>
      </w:pPr>
    </w:p>
    <w:p w14:paraId="7BC5BB8C">
      <w:pPr>
        <w:rPr>
          <w:rFonts w:hint="eastAsia" w:ascii="仿宋" w:hAnsi="仿宋" w:eastAsia="仿宋" w:cs="仿宋"/>
          <w:highlight w:val="none"/>
        </w:rPr>
      </w:pPr>
    </w:p>
    <w:p w14:paraId="6BB8E557">
      <w:pPr>
        <w:rPr>
          <w:rFonts w:hint="eastAsia" w:ascii="仿宋" w:hAnsi="仿宋" w:eastAsia="仿宋" w:cs="仿宋"/>
          <w:highlight w:val="none"/>
        </w:rPr>
      </w:pPr>
    </w:p>
    <w:p w14:paraId="2F4321A2">
      <w:pPr>
        <w:jc w:val="center"/>
        <w:rPr>
          <w:rFonts w:hint="eastAsia" w:ascii="仿宋" w:hAnsi="仿宋" w:eastAsia="仿宋" w:cs="仿宋"/>
          <w:b/>
          <w:bCs/>
          <w:sz w:val="52"/>
          <w:szCs w:val="52"/>
          <w:highlight w:val="none"/>
        </w:rPr>
      </w:pPr>
      <w:r>
        <w:rPr>
          <w:rFonts w:hint="eastAsia" w:ascii="仿宋" w:hAnsi="仿宋" w:eastAsia="仿宋" w:cs="仿宋"/>
          <w:b/>
          <w:bCs/>
          <w:sz w:val="52"/>
          <w:szCs w:val="52"/>
          <w:highlight w:val="none"/>
        </w:rPr>
        <w:t>响  应  文  件</w:t>
      </w:r>
    </w:p>
    <w:p w14:paraId="3D6E1466">
      <w:pPr>
        <w:rPr>
          <w:rFonts w:hint="eastAsia" w:ascii="仿宋" w:hAnsi="仿宋" w:eastAsia="仿宋" w:cs="仿宋"/>
          <w:highlight w:val="none"/>
        </w:rPr>
      </w:pPr>
    </w:p>
    <w:p w14:paraId="43117102">
      <w:pPr>
        <w:rPr>
          <w:rFonts w:hint="eastAsia" w:ascii="仿宋" w:hAnsi="仿宋" w:eastAsia="仿宋" w:cs="仿宋"/>
          <w:highlight w:val="none"/>
        </w:rPr>
      </w:pPr>
    </w:p>
    <w:p w14:paraId="0F293F68">
      <w:pPr>
        <w:rPr>
          <w:rFonts w:hint="eastAsia" w:ascii="仿宋" w:hAnsi="仿宋" w:eastAsia="仿宋" w:cs="仿宋"/>
          <w:highlight w:val="none"/>
        </w:rPr>
      </w:pPr>
    </w:p>
    <w:p w14:paraId="3C723EEA">
      <w:pPr>
        <w:rPr>
          <w:rFonts w:hint="eastAsia" w:ascii="仿宋" w:hAnsi="仿宋" w:eastAsia="仿宋" w:cs="仿宋"/>
          <w:sz w:val="28"/>
          <w:szCs w:val="28"/>
          <w:highlight w:val="none"/>
        </w:rPr>
      </w:pPr>
    </w:p>
    <w:p w14:paraId="05E47173">
      <w:pPr>
        <w:rPr>
          <w:rFonts w:hint="eastAsia" w:ascii="仿宋" w:hAnsi="仿宋" w:eastAsia="仿宋" w:cs="仿宋"/>
          <w:sz w:val="28"/>
          <w:szCs w:val="28"/>
          <w:highlight w:val="none"/>
        </w:rPr>
      </w:pPr>
    </w:p>
    <w:p w14:paraId="27E10579">
      <w:pPr>
        <w:rPr>
          <w:rFonts w:hint="eastAsia" w:ascii="仿宋" w:hAnsi="仿宋" w:eastAsia="仿宋" w:cs="仿宋"/>
          <w:sz w:val="28"/>
          <w:szCs w:val="28"/>
          <w:highlight w:val="none"/>
        </w:rPr>
      </w:pPr>
    </w:p>
    <w:p w14:paraId="7E9BAB60">
      <w:pPr>
        <w:rPr>
          <w:rFonts w:hint="eastAsia" w:ascii="仿宋" w:hAnsi="仿宋" w:eastAsia="仿宋" w:cs="仿宋"/>
          <w:sz w:val="28"/>
          <w:szCs w:val="28"/>
          <w:highlight w:val="none"/>
        </w:rPr>
      </w:pPr>
    </w:p>
    <w:p w14:paraId="350A7976">
      <w:pPr>
        <w:rPr>
          <w:rFonts w:hint="eastAsia" w:ascii="仿宋" w:hAnsi="仿宋" w:eastAsia="仿宋" w:cs="仿宋"/>
          <w:sz w:val="28"/>
          <w:szCs w:val="28"/>
          <w:highlight w:val="none"/>
        </w:rPr>
      </w:pPr>
    </w:p>
    <w:p w14:paraId="6DE279CF">
      <w:pPr>
        <w:rPr>
          <w:rFonts w:hint="eastAsia" w:ascii="仿宋" w:hAnsi="仿宋" w:eastAsia="仿宋" w:cs="仿宋"/>
          <w:sz w:val="28"/>
          <w:szCs w:val="28"/>
          <w:highlight w:val="none"/>
        </w:rPr>
      </w:pPr>
    </w:p>
    <w:p w14:paraId="2467E127">
      <w:pPr>
        <w:rPr>
          <w:rFonts w:hint="eastAsia" w:ascii="仿宋" w:hAnsi="仿宋" w:eastAsia="仿宋" w:cs="仿宋"/>
          <w:sz w:val="28"/>
          <w:szCs w:val="28"/>
          <w:highlight w:val="none"/>
        </w:rPr>
      </w:pPr>
    </w:p>
    <w:p w14:paraId="40355ED3">
      <w:pPr>
        <w:rPr>
          <w:rFonts w:hint="eastAsia" w:ascii="仿宋" w:hAnsi="仿宋" w:eastAsia="仿宋" w:cs="仿宋"/>
          <w:sz w:val="28"/>
          <w:szCs w:val="28"/>
          <w:highlight w:val="none"/>
        </w:rPr>
      </w:pPr>
    </w:p>
    <w:p w14:paraId="5A838D55">
      <w:pPr>
        <w:rPr>
          <w:rFonts w:hint="eastAsia" w:ascii="仿宋" w:hAnsi="仿宋" w:eastAsia="仿宋" w:cs="仿宋"/>
          <w:sz w:val="28"/>
          <w:szCs w:val="28"/>
          <w:highlight w:val="none"/>
        </w:rPr>
      </w:pPr>
      <w:r>
        <w:rPr>
          <w:rFonts w:hint="eastAsia" w:ascii="仿宋" w:hAnsi="仿宋" w:eastAsia="仿宋" w:cs="仿宋"/>
          <w:sz w:val="28"/>
          <w:szCs w:val="28"/>
          <w:highlight w:val="none"/>
        </w:rPr>
        <w:t>所响应包号：第  包</w:t>
      </w:r>
    </w:p>
    <w:p w14:paraId="03D1D711">
      <w:pPr>
        <w:rPr>
          <w:rFonts w:hint="eastAsia" w:ascii="仿宋" w:hAnsi="仿宋" w:eastAsia="仿宋" w:cs="仿宋"/>
          <w:sz w:val="28"/>
          <w:szCs w:val="28"/>
          <w:highlight w:val="none"/>
        </w:rPr>
      </w:pPr>
      <w:r>
        <w:rPr>
          <w:rFonts w:hint="eastAsia" w:ascii="仿宋" w:hAnsi="仿宋" w:eastAsia="仿宋" w:cs="仿宋"/>
          <w:sz w:val="28"/>
          <w:szCs w:val="28"/>
          <w:highlight w:val="none"/>
        </w:rPr>
        <w:t>项目名称：</w:t>
      </w:r>
    </w:p>
    <w:p w14:paraId="24344AD8">
      <w:pPr>
        <w:rPr>
          <w:rFonts w:hint="eastAsia" w:ascii="仿宋" w:hAnsi="仿宋" w:eastAsia="仿宋" w:cs="仿宋"/>
          <w:sz w:val="28"/>
          <w:szCs w:val="28"/>
          <w:highlight w:val="none"/>
        </w:rPr>
      </w:pPr>
      <w:r>
        <w:rPr>
          <w:rFonts w:hint="eastAsia" w:ascii="仿宋" w:hAnsi="仿宋" w:eastAsia="仿宋" w:cs="仿宋"/>
          <w:sz w:val="28"/>
          <w:szCs w:val="28"/>
          <w:highlight w:val="none"/>
        </w:rPr>
        <w:t>项目编号：</w:t>
      </w:r>
    </w:p>
    <w:p w14:paraId="052805A2">
      <w:pPr>
        <w:rPr>
          <w:rFonts w:hint="eastAsia" w:ascii="仿宋" w:hAnsi="仿宋" w:eastAsia="仿宋" w:cs="仿宋"/>
          <w:sz w:val="28"/>
          <w:szCs w:val="28"/>
          <w:highlight w:val="none"/>
        </w:rPr>
      </w:pPr>
      <w:r>
        <w:rPr>
          <w:rFonts w:hint="eastAsia" w:ascii="仿宋" w:hAnsi="仿宋" w:eastAsia="仿宋" w:cs="仿宋"/>
          <w:sz w:val="28"/>
          <w:szCs w:val="28"/>
          <w:highlight w:val="none"/>
        </w:rPr>
        <w:t>供应商名称 ：</w:t>
      </w:r>
    </w:p>
    <w:p w14:paraId="6B6CBE10">
      <w:pPr>
        <w:widowControl/>
        <w:jc w:val="left"/>
        <w:outlineLvl w:val="1"/>
        <w:rPr>
          <w:rFonts w:hint="eastAsia" w:ascii="仿宋" w:hAnsi="仿宋" w:eastAsia="仿宋" w:cs="仿宋"/>
          <w:b/>
          <w:bCs/>
          <w:sz w:val="28"/>
          <w:szCs w:val="28"/>
          <w:highlight w:val="none"/>
        </w:rPr>
      </w:pPr>
      <w:r>
        <w:rPr>
          <w:rFonts w:hint="eastAsia" w:ascii="仿宋" w:hAnsi="仿宋" w:eastAsia="仿宋" w:cs="仿宋"/>
          <w:sz w:val="28"/>
          <w:szCs w:val="28"/>
          <w:highlight w:val="none"/>
        </w:rPr>
        <w:br w:type="page"/>
      </w:r>
      <w:bookmarkStart w:id="64" w:name="_Toc533340151"/>
      <w:bookmarkStart w:id="65" w:name="_Toc4485628"/>
      <w:r>
        <w:rPr>
          <w:rFonts w:hint="eastAsia" w:ascii="仿宋" w:hAnsi="仿宋" w:eastAsia="仿宋" w:cs="仿宋"/>
          <w:b/>
          <w:bCs/>
          <w:sz w:val="28"/>
          <w:szCs w:val="28"/>
          <w:highlight w:val="none"/>
        </w:rPr>
        <w:t>格式3</w:t>
      </w:r>
      <w:bookmarkEnd w:id="64"/>
      <w:bookmarkEnd w:id="65"/>
    </w:p>
    <w:p w14:paraId="45C45E14">
      <w:pPr>
        <w:spacing w:before="319" w:beforeLines="100" w:after="319"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目  录</w:t>
      </w:r>
    </w:p>
    <w:p w14:paraId="1959FF42">
      <w:pPr>
        <w:rPr>
          <w:rFonts w:hint="eastAsia" w:ascii="仿宋" w:hAnsi="仿宋" w:eastAsia="仿宋" w:cs="仿宋"/>
          <w:highlight w:val="none"/>
        </w:rPr>
      </w:pPr>
      <w:r>
        <w:rPr>
          <w:rFonts w:hint="eastAsia" w:ascii="仿宋" w:hAnsi="仿宋" w:eastAsia="仿宋" w:cs="仿宋"/>
          <w:highlight w:val="none"/>
        </w:rPr>
        <w:t>一、资格证明材料</w:t>
      </w:r>
    </w:p>
    <w:p w14:paraId="2CA24039">
      <w:pPr>
        <w:rPr>
          <w:rFonts w:hint="eastAsia" w:ascii="仿宋" w:hAnsi="仿宋" w:eastAsia="仿宋" w:cs="仿宋"/>
          <w:highlight w:val="none"/>
        </w:rPr>
      </w:pPr>
      <w:r>
        <w:rPr>
          <w:rFonts w:hint="eastAsia" w:ascii="仿宋" w:hAnsi="仿宋" w:eastAsia="仿宋" w:cs="仿宋"/>
          <w:highlight w:val="none"/>
        </w:rPr>
        <w:t>……</w:t>
      </w:r>
    </w:p>
    <w:p w14:paraId="67869BDA">
      <w:pPr>
        <w:rPr>
          <w:rFonts w:hint="eastAsia" w:ascii="仿宋" w:hAnsi="仿宋" w:eastAsia="仿宋" w:cs="仿宋"/>
          <w:highlight w:val="none"/>
        </w:rPr>
      </w:pPr>
      <w:r>
        <w:rPr>
          <w:rFonts w:hint="eastAsia" w:ascii="仿宋" w:hAnsi="仿宋" w:eastAsia="仿宋" w:cs="仿宋"/>
          <w:highlight w:val="none"/>
        </w:rPr>
        <w:t>二、符合性证明材料</w:t>
      </w:r>
    </w:p>
    <w:p w14:paraId="3215EF89">
      <w:pPr>
        <w:rPr>
          <w:rFonts w:hint="eastAsia" w:ascii="仿宋" w:hAnsi="仿宋" w:eastAsia="仿宋" w:cs="仿宋"/>
          <w:highlight w:val="none"/>
        </w:rPr>
      </w:pPr>
      <w:r>
        <w:rPr>
          <w:rFonts w:hint="eastAsia" w:ascii="仿宋" w:hAnsi="仿宋" w:eastAsia="仿宋" w:cs="仿宋"/>
          <w:highlight w:val="none"/>
        </w:rPr>
        <w:t>……</w:t>
      </w:r>
    </w:p>
    <w:p w14:paraId="0E931F7B">
      <w:pPr>
        <w:rPr>
          <w:rFonts w:hint="eastAsia" w:ascii="仿宋" w:hAnsi="仿宋" w:eastAsia="仿宋" w:cs="仿宋"/>
          <w:highlight w:val="none"/>
        </w:rPr>
      </w:pPr>
      <w:r>
        <w:rPr>
          <w:rFonts w:hint="eastAsia" w:ascii="仿宋" w:hAnsi="仿宋" w:eastAsia="仿宋" w:cs="仿宋"/>
          <w:highlight w:val="none"/>
        </w:rPr>
        <w:t>三、其它材料</w:t>
      </w:r>
    </w:p>
    <w:p w14:paraId="3D2B7AD0">
      <w:pPr>
        <w:rPr>
          <w:rFonts w:hint="eastAsia" w:ascii="仿宋" w:hAnsi="仿宋" w:eastAsia="仿宋" w:cs="仿宋"/>
          <w:szCs w:val="21"/>
          <w:highlight w:val="none"/>
        </w:rPr>
      </w:pPr>
      <w:r>
        <w:rPr>
          <w:rFonts w:hint="eastAsia" w:ascii="仿宋" w:hAnsi="仿宋" w:eastAsia="仿宋" w:cs="仿宋"/>
          <w:szCs w:val="21"/>
          <w:highlight w:val="none"/>
        </w:rPr>
        <w:t>……</w:t>
      </w:r>
    </w:p>
    <w:p w14:paraId="48136231">
      <w:pPr>
        <w:rPr>
          <w:rFonts w:hint="eastAsia" w:ascii="仿宋" w:hAnsi="仿宋" w:eastAsia="仿宋" w:cs="仿宋"/>
          <w:szCs w:val="21"/>
          <w:highlight w:val="none"/>
        </w:rPr>
      </w:pPr>
    </w:p>
    <w:p w14:paraId="2AAAC978">
      <w:pPr>
        <w:rPr>
          <w:rFonts w:hint="eastAsia" w:ascii="仿宋" w:hAnsi="仿宋" w:eastAsia="仿宋" w:cs="仿宋"/>
          <w:szCs w:val="21"/>
          <w:highlight w:val="none"/>
        </w:rPr>
      </w:pPr>
    </w:p>
    <w:p w14:paraId="74FFC7FF">
      <w:pPr>
        <w:rPr>
          <w:rFonts w:hint="eastAsia" w:ascii="仿宋" w:hAnsi="仿宋" w:eastAsia="仿宋" w:cs="仿宋"/>
          <w:szCs w:val="21"/>
          <w:highlight w:val="none"/>
        </w:rPr>
      </w:pPr>
    </w:p>
    <w:p w14:paraId="13A885D0">
      <w:pPr>
        <w:adjustRightInd w:val="0"/>
        <w:snapToGrid w:val="0"/>
        <w:spacing w:line="360" w:lineRule="auto"/>
        <w:ind w:firstLine="420" w:firstLineChars="200"/>
        <w:rPr>
          <w:rFonts w:hint="eastAsia" w:ascii="仿宋" w:hAnsi="仿宋" w:eastAsia="仿宋" w:cs="仿宋"/>
          <w:highlight w:val="none"/>
        </w:rPr>
      </w:pPr>
      <w:r>
        <w:rPr>
          <w:rFonts w:hint="eastAsia" w:ascii="仿宋" w:hAnsi="仿宋" w:eastAsia="仿宋" w:cs="仿宋"/>
          <w:highlight w:val="none"/>
        </w:rPr>
        <w:t>我单位的响应文件由资格证明材料、符合性证明材料和其它材料三部分组成，在此加盖单位公章并由法定代表人（或非法人组织负责人）或其授权委托人签字，保证响应文件中所有材料真实、有效。</w:t>
      </w:r>
    </w:p>
    <w:p w14:paraId="43223FEC">
      <w:pPr>
        <w:rPr>
          <w:rFonts w:hint="eastAsia" w:ascii="仿宋" w:hAnsi="仿宋" w:eastAsia="仿宋" w:cs="仿宋"/>
          <w:highlight w:val="none"/>
        </w:rPr>
      </w:pPr>
    </w:p>
    <w:p w14:paraId="13FB25E4">
      <w:pPr>
        <w:rPr>
          <w:rFonts w:hint="eastAsia" w:ascii="仿宋" w:hAnsi="仿宋" w:eastAsia="仿宋" w:cs="仿宋"/>
          <w:highlight w:val="none"/>
        </w:rPr>
      </w:pPr>
    </w:p>
    <w:p w14:paraId="24E9578C">
      <w:pPr>
        <w:rPr>
          <w:rFonts w:hint="eastAsia" w:ascii="仿宋" w:hAnsi="仿宋" w:eastAsia="仿宋" w:cs="仿宋"/>
          <w:highlight w:val="none"/>
        </w:rPr>
      </w:pPr>
    </w:p>
    <w:p w14:paraId="26D066C9">
      <w:pPr>
        <w:spacing w:line="480" w:lineRule="auto"/>
        <w:rPr>
          <w:rFonts w:hint="eastAsia" w:ascii="仿宋" w:hAnsi="仿宋" w:eastAsia="仿宋" w:cs="仿宋"/>
          <w:highlight w:val="none"/>
        </w:rPr>
      </w:pPr>
      <w:r>
        <w:rPr>
          <w:rFonts w:hint="eastAsia" w:ascii="仿宋" w:hAnsi="仿宋" w:eastAsia="仿宋" w:cs="仿宋"/>
          <w:highlight w:val="none"/>
        </w:rPr>
        <w:t>供应商名称</w:t>
      </w:r>
      <w:r>
        <w:rPr>
          <w:rFonts w:hint="eastAsia" w:ascii="仿宋" w:hAnsi="仿宋" w:eastAsia="仿宋" w:cs="仿宋"/>
          <w:highlight w:val="none"/>
          <w:u w:val="single"/>
        </w:rPr>
        <w:t>（加盖单位公章）</w:t>
      </w:r>
      <w:r>
        <w:rPr>
          <w:rFonts w:hint="eastAsia" w:ascii="仿宋" w:hAnsi="仿宋" w:eastAsia="仿宋" w:cs="仿宋"/>
          <w:highlight w:val="none"/>
        </w:rPr>
        <w:t xml:space="preserve">：           </w:t>
      </w:r>
    </w:p>
    <w:p w14:paraId="2403E717">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w:t>
      </w:r>
      <w:r>
        <w:rPr>
          <w:rFonts w:hint="eastAsia" w:ascii="仿宋" w:hAnsi="仿宋" w:eastAsia="仿宋" w:cs="仿宋"/>
          <w:highlight w:val="none"/>
        </w:rPr>
        <w:t>）</w:t>
      </w:r>
      <w:r>
        <w:rPr>
          <w:rFonts w:hint="eastAsia" w:ascii="仿宋" w:hAnsi="仿宋" w:eastAsia="仿宋" w:cs="仿宋"/>
          <w:szCs w:val="21"/>
          <w:highlight w:val="none"/>
        </w:rPr>
        <w:t>或</w:t>
      </w:r>
      <w:r>
        <w:rPr>
          <w:rFonts w:hint="eastAsia" w:ascii="仿宋" w:hAnsi="仿宋" w:eastAsia="仿宋" w:cs="仿宋"/>
          <w:highlight w:val="none"/>
        </w:rPr>
        <w:t xml:space="preserve">其授权委托人： </w:t>
      </w:r>
      <w:r>
        <w:rPr>
          <w:rFonts w:hint="eastAsia" w:ascii="仿宋" w:hAnsi="仿宋" w:eastAsia="仿宋" w:cs="仿宋"/>
          <w:highlight w:val="none"/>
          <w:u w:val="single"/>
        </w:rPr>
        <w:t xml:space="preserve">          (签字或盖章) </w:t>
      </w:r>
    </w:p>
    <w:p w14:paraId="44C52E6E">
      <w:pPr>
        <w:spacing w:line="480" w:lineRule="auto"/>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5B92F9F7">
      <w:pPr>
        <w:widowControl/>
        <w:jc w:val="left"/>
        <w:outlineLvl w:val="1"/>
        <w:rPr>
          <w:rFonts w:hint="eastAsia" w:ascii="仿宋" w:hAnsi="仿宋" w:eastAsia="仿宋" w:cs="仿宋"/>
          <w:b/>
          <w:bCs/>
          <w:sz w:val="28"/>
          <w:szCs w:val="28"/>
          <w:highlight w:val="none"/>
        </w:rPr>
      </w:pPr>
      <w:r>
        <w:rPr>
          <w:rFonts w:hint="eastAsia" w:ascii="仿宋" w:hAnsi="仿宋" w:eastAsia="仿宋" w:cs="仿宋"/>
          <w:highlight w:val="none"/>
        </w:rPr>
        <w:br w:type="page"/>
      </w:r>
      <w:bookmarkStart w:id="66" w:name="_Toc533340152"/>
      <w:bookmarkStart w:id="67" w:name="_Toc4485629"/>
      <w:r>
        <w:rPr>
          <w:rFonts w:hint="eastAsia" w:ascii="仿宋" w:hAnsi="仿宋" w:eastAsia="仿宋" w:cs="仿宋"/>
          <w:b/>
          <w:bCs/>
          <w:sz w:val="28"/>
          <w:szCs w:val="28"/>
          <w:highlight w:val="none"/>
        </w:rPr>
        <w:t>格式4</w:t>
      </w:r>
      <w:bookmarkEnd w:id="66"/>
      <w:bookmarkEnd w:id="67"/>
    </w:p>
    <w:p w14:paraId="308C67ED">
      <w:pPr>
        <w:spacing w:before="319" w:beforeLines="100" w:after="319"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法定代表人（或非法人组织负责人）身份证明书</w:t>
      </w:r>
    </w:p>
    <w:p w14:paraId="157BB7DB">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姓名：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，性别：</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，出生日期：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，现任职务：</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，系</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（供应商名称）的法定代表人（或非法人组织负责人）。</w:t>
      </w:r>
    </w:p>
    <w:p w14:paraId="46490E58">
      <w:pPr>
        <w:ind w:firstLine="420" w:firstLineChars="200"/>
        <w:rPr>
          <w:rFonts w:hint="eastAsia" w:ascii="仿宋" w:hAnsi="仿宋" w:eastAsia="仿宋" w:cs="仿宋"/>
          <w:szCs w:val="21"/>
          <w:highlight w:val="none"/>
        </w:rPr>
      </w:pPr>
    </w:p>
    <w:p w14:paraId="7BB8323D">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特此证明。</w:t>
      </w:r>
    </w:p>
    <w:p w14:paraId="646C3A0E">
      <w:pPr>
        <w:rPr>
          <w:rFonts w:hint="eastAsia" w:ascii="仿宋" w:hAnsi="仿宋" w:eastAsia="仿宋" w:cs="仿宋"/>
          <w:szCs w:val="21"/>
          <w:highlight w:val="none"/>
        </w:rPr>
      </w:pPr>
    </w:p>
    <w:p w14:paraId="26FC1A82">
      <w:pPr>
        <w:rPr>
          <w:rFonts w:hint="eastAsia" w:ascii="仿宋" w:hAnsi="仿宋" w:eastAsia="仿宋" w:cs="仿宋"/>
          <w:szCs w:val="21"/>
          <w:highlight w:val="none"/>
        </w:rPr>
      </w:pPr>
    </w:p>
    <w:p w14:paraId="3091A486">
      <w:pPr>
        <w:rPr>
          <w:rFonts w:hint="eastAsia" w:ascii="仿宋" w:hAnsi="仿宋" w:eastAsia="仿宋" w:cs="仿宋"/>
          <w:szCs w:val="21"/>
          <w:highlight w:val="none"/>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5E23B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5E618477">
            <w:pPr>
              <w:jc w:val="center"/>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（※法定代表人（或非法人组织负责人）身份证正、反面复印件※）</w:t>
            </w:r>
          </w:p>
        </w:tc>
      </w:tr>
    </w:tbl>
    <w:p w14:paraId="1B21F976">
      <w:pPr>
        <w:rPr>
          <w:rFonts w:hint="eastAsia" w:ascii="仿宋" w:hAnsi="仿宋" w:eastAsia="仿宋" w:cs="仿宋"/>
          <w:szCs w:val="21"/>
          <w:highlight w:val="none"/>
        </w:rPr>
      </w:pPr>
    </w:p>
    <w:p w14:paraId="016BD579">
      <w:pPr>
        <w:rPr>
          <w:rFonts w:hint="eastAsia" w:ascii="仿宋" w:hAnsi="仿宋" w:eastAsia="仿宋" w:cs="仿宋"/>
          <w:szCs w:val="21"/>
          <w:highlight w:val="none"/>
        </w:rPr>
      </w:pPr>
    </w:p>
    <w:p w14:paraId="20E93FE0">
      <w:pPr>
        <w:rPr>
          <w:rFonts w:hint="eastAsia" w:ascii="仿宋" w:hAnsi="仿宋" w:eastAsia="仿宋" w:cs="仿宋"/>
          <w:szCs w:val="21"/>
          <w:highlight w:val="none"/>
        </w:rPr>
      </w:pPr>
    </w:p>
    <w:p w14:paraId="2F4441B4">
      <w:pPr>
        <w:rPr>
          <w:rFonts w:hint="eastAsia" w:ascii="仿宋" w:hAnsi="仿宋" w:eastAsia="仿宋" w:cs="仿宋"/>
          <w:szCs w:val="21"/>
          <w:highlight w:val="none"/>
        </w:rPr>
      </w:pPr>
    </w:p>
    <w:p w14:paraId="689966C0">
      <w:pPr>
        <w:rPr>
          <w:rFonts w:hint="eastAsia" w:ascii="仿宋" w:hAnsi="仿宋" w:eastAsia="仿宋" w:cs="仿宋"/>
          <w:szCs w:val="21"/>
          <w:highlight w:val="none"/>
        </w:rPr>
      </w:pPr>
    </w:p>
    <w:p w14:paraId="6007B977">
      <w:pPr>
        <w:rPr>
          <w:rFonts w:hint="eastAsia" w:ascii="仿宋" w:hAnsi="仿宋" w:eastAsia="仿宋" w:cs="仿宋"/>
          <w:szCs w:val="21"/>
          <w:highlight w:val="none"/>
        </w:rPr>
      </w:pPr>
    </w:p>
    <w:p w14:paraId="2362E6FE">
      <w:pPr>
        <w:rPr>
          <w:rFonts w:hint="eastAsia" w:ascii="仿宋" w:hAnsi="仿宋" w:eastAsia="仿宋" w:cs="仿宋"/>
          <w:szCs w:val="21"/>
          <w:highlight w:val="none"/>
        </w:rPr>
      </w:pPr>
    </w:p>
    <w:p w14:paraId="2444732B">
      <w:pPr>
        <w:rPr>
          <w:rFonts w:hint="eastAsia" w:ascii="仿宋" w:hAnsi="仿宋" w:eastAsia="仿宋" w:cs="仿宋"/>
          <w:szCs w:val="21"/>
          <w:highlight w:val="none"/>
        </w:rPr>
      </w:pPr>
    </w:p>
    <w:p w14:paraId="71030ABD">
      <w:pPr>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14:paraId="1CBFF7DD">
      <w:pPr>
        <w:spacing w:line="480" w:lineRule="auto"/>
        <w:rPr>
          <w:rFonts w:hint="eastAsia" w:ascii="仿宋" w:hAnsi="仿宋" w:eastAsia="仿宋" w:cs="仿宋"/>
          <w:highlight w:val="none"/>
        </w:rPr>
      </w:pPr>
      <w:r>
        <w:rPr>
          <w:rFonts w:hint="eastAsia" w:ascii="仿宋" w:hAnsi="仿宋" w:eastAsia="仿宋" w:cs="仿宋"/>
          <w:highlight w:val="none"/>
        </w:rPr>
        <w:t xml:space="preserve">日期： </w:t>
      </w:r>
      <w:r>
        <w:rPr>
          <w:rFonts w:hint="eastAsia" w:ascii="仿宋" w:hAnsi="仿宋" w:eastAsia="仿宋" w:cs="仿宋"/>
          <w:highlight w:val="none"/>
          <w:u w:val="single"/>
        </w:rPr>
        <w:t xml:space="preserve">             </w:t>
      </w:r>
    </w:p>
    <w:p w14:paraId="0B948EDD">
      <w:pPr>
        <w:widowControl/>
        <w:jc w:val="left"/>
        <w:outlineLvl w:val="1"/>
        <w:rPr>
          <w:rFonts w:hint="eastAsia" w:ascii="仿宋" w:hAnsi="仿宋" w:eastAsia="仿宋" w:cs="仿宋"/>
          <w:b/>
          <w:bCs/>
          <w:sz w:val="28"/>
          <w:szCs w:val="28"/>
          <w:highlight w:val="none"/>
        </w:rPr>
      </w:pPr>
      <w:r>
        <w:rPr>
          <w:rFonts w:hint="eastAsia" w:ascii="仿宋" w:hAnsi="仿宋" w:eastAsia="仿宋" w:cs="仿宋"/>
          <w:szCs w:val="21"/>
          <w:highlight w:val="none"/>
        </w:rPr>
        <w:br w:type="page"/>
      </w:r>
      <w:bookmarkStart w:id="68" w:name="_Toc533340153"/>
      <w:bookmarkStart w:id="69" w:name="_Toc4485630"/>
      <w:r>
        <w:rPr>
          <w:rFonts w:hint="eastAsia" w:ascii="仿宋" w:hAnsi="仿宋" w:eastAsia="仿宋" w:cs="仿宋"/>
          <w:b/>
          <w:bCs/>
          <w:sz w:val="28"/>
          <w:szCs w:val="28"/>
          <w:highlight w:val="none"/>
        </w:rPr>
        <w:t>格式5</w:t>
      </w:r>
      <w:bookmarkEnd w:id="68"/>
      <w:bookmarkEnd w:id="69"/>
    </w:p>
    <w:p w14:paraId="5D3962E4">
      <w:pPr>
        <w:spacing w:before="319" w:beforeLines="100" w:after="319"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法定代表人（或非法人组织负责人）授权委托书</w:t>
      </w:r>
    </w:p>
    <w:p w14:paraId="7D939DEA">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单位名称：</w:t>
      </w:r>
      <w:r>
        <w:rPr>
          <w:rFonts w:hint="eastAsia" w:ascii="仿宋" w:hAnsi="仿宋" w:eastAsia="仿宋" w:cs="仿宋"/>
          <w:szCs w:val="21"/>
          <w:highlight w:val="none"/>
          <w:u w:val="single"/>
        </w:rPr>
        <w:t xml:space="preserve">           </w:t>
      </w:r>
    </w:p>
    <w:p w14:paraId="231E1917">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法定代表人（或非法人组织负责人）姓名：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身份证号码：</w:t>
      </w:r>
      <w:r>
        <w:rPr>
          <w:rFonts w:hint="eastAsia" w:ascii="仿宋" w:hAnsi="仿宋" w:eastAsia="仿宋" w:cs="仿宋"/>
          <w:szCs w:val="21"/>
          <w:highlight w:val="none"/>
          <w:u w:val="single"/>
        </w:rPr>
        <w:t xml:space="preserve">         </w:t>
      </w:r>
    </w:p>
    <w:p w14:paraId="54B53D3A">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住所地：</w:t>
      </w:r>
      <w:r>
        <w:rPr>
          <w:rFonts w:hint="eastAsia" w:ascii="仿宋" w:hAnsi="仿宋" w:eastAsia="仿宋" w:cs="仿宋"/>
          <w:szCs w:val="21"/>
          <w:highlight w:val="none"/>
          <w:u w:val="single"/>
        </w:rPr>
        <w:t xml:space="preserve">                       </w:t>
      </w:r>
    </w:p>
    <w:p w14:paraId="47FACAEA">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highlight w:val="none"/>
        </w:rPr>
        <w:t>授权委托人姓名</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身份证号码：</w:t>
      </w:r>
      <w:r>
        <w:rPr>
          <w:rFonts w:hint="eastAsia" w:ascii="仿宋" w:hAnsi="仿宋" w:eastAsia="仿宋" w:cs="仿宋"/>
          <w:szCs w:val="21"/>
          <w:highlight w:val="none"/>
          <w:u w:val="single"/>
        </w:rPr>
        <w:t xml:space="preserve">         </w:t>
      </w:r>
    </w:p>
    <w:p w14:paraId="7B473B9C">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工作单位：</w:t>
      </w:r>
      <w:r>
        <w:rPr>
          <w:rFonts w:hint="eastAsia" w:ascii="仿宋" w:hAnsi="仿宋" w:eastAsia="仿宋" w:cs="仿宋"/>
          <w:szCs w:val="21"/>
          <w:highlight w:val="none"/>
          <w:u w:val="single"/>
        </w:rPr>
        <w:t xml:space="preserve">                    </w:t>
      </w:r>
    </w:p>
    <w:p w14:paraId="76C6D03F">
      <w:pPr>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住址：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电话：</w:t>
      </w:r>
      <w:r>
        <w:rPr>
          <w:rFonts w:hint="eastAsia" w:ascii="仿宋" w:hAnsi="仿宋" w:eastAsia="仿宋" w:cs="仿宋"/>
          <w:szCs w:val="21"/>
          <w:highlight w:val="none"/>
          <w:u w:val="single"/>
        </w:rPr>
        <w:t xml:space="preserve">               </w:t>
      </w:r>
    </w:p>
    <w:p w14:paraId="442FF566">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现委托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就</w:t>
      </w:r>
      <w:r>
        <w:rPr>
          <w:rFonts w:hint="eastAsia" w:ascii="仿宋" w:hAnsi="仿宋" w:eastAsia="仿宋" w:cs="仿宋"/>
          <w:szCs w:val="21"/>
          <w:highlight w:val="none"/>
          <w:u w:val="single"/>
        </w:rPr>
        <w:t>（项目编号、项目名称、包号）</w:t>
      </w:r>
      <w:r>
        <w:rPr>
          <w:rFonts w:hint="eastAsia" w:ascii="仿宋" w:hAnsi="仿宋" w:eastAsia="仿宋" w:cs="仿宋"/>
          <w:szCs w:val="21"/>
          <w:highlight w:val="none"/>
        </w:rPr>
        <w:t>政府采购活动，以我单位名义处理一切与之有关的事务。</w:t>
      </w:r>
    </w:p>
    <w:p w14:paraId="7EE63546">
      <w:pPr>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本授权书于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日签字或盖章</w:t>
      </w:r>
      <w:r>
        <w:rPr>
          <w:rFonts w:hint="eastAsia" w:ascii="仿宋" w:hAnsi="仿宋" w:eastAsia="仿宋" w:cs="仿宋"/>
          <w:b/>
          <w:szCs w:val="21"/>
          <w:highlight w:val="none"/>
        </w:rPr>
        <w:t>生效，无转委托，</w:t>
      </w:r>
      <w:r>
        <w:rPr>
          <w:rFonts w:hint="eastAsia" w:ascii="仿宋" w:hAnsi="仿宋" w:eastAsia="仿宋" w:cs="仿宋"/>
          <w:szCs w:val="21"/>
          <w:highlight w:val="none"/>
        </w:rPr>
        <w:t>特此声明。</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11B1C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6096BBDC">
            <w:pPr>
              <w:jc w:val="center"/>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highlight w:val="none"/>
              </w:rPr>
              <w:t>授权委托人</w:t>
            </w:r>
            <w:r>
              <w:rPr>
                <w:rFonts w:hint="eastAsia" w:ascii="仿宋" w:hAnsi="仿宋" w:eastAsia="仿宋" w:cs="仿宋"/>
                <w:szCs w:val="21"/>
                <w:highlight w:val="none"/>
              </w:rPr>
              <w:t>身份证正、反面复印件※）</w:t>
            </w:r>
          </w:p>
        </w:tc>
      </w:tr>
    </w:tbl>
    <w:p w14:paraId="6BA445DB">
      <w:pPr>
        <w:spacing w:line="360" w:lineRule="auto"/>
        <w:rPr>
          <w:rFonts w:hint="eastAsia" w:ascii="仿宋" w:hAnsi="仿宋" w:eastAsia="仿宋" w:cs="仿宋"/>
          <w:szCs w:val="21"/>
          <w:highlight w:val="none"/>
        </w:rPr>
      </w:pPr>
    </w:p>
    <w:p w14:paraId="1818C10C">
      <w:pPr>
        <w:spacing w:line="360" w:lineRule="auto"/>
        <w:rPr>
          <w:rFonts w:hint="eastAsia" w:ascii="仿宋" w:hAnsi="仿宋" w:eastAsia="仿宋" w:cs="仿宋"/>
          <w:szCs w:val="21"/>
          <w:highlight w:val="none"/>
        </w:rPr>
      </w:pPr>
    </w:p>
    <w:p w14:paraId="08B29EC9">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委托人（加盖单位公章）：</w:t>
      </w:r>
      <w:r>
        <w:rPr>
          <w:rFonts w:hint="eastAsia" w:ascii="仿宋" w:hAnsi="仿宋" w:eastAsia="仿宋" w:cs="仿宋"/>
          <w:szCs w:val="21"/>
          <w:highlight w:val="none"/>
          <w:u w:val="single"/>
        </w:rPr>
        <w:t xml:space="preserve">          </w:t>
      </w:r>
    </w:p>
    <w:p w14:paraId="47824C0D">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法定代表人（或非法人组织负责人）（签字或盖章）：</w:t>
      </w:r>
      <w:r>
        <w:rPr>
          <w:rFonts w:hint="eastAsia" w:ascii="仿宋" w:hAnsi="仿宋" w:eastAsia="仿宋" w:cs="仿宋"/>
          <w:szCs w:val="21"/>
          <w:highlight w:val="none"/>
          <w:u w:val="single"/>
        </w:rPr>
        <w:t xml:space="preserve">               </w:t>
      </w:r>
    </w:p>
    <w:p w14:paraId="6CAC700D">
      <w:pPr>
        <w:spacing w:line="360" w:lineRule="auto"/>
        <w:rPr>
          <w:rFonts w:hint="eastAsia" w:ascii="仿宋" w:hAnsi="仿宋" w:eastAsia="仿宋" w:cs="仿宋"/>
          <w:szCs w:val="21"/>
          <w:highlight w:val="none"/>
        </w:rPr>
      </w:pPr>
      <w:r>
        <w:rPr>
          <w:rFonts w:hint="eastAsia" w:ascii="仿宋" w:hAnsi="仿宋" w:eastAsia="仿宋" w:cs="仿宋"/>
          <w:highlight w:val="none"/>
        </w:rPr>
        <w:t>授权委托人</w:t>
      </w:r>
      <w:r>
        <w:rPr>
          <w:rFonts w:hint="eastAsia" w:ascii="仿宋" w:hAnsi="仿宋" w:eastAsia="仿宋" w:cs="仿宋"/>
          <w:szCs w:val="21"/>
          <w:highlight w:val="none"/>
        </w:rPr>
        <w:t>：（签字或盖章）</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2E53A10E">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详细通讯地址：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邮政编码 ：</w:t>
      </w:r>
      <w:r>
        <w:rPr>
          <w:rFonts w:hint="eastAsia" w:ascii="仿宋" w:hAnsi="仿宋" w:eastAsia="仿宋" w:cs="仿宋"/>
          <w:szCs w:val="21"/>
          <w:highlight w:val="none"/>
          <w:u w:val="single"/>
        </w:rPr>
        <w:t xml:space="preserve">              </w:t>
      </w:r>
    </w:p>
    <w:p w14:paraId="59565327">
      <w:pPr>
        <w:spacing w:line="360" w:lineRule="auto"/>
        <w:rPr>
          <w:rFonts w:hint="eastAsia" w:ascii="仿宋" w:hAnsi="仿宋" w:eastAsia="仿宋" w:cs="仿宋"/>
          <w:szCs w:val="21"/>
          <w:highlight w:val="none"/>
          <w:u w:val="single"/>
        </w:rPr>
      </w:pPr>
      <w:r>
        <w:rPr>
          <w:rFonts w:hint="eastAsia" w:ascii="仿宋" w:hAnsi="仿宋" w:eastAsia="仿宋" w:cs="仿宋"/>
          <w:szCs w:val="21"/>
          <w:highlight w:val="none"/>
        </w:rPr>
        <w:t>传        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    话：</w:t>
      </w:r>
      <w:r>
        <w:rPr>
          <w:rFonts w:hint="eastAsia" w:ascii="仿宋" w:hAnsi="仿宋" w:eastAsia="仿宋" w:cs="仿宋"/>
          <w:szCs w:val="21"/>
          <w:highlight w:val="none"/>
          <w:u w:val="single"/>
        </w:rPr>
        <w:t xml:space="preserve">              </w:t>
      </w:r>
    </w:p>
    <w:p w14:paraId="5FC0DA6E">
      <w:pPr>
        <w:spacing w:line="360" w:lineRule="auto"/>
        <w:jc w:val="left"/>
        <w:rPr>
          <w:rFonts w:hint="eastAsia" w:ascii="仿宋" w:hAnsi="仿宋" w:eastAsia="仿宋" w:cs="仿宋"/>
          <w:szCs w:val="21"/>
          <w:highlight w:val="none"/>
          <w:u w:val="singl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14:paraId="048890F2">
      <w:pPr>
        <w:pStyle w:val="3"/>
        <w:adjustRightInd w:val="0"/>
        <w:snapToGrid w:val="0"/>
        <w:spacing w:before="0" w:after="0" w:line="240" w:lineRule="auto"/>
        <w:jc w:val="left"/>
        <w:rPr>
          <w:rFonts w:hint="eastAsia" w:ascii="仿宋" w:hAnsi="仿宋" w:eastAsia="仿宋" w:cs="仿宋"/>
          <w:szCs w:val="28"/>
          <w:highlight w:val="none"/>
        </w:rPr>
      </w:pPr>
      <w:r>
        <w:rPr>
          <w:rFonts w:hint="eastAsia" w:ascii="仿宋" w:hAnsi="仿宋" w:eastAsia="仿宋" w:cs="仿宋"/>
          <w:szCs w:val="21"/>
          <w:highlight w:val="none"/>
          <w:u w:val="single"/>
        </w:rPr>
        <w:br w:type="page"/>
      </w:r>
      <w:bookmarkStart w:id="70" w:name="_Toc533340154"/>
      <w:bookmarkStart w:id="71" w:name="_Toc4485631"/>
      <w:r>
        <w:rPr>
          <w:rFonts w:hint="eastAsia" w:ascii="仿宋" w:hAnsi="仿宋" w:eastAsia="仿宋" w:cs="仿宋"/>
          <w:sz w:val="28"/>
          <w:highlight w:val="none"/>
        </w:rPr>
        <w:t>格式6</w:t>
      </w:r>
    </w:p>
    <w:p w14:paraId="062D455F">
      <w:pPr>
        <w:spacing w:before="319" w:beforeLines="100" w:after="319" w:afterLines="100" w:line="360" w:lineRule="auto"/>
        <w:ind w:right="-21" w:rightChars="-10"/>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具有良好的商业信誉和健全的财务会计制度的承诺函</w:t>
      </w:r>
    </w:p>
    <w:p w14:paraId="11CAFC7F">
      <w:pPr>
        <w:spacing w:before="319" w:beforeLines="100" w:after="319" w:afterLines="100" w:line="480" w:lineRule="exact"/>
        <w:ind w:right="630" w:rightChars="30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（格式自拟）</w:t>
      </w:r>
    </w:p>
    <w:p w14:paraId="33454358">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03354B15">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2E8E1C60">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1CE36E1D">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5C0413D8">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237A1FFC">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1F29CA36">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213F2DEB">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0FD161F9">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6EA83983">
      <w:pPr>
        <w:snapToGrid w:val="0"/>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14:paraId="46B34F4D">
      <w:pPr>
        <w:snapToGrid w:val="0"/>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非法人组织负责人）或</w:t>
      </w:r>
      <w:r>
        <w:rPr>
          <w:rFonts w:hint="eastAsia" w:ascii="仿宋" w:hAnsi="仿宋" w:eastAsia="仿宋" w:cs="仿宋"/>
          <w:highlight w:val="none"/>
        </w:rPr>
        <w:t>其授权委托人(签字或盖章)：</w:t>
      </w:r>
      <w:r>
        <w:rPr>
          <w:rFonts w:hint="eastAsia" w:ascii="仿宋" w:hAnsi="仿宋" w:eastAsia="仿宋" w:cs="仿宋"/>
          <w:highlight w:val="none"/>
          <w:u w:val="single"/>
        </w:rPr>
        <w:t xml:space="preserve">           </w:t>
      </w:r>
    </w:p>
    <w:p w14:paraId="67F6086C">
      <w:pPr>
        <w:adjustRightInd w:val="0"/>
        <w:snapToGrid w:val="0"/>
        <w:spacing w:line="360" w:lineRule="auto"/>
        <w:ind w:right="105" w:rightChars="50"/>
        <w:jc w:val="left"/>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p w14:paraId="64AE1410">
      <w:pPr>
        <w:adjustRightInd w:val="0"/>
        <w:snapToGrid w:val="0"/>
        <w:spacing w:line="360" w:lineRule="auto"/>
        <w:ind w:right="105" w:rightChars="50"/>
        <w:jc w:val="left"/>
        <w:rPr>
          <w:rFonts w:hint="eastAsia" w:ascii="仿宋" w:hAnsi="仿宋" w:eastAsia="仿宋" w:cs="仿宋"/>
          <w:highlight w:val="none"/>
          <w:u w:val="single"/>
        </w:rPr>
      </w:pPr>
    </w:p>
    <w:p w14:paraId="05449B2F">
      <w:pPr>
        <w:widowControl/>
        <w:jc w:val="left"/>
        <w:outlineLvl w:val="1"/>
        <w:rPr>
          <w:rFonts w:hint="eastAsia" w:ascii="仿宋" w:hAnsi="仿宋" w:eastAsia="仿宋" w:cs="仿宋"/>
          <w:b/>
          <w:bCs/>
          <w:sz w:val="28"/>
          <w:szCs w:val="28"/>
          <w:highlight w:val="none"/>
        </w:rPr>
      </w:pPr>
      <w:r>
        <w:rPr>
          <w:rFonts w:hint="eastAsia" w:ascii="仿宋" w:hAnsi="仿宋" w:eastAsia="仿宋" w:cs="仿宋"/>
          <w:szCs w:val="21"/>
          <w:highlight w:val="none"/>
          <w:u w:val="single"/>
        </w:rPr>
        <w:br w:type="page"/>
      </w:r>
      <w:r>
        <w:rPr>
          <w:rFonts w:hint="eastAsia" w:ascii="仿宋" w:hAnsi="仿宋" w:eastAsia="仿宋" w:cs="仿宋"/>
          <w:b/>
          <w:bCs/>
          <w:sz w:val="28"/>
          <w:szCs w:val="28"/>
          <w:highlight w:val="none"/>
        </w:rPr>
        <w:t>格式7</w:t>
      </w:r>
      <w:bookmarkEnd w:id="70"/>
      <w:bookmarkEnd w:id="71"/>
    </w:p>
    <w:p w14:paraId="340206BC">
      <w:pPr>
        <w:spacing w:before="319" w:beforeLines="100" w:after="319"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具备履行合同所必需的设备和专业技术能力声明函</w:t>
      </w:r>
    </w:p>
    <w:p w14:paraId="4CC917AA">
      <w:pPr>
        <w:spacing w:before="319" w:beforeLines="100" w:after="319" w:afterLines="100" w:line="480" w:lineRule="exact"/>
        <w:ind w:right="630" w:rightChars="30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（格式自拟）</w:t>
      </w:r>
    </w:p>
    <w:p w14:paraId="599DA587">
      <w:pPr>
        <w:spacing w:before="319" w:beforeLines="100" w:after="319" w:afterLines="100" w:line="480" w:lineRule="exact"/>
        <w:ind w:right="630" w:rightChars="300"/>
        <w:jc w:val="center"/>
        <w:rPr>
          <w:rFonts w:hint="eastAsia" w:ascii="仿宋" w:hAnsi="仿宋" w:eastAsia="仿宋" w:cs="仿宋"/>
          <w:b/>
          <w:sz w:val="28"/>
          <w:szCs w:val="28"/>
          <w:highlight w:val="none"/>
        </w:rPr>
      </w:pPr>
    </w:p>
    <w:p w14:paraId="0FE424E8">
      <w:pPr>
        <w:spacing w:before="319" w:beforeLines="100" w:after="319" w:afterLines="100" w:line="480" w:lineRule="exact"/>
        <w:ind w:right="630" w:rightChars="300"/>
        <w:jc w:val="center"/>
        <w:rPr>
          <w:rFonts w:hint="eastAsia" w:ascii="仿宋" w:hAnsi="仿宋" w:eastAsia="仿宋" w:cs="仿宋"/>
          <w:b/>
          <w:sz w:val="28"/>
          <w:szCs w:val="28"/>
          <w:highlight w:val="none"/>
        </w:rPr>
      </w:pPr>
    </w:p>
    <w:p w14:paraId="3E688B3C">
      <w:pPr>
        <w:spacing w:before="319" w:beforeLines="100" w:after="319" w:afterLines="100" w:line="480" w:lineRule="exact"/>
        <w:ind w:right="630" w:rightChars="300"/>
        <w:jc w:val="center"/>
        <w:rPr>
          <w:rFonts w:hint="eastAsia" w:ascii="仿宋" w:hAnsi="仿宋" w:eastAsia="仿宋" w:cs="仿宋"/>
          <w:b/>
          <w:sz w:val="28"/>
          <w:szCs w:val="28"/>
          <w:highlight w:val="none"/>
        </w:rPr>
      </w:pPr>
    </w:p>
    <w:p w14:paraId="4BB2440E">
      <w:pPr>
        <w:spacing w:before="319" w:beforeLines="100" w:after="319" w:afterLines="100" w:line="480" w:lineRule="exact"/>
        <w:ind w:right="630" w:rightChars="300"/>
        <w:jc w:val="center"/>
        <w:rPr>
          <w:rFonts w:hint="eastAsia" w:ascii="仿宋" w:hAnsi="仿宋" w:eastAsia="仿宋" w:cs="仿宋"/>
          <w:b/>
          <w:sz w:val="28"/>
          <w:szCs w:val="28"/>
          <w:highlight w:val="none"/>
        </w:rPr>
      </w:pPr>
    </w:p>
    <w:p w14:paraId="10E99CF6">
      <w:pPr>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14:paraId="6D3754F8">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w:t>
      </w:r>
      <w:r>
        <w:rPr>
          <w:rFonts w:hint="eastAsia" w:ascii="仿宋" w:hAnsi="仿宋" w:eastAsia="仿宋" w:cs="仿宋"/>
          <w:highlight w:val="none"/>
        </w:rPr>
        <w:t>）</w:t>
      </w:r>
      <w:r>
        <w:rPr>
          <w:rFonts w:hint="eastAsia" w:ascii="仿宋" w:hAnsi="仿宋" w:eastAsia="仿宋" w:cs="仿宋"/>
          <w:szCs w:val="21"/>
          <w:highlight w:val="none"/>
        </w:rPr>
        <w:t>或</w:t>
      </w:r>
      <w:r>
        <w:rPr>
          <w:rFonts w:hint="eastAsia" w:ascii="仿宋" w:hAnsi="仿宋" w:eastAsia="仿宋" w:cs="仿宋"/>
          <w:highlight w:val="none"/>
        </w:rPr>
        <w:t xml:space="preserve">其授权委托人(签字或盖章)： </w:t>
      </w:r>
      <w:r>
        <w:rPr>
          <w:rFonts w:hint="eastAsia" w:ascii="仿宋" w:hAnsi="仿宋" w:eastAsia="仿宋" w:cs="仿宋"/>
          <w:highlight w:val="none"/>
          <w:u w:val="single"/>
        </w:rPr>
        <w:t xml:space="preserve">         </w:t>
      </w:r>
    </w:p>
    <w:p w14:paraId="7EC3927F">
      <w:pPr>
        <w:spacing w:line="480" w:lineRule="auto"/>
        <w:rPr>
          <w:rFonts w:hint="eastAsia" w:ascii="仿宋" w:hAnsi="仿宋" w:eastAsia="仿宋" w:cs="仿宋"/>
          <w:highlight w:val="none"/>
        </w:rPr>
      </w:pPr>
      <w:r>
        <w:rPr>
          <w:rFonts w:hint="eastAsia" w:ascii="仿宋" w:hAnsi="仿宋" w:eastAsia="仿宋" w:cs="仿宋"/>
          <w:highlight w:val="none"/>
        </w:rPr>
        <w:t xml:space="preserve">日期： </w:t>
      </w:r>
      <w:r>
        <w:rPr>
          <w:rFonts w:hint="eastAsia" w:ascii="仿宋" w:hAnsi="仿宋" w:eastAsia="仿宋" w:cs="仿宋"/>
          <w:highlight w:val="none"/>
          <w:u w:val="single"/>
        </w:rPr>
        <w:t xml:space="preserve">             </w:t>
      </w:r>
    </w:p>
    <w:p w14:paraId="2FD7FB43">
      <w:pPr>
        <w:widowControl/>
        <w:jc w:val="left"/>
        <w:outlineLvl w:val="1"/>
        <w:rPr>
          <w:rFonts w:hint="eastAsia" w:ascii="仿宋" w:hAnsi="仿宋" w:eastAsia="仿宋" w:cs="仿宋"/>
          <w:b/>
          <w:bCs/>
          <w:sz w:val="28"/>
          <w:szCs w:val="28"/>
          <w:highlight w:val="none"/>
        </w:rPr>
      </w:pPr>
      <w:r>
        <w:rPr>
          <w:rFonts w:hint="eastAsia" w:ascii="仿宋" w:hAnsi="仿宋" w:eastAsia="仿宋" w:cs="仿宋"/>
          <w:b/>
          <w:sz w:val="28"/>
          <w:szCs w:val="28"/>
          <w:highlight w:val="none"/>
        </w:rPr>
        <w:br w:type="page"/>
      </w:r>
      <w:bookmarkStart w:id="72" w:name="_Toc533340155"/>
      <w:bookmarkStart w:id="73" w:name="_Toc4485632"/>
      <w:r>
        <w:rPr>
          <w:rFonts w:hint="eastAsia" w:ascii="仿宋" w:hAnsi="仿宋" w:eastAsia="仿宋" w:cs="仿宋"/>
          <w:b/>
          <w:bCs/>
          <w:sz w:val="28"/>
          <w:szCs w:val="28"/>
          <w:highlight w:val="none"/>
        </w:rPr>
        <w:t>格式8</w:t>
      </w:r>
      <w:bookmarkEnd w:id="72"/>
      <w:bookmarkEnd w:id="73"/>
    </w:p>
    <w:p w14:paraId="0BCF0D30">
      <w:pPr>
        <w:spacing w:before="319" w:beforeLines="100" w:after="319"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 参加政府采购活动前3年内在经营活动中没有重大违法记录的书面声明</w:t>
      </w:r>
    </w:p>
    <w:p w14:paraId="2139A7BB">
      <w:pPr>
        <w:spacing w:before="159" w:beforeLines="50" w:after="159" w:afterLines="50" w:line="400" w:lineRule="exact"/>
        <w:ind w:right="630" w:rightChars="300"/>
        <w:rPr>
          <w:rFonts w:hint="eastAsia" w:ascii="仿宋" w:hAnsi="仿宋" w:eastAsia="仿宋" w:cs="仿宋"/>
          <w:sz w:val="24"/>
          <w:highlight w:val="none"/>
        </w:rPr>
      </w:pPr>
    </w:p>
    <w:p w14:paraId="3BE47ABD">
      <w:pPr>
        <w:spacing w:line="360" w:lineRule="auto"/>
        <w:ind w:right="630" w:rightChars="300"/>
        <w:rPr>
          <w:rFonts w:hint="eastAsia" w:ascii="仿宋" w:hAnsi="仿宋" w:eastAsia="仿宋" w:cs="仿宋"/>
          <w:b/>
          <w:szCs w:val="21"/>
          <w:highlight w:val="none"/>
        </w:rPr>
      </w:pPr>
      <w:r>
        <w:rPr>
          <w:rFonts w:hint="eastAsia" w:ascii="仿宋" w:hAnsi="仿宋" w:eastAsia="仿宋" w:cs="仿宋"/>
          <w:b/>
          <w:szCs w:val="21"/>
          <w:highlight w:val="none"/>
          <w:u w:val="single"/>
        </w:rPr>
        <w:t xml:space="preserve">（采购人或采购代理机构名称） </w:t>
      </w:r>
      <w:r>
        <w:rPr>
          <w:rFonts w:hint="eastAsia" w:ascii="仿宋" w:hAnsi="仿宋" w:eastAsia="仿宋" w:cs="仿宋"/>
          <w:b/>
          <w:szCs w:val="21"/>
          <w:highlight w:val="none"/>
        </w:rPr>
        <w:t xml:space="preserve"> ：</w:t>
      </w:r>
    </w:p>
    <w:p w14:paraId="47457B47">
      <w:pPr>
        <w:spacing w:line="500" w:lineRule="exact"/>
        <w:ind w:right="-21" w:rightChars="-10" w:firstLine="493" w:firstLineChars="235"/>
        <w:rPr>
          <w:rFonts w:hint="eastAsia" w:ascii="仿宋" w:hAnsi="仿宋" w:eastAsia="仿宋" w:cs="仿宋"/>
          <w:szCs w:val="21"/>
          <w:highlight w:val="none"/>
        </w:rPr>
      </w:pPr>
      <w:r>
        <w:rPr>
          <w:rFonts w:hint="eastAsia" w:ascii="仿宋" w:hAnsi="仿宋" w:eastAsia="仿宋" w:cs="仿宋"/>
          <w:bCs/>
          <w:szCs w:val="21"/>
          <w:highlight w:val="none"/>
        </w:rPr>
        <w:t>在本项目提交响应文件截止时间前，</w:t>
      </w:r>
      <w:r>
        <w:rPr>
          <w:rFonts w:hint="eastAsia" w:ascii="仿宋" w:hAnsi="仿宋" w:eastAsia="仿宋" w:cs="仿宋"/>
          <w:szCs w:val="21"/>
          <w:highlight w:val="none"/>
        </w:rPr>
        <w:t>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4F972BBB">
      <w:pPr>
        <w:tabs>
          <w:tab w:val="left" w:pos="10065"/>
        </w:tabs>
        <w:spacing w:line="500" w:lineRule="exact"/>
        <w:ind w:right="-21" w:rightChars="-10" w:firstLine="371" w:firstLineChars="177"/>
        <w:rPr>
          <w:rFonts w:hint="eastAsia" w:ascii="仿宋" w:hAnsi="仿宋" w:eastAsia="仿宋" w:cs="仿宋"/>
          <w:szCs w:val="21"/>
          <w:highlight w:val="none"/>
        </w:rPr>
      </w:pPr>
      <w:r>
        <w:rPr>
          <w:rFonts w:hint="eastAsia" w:ascii="仿宋" w:hAnsi="仿宋" w:eastAsia="仿宋" w:cs="仿宋"/>
          <w:szCs w:val="21"/>
          <w:highlight w:val="none"/>
        </w:rPr>
        <w:t>如发现我单位提供的声明函不实时，我单位将按照《政府采购法》有关提供虚假材料的规定，接受处罚。</w:t>
      </w:r>
    </w:p>
    <w:p w14:paraId="75759613">
      <w:pPr>
        <w:spacing w:line="500" w:lineRule="exact"/>
        <w:ind w:right="1050" w:rightChars="500" w:firstLine="420" w:firstLineChars="200"/>
        <w:rPr>
          <w:rFonts w:hint="eastAsia" w:ascii="仿宋" w:hAnsi="仿宋" w:eastAsia="仿宋" w:cs="仿宋"/>
          <w:szCs w:val="21"/>
          <w:highlight w:val="none"/>
        </w:rPr>
      </w:pPr>
      <w:r>
        <w:rPr>
          <w:rFonts w:hint="eastAsia" w:ascii="仿宋" w:hAnsi="仿宋" w:eastAsia="仿宋" w:cs="仿宋"/>
          <w:szCs w:val="21"/>
          <w:highlight w:val="none"/>
        </w:rPr>
        <w:t>特此声明。</w:t>
      </w:r>
    </w:p>
    <w:p w14:paraId="3B0B3B62">
      <w:pPr>
        <w:spacing w:line="500" w:lineRule="exact"/>
        <w:ind w:right="1050" w:rightChars="500" w:firstLine="420" w:firstLineChars="200"/>
        <w:rPr>
          <w:rFonts w:hint="eastAsia" w:ascii="仿宋" w:hAnsi="仿宋" w:eastAsia="仿宋" w:cs="仿宋"/>
          <w:szCs w:val="21"/>
          <w:highlight w:val="none"/>
        </w:rPr>
      </w:pPr>
    </w:p>
    <w:p w14:paraId="38F1E868">
      <w:pPr>
        <w:spacing w:before="159" w:beforeLines="50" w:after="159" w:afterLines="50" w:line="400" w:lineRule="exact"/>
        <w:ind w:right="1050" w:rightChars="500" w:firstLine="420" w:firstLineChars="200"/>
        <w:rPr>
          <w:rFonts w:hint="eastAsia" w:ascii="仿宋" w:hAnsi="仿宋" w:eastAsia="仿宋" w:cs="仿宋"/>
          <w:szCs w:val="21"/>
          <w:highlight w:val="none"/>
        </w:rPr>
      </w:pPr>
    </w:p>
    <w:p w14:paraId="336DB466">
      <w:pPr>
        <w:spacing w:before="159" w:beforeLines="50" w:after="159" w:afterLines="50" w:line="400" w:lineRule="exact"/>
        <w:ind w:right="1050" w:rightChars="500" w:firstLine="420" w:firstLineChars="200"/>
        <w:rPr>
          <w:rFonts w:hint="eastAsia" w:ascii="仿宋" w:hAnsi="仿宋" w:eastAsia="仿宋" w:cs="仿宋"/>
          <w:szCs w:val="21"/>
          <w:highlight w:val="none"/>
        </w:rPr>
      </w:pPr>
    </w:p>
    <w:p w14:paraId="12AE85FF">
      <w:pPr>
        <w:spacing w:line="360" w:lineRule="exact"/>
        <w:ind w:left="1050" w:leftChars="500" w:right="1050" w:rightChars="500" w:firstLine="420" w:firstLineChars="200"/>
        <w:rPr>
          <w:rFonts w:hint="eastAsia" w:ascii="仿宋" w:hAnsi="仿宋" w:eastAsia="仿宋" w:cs="仿宋"/>
          <w:szCs w:val="21"/>
          <w:highlight w:val="none"/>
        </w:rPr>
      </w:pPr>
    </w:p>
    <w:p w14:paraId="4C57526A">
      <w:pPr>
        <w:spacing w:line="480" w:lineRule="auto"/>
        <w:rPr>
          <w:rFonts w:hint="eastAsia" w:ascii="仿宋" w:hAnsi="仿宋" w:eastAsia="仿宋" w:cs="仿宋"/>
          <w:highlight w:val="none"/>
        </w:rPr>
      </w:pPr>
      <w:r>
        <w:rPr>
          <w:rFonts w:hint="eastAsia" w:ascii="仿宋" w:hAnsi="仿宋" w:eastAsia="仿宋" w:cs="仿宋"/>
          <w:highlight w:val="none"/>
        </w:rPr>
        <w:t>供应商名称（加盖单位公章）：</w:t>
      </w:r>
      <w:r>
        <w:rPr>
          <w:rFonts w:hint="eastAsia" w:ascii="仿宋" w:hAnsi="仿宋" w:eastAsia="仿宋" w:cs="仿宋"/>
          <w:highlight w:val="none"/>
          <w:u w:val="single"/>
        </w:rPr>
        <w:t xml:space="preserve">           </w:t>
      </w:r>
    </w:p>
    <w:p w14:paraId="4D0190FC">
      <w:pPr>
        <w:spacing w:line="480" w:lineRule="auto"/>
        <w:rPr>
          <w:rFonts w:hint="eastAsia" w:ascii="仿宋" w:hAnsi="仿宋" w:eastAsia="仿宋" w:cs="仿宋"/>
          <w:highlight w:val="none"/>
        </w:rPr>
      </w:pPr>
      <w:r>
        <w:rPr>
          <w:rFonts w:hint="eastAsia" w:ascii="仿宋" w:hAnsi="仿宋" w:eastAsia="仿宋" w:cs="仿宋"/>
          <w:highlight w:val="none"/>
        </w:rPr>
        <w:t>法定代表人（或</w:t>
      </w:r>
      <w:r>
        <w:rPr>
          <w:rFonts w:hint="eastAsia" w:ascii="仿宋" w:hAnsi="仿宋" w:eastAsia="仿宋" w:cs="仿宋"/>
          <w:szCs w:val="21"/>
          <w:highlight w:val="none"/>
        </w:rPr>
        <w:t>非法人组织负责人</w:t>
      </w:r>
      <w:r>
        <w:rPr>
          <w:rFonts w:hint="eastAsia" w:ascii="仿宋" w:hAnsi="仿宋" w:eastAsia="仿宋" w:cs="仿宋"/>
          <w:highlight w:val="none"/>
        </w:rPr>
        <w:t>）</w:t>
      </w:r>
      <w:r>
        <w:rPr>
          <w:rFonts w:hint="eastAsia" w:ascii="仿宋" w:hAnsi="仿宋" w:eastAsia="仿宋" w:cs="仿宋"/>
          <w:szCs w:val="21"/>
          <w:highlight w:val="none"/>
        </w:rPr>
        <w:t>或</w:t>
      </w:r>
      <w:r>
        <w:rPr>
          <w:rFonts w:hint="eastAsia" w:ascii="仿宋" w:hAnsi="仿宋" w:eastAsia="仿宋" w:cs="仿宋"/>
          <w:highlight w:val="none"/>
        </w:rPr>
        <w:t xml:space="preserve">其授权委托人(签字或盖章)： </w:t>
      </w:r>
      <w:r>
        <w:rPr>
          <w:rFonts w:hint="eastAsia" w:ascii="仿宋" w:hAnsi="仿宋" w:eastAsia="仿宋" w:cs="仿宋"/>
          <w:highlight w:val="none"/>
          <w:u w:val="single"/>
        </w:rPr>
        <w:t xml:space="preserve">         </w:t>
      </w:r>
    </w:p>
    <w:p w14:paraId="502403A4">
      <w:pPr>
        <w:spacing w:line="480" w:lineRule="auto"/>
        <w:rPr>
          <w:rFonts w:hint="eastAsia" w:ascii="仿宋" w:hAnsi="仿宋" w:eastAsia="仿宋" w:cs="仿宋"/>
          <w:highlight w:val="none"/>
        </w:rPr>
      </w:pPr>
      <w:r>
        <w:rPr>
          <w:rFonts w:hint="eastAsia" w:ascii="仿宋" w:hAnsi="仿宋" w:eastAsia="仿宋" w:cs="仿宋"/>
          <w:highlight w:val="none"/>
        </w:rPr>
        <w:t xml:space="preserve">日期： </w:t>
      </w:r>
      <w:r>
        <w:rPr>
          <w:rFonts w:hint="eastAsia" w:ascii="仿宋" w:hAnsi="仿宋" w:eastAsia="仿宋" w:cs="仿宋"/>
          <w:highlight w:val="none"/>
          <w:u w:val="single"/>
        </w:rPr>
        <w:t xml:space="preserve">             </w:t>
      </w:r>
    </w:p>
    <w:p w14:paraId="10AC7A3B">
      <w:pPr>
        <w:keepNext/>
        <w:keepLines/>
        <w:widowControl/>
        <w:adjustRightInd w:val="0"/>
        <w:snapToGrid w:val="0"/>
        <w:jc w:val="left"/>
        <w:outlineLvl w:val="1"/>
        <w:rPr>
          <w:rFonts w:hint="eastAsia" w:ascii="仿宋" w:hAnsi="仿宋" w:eastAsia="仿宋" w:cs="仿宋"/>
          <w:b/>
          <w:sz w:val="28"/>
          <w:szCs w:val="28"/>
          <w:highlight w:val="none"/>
        </w:rPr>
      </w:pPr>
      <w:r>
        <w:rPr>
          <w:rFonts w:hint="eastAsia" w:ascii="仿宋" w:hAnsi="仿宋" w:eastAsia="仿宋" w:cs="仿宋"/>
          <w:szCs w:val="21"/>
          <w:highlight w:val="none"/>
        </w:rPr>
        <w:br w:type="page"/>
      </w:r>
      <w:r>
        <w:rPr>
          <w:rFonts w:hint="eastAsia" w:ascii="仿宋" w:hAnsi="仿宋" w:eastAsia="仿宋" w:cs="仿宋"/>
          <w:b/>
          <w:bCs/>
          <w:sz w:val="28"/>
          <w:szCs w:val="28"/>
          <w:highlight w:val="none"/>
        </w:rPr>
        <w:t>格式9</w:t>
      </w:r>
    </w:p>
    <w:p w14:paraId="43D9E022">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highlight w:val="none"/>
        </w:rPr>
      </w:pPr>
      <w:bookmarkStart w:id="74" w:name="_Toc19164_WPSOffice_Level2"/>
      <w:bookmarkStart w:id="75" w:name="_Toc4541_WPSOffice_Level2"/>
      <w:r>
        <w:rPr>
          <w:rFonts w:hint="eastAsia" w:ascii="仿宋" w:hAnsi="仿宋" w:eastAsia="仿宋" w:cs="仿宋"/>
          <w:b/>
          <w:bCs/>
          <w:sz w:val="32"/>
          <w:szCs w:val="32"/>
          <w:highlight w:val="none"/>
        </w:rPr>
        <w:t>中小企业声明函</w:t>
      </w:r>
      <w:bookmarkEnd w:id="74"/>
      <w:bookmarkEnd w:id="75"/>
      <w:r>
        <w:rPr>
          <w:rFonts w:hint="eastAsia" w:ascii="仿宋" w:hAnsi="仿宋" w:eastAsia="仿宋" w:cs="仿宋"/>
          <w:b/>
          <w:bCs/>
          <w:sz w:val="32"/>
          <w:szCs w:val="32"/>
          <w:highlight w:val="none"/>
        </w:rPr>
        <w:t>（服务）</w:t>
      </w:r>
    </w:p>
    <w:p w14:paraId="187842C2">
      <w:pPr>
        <w:adjustRightInd w:val="0"/>
        <w:snapToGrid w:val="0"/>
        <w:spacing w:line="360" w:lineRule="auto"/>
        <w:ind w:right="105" w:rightChars="50"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本公司（联合体）郑重声明，根据《政府采购促进中小企业发展管理办法》（财库﹝2020﹞46 号）</w:t>
      </w:r>
      <w:r>
        <w:rPr>
          <w:rFonts w:hint="eastAsia" w:ascii="仿宋" w:hAnsi="仿宋" w:eastAsia="仿宋" w:cs="仿宋"/>
          <w:szCs w:val="21"/>
          <w:highlight w:val="none"/>
        </w:rPr>
        <w:t>、</w:t>
      </w:r>
      <w:r>
        <w:rPr>
          <w:rFonts w:hint="eastAsia" w:ascii="仿宋" w:hAnsi="仿宋" w:eastAsia="仿宋" w:cs="仿宋"/>
          <w:kern w:val="0"/>
          <w:szCs w:val="21"/>
          <w:highlight w:val="none"/>
          <w:shd w:val="clear" w:color="auto" w:fill="FFFFFF"/>
          <w:lang w:bidi="ar"/>
        </w:rPr>
        <w:t>《关于进一步加大政府采购支持中小企业力度的通知》（财库〔2022〕19号）</w:t>
      </w:r>
      <w:r>
        <w:rPr>
          <w:rFonts w:hint="eastAsia" w:ascii="仿宋" w:hAnsi="仿宋" w:eastAsia="仿宋" w:cs="仿宋"/>
          <w:kern w:val="0"/>
          <w:szCs w:val="21"/>
          <w:highlight w:val="none"/>
        </w:rPr>
        <w:t>的规定，本公司（联合体）参加</w:t>
      </w:r>
      <w:r>
        <w:rPr>
          <w:rFonts w:hint="eastAsia" w:ascii="仿宋" w:hAnsi="仿宋" w:eastAsia="仿宋" w:cs="仿宋"/>
          <w:kern w:val="0"/>
          <w:szCs w:val="21"/>
          <w:highlight w:val="none"/>
          <w:u w:val="single"/>
        </w:rPr>
        <w:t>（单位名称）</w:t>
      </w:r>
      <w:r>
        <w:rPr>
          <w:rFonts w:hint="eastAsia" w:ascii="仿宋" w:hAnsi="仿宋" w:eastAsia="仿宋" w:cs="仿宋"/>
          <w:kern w:val="0"/>
          <w:szCs w:val="21"/>
          <w:highlight w:val="none"/>
        </w:rPr>
        <w:t>的</w:t>
      </w:r>
      <w:r>
        <w:rPr>
          <w:rFonts w:hint="eastAsia" w:ascii="仿宋" w:hAnsi="仿宋" w:eastAsia="仿宋" w:cs="仿宋"/>
          <w:kern w:val="0"/>
          <w:szCs w:val="21"/>
          <w:highlight w:val="none"/>
          <w:u w:val="single"/>
        </w:rPr>
        <w:t>（项目名称）</w:t>
      </w:r>
      <w:r>
        <w:rPr>
          <w:rFonts w:hint="eastAsia" w:ascii="仿宋" w:hAnsi="仿宋" w:eastAsia="仿宋" w:cs="仿宋"/>
          <w:kern w:val="0"/>
          <w:szCs w:val="21"/>
          <w:highlight w:val="none"/>
        </w:rPr>
        <w:t>采购活动，服务全部由符合政策要求的中小企业承接。相关企业（含联合体中的中小企业、签订分包意向协议的中小企业）的具体情况如下：</w:t>
      </w:r>
    </w:p>
    <w:p w14:paraId="58A5CE1D">
      <w:pPr>
        <w:adjustRightInd w:val="0"/>
        <w:snapToGrid w:val="0"/>
        <w:spacing w:line="360" w:lineRule="auto"/>
        <w:ind w:right="105" w:rightChars="50"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w:t>
      </w:r>
      <w:r>
        <w:rPr>
          <w:rFonts w:hint="eastAsia" w:ascii="仿宋" w:hAnsi="仿宋" w:eastAsia="仿宋" w:cs="仿宋"/>
          <w:kern w:val="0"/>
          <w:szCs w:val="21"/>
          <w:highlight w:val="none"/>
          <w:u w:val="single"/>
        </w:rPr>
        <w:t>（标的名称）</w:t>
      </w:r>
      <w:r>
        <w:rPr>
          <w:rFonts w:hint="eastAsia" w:ascii="仿宋" w:hAnsi="仿宋" w:eastAsia="仿宋" w:cs="仿宋"/>
          <w:kern w:val="0"/>
          <w:szCs w:val="21"/>
          <w:highlight w:val="none"/>
        </w:rPr>
        <w:t>，属于</w:t>
      </w:r>
      <w:r>
        <w:rPr>
          <w:rFonts w:hint="eastAsia" w:ascii="仿宋" w:hAnsi="仿宋" w:eastAsia="仿宋" w:cs="仿宋"/>
          <w:kern w:val="0"/>
          <w:szCs w:val="21"/>
          <w:highlight w:val="none"/>
          <w:u w:val="single"/>
        </w:rPr>
        <w:t>（</w:t>
      </w:r>
      <w:r>
        <w:rPr>
          <w:rFonts w:hint="eastAsia" w:ascii="仿宋" w:hAnsi="仿宋" w:eastAsia="仿宋" w:cs="仿宋"/>
          <w:kern w:val="0"/>
          <w:szCs w:val="21"/>
          <w:highlight w:val="none"/>
          <w:u w:val="single"/>
          <w:lang w:val="zh-CN"/>
        </w:rPr>
        <w:t>其他未列明行业</w:t>
      </w:r>
      <w:r>
        <w:rPr>
          <w:rFonts w:hint="eastAsia" w:ascii="仿宋" w:hAnsi="仿宋" w:eastAsia="仿宋" w:cs="仿宋"/>
          <w:kern w:val="0"/>
          <w:szCs w:val="21"/>
          <w:highlight w:val="none"/>
          <w:u w:val="single"/>
        </w:rPr>
        <w:t>）</w:t>
      </w:r>
      <w:r>
        <w:rPr>
          <w:rFonts w:hint="eastAsia" w:ascii="仿宋" w:hAnsi="仿宋" w:eastAsia="仿宋" w:cs="仿宋"/>
          <w:kern w:val="0"/>
          <w:szCs w:val="21"/>
          <w:highlight w:val="none"/>
        </w:rPr>
        <w:t>；承建（承接）企业为</w:t>
      </w:r>
      <w:r>
        <w:rPr>
          <w:rFonts w:hint="eastAsia" w:ascii="仿宋" w:hAnsi="仿宋" w:eastAsia="仿宋" w:cs="仿宋"/>
          <w:kern w:val="0"/>
          <w:szCs w:val="21"/>
          <w:highlight w:val="none"/>
          <w:u w:val="single"/>
        </w:rPr>
        <w:t>（企业名称）</w:t>
      </w:r>
      <w:r>
        <w:rPr>
          <w:rFonts w:hint="eastAsia" w:ascii="仿宋" w:hAnsi="仿宋" w:eastAsia="仿宋" w:cs="仿宋"/>
          <w:kern w:val="0"/>
          <w:szCs w:val="21"/>
          <w:highlight w:val="none"/>
        </w:rPr>
        <w:t>，从业人员</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人，营业收入为</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万元，资产总额为</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 xml:space="preserve">万元1，属于（中型企业、小型企业、微型企业）； </w:t>
      </w:r>
    </w:p>
    <w:p w14:paraId="6BE10CDE">
      <w:pPr>
        <w:adjustRightInd w:val="0"/>
        <w:snapToGrid w:val="0"/>
        <w:spacing w:line="360" w:lineRule="auto"/>
        <w:ind w:right="105" w:rightChars="5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    2.</w:t>
      </w:r>
      <w:r>
        <w:rPr>
          <w:rFonts w:hint="eastAsia" w:ascii="仿宋" w:hAnsi="仿宋" w:eastAsia="仿宋" w:cs="仿宋"/>
          <w:kern w:val="0"/>
          <w:szCs w:val="21"/>
          <w:highlight w:val="none"/>
          <w:u w:val="single"/>
        </w:rPr>
        <w:t>（标的名称）</w:t>
      </w:r>
      <w:r>
        <w:rPr>
          <w:rFonts w:hint="eastAsia" w:ascii="仿宋" w:hAnsi="仿宋" w:eastAsia="仿宋" w:cs="仿宋"/>
          <w:kern w:val="0"/>
          <w:szCs w:val="21"/>
          <w:highlight w:val="none"/>
        </w:rPr>
        <w:t xml:space="preserve"> ，属于</w:t>
      </w:r>
      <w:r>
        <w:rPr>
          <w:rFonts w:hint="eastAsia" w:ascii="仿宋" w:hAnsi="仿宋" w:eastAsia="仿宋" w:cs="仿宋"/>
          <w:kern w:val="0"/>
          <w:szCs w:val="21"/>
          <w:highlight w:val="none"/>
          <w:u w:val="single"/>
        </w:rPr>
        <w:t>（采购文件中明确的所属行业）</w:t>
      </w:r>
      <w:r>
        <w:rPr>
          <w:rFonts w:hint="eastAsia" w:ascii="仿宋" w:hAnsi="仿宋" w:eastAsia="仿宋" w:cs="仿宋"/>
          <w:kern w:val="0"/>
          <w:szCs w:val="21"/>
          <w:highlight w:val="none"/>
        </w:rPr>
        <w:t>；承建（承接）企业为</w:t>
      </w:r>
      <w:r>
        <w:rPr>
          <w:rFonts w:hint="eastAsia" w:ascii="仿宋" w:hAnsi="仿宋" w:eastAsia="仿宋" w:cs="仿宋"/>
          <w:kern w:val="0"/>
          <w:szCs w:val="21"/>
          <w:highlight w:val="none"/>
          <w:u w:val="single"/>
        </w:rPr>
        <w:t>（企业名称）</w:t>
      </w:r>
      <w:r>
        <w:rPr>
          <w:rFonts w:hint="eastAsia" w:ascii="仿宋" w:hAnsi="仿宋" w:eastAsia="仿宋" w:cs="仿宋"/>
          <w:kern w:val="0"/>
          <w:szCs w:val="21"/>
          <w:highlight w:val="none"/>
        </w:rPr>
        <w:t>，从业人员</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人，营业收入为</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万元，资产总额为</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 xml:space="preserve">万元，属于（中型企业、小型企业、微型企业）； </w:t>
      </w:r>
    </w:p>
    <w:p w14:paraId="33B794CA">
      <w:pPr>
        <w:adjustRightInd w:val="0"/>
        <w:snapToGrid w:val="0"/>
        <w:spacing w:line="360" w:lineRule="auto"/>
        <w:ind w:right="105" w:rightChars="50"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 </w:t>
      </w:r>
    </w:p>
    <w:p w14:paraId="24D3D1D7">
      <w:pPr>
        <w:adjustRightInd w:val="0"/>
        <w:snapToGrid w:val="0"/>
        <w:spacing w:line="360" w:lineRule="auto"/>
        <w:ind w:right="105" w:rightChars="5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     以上企业，不属于大企业的分支机构，不存在控股股东为大企业的情形，也不存在与大企业的负责人为同一人的情形。</w:t>
      </w:r>
    </w:p>
    <w:p w14:paraId="6D25F161">
      <w:pPr>
        <w:adjustRightInd w:val="0"/>
        <w:snapToGrid w:val="0"/>
        <w:spacing w:line="360" w:lineRule="auto"/>
        <w:ind w:right="105" w:rightChars="50"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本企业对上述声明内容的真实性负责。如有虚假，将依 法承担相应责任。</w:t>
      </w:r>
    </w:p>
    <w:p w14:paraId="63AA12FE">
      <w:pPr>
        <w:adjustRightInd w:val="0"/>
        <w:snapToGrid w:val="0"/>
        <w:spacing w:line="360" w:lineRule="auto"/>
        <w:ind w:right="105" w:rightChars="50"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 </w:t>
      </w:r>
    </w:p>
    <w:p w14:paraId="0EA784C0">
      <w:pPr>
        <w:adjustRightInd w:val="0"/>
        <w:snapToGrid w:val="0"/>
        <w:spacing w:line="360" w:lineRule="auto"/>
        <w:ind w:right="105" w:rightChars="50"/>
        <w:jc w:val="righ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企业名称（盖章）：  </w:t>
      </w:r>
    </w:p>
    <w:p w14:paraId="4B9C717F">
      <w:pPr>
        <w:adjustRightInd w:val="0"/>
        <w:snapToGrid w:val="0"/>
        <w:spacing w:line="360" w:lineRule="auto"/>
        <w:ind w:right="105" w:rightChars="50"/>
        <w:jc w:val="righ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日 期： </w:t>
      </w:r>
    </w:p>
    <w:p w14:paraId="4BBAF45F">
      <w:pPr>
        <w:adjustRightInd w:val="0"/>
        <w:snapToGrid w:val="0"/>
        <w:spacing w:line="360" w:lineRule="auto"/>
        <w:ind w:right="105" w:rightChars="50"/>
        <w:jc w:val="left"/>
        <w:rPr>
          <w:rFonts w:hint="eastAsia" w:ascii="仿宋" w:hAnsi="仿宋" w:eastAsia="仿宋" w:cs="仿宋"/>
          <w:kern w:val="0"/>
          <w:szCs w:val="21"/>
          <w:highlight w:val="none"/>
        </w:rPr>
      </w:pPr>
    </w:p>
    <w:p w14:paraId="5E3DB52E">
      <w:pPr>
        <w:adjustRightInd w:val="0"/>
        <w:snapToGrid w:val="0"/>
        <w:spacing w:line="360" w:lineRule="auto"/>
        <w:ind w:right="105" w:rightChars="50"/>
        <w:jc w:val="left"/>
        <w:rPr>
          <w:rFonts w:hint="eastAsia" w:ascii="仿宋" w:hAnsi="仿宋" w:eastAsia="仿宋" w:cs="仿宋"/>
          <w:kern w:val="0"/>
          <w:szCs w:val="21"/>
          <w:highlight w:val="none"/>
        </w:rPr>
      </w:pPr>
    </w:p>
    <w:p w14:paraId="005C894B">
      <w:pPr>
        <w:adjustRightInd w:val="0"/>
        <w:snapToGrid w:val="0"/>
        <w:spacing w:line="360" w:lineRule="auto"/>
        <w:ind w:right="105" w:rightChars="50"/>
        <w:jc w:val="left"/>
        <w:rPr>
          <w:rFonts w:hint="eastAsia" w:ascii="仿宋" w:hAnsi="仿宋" w:eastAsia="仿宋" w:cs="仿宋"/>
          <w:kern w:val="0"/>
          <w:szCs w:val="21"/>
          <w:highlight w:val="none"/>
        </w:rPr>
      </w:pPr>
    </w:p>
    <w:p w14:paraId="790BC514">
      <w:pPr>
        <w:adjustRightInd w:val="0"/>
        <w:snapToGrid w:val="0"/>
        <w:spacing w:line="360" w:lineRule="auto"/>
        <w:ind w:right="105" w:rightChars="50"/>
        <w:jc w:val="left"/>
        <w:rPr>
          <w:rFonts w:hint="eastAsia" w:ascii="仿宋" w:hAnsi="仿宋" w:eastAsia="仿宋" w:cs="仿宋"/>
          <w:kern w:val="0"/>
          <w:szCs w:val="21"/>
          <w:highlight w:val="none"/>
        </w:rPr>
      </w:pPr>
    </w:p>
    <w:p w14:paraId="5394915E">
      <w:pPr>
        <w:adjustRightInd w:val="0"/>
        <w:snapToGrid w:val="0"/>
        <w:spacing w:line="360" w:lineRule="auto"/>
        <w:ind w:right="105" w:rightChars="50"/>
        <w:jc w:val="left"/>
        <w:rPr>
          <w:rFonts w:hint="eastAsia" w:ascii="仿宋" w:hAnsi="仿宋" w:eastAsia="仿宋" w:cs="仿宋"/>
          <w:kern w:val="0"/>
          <w:szCs w:val="21"/>
          <w:highlight w:val="none"/>
        </w:rPr>
      </w:pPr>
    </w:p>
    <w:p w14:paraId="0599AA2E">
      <w:pPr>
        <w:adjustRightInd w:val="0"/>
        <w:snapToGrid w:val="0"/>
        <w:spacing w:line="360" w:lineRule="auto"/>
        <w:ind w:right="105" w:rightChars="50"/>
        <w:jc w:val="left"/>
        <w:rPr>
          <w:rFonts w:hint="eastAsia" w:ascii="仿宋" w:hAnsi="仿宋" w:eastAsia="仿宋" w:cs="仿宋"/>
          <w:kern w:val="0"/>
          <w:szCs w:val="21"/>
          <w:highlight w:val="none"/>
        </w:rPr>
      </w:pPr>
    </w:p>
    <w:p w14:paraId="732250D1">
      <w:pPr>
        <w:adjustRightInd w:val="0"/>
        <w:snapToGrid w:val="0"/>
        <w:spacing w:line="360" w:lineRule="auto"/>
        <w:ind w:right="105" w:rightChars="50"/>
        <w:jc w:val="left"/>
        <w:rPr>
          <w:rFonts w:hint="eastAsia" w:ascii="仿宋" w:hAnsi="仿宋" w:eastAsia="仿宋" w:cs="仿宋"/>
          <w:kern w:val="0"/>
          <w:szCs w:val="21"/>
          <w:highlight w:val="none"/>
        </w:rPr>
      </w:pPr>
    </w:p>
    <w:p w14:paraId="06836547">
      <w:pPr>
        <w:pStyle w:val="43"/>
        <w:spacing w:line="533" w:lineRule="exact"/>
        <w:ind w:firstLine="0"/>
        <w:jc w:val="center"/>
        <w:rPr>
          <w:rFonts w:hint="eastAsia" w:ascii="仿宋" w:hAnsi="仿宋" w:eastAsia="仿宋" w:cs="仿宋"/>
          <w:sz w:val="21"/>
          <w:szCs w:val="21"/>
          <w:highlight w:val="none"/>
        </w:rPr>
      </w:pPr>
    </w:p>
    <w:p w14:paraId="79D1184D">
      <w:pPr>
        <w:adjustRightInd w:val="0"/>
        <w:snapToGrid w:val="0"/>
        <w:spacing w:line="36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rPr>
        <w:t>1从业人员、营业收入、资产总额填报上一年度数据，无上一年度数据的新成立企业可不填报。</w:t>
      </w:r>
    </w:p>
    <w:p w14:paraId="659E350F">
      <w:pPr>
        <w:adjustRightInd w:val="0"/>
        <w:snapToGrid w:val="0"/>
        <w:spacing w:line="480" w:lineRule="auto"/>
        <w:ind w:right="105" w:rightChars="50"/>
        <w:jc w:val="left"/>
        <w:rPr>
          <w:rFonts w:hint="eastAsia" w:ascii="仿宋" w:hAnsi="仿宋" w:eastAsia="仿宋" w:cs="仿宋"/>
          <w:szCs w:val="21"/>
          <w:highlight w:val="none"/>
          <w:u w:val="single"/>
        </w:rPr>
      </w:pPr>
    </w:p>
    <w:p w14:paraId="016680A8">
      <w:pPr>
        <w:widowControl/>
        <w:adjustRightInd w:val="0"/>
        <w:snapToGrid w:val="0"/>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附：关于印发中小企业划型标准规定的通知</w:t>
      </w:r>
    </w:p>
    <w:p w14:paraId="54625857">
      <w:pPr>
        <w:widowControl/>
        <w:adjustRightInd w:val="0"/>
        <w:snapToGrid w:val="0"/>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工信部联企业[2011]300号</w:t>
      </w:r>
    </w:p>
    <w:p w14:paraId="5BE3DAFF">
      <w:pPr>
        <w:widowControl/>
        <w:adjustRightInd w:val="0"/>
        <w:snapToGrid w:val="0"/>
        <w:spacing w:line="360" w:lineRule="auto"/>
        <w:jc w:val="lef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w:t>
      </w:r>
    </w:p>
    <w:p w14:paraId="4F554253">
      <w:pPr>
        <w:widowControl/>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各省、自治区、直辖市人民政府，国务院各部委、各直属机构及有关单位：</w:t>
      </w:r>
    </w:p>
    <w:p w14:paraId="14DE5441">
      <w:pPr>
        <w:widowControl/>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3052FCE2">
      <w:pPr>
        <w:widowControl/>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w:t>
      </w:r>
    </w:p>
    <w:p w14:paraId="7ABC3793">
      <w:pPr>
        <w:widowControl/>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w:t>
      </w:r>
    </w:p>
    <w:p w14:paraId="21ACFB90">
      <w:pPr>
        <w:widowControl/>
        <w:adjustRightInd w:val="0"/>
        <w:snapToGrid w:val="0"/>
        <w:spacing w:line="360" w:lineRule="auto"/>
        <w:jc w:val="right"/>
        <w:rPr>
          <w:rFonts w:hint="eastAsia" w:ascii="仿宋" w:hAnsi="仿宋" w:eastAsia="仿宋" w:cs="仿宋"/>
          <w:szCs w:val="21"/>
          <w:highlight w:val="none"/>
        </w:rPr>
      </w:pPr>
      <w:r>
        <w:rPr>
          <w:rFonts w:hint="eastAsia" w:ascii="仿宋" w:hAnsi="仿宋" w:eastAsia="仿宋" w:cs="仿宋"/>
          <w:szCs w:val="21"/>
          <w:highlight w:val="none"/>
        </w:rPr>
        <w:t>　　                                                                              工业和信息化部          国家统计局</w:t>
      </w:r>
    </w:p>
    <w:p w14:paraId="043B9237">
      <w:pPr>
        <w:widowControl/>
        <w:adjustRightInd w:val="0"/>
        <w:snapToGrid w:val="0"/>
        <w:spacing w:line="360" w:lineRule="auto"/>
        <w:jc w:val="right"/>
        <w:rPr>
          <w:rFonts w:hint="eastAsia" w:ascii="仿宋" w:hAnsi="仿宋" w:eastAsia="仿宋" w:cs="仿宋"/>
          <w:szCs w:val="21"/>
          <w:highlight w:val="none"/>
        </w:rPr>
      </w:pPr>
      <w:r>
        <w:rPr>
          <w:rFonts w:hint="eastAsia" w:ascii="仿宋" w:hAnsi="仿宋" w:eastAsia="仿宋" w:cs="仿宋"/>
          <w:szCs w:val="21"/>
          <w:highlight w:val="none"/>
        </w:rPr>
        <w:t>　　                                                              国家发展和改革委员会       财政部</w:t>
      </w:r>
    </w:p>
    <w:p w14:paraId="7C6505B8">
      <w:pPr>
        <w:widowControl/>
        <w:adjustRightInd w:val="0"/>
        <w:snapToGrid w:val="0"/>
        <w:spacing w:line="360" w:lineRule="auto"/>
        <w:jc w:val="right"/>
        <w:rPr>
          <w:rFonts w:hint="eastAsia" w:ascii="仿宋" w:hAnsi="仿宋" w:eastAsia="仿宋" w:cs="仿宋"/>
          <w:szCs w:val="21"/>
          <w:highlight w:val="none"/>
        </w:rPr>
      </w:pPr>
      <w:r>
        <w:rPr>
          <w:rFonts w:hint="eastAsia" w:ascii="仿宋" w:hAnsi="仿宋" w:eastAsia="仿宋" w:cs="仿宋"/>
          <w:szCs w:val="21"/>
          <w:highlight w:val="none"/>
        </w:rPr>
        <w:t>　　                                                                              二○一一年六月十八日</w:t>
      </w:r>
    </w:p>
    <w:p w14:paraId="4A995775">
      <w:pPr>
        <w:widowControl/>
        <w:adjustRightInd w:val="0"/>
        <w:snapToGrid w:val="0"/>
        <w:spacing w:line="360" w:lineRule="auto"/>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　　</w:t>
      </w:r>
    </w:p>
    <w:p w14:paraId="77BD07D4">
      <w:pPr>
        <w:adjustRightInd w:val="0"/>
        <w:snapToGrid w:val="0"/>
        <w:spacing w:line="360" w:lineRule="auto"/>
        <w:ind w:right="105" w:rightChars="50"/>
        <w:jc w:val="center"/>
        <w:rPr>
          <w:rFonts w:hint="eastAsia" w:ascii="仿宋" w:hAnsi="仿宋" w:eastAsia="仿宋" w:cs="仿宋"/>
          <w:b/>
          <w:bCs/>
          <w:sz w:val="32"/>
          <w:szCs w:val="32"/>
          <w:highlight w:val="none"/>
        </w:rPr>
        <w:sectPr>
          <w:footerReference r:id="rId3" w:type="default"/>
          <w:pgSz w:w="11906" w:h="16838"/>
          <w:pgMar w:top="1440" w:right="1803" w:bottom="1440" w:left="1803" w:header="851" w:footer="992" w:gutter="0"/>
          <w:pgNumType w:fmt="decimal" w:start="1"/>
          <w:cols w:space="720" w:num="1"/>
          <w:docGrid w:type="linesAndChars" w:linePitch="319" w:charSpace="0"/>
        </w:sectPr>
      </w:pPr>
    </w:p>
    <w:p w14:paraId="29E25889">
      <w:pPr>
        <w:adjustRightInd w:val="0"/>
        <w:snapToGrid w:val="0"/>
        <w:spacing w:line="360" w:lineRule="auto"/>
        <w:ind w:right="105" w:rightChars="5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中小企业划型标准规定</w:t>
      </w:r>
    </w:p>
    <w:p w14:paraId="6B6B57CF">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一、根据《中华人民共和国中小企业促进法》和《国务院关于进一步促进中小企业发展的若干意见》(国发[2009]36号)，制定本规定。</w:t>
      </w:r>
    </w:p>
    <w:p w14:paraId="10148A73">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二、中小企业划分为中型、小型、微型三种类型，具体标准根据企业从业人员、营业收入、资产总额等指标，结合行业特点制定。</w:t>
      </w:r>
    </w:p>
    <w:p w14:paraId="7F102721">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9BA1686">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四、各行业划型标准为：</w:t>
      </w:r>
    </w:p>
    <w:p w14:paraId="62FEDE21">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（一）农、林、牧、渔业。营业收入20000万元以下的为中小微型企业。其中，营业收入500万元及以上的为中型企业，营业收入50万元及以上的为小型企业，营业收入50万元以下的为微型企业。</w:t>
      </w:r>
    </w:p>
    <w:p w14:paraId="669C94D1">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006074B">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2529B45">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61B636F">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3C26A18">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46D1395">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794EE27">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78142C1">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4EAD83B">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0761B6A">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E066C07">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76B1D0F">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346C474">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CEB87A9">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2C018FD">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（十六）其他未列明行业。从业人员300人以下的为中小微型企业。其中，从业人员100人及以上的为中型企业；从业人员10人及以上的为小型企业；从业人员10人以下的为微型企业。</w:t>
      </w:r>
    </w:p>
    <w:p w14:paraId="7E8B7D65">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五、企业类型的划分以统计部门的统计数据为依据。</w:t>
      </w:r>
    </w:p>
    <w:p w14:paraId="48568394">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六、本规定适用于在中华人民共和国境内依法设立的各类所有制和各种组织形式的企业。个体工商户和本规定以外的行业，参照本规定进行划型。</w:t>
      </w:r>
    </w:p>
    <w:p w14:paraId="3A029038">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0F638AD0">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八、本规定由工业和信息化部、国家统计局会同有关部门根据《国民经济行业分类》修订情况和企业发展变化情况适时修订。</w:t>
      </w:r>
    </w:p>
    <w:p w14:paraId="78D11890">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九、本规定由工业和信息化部、国家统计局会同有关部门负责解释。</w:t>
      </w:r>
    </w:p>
    <w:p w14:paraId="08A845B3">
      <w:pPr>
        <w:adjustRightInd w:val="0"/>
        <w:snapToGrid w:val="0"/>
        <w:spacing w:line="360" w:lineRule="auto"/>
        <w:ind w:firstLine="420" w:firstLineChars="200"/>
        <w:jc w:val="left"/>
        <w:rPr>
          <w:rFonts w:hint="eastAsia" w:ascii="仿宋" w:hAnsi="仿宋" w:eastAsia="仿宋" w:cs="仿宋"/>
          <w:szCs w:val="21"/>
          <w:highlight w:val="none"/>
        </w:rPr>
        <w:sectPr>
          <w:pgSz w:w="11906" w:h="16838"/>
          <w:pgMar w:top="1440" w:right="1803" w:bottom="1440" w:left="1803" w:header="851" w:footer="992" w:gutter="0"/>
          <w:pgNumType w:fmt="decimal"/>
          <w:cols w:space="720" w:num="1"/>
          <w:docGrid w:type="linesAndChars" w:linePitch="319" w:charSpace="0"/>
        </w:sectPr>
      </w:pPr>
      <w:r>
        <w:rPr>
          <w:rFonts w:hint="eastAsia" w:ascii="仿宋" w:hAnsi="仿宋" w:eastAsia="仿宋" w:cs="仿宋"/>
          <w:szCs w:val="21"/>
          <w:highlight w:val="none"/>
        </w:rPr>
        <w:t>十、本规定自发布之日起执行，原国家经贸委、原国家计委、财政部和国家统计局2003年颁布的《中小企业标准暂行规定》同时废止。</w:t>
      </w:r>
    </w:p>
    <w:p w14:paraId="3A86A165">
      <w:pPr>
        <w:keepLines/>
        <w:pageBreakBefore/>
        <w:adjustRightInd w:val="0"/>
        <w:snapToGrid w:val="0"/>
        <w:jc w:val="left"/>
        <w:outlineLvl w:val="1"/>
        <w:rPr>
          <w:rFonts w:hint="eastAsia" w:ascii="仿宋" w:hAnsi="仿宋" w:eastAsia="仿宋" w:cs="仿宋"/>
          <w:b/>
          <w:sz w:val="28"/>
          <w:szCs w:val="28"/>
          <w:highlight w:val="none"/>
        </w:rPr>
      </w:pPr>
      <w:r>
        <w:rPr>
          <w:rFonts w:hint="eastAsia" w:ascii="仿宋" w:hAnsi="仿宋" w:eastAsia="仿宋" w:cs="仿宋"/>
          <w:b/>
          <w:sz w:val="28"/>
          <w:szCs w:val="28"/>
          <w:highlight w:val="none"/>
        </w:rPr>
        <w:t>格式10</w:t>
      </w:r>
    </w:p>
    <w:p w14:paraId="59EA7076">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highlight w:val="none"/>
        </w:rPr>
      </w:pPr>
      <w:bookmarkStart w:id="76" w:name="_Toc29880_WPSOffice_Level2"/>
      <w:bookmarkStart w:id="77" w:name="_Toc13566_WPSOffice_Level2"/>
      <w:r>
        <w:rPr>
          <w:rFonts w:hint="eastAsia" w:ascii="仿宋" w:hAnsi="仿宋" w:eastAsia="仿宋" w:cs="仿宋"/>
          <w:b/>
          <w:bCs/>
          <w:sz w:val="32"/>
          <w:szCs w:val="32"/>
          <w:highlight w:val="none"/>
        </w:rPr>
        <w:t>残疾人福利性单位声明函</w:t>
      </w:r>
      <w:bookmarkEnd w:id="76"/>
      <w:bookmarkEnd w:id="77"/>
    </w:p>
    <w:p w14:paraId="11E957BB">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单位的</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项目采购活动，提供本单位制造的货物（由本单位承担工程/提供服务），或者提供其他残疾人福利性单位制造的货物（不包括使用非残疾人福利性单位注册商标的货物）</w:t>
      </w:r>
    </w:p>
    <w:p w14:paraId="3FD753E3">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本单位对上述声明的真实性负责。如有虚假，将依法承担相应责任。</w:t>
      </w:r>
    </w:p>
    <w:tbl>
      <w:tblPr>
        <w:tblStyle w:val="20"/>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520D4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42B9F2B9">
            <w:pPr>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1582" w:type="dxa"/>
            <w:vAlign w:val="center"/>
          </w:tcPr>
          <w:p w14:paraId="72A17314">
            <w:pPr>
              <w:jc w:val="center"/>
              <w:rPr>
                <w:rFonts w:hint="eastAsia" w:ascii="仿宋" w:hAnsi="仿宋" w:eastAsia="仿宋" w:cs="仿宋"/>
                <w:szCs w:val="21"/>
                <w:highlight w:val="none"/>
              </w:rPr>
            </w:pPr>
            <w:r>
              <w:rPr>
                <w:rFonts w:hint="eastAsia" w:ascii="仿宋" w:hAnsi="仿宋" w:eastAsia="仿宋" w:cs="仿宋"/>
                <w:szCs w:val="21"/>
                <w:highlight w:val="none"/>
              </w:rPr>
              <w:t>品  名</w:t>
            </w:r>
          </w:p>
        </w:tc>
        <w:tc>
          <w:tcPr>
            <w:tcW w:w="1587" w:type="dxa"/>
            <w:vAlign w:val="center"/>
          </w:tcPr>
          <w:p w14:paraId="36C8B83C">
            <w:pPr>
              <w:widowControl/>
              <w:jc w:val="center"/>
              <w:rPr>
                <w:rFonts w:hint="eastAsia" w:ascii="仿宋" w:hAnsi="仿宋" w:eastAsia="仿宋" w:cs="仿宋"/>
                <w:szCs w:val="21"/>
                <w:highlight w:val="none"/>
              </w:rPr>
            </w:pPr>
            <w:r>
              <w:rPr>
                <w:rFonts w:hint="eastAsia" w:ascii="仿宋" w:hAnsi="仿宋" w:eastAsia="仿宋" w:cs="仿宋"/>
                <w:szCs w:val="21"/>
                <w:highlight w:val="none"/>
              </w:rPr>
              <w:t>数量</w:t>
            </w:r>
          </w:p>
        </w:tc>
        <w:tc>
          <w:tcPr>
            <w:tcW w:w="1427" w:type="dxa"/>
            <w:vAlign w:val="center"/>
          </w:tcPr>
          <w:p w14:paraId="4D5093E9">
            <w:pPr>
              <w:jc w:val="center"/>
              <w:rPr>
                <w:rFonts w:hint="eastAsia" w:ascii="仿宋" w:hAnsi="仿宋" w:eastAsia="仿宋" w:cs="仿宋"/>
                <w:szCs w:val="21"/>
                <w:highlight w:val="none"/>
              </w:rPr>
            </w:pPr>
            <w:r>
              <w:rPr>
                <w:rFonts w:hint="eastAsia" w:ascii="仿宋" w:hAnsi="仿宋" w:eastAsia="仿宋" w:cs="仿宋"/>
                <w:szCs w:val="21"/>
                <w:highlight w:val="none"/>
              </w:rPr>
              <w:t>规格</w:t>
            </w:r>
          </w:p>
          <w:p w14:paraId="274741BD">
            <w:pPr>
              <w:jc w:val="center"/>
              <w:rPr>
                <w:rFonts w:hint="eastAsia" w:ascii="仿宋" w:hAnsi="仿宋" w:eastAsia="仿宋" w:cs="仿宋"/>
                <w:szCs w:val="21"/>
                <w:highlight w:val="none"/>
              </w:rPr>
            </w:pPr>
            <w:r>
              <w:rPr>
                <w:rFonts w:hint="eastAsia" w:ascii="仿宋" w:hAnsi="仿宋" w:eastAsia="仿宋" w:cs="仿宋"/>
                <w:szCs w:val="21"/>
                <w:highlight w:val="none"/>
              </w:rPr>
              <w:t>型号</w:t>
            </w:r>
          </w:p>
        </w:tc>
        <w:tc>
          <w:tcPr>
            <w:tcW w:w="1427" w:type="dxa"/>
            <w:vAlign w:val="center"/>
          </w:tcPr>
          <w:p w14:paraId="73B1BF4E">
            <w:pPr>
              <w:jc w:val="center"/>
              <w:rPr>
                <w:rFonts w:hint="eastAsia" w:ascii="仿宋" w:hAnsi="仿宋" w:eastAsia="仿宋" w:cs="仿宋"/>
                <w:szCs w:val="21"/>
                <w:highlight w:val="none"/>
              </w:rPr>
            </w:pPr>
            <w:r>
              <w:rPr>
                <w:rFonts w:hint="eastAsia" w:ascii="仿宋" w:hAnsi="仿宋" w:eastAsia="仿宋" w:cs="仿宋"/>
                <w:szCs w:val="21"/>
                <w:highlight w:val="none"/>
              </w:rPr>
              <w:t>生产</w:t>
            </w:r>
          </w:p>
          <w:p w14:paraId="050516C4">
            <w:pPr>
              <w:jc w:val="center"/>
              <w:rPr>
                <w:rFonts w:hint="eastAsia" w:ascii="仿宋" w:hAnsi="仿宋" w:eastAsia="仿宋" w:cs="仿宋"/>
                <w:szCs w:val="21"/>
                <w:highlight w:val="none"/>
              </w:rPr>
            </w:pPr>
            <w:r>
              <w:rPr>
                <w:rFonts w:hint="eastAsia" w:ascii="仿宋" w:hAnsi="仿宋" w:eastAsia="仿宋" w:cs="仿宋"/>
                <w:szCs w:val="21"/>
                <w:highlight w:val="none"/>
              </w:rPr>
              <w:t>厂家</w:t>
            </w:r>
          </w:p>
        </w:tc>
        <w:tc>
          <w:tcPr>
            <w:tcW w:w="1344" w:type="dxa"/>
            <w:vAlign w:val="center"/>
          </w:tcPr>
          <w:p w14:paraId="2F470165">
            <w:pPr>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14:paraId="1445F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63A6B9CB">
            <w:pPr>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1582" w:type="dxa"/>
            <w:vAlign w:val="center"/>
          </w:tcPr>
          <w:p w14:paraId="0E3295A3">
            <w:pPr>
              <w:jc w:val="center"/>
              <w:rPr>
                <w:rFonts w:hint="eastAsia" w:ascii="仿宋" w:hAnsi="仿宋" w:eastAsia="仿宋" w:cs="仿宋"/>
                <w:szCs w:val="21"/>
                <w:highlight w:val="none"/>
              </w:rPr>
            </w:pPr>
          </w:p>
        </w:tc>
        <w:tc>
          <w:tcPr>
            <w:tcW w:w="1587" w:type="dxa"/>
            <w:vAlign w:val="center"/>
          </w:tcPr>
          <w:p w14:paraId="45A34F7A">
            <w:pPr>
              <w:jc w:val="center"/>
              <w:rPr>
                <w:rFonts w:hint="eastAsia" w:ascii="仿宋" w:hAnsi="仿宋" w:eastAsia="仿宋" w:cs="仿宋"/>
                <w:szCs w:val="21"/>
                <w:highlight w:val="none"/>
              </w:rPr>
            </w:pPr>
          </w:p>
        </w:tc>
        <w:tc>
          <w:tcPr>
            <w:tcW w:w="1427" w:type="dxa"/>
            <w:vAlign w:val="center"/>
          </w:tcPr>
          <w:p w14:paraId="252CDD2E">
            <w:pPr>
              <w:jc w:val="center"/>
              <w:rPr>
                <w:rFonts w:hint="eastAsia" w:ascii="仿宋" w:hAnsi="仿宋" w:eastAsia="仿宋" w:cs="仿宋"/>
                <w:szCs w:val="21"/>
                <w:highlight w:val="none"/>
              </w:rPr>
            </w:pPr>
          </w:p>
        </w:tc>
        <w:tc>
          <w:tcPr>
            <w:tcW w:w="1427" w:type="dxa"/>
            <w:vAlign w:val="center"/>
          </w:tcPr>
          <w:p w14:paraId="452DE9BA">
            <w:pPr>
              <w:jc w:val="center"/>
              <w:rPr>
                <w:rFonts w:hint="eastAsia" w:ascii="仿宋" w:hAnsi="仿宋" w:eastAsia="仿宋" w:cs="仿宋"/>
                <w:szCs w:val="21"/>
                <w:highlight w:val="none"/>
              </w:rPr>
            </w:pPr>
          </w:p>
        </w:tc>
        <w:tc>
          <w:tcPr>
            <w:tcW w:w="1344" w:type="dxa"/>
            <w:vAlign w:val="center"/>
          </w:tcPr>
          <w:p w14:paraId="0D6C715F">
            <w:pPr>
              <w:spacing w:line="360" w:lineRule="auto"/>
              <w:rPr>
                <w:rFonts w:hint="eastAsia" w:ascii="仿宋" w:hAnsi="仿宋" w:eastAsia="仿宋" w:cs="仿宋"/>
                <w:szCs w:val="21"/>
                <w:highlight w:val="none"/>
              </w:rPr>
            </w:pPr>
          </w:p>
        </w:tc>
      </w:tr>
      <w:tr w14:paraId="6C2AD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5A8BD8A7">
            <w:pPr>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1582" w:type="dxa"/>
            <w:vAlign w:val="center"/>
          </w:tcPr>
          <w:p w14:paraId="42035EF3">
            <w:pPr>
              <w:jc w:val="center"/>
              <w:rPr>
                <w:rFonts w:hint="eastAsia" w:ascii="仿宋" w:hAnsi="仿宋" w:eastAsia="仿宋" w:cs="仿宋"/>
                <w:szCs w:val="21"/>
                <w:highlight w:val="none"/>
              </w:rPr>
            </w:pPr>
          </w:p>
        </w:tc>
        <w:tc>
          <w:tcPr>
            <w:tcW w:w="1587" w:type="dxa"/>
            <w:vAlign w:val="center"/>
          </w:tcPr>
          <w:p w14:paraId="165E79C7">
            <w:pPr>
              <w:jc w:val="center"/>
              <w:rPr>
                <w:rFonts w:hint="eastAsia" w:ascii="仿宋" w:hAnsi="仿宋" w:eastAsia="仿宋" w:cs="仿宋"/>
                <w:szCs w:val="21"/>
                <w:highlight w:val="none"/>
              </w:rPr>
            </w:pPr>
          </w:p>
        </w:tc>
        <w:tc>
          <w:tcPr>
            <w:tcW w:w="1427" w:type="dxa"/>
            <w:vAlign w:val="center"/>
          </w:tcPr>
          <w:p w14:paraId="4172978B">
            <w:pPr>
              <w:jc w:val="center"/>
              <w:rPr>
                <w:rFonts w:hint="eastAsia" w:ascii="仿宋" w:hAnsi="仿宋" w:eastAsia="仿宋" w:cs="仿宋"/>
                <w:szCs w:val="21"/>
                <w:highlight w:val="none"/>
              </w:rPr>
            </w:pPr>
          </w:p>
        </w:tc>
        <w:tc>
          <w:tcPr>
            <w:tcW w:w="1427" w:type="dxa"/>
            <w:vAlign w:val="center"/>
          </w:tcPr>
          <w:p w14:paraId="642C7793">
            <w:pPr>
              <w:jc w:val="center"/>
              <w:rPr>
                <w:rFonts w:hint="eastAsia" w:ascii="仿宋" w:hAnsi="仿宋" w:eastAsia="仿宋" w:cs="仿宋"/>
                <w:szCs w:val="21"/>
                <w:highlight w:val="none"/>
              </w:rPr>
            </w:pPr>
          </w:p>
        </w:tc>
        <w:tc>
          <w:tcPr>
            <w:tcW w:w="1344" w:type="dxa"/>
            <w:vAlign w:val="center"/>
          </w:tcPr>
          <w:p w14:paraId="18F43891">
            <w:pPr>
              <w:spacing w:line="360" w:lineRule="auto"/>
              <w:rPr>
                <w:rFonts w:hint="eastAsia" w:ascii="仿宋" w:hAnsi="仿宋" w:eastAsia="仿宋" w:cs="仿宋"/>
                <w:szCs w:val="21"/>
                <w:highlight w:val="none"/>
              </w:rPr>
            </w:pPr>
          </w:p>
        </w:tc>
      </w:tr>
      <w:tr w14:paraId="1ACAD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4292DA39">
            <w:pPr>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1582" w:type="dxa"/>
            <w:vAlign w:val="center"/>
          </w:tcPr>
          <w:p w14:paraId="16CAA589">
            <w:pPr>
              <w:jc w:val="center"/>
              <w:rPr>
                <w:rFonts w:hint="eastAsia" w:ascii="仿宋" w:hAnsi="仿宋" w:eastAsia="仿宋" w:cs="仿宋"/>
                <w:szCs w:val="21"/>
                <w:highlight w:val="none"/>
              </w:rPr>
            </w:pPr>
          </w:p>
        </w:tc>
        <w:tc>
          <w:tcPr>
            <w:tcW w:w="1587" w:type="dxa"/>
            <w:vAlign w:val="center"/>
          </w:tcPr>
          <w:p w14:paraId="773D30AA">
            <w:pPr>
              <w:jc w:val="center"/>
              <w:rPr>
                <w:rFonts w:hint="eastAsia" w:ascii="仿宋" w:hAnsi="仿宋" w:eastAsia="仿宋" w:cs="仿宋"/>
                <w:szCs w:val="21"/>
                <w:highlight w:val="none"/>
              </w:rPr>
            </w:pPr>
          </w:p>
        </w:tc>
        <w:tc>
          <w:tcPr>
            <w:tcW w:w="1427" w:type="dxa"/>
            <w:vAlign w:val="center"/>
          </w:tcPr>
          <w:p w14:paraId="0180D6EF">
            <w:pPr>
              <w:jc w:val="center"/>
              <w:rPr>
                <w:rFonts w:hint="eastAsia" w:ascii="仿宋" w:hAnsi="仿宋" w:eastAsia="仿宋" w:cs="仿宋"/>
                <w:szCs w:val="21"/>
                <w:highlight w:val="none"/>
              </w:rPr>
            </w:pPr>
          </w:p>
        </w:tc>
        <w:tc>
          <w:tcPr>
            <w:tcW w:w="1427" w:type="dxa"/>
            <w:vAlign w:val="center"/>
          </w:tcPr>
          <w:p w14:paraId="46C234F6">
            <w:pPr>
              <w:jc w:val="center"/>
              <w:rPr>
                <w:rFonts w:hint="eastAsia" w:ascii="仿宋" w:hAnsi="仿宋" w:eastAsia="仿宋" w:cs="仿宋"/>
                <w:szCs w:val="21"/>
                <w:highlight w:val="none"/>
              </w:rPr>
            </w:pPr>
          </w:p>
        </w:tc>
        <w:tc>
          <w:tcPr>
            <w:tcW w:w="1344" w:type="dxa"/>
            <w:vAlign w:val="center"/>
          </w:tcPr>
          <w:p w14:paraId="2376ACAB">
            <w:pPr>
              <w:spacing w:line="360" w:lineRule="auto"/>
              <w:rPr>
                <w:rFonts w:hint="eastAsia" w:ascii="仿宋" w:hAnsi="仿宋" w:eastAsia="仿宋" w:cs="仿宋"/>
                <w:szCs w:val="21"/>
                <w:highlight w:val="none"/>
              </w:rPr>
            </w:pPr>
          </w:p>
        </w:tc>
      </w:tr>
      <w:tr w14:paraId="03A24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73E3B739">
            <w:pPr>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1582" w:type="dxa"/>
            <w:vAlign w:val="center"/>
          </w:tcPr>
          <w:p w14:paraId="01F8F428">
            <w:pPr>
              <w:jc w:val="center"/>
              <w:rPr>
                <w:rFonts w:hint="eastAsia" w:ascii="仿宋" w:hAnsi="仿宋" w:eastAsia="仿宋" w:cs="仿宋"/>
                <w:szCs w:val="21"/>
                <w:highlight w:val="none"/>
              </w:rPr>
            </w:pPr>
          </w:p>
        </w:tc>
        <w:tc>
          <w:tcPr>
            <w:tcW w:w="1587" w:type="dxa"/>
            <w:vAlign w:val="center"/>
          </w:tcPr>
          <w:p w14:paraId="46BB4C1E">
            <w:pPr>
              <w:jc w:val="center"/>
              <w:rPr>
                <w:rFonts w:hint="eastAsia" w:ascii="仿宋" w:hAnsi="仿宋" w:eastAsia="仿宋" w:cs="仿宋"/>
                <w:szCs w:val="21"/>
                <w:highlight w:val="none"/>
              </w:rPr>
            </w:pPr>
          </w:p>
        </w:tc>
        <w:tc>
          <w:tcPr>
            <w:tcW w:w="1427" w:type="dxa"/>
            <w:vAlign w:val="center"/>
          </w:tcPr>
          <w:p w14:paraId="1A63ED79">
            <w:pPr>
              <w:jc w:val="center"/>
              <w:rPr>
                <w:rFonts w:hint="eastAsia" w:ascii="仿宋" w:hAnsi="仿宋" w:eastAsia="仿宋" w:cs="仿宋"/>
                <w:szCs w:val="21"/>
                <w:highlight w:val="none"/>
              </w:rPr>
            </w:pPr>
          </w:p>
        </w:tc>
        <w:tc>
          <w:tcPr>
            <w:tcW w:w="1427" w:type="dxa"/>
            <w:vAlign w:val="center"/>
          </w:tcPr>
          <w:p w14:paraId="069A0BE2">
            <w:pPr>
              <w:jc w:val="center"/>
              <w:rPr>
                <w:rFonts w:hint="eastAsia" w:ascii="仿宋" w:hAnsi="仿宋" w:eastAsia="仿宋" w:cs="仿宋"/>
                <w:szCs w:val="21"/>
                <w:highlight w:val="none"/>
              </w:rPr>
            </w:pPr>
          </w:p>
        </w:tc>
        <w:tc>
          <w:tcPr>
            <w:tcW w:w="1344" w:type="dxa"/>
            <w:vAlign w:val="center"/>
          </w:tcPr>
          <w:p w14:paraId="5EC6972B">
            <w:pPr>
              <w:spacing w:line="360" w:lineRule="auto"/>
              <w:rPr>
                <w:rFonts w:hint="eastAsia" w:ascii="仿宋" w:hAnsi="仿宋" w:eastAsia="仿宋" w:cs="仿宋"/>
                <w:szCs w:val="21"/>
                <w:highlight w:val="none"/>
              </w:rPr>
            </w:pPr>
          </w:p>
        </w:tc>
      </w:tr>
      <w:tr w14:paraId="0D394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14:paraId="0319BB76">
            <w:pPr>
              <w:ind w:firstLine="422" w:firstLineChars="200"/>
              <w:jc w:val="left"/>
              <w:rPr>
                <w:rFonts w:hint="eastAsia" w:ascii="仿宋" w:hAnsi="仿宋" w:eastAsia="仿宋" w:cs="仿宋"/>
                <w:szCs w:val="21"/>
                <w:highlight w:val="none"/>
              </w:rPr>
            </w:pPr>
            <w:r>
              <w:rPr>
                <w:rFonts w:hint="eastAsia" w:ascii="仿宋" w:hAnsi="仿宋" w:eastAsia="仿宋" w:cs="仿宋"/>
                <w:b/>
                <w:szCs w:val="21"/>
                <w:highlight w:val="none"/>
              </w:rPr>
              <w:t xml:space="preserve"> </w:t>
            </w:r>
            <w:r>
              <w:rPr>
                <w:rFonts w:hint="eastAsia" w:ascii="仿宋" w:hAnsi="仿宋" w:eastAsia="仿宋" w:cs="仿宋"/>
                <w:b/>
                <w:szCs w:val="21"/>
                <w:highlight w:val="none"/>
                <w:lang w:val="zh-CN"/>
              </w:rPr>
              <w:t>投标文件中所提供投标的以上伴随产品为我单位生产的产品，</w:t>
            </w:r>
            <w:r>
              <w:rPr>
                <w:rFonts w:hint="eastAsia" w:ascii="仿宋" w:hAnsi="仿宋" w:eastAsia="仿宋" w:cs="仿宋"/>
                <w:b/>
                <w:szCs w:val="21"/>
                <w:highlight w:val="none"/>
              </w:rPr>
              <w:t>如有虚假</w:t>
            </w:r>
            <w:r>
              <w:rPr>
                <w:rFonts w:hint="eastAsia" w:ascii="仿宋" w:hAnsi="仿宋" w:eastAsia="仿宋" w:cs="仿宋"/>
                <w:b/>
                <w:szCs w:val="21"/>
                <w:highlight w:val="none"/>
                <w:lang w:val="zh-CN"/>
              </w:rPr>
              <w:t>，我单位承担由此产生的一切后果</w:t>
            </w:r>
            <w:r>
              <w:rPr>
                <w:rFonts w:hint="eastAsia" w:ascii="仿宋" w:hAnsi="仿宋" w:eastAsia="仿宋" w:cs="仿宋"/>
                <w:szCs w:val="21"/>
                <w:highlight w:val="none"/>
                <w:lang w:val="zh-CN"/>
              </w:rPr>
              <w:t>。</w:t>
            </w:r>
          </w:p>
        </w:tc>
      </w:tr>
    </w:tbl>
    <w:p w14:paraId="6865EBFF">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291B94C8">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注：1、投标人为非残疾人福利性单位的，无需填写此声明函。</w:t>
      </w:r>
    </w:p>
    <w:p w14:paraId="22279094">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 xml:space="preserve">    2、仅为本项目提供服务，未提供服务所伴随产品的，此表格可不填写。</w:t>
      </w:r>
    </w:p>
    <w:p w14:paraId="62E24206">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 xml:space="preserve">    3、如为本项目提供本单位伴随产品的，请填写此表格。</w:t>
      </w:r>
    </w:p>
    <w:p w14:paraId="1D0BCC3B">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 xml:space="preserve">    4、如为本项目提供的伴随产品是其他单位生产的，无需填写此表格，但需生产单位按此格式出具此声明。</w:t>
      </w:r>
    </w:p>
    <w:p w14:paraId="68A6A40F">
      <w:pPr>
        <w:adjustRightInd w:val="0"/>
        <w:snapToGrid w:val="0"/>
        <w:spacing w:line="360" w:lineRule="auto"/>
        <w:ind w:right="105" w:rightChars="50"/>
        <w:jc w:val="left"/>
        <w:rPr>
          <w:rFonts w:hint="eastAsia" w:ascii="仿宋" w:hAnsi="仿宋" w:eastAsia="仿宋" w:cs="仿宋"/>
          <w:szCs w:val="21"/>
          <w:highlight w:val="none"/>
        </w:rPr>
      </w:pPr>
    </w:p>
    <w:p w14:paraId="5BF0CF3B">
      <w:pPr>
        <w:adjustRightInd w:val="0"/>
        <w:snapToGrid w:val="0"/>
        <w:spacing w:line="360" w:lineRule="auto"/>
        <w:ind w:right="105" w:rightChars="50"/>
        <w:jc w:val="left"/>
        <w:rPr>
          <w:rFonts w:hint="eastAsia" w:ascii="仿宋" w:hAnsi="仿宋" w:eastAsia="仿宋" w:cs="仿宋"/>
          <w:szCs w:val="21"/>
          <w:highlight w:val="none"/>
        </w:rPr>
      </w:pPr>
    </w:p>
    <w:p w14:paraId="404AE6F8">
      <w:pPr>
        <w:adjustRightInd w:val="0"/>
        <w:snapToGrid w:val="0"/>
        <w:spacing w:line="360" w:lineRule="auto"/>
        <w:ind w:right="105" w:rightChars="50"/>
        <w:jc w:val="left"/>
        <w:rPr>
          <w:rFonts w:hint="eastAsia" w:ascii="仿宋" w:hAnsi="仿宋" w:eastAsia="仿宋" w:cs="仿宋"/>
          <w:szCs w:val="21"/>
          <w:highlight w:val="none"/>
        </w:rPr>
      </w:pPr>
    </w:p>
    <w:p w14:paraId="148B9E73">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投标人名称（加盖单位公章）：</w:t>
      </w:r>
      <w:r>
        <w:rPr>
          <w:rFonts w:hint="eastAsia" w:ascii="仿宋" w:hAnsi="仿宋" w:eastAsia="仿宋" w:cs="仿宋"/>
          <w:szCs w:val="21"/>
          <w:highlight w:val="none"/>
          <w:u w:val="single"/>
        </w:rPr>
        <w:t xml:space="preserve">              </w:t>
      </w:r>
    </w:p>
    <w:p w14:paraId="4B4A59E6">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7E67A843">
      <w:pPr>
        <w:spacing w:line="360" w:lineRule="auto"/>
        <w:rPr>
          <w:rFonts w:hint="eastAsia" w:ascii="仿宋" w:hAnsi="仿宋" w:eastAsia="仿宋" w:cs="仿宋"/>
          <w:highlight w:val="none"/>
        </w:rPr>
      </w:pPr>
      <w:r>
        <w:rPr>
          <w:rFonts w:hint="eastAsia" w:ascii="仿宋" w:hAnsi="仿宋" w:eastAsia="仿宋" w:cs="仿宋"/>
          <w:highlight w:val="none"/>
        </w:rPr>
        <w:br w:type="page"/>
      </w:r>
    </w:p>
    <w:p w14:paraId="69AF1F21">
      <w:pPr>
        <w:pStyle w:val="3"/>
        <w:adjustRightInd w:val="0"/>
        <w:snapToGrid w:val="0"/>
        <w:spacing w:line="240" w:lineRule="auto"/>
        <w:jc w:val="left"/>
        <w:rPr>
          <w:rFonts w:hint="eastAsia" w:ascii="仿宋" w:hAnsi="仿宋" w:eastAsia="仿宋" w:cs="仿宋"/>
          <w:sz w:val="28"/>
          <w:szCs w:val="28"/>
          <w:highlight w:val="none"/>
        </w:rPr>
      </w:pPr>
      <w:bookmarkStart w:id="78" w:name="_Toc4485633"/>
      <w:bookmarkStart w:id="79" w:name="_Toc533340156"/>
      <w:r>
        <w:rPr>
          <w:rFonts w:hint="eastAsia" w:ascii="仿宋" w:hAnsi="仿宋" w:eastAsia="仿宋" w:cs="仿宋"/>
          <w:sz w:val="28"/>
          <w:szCs w:val="28"/>
          <w:highlight w:val="none"/>
        </w:rPr>
        <w:t>格式11</w:t>
      </w:r>
      <w:bookmarkEnd w:id="78"/>
      <w:bookmarkEnd w:id="79"/>
    </w:p>
    <w:p w14:paraId="7E4A1A83">
      <w:pPr>
        <w:spacing w:before="319" w:beforeLines="100" w:after="319"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响应函</w:t>
      </w:r>
    </w:p>
    <w:p w14:paraId="7BE81882">
      <w:pPr>
        <w:adjustRightInd w:val="0"/>
        <w:snapToGrid w:val="0"/>
        <w:spacing w:line="360" w:lineRule="auto"/>
        <w:ind w:right="630" w:rightChars="300"/>
        <w:rPr>
          <w:rFonts w:hint="eastAsia" w:ascii="仿宋" w:hAnsi="仿宋" w:eastAsia="仿宋" w:cs="仿宋"/>
          <w:szCs w:val="21"/>
          <w:highlight w:val="none"/>
          <w:u w:val="single"/>
        </w:rPr>
      </w:pPr>
      <w:r>
        <w:rPr>
          <w:rFonts w:hint="eastAsia" w:ascii="仿宋" w:hAnsi="仿宋" w:eastAsia="仿宋" w:cs="仿宋"/>
          <w:szCs w:val="21"/>
          <w:highlight w:val="none"/>
          <w:u w:val="single"/>
        </w:rPr>
        <w:t>（采购人或采购代理机构）：</w:t>
      </w:r>
    </w:p>
    <w:p w14:paraId="12013C6C">
      <w:pPr>
        <w:adjustRightInd w:val="0"/>
        <w:snapToGrid w:val="0"/>
        <w:spacing w:line="360" w:lineRule="auto"/>
        <w:ind w:right="-21" w:rightChars="-10"/>
        <w:rPr>
          <w:rFonts w:hint="eastAsia" w:ascii="仿宋" w:hAnsi="仿宋" w:eastAsia="仿宋" w:cs="仿宋"/>
          <w:szCs w:val="21"/>
          <w:highlight w:val="none"/>
        </w:rPr>
      </w:pPr>
      <w:r>
        <w:rPr>
          <w:rFonts w:hint="eastAsia" w:ascii="仿宋" w:hAnsi="仿宋" w:eastAsia="仿宋" w:cs="仿宋"/>
          <w:szCs w:val="21"/>
          <w:highlight w:val="none"/>
        </w:rPr>
        <w:t xml:space="preserve">    根据贵方</w:t>
      </w:r>
      <w:r>
        <w:rPr>
          <w:rFonts w:hint="eastAsia" w:ascii="仿宋" w:hAnsi="仿宋" w:eastAsia="仿宋" w:cs="仿宋"/>
          <w:szCs w:val="21"/>
          <w:highlight w:val="none"/>
          <w:u w:val="single"/>
        </w:rPr>
        <w:t>(项目名称)</w:t>
      </w:r>
      <w:r>
        <w:rPr>
          <w:rFonts w:hint="eastAsia" w:ascii="仿宋" w:hAnsi="仿宋" w:eastAsia="仿宋" w:cs="仿宋"/>
          <w:szCs w:val="21"/>
          <w:highlight w:val="none"/>
        </w:rPr>
        <w:t>项目的招标公告</w:t>
      </w:r>
      <w:r>
        <w:rPr>
          <w:rFonts w:hint="eastAsia" w:ascii="仿宋" w:hAnsi="仿宋" w:eastAsia="仿宋" w:cs="仿宋"/>
          <w:szCs w:val="21"/>
          <w:highlight w:val="none"/>
          <w:u w:val="single"/>
        </w:rPr>
        <w:t>(招标编号)</w:t>
      </w:r>
      <w:r>
        <w:rPr>
          <w:rFonts w:hint="eastAsia" w:ascii="仿宋" w:hAnsi="仿宋" w:eastAsia="仿宋" w:cs="仿宋"/>
          <w:szCs w:val="21"/>
          <w:highlight w:val="none"/>
        </w:rPr>
        <w:t>,签字代表</w:t>
      </w:r>
      <w:r>
        <w:rPr>
          <w:rFonts w:hint="eastAsia" w:ascii="仿宋" w:hAnsi="仿宋" w:eastAsia="仿宋" w:cs="仿宋"/>
          <w:szCs w:val="21"/>
          <w:highlight w:val="none"/>
          <w:u w:val="single"/>
        </w:rPr>
        <w:t>(姓名、职务)</w:t>
      </w:r>
      <w:r>
        <w:rPr>
          <w:rFonts w:hint="eastAsia" w:ascii="仿宋" w:hAnsi="仿宋" w:eastAsia="仿宋" w:cs="仿宋"/>
          <w:szCs w:val="21"/>
          <w:highlight w:val="none"/>
        </w:rPr>
        <w:t>经正式授权并代表投标人</w:t>
      </w:r>
      <w:r>
        <w:rPr>
          <w:rFonts w:hint="eastAsia" w:ascii="仿宋" w:hAnsi="仿宋" w:eastAsia="仿宋" w:cs="仿宋"/>
          <w:szCs w:val="21"/>
          <w:highlight w:val="none"/>
          <w:u w:val="single"/>
        </w:rPr>
        <w:t>（名称、地址）</w:t>
      </w:r>
      <w:r>
        <w:rPr>
          <w:rFonts w:hint="eastAsia" w:ascii="仿宋" w:hAnsi="仿宋" w:eastAsia="仿宋" w:cs="仿宋"/>
          <w:szCs w:val="21"/>
          <w:highlight w:val="none"/>
        </w:rPr>
        <w:t>提交电子评审系统上传的响应文件</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份、加密备份文件（U盘）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份。</w:t>
      </w:r>
    </w:p>
    <w:p w14:paraId="5477C530">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据此，签字代表宣布同意如下：</w:t>
      </w:r>
    </w:p>
    <w:p w14:paraId="11D4A6FF">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（1）本项目响应总价详见报价一览表。</w:t>
      </w:r>
    </w:p>
    <w:p w14:paraId="26172EF9">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（2）本响应有效期为自递交响应文件截止之日起</w:t>
      </w:r>
      <w:r>
        <w:rPr>
          <w:rFonts w:hint="eastAsia" w:ascii="仿宋" w:hAnsi="仿宋" w:eastAsia="仿宋" w:cs="仿宋"/>
          <w:szCs w:val="21"/>
          <w:highlight w:val="none"/>
          <w:u w:val="single"/>
        </w:rPr>
        <w:t>90</w:t>
      </w:r>
      <w:r>
        <w:rPr>
          <w:rFonts w:hint="eastAsia" w:ascii="仿宋" w:hAnsi="仿宋" w:eastAsia="仿宋" w:cs="仿宋"/>
          <w:szCs w:val="21"/>
          <w:highlight w:val="none"/>
        </w:rPr>
        <w:t>日历日。</w:t>
      </w:r>
    </w:p>
    <w:p w14:paraId="6271D1FC">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（3）已详细审查全部采购文件，包括所有补充通知（如果有的话）。</w:t>
      </w:r>
    </w:p>
    <w:p w14:paraId="43918DFC">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（4）在规定的磋商时间后，遵守采购文件中有关保证金的规定。</w:t>
      </w:r>
    </w:p>
    <w:p w14:paraId="4200C36E">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（5）我方不是为本项目提供整体设计、规范编制或者项目管理、监理、检测等服务的供应商，我方不是采购代理机构的附属机构。</w:t>
      </w:r>
    </w:p>
    <w:p w14:paraId="3256265B">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（6）在领取成交通知书的同时按采购文件规定的形式，向采购代理机构一次性支付采购代理服务费（适用于成交供应商支付采购代理服务费情形）。</w:t>
      </w:r>
    </w:p>
    <w:p w14:paraId="2E0A5145">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（7）按照贵方要求，提供与其响应有关的一切数据或资料，完全理解贵方不一定接受最低价的响应。</w:t>
      </w:r>
    </w:p>
    <w:p w14:paraId="5CDC803B">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（8）按照采购文件的规定履行合同责任和义务。</w:t>
      </w:r>
    </w:p>
    <w:p w14:paraId="1230522B">
      <w:pPr>
        <w:adjustRightInd w:val="0"/>
        <w:snapToGrid w:val="0"/>
        <w:spacing w:line="360" w:lineRule="auto"/>
        <w:ind w:right="-21" w:rightChars="-10" w:firstLine="420" w:firstLineChars="200"/>
        <w:rPr>
          <w:rFonts w:hint="eastAsia" w:ascii="仿宋" w:hAnsi="仿宋" w:eastAsia="仿宋" w:cs="仿宋"/>
          <w:szCs w:val="21"/>
          <w:highlight w:val="none"/>
        </w:rPr>
      </w:pPr>
      <w:r>
        <w:rPr>
          <w:rFonts w:hint="eastAsia" w:ascii="仿宋" w:hAnsi="仿宋" w:eastAsia="仿宋" w:cs="仿宋"/>
          <w:szCs w:val="21"/>
          <w:highlight w:val="none"/>
        </w:rPr>
        <w:t>（9）我方承诺响应文件中的证明材料真实、合法、有效。</w:t>
      </w:r>
    </w:p>
    <w:p w14:paraId="62CD0353">
      <w:pPr>
        <w:tabs>
          <w:tab w:val="left" w:pos="10467"/>
        </w:tabs>
        <w:adjustRightInd w:val="0"/>
        <w:snapToGrid w:val="0"/>
        <w:spacing w:line="360" w:lineRule="auto"/>
        <w:ind w:right="1050" w:rightChars="500"/>
        <w:rPr>
          <w:rFonts w:hint="eastAsia" w:ascii="仿宋" w:hAnsi="仿宋" w:eastAsia="仿宋" w:cs="仿宋"/>
          <w:szCs w:val="21"/>
          <w:highlight w:val="none"/>
        </w:rPr>
      </w:pPr>
    </w:p>
    <w:p w14:paraId="6E0580D5">
      <w:pPr>
        <w:tabs>
          <w:tab w:val="left" w:pos="10467"/>
        </w:tabs>
        <w:adjustRightInd w:val="0"/>
        <w:snapToGrid w:val="0"/>
        <w:spacing w:line="360" w:lineRule="auto"/>
        <w:ind w:right="1050" w:rightChars="500"/>
        <w:rPr>
          <w:rFonts w:hint="eastAsia" w:ascii="仿宋" w:hAnsi="仿宋" w:eastAsia="仿宋" w:cs="仿宋"/>
          <w:szCs w:val="21"/>
          <w:highlight w:val="none"/>
        </w:rPr>
      </w:pPr>
    </w:p>
    <w:p w14:paraId="642C6AFB">
      <w:pPr>
        <w:tabs>
          <w:tab w:val="left" w:pos="10467"/>
        </w:tabs>
        <w:adjustRightInd w:val="0"/>
        <w:snapToGrid w:val="0"/>
        <w:spacing w:line="360" w:lineRule="auto"/>
        <w:ind w:right="1050" w:rightChars="500"/>
        <w:rPr>
          <w:rFonts w:hint="eastAsia" w:ascii="仿宋" w:hAnsi="仿宋" w:eastAsia="仿宋" w:cs="仿宋"/>
          <w:szCs w:val="21"/>
          <w:highlight w:val="none"/>
        </w:rPr>
      </w:pPr>
    </w:p>
    <w:p w14:paraId="171105EA">
      <w:pPr>
        <w:tabs>
          <w:tab w:val="left" w:pos="10467"/>
        </w:tabs>
        <w:adjustRightInd w:val="0"/>
        <w:snapToGrid w:val="0"/>
        <w:spacing w:line="360" w:lineRule="auto"/>
        <w:ind w:right="1050" w:rightChars="500"/>
        <w:rPr>
          <w:rFonts w:hint="eastAsia" w:ascii="仿宋" w:hAnsi="仿宋" w:eastAsia="仿宋" w:cs="仿宋"/>
          <w:szCs w:val="21"/>
          <w:highlight w:val="none"/>
        </w:rPr>
      </w:pPr>
      <w:r>
        <w:rPr>
          <w:rFonts w:hint="eastAsia" w:ascii="仿宋" w:hAnsi="仿宋" w:eastAsia="仿宋" w:cs="仿宋"/>
          <w:szCs w:val="21"/>
          <w:highlight w:val="none"/>
        </w:rPr>
        <w:t>与本项目有关的一切往来通讯请寄</w:t>
      </w:r>
    </w:p>
    <w:p w14:paraId="031C969D">
      <w:pPr>
        <w:tabs>
          <w:tab w:val="left" w:pos="10467"/>
        </w:tabs>
        <w:adjustRightInd w:val="0"/>
        <w:snapToGrid w:val="0"/>
        <w:spacing w:line="360" w:lineRule="auto"/>
        <w:ind w:right="-21" w:rightChars="-10"/>
        <w:rPr>
          <w:rFonts w:hint="eastAsia" w:ascii="仿宋" w:hAnsi="仿宋" w:eastAsia="仿宋" w:cs="仿宋"/>
          <w:szCs w:val="21"/>
          <w:highlight w:val="none"/>
          <w:u w:val="single"/>
        </w:rPr>
      </w:pPr>
      <w:r>
        <w:rPr>
          <w:rFonts w:hint="eastAsia" w:ascii="仿宋" w:hAnsi="仿宋" w:eastAsia="仿宋" w:cs="仿宋"/>
          <w:szCs w:val="21"/>
          <w:highlight w:val="none"/>
        </w:rPr>
        <w:t>地    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传    真：</w:t>
      </w:r>
      <w:r>
        <w:rPr>
          <w:rFonts w:hint="eastAsia" w:ascii="仿宋" w:hAnsi="仿宋" w:eastAsia="仿宋" w:cs="仿宋"/>
          <w:szCs w:val="21"/>
          <w:highlight w:val="none"/>
          <w:u w:val="single"/>
        </w:rPr>
        <w:t xml:space="preserve">                     </w:t>
      </w:r>
    </w:p>
    <w:p w14:paraId="7ACAA5C7">
      <w:pPr>
        <w:tabs>
          <w:tab w:val="left" w:pos="10467"/>
        </w:tabs>
        <w:adjustRightInd w:val="0"/>
        <w:snapToGrid w:val="0"/>
        <w:spacing w:line="360" w:lineRule="auto"/>
        <w:ind w:right="-21" w:rightChars="-10"/>
        <w:rPr>
          <w:rFonts w:hint="eastAsia" w:ascii="仿宋" w:hAnsi="仿宋" w:eastAsia="仿宋" w:cs="仿宋"/>
          <w:szCs w:val="21"/>
          <w:highlight w:val="none"/>
        </w:rPr>
      </w:pPr>
      <w:r>
        <w:rPr>
          <w:rFonts w:hint="eastAsia" w:ascii="仿宋" w:hAnsi="仿宋" w:eastAsia="仿宋" w:cs="仿宋"/>
          <w:szCs w:val="21"/>
          <w:highlight w:val="none"/>
        </w:rPr>
        <w:t>电    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电子邮件：</w:t>
      </w:r>
      <w:r>
        <w:rPr>
          <w:rFonts w:hint="eastAsia" w:ascii="仿宋" w:hAnsi="仿宋" w:eastAsia="仿宋" w:cs="仿宋"/>
          <w:szCs w:val="21"/>
          <w:highlight w:val="none"/>
          <w:u w:val="single"/>
        </w:rPr>
        <w:t xml:space="preserve">                     </w:t>
      </w:r>
    </w:p>
    <w:p w14:paraId="4B46AB98">
      <w:pPr>
        <w:tabs>
          <w:tab w:val="left" w:pos="10467"/>
        </w:tabs>
        <w:adjustRightInd w:val="0"/>
        <w:snapToGrid w:val="0"/>
        <w:spacing w:line="360" w:lineRule="auto"/>
        <w:ind w:right="260" w:rightChars="124"/>
        <w:rPr>
          <w:rFonts w:hint="eastAsia" w:ascii="仿宋" w:hAnsi="仿宋" w:eastAsia="仿宋" w:cs="仿宋"/>
          <w:szCs w:val="21"/>
          <w:highlight w:val="none"/>
        </w:rPr>
      </w:pPr>
      <w:r>
        <w:rPr>
          <w:rFonts w:hint="eastAsia" w:ascii="仿宋" w:hAnsi="仿宋" w:eastAsia="仿宋" w:cs="仿宋"/>
          <w:szCs w:val="21"/>
          <w:highlight w:val="none"/>
        </w:rPr>
        <w:t>法定代表人（非法人组织负责人）或其授权委托人</w:t>
      </w:r>
      <w:r>
        <w:rPr>
          <w:rFonts w:hint="eastAsia" w:ascii="仿宋" w:hAnsi="仿宋" w:eastAsia="仿宋" w:cs="仿宋"/>
          <w:highlight w:val="none"/>
        </w:rPr>
        <w:t>(签字或盖章)</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7131D124">
      <w:pPr>
        <w:tabs>
          <w:tab w:val="left" w:pos="10467"/>
        </w:tabs>
        <w:adjustRightInd w:val="0"/>
        <w:snapToGrid w:val="0"/>
        <w:spacing w:line="360" w:lineRule="auto"/>
        <w:ind w:right="260" w:rightChars="124"/>
        <w:rPr>
          <w:rFonts w:hint="eastAsia" w:ascii="仿宋" w:hAnsi="仿宋" w:eastAsia="仿宋" w:cs="仿宋"/>
          <w:szCs w:val="21"/>
          <w:highlight w:val="none"/>
        </w:rPr>
      </w:pPr>
      <w:r>
        <w:rPr>
          <w:rFonts w:hint="eastAsia" w:ascii="仿宋" w:hAnsi="仿宋" w:eastAsia="仿宋" w:cs="仿宋"/>
          <w:szCs w:val="21"/>
          <w:highlight w:val="none"/>
        </w:rPr>
        <w:t>供应商名称（加盖单位公章）：</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1F3133A3">
      <w:pPr>
        <w:tabs>
          <w:tab w:val="left" w:pos="10467"/>
        </w:tabs>
        <w:adjustRightInd w:val="0"/>
        <w:snapToGrid w:val="0"/>
        <w:spacing w:line="360" w:lineRule="auto"/>
        <w:ind w:right="260" w:rightChars="124"/>
        <w:rPr>
          <w:rFonts w:hint="eastAsia" w:ascii="仿宋" w:hAnsi="仿宋" w:eastAsia="仿宋" w:cs="仿宋"/>
          <w:szCs w:val="21"/>
          <w:highlight w:val="none"/>
        </w:rPr>
      </w:pPr>
      <w:r>
        <w:rPr>
          <w:rFonts w:hint="eastAsia" w:ascii="仿宋" w:hAnsi="仿宋" w:eastAsia="仿宋" w:cs="仿宋"/>
          <w:szCs w:val="21"/>
          <w:highlight w:val="none"/>
        </w:rPr>
        <w:t>供应商开户银行（全称）：</w:t>
      </w:r>
      <w:r>
        <w:rPr>
          <w:rFonts w:hint="eastAsia" w:ascii="仿宋" w:hAnsi="仿宋" w:eastAsia="仿宋" w:cs="仿宋"/>
          <w:szCs w:val="21"/>
          <w:highlight w:val="none"/>
          <w:u w:val="single"/>
        </w:rPr>
        <w:t xml:space="preserve">         </w:t>
      </w:r>
    </w:p>
    <w:p w14:paraId="3D96BADF">
      <w:pPr>
        <w:tabs>
          <w:tab w:val="left" w:pos="10467"/>
        </w:tabs>
        <w:adjustRightInd w:val="0"/>
        <w:snapToGrid w:val="0"/>
        <w:spacing w:line="360" w:lineRule="auto"/>
        <w:ind w:right="260" w:rightChars="124"/>
        <w:rPr>
          <w:rFonts w:hint="eastAsia" w:ascii="仿宋" w:hAnsi="仿宋" w:eastAsia="仿宋" w:cs="仿宋"/>
          <w:szCs w:val="21"/>
          <w:highlight w:val="none"/>
        </w:rPr>
      </w:pPr>
      <w:r>
        <w:rPr>
          <w:rFonts w:hint="eastAsia" w:ascii="仿宋" w:hAnsi="仿宋" w:eastAsia="仿宋" w:cs="仿宋"/>
          <w:szCs w:val="21"/>
          <w:highlight w:val="none"/>
        </w:rPr>
        <w:t>供应商银行帐号：</w:t>
      </w:r>
      <w:r>
        <w:rPr>
          <w:rFonts w:hint="eastAsia" w:ascii="仿宋" w:hAnsi="仿宋" w:eastAsia="仿宋" w:cs="仿宋"/>
          <w:szCs w:val="21"/>
          <w:highlight w:val="none"/>
          <w:u w:val="single"/>
        </w:rPr>
        <w:t xml:space="preserve">                 </w:t>
      </w:r>
    </w:p>
    <w:p w14:paraId="5A8BE1DD">
      <w:pPr>
        <w:adjustRightInd w:val="0"/>
        <w:snapToGrid w:val="0"/>
        <w:spacing w:line="360" w:lineRule="auto"/>
        <w:ind w:right="1050" w:rightChars="500"/>
        <w:rPr>
          <w:rFonts w:hint="eastAsia" w:ascii="仿宋" w:hAnsi="仿宋" w:eastAsia="仿宋" w:cs="仿宋"/>
          <w:szCs w:val="21"/>
          <w:highlight w:val="non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14:paraId="4364C7DB">
      <w:pPr>
        <w:pStyle w:val="3"/>
        <w:adjustRightInd w:val="0"/>
        <w:snapToGrid w:val="0"/>
        <w:spacing w:line="240" w:lineRule="auto"/>
        <w:jc w:val="left"/>
        <w:rPr>
          <w:rFonts w:hint="eastAsia" w:ascii="仿宋" w:hAnsi="仿宋" w:eastAsia="仿宋" w:cs="仿宋"/>
          <w:sz w:val="28"/>
          <w:szCs w:val="28"/>
          <w:highlight w:val="none"/>
        </w:rPr>
      </w:pPr>
      <w:r>
        <w:rPr>
          <w:rFonts w:hint="eastAsia" w:ascii="仿宋" w:hAnsi="仿宋" w:eastAsia="仿宋" w:cs="仿宋"/>
          <w:szCs w:val="21"/>
          <w:highlight w:val="none"/>
        </w:rPr>
        <w:br w:type="page"/>
      </w:r>
      <w:bookmarkStart w:id="80" w:name="_Toc533340158"/>
      <w:bookmarkStart w:id="81" w:name="_Toc4485634"/>
      <w:r>
        <w:rPr>
          <w:rFonts w:hint="eastAsia" w:ascii="仿宋" w:hAnsi="仿宋" w:eastAsia="仿宋" w:cs="仿宋"/>
          <w:sz w:val="28"/>
          <w:szCs w:val="28"/>
          <w:highlight w:val="none"/>
        </w:rPr>
        <w:t>格式1</w:t>
      </w:r>
      <w:bookmarkEnd w:id="80"/>
      <w:r>
        <w:rPr>
          <w:rFonts w:hint="eastAsia" w:ascii="仿宋" w:hAnsi="仿宋" w:eastAsia="仿宋" w:cs="仿宋"/>
          <w:sz w:val="28"/>
          <w:szCs w:val="28"/>
          <w:highlight w:val="none"/>
        </w:rPr>
        <w:t>2</w:t>
      </w:r>
      <w:bookmarkEnd w:id="81"/>
    </w:p>
    <w:p w14:paraId="0C53FDF8">
      <w:pPr>
        <w:spacing w:before="319" w:beforeLines="100" w:after="319"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报价一览表</w:t>
      </w:r>
    </w:p>
    <w:p w14:paraId="0D42CBAB">
      <w:pPr>
        <w:adjustRightInd w:val="0"/>
        <w:snapToGrid w:val="0"/>
        <w:spacing w:line="360" w:lineRule="auto"/>
        <w:ind w:right="105" w:rightChars="50"/>
        <w:jc w:val="left"/>
        <w:rPr>
          <w:rFonts w:hint="eastAsia" w:ascii="仿宋" w:hAnsi="仿宋" w:eastAsia="仿宋" w:cs="仿宋"/>
          <w:b/>
          <w:bCs/>
          <w:szCs w:val="21"/>
          <w:highlight w:val="none"/>
        </w:rPr>
      </w:pPr>
      <w:r>
        <w:rPr>
          <w:rFonts w:hint="eastAsia" w:ascii="仿宋" w:hAnsi="仿宋" w:eastAsia="仿宋" w:cs="仿宋"/>
          <w:b/>
          <w:bCs/>
          <w:szCs w:val="21"/>
          <w:highlight w:val="none"/>
        </w:rPr>
        <w:t>包号：                                                      报价单位：元</w:t>
      </w:r>
    </w:p>
    <w:tbl>
      <w:tblPr>
        <w:tblStyle w:val="20"/>
        <w:tblW w:w="8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5"/>
        <w:gridCol w:w="1718"/>
        <w:gridCol w:w="1515"/>
        <w:gridCol w:w="1588"/>
        <w:gridCol w:w="1449"/>
        <w:gridCol w:w="1100"/>
      </w:tblGrid>
      <w:tr w14:paraId="26DB7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1485" w:type="dxa"/>
            <w:vAlign w:val="center"/>
          </w:tcPr>
          <w:p w14:paraId="568C17EA">
            <w:pPr>
              <w:adjustRightInd w:val="0"/>
              <w:snapToGrid w:val="0"/>
              <w:ind w:left="-82" w:leftChars="-39"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服务名称</w:t>
            </w:r>
          </w:p>
        </w:tc>
        <w:tc>
          <w:tcPr>
            <w:tcW w:w="1718" w:type="dxa"/>
            <w:vAlign w:val="center"/>
          </w:tcPr>
          <w:p w14:paraId="577E6012">
            <w:pPr>
              <w:adjustRightInd w:val="0"/>
              <w:snapToGrid w:val="0"/>
              <w:ind w:left="-82" w:leftChars="-39"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响应总价</w:t>
            </w:r>
          </w:p>
        </w:tc>
        <w:tc>
          <w:tcPr>
            <w:tcW w:w="1515" w:type="dxa"/>
            <w:vAlign w:val="center"/>
          </w:tcPr>
          <w:p w14:paraId="26387A3E">
            <w:pPr>
              <w:adjustRightInd w:val="0"/>
              <w:snapToGrid w:val="0"/>
              <w:ind w:left="-82" w:leftChars="-39"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磋商保证金</w:t>
            </w:r>
          </w:p>
        </w:tc>
        <w:tc>
          <w:tcPr>
            <w:tcW w:w="1588" w:type="dxa"/>
            <w:vAlign w:val="center"/>
          </w:tcPr>
          <w:p w14:paraId="5FB65EFC">
            <w:pPr>
              <w:adjustRightInd w:val="0"/>
              <w:snapToGrid w:val="0"/>
              <w:ind w:left="-82" w:leftChars="-39"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履约期限</w:t>
            </w:r>
          </w:p>
        </w:tc>
        <w:tc>
          <w:tcPr>
            <w:tcW w:w="1449" w:type="dxa"/>
            <w:vAlign w:val="center"/>
          </w:tcPr>
          <w:p w14:paraId="7266C7CE">
            <w:pPr>
              <w:adjustRightInd w:val="0"/>
              <w:snapToGrid w:val="0"/>
              <w:ind w:left="-82" w:leftChars="-39"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履约地点</w:t>
            </w:r>
          </w:p>
        </w:tc>
        <w:tc>
          <w:tcPr>
            <w:tcW w:w="1100" w:type="dxa"/>
            <w:vAlign w:val="center"/>
          </w:tcPr>
          <w:p w14:paraId="6C0C1701">
            <w:pPr>
              <w:adjustRightInd w:val="0"/>
              <w:snapToGrid w:val="0"/>
              <w:ind w:left="-82" w:leftChars="-39"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14:paraId="084A7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jc w:val="center"/>
        </w:trPr>
        <w:tc>
          <w:tcPr>
            <w:tcW w:w="1485" w:type="dxa"/>
            <w:vAlign w:val="center"/>
          </w:tcPr>
          <w:p w14:paraId="4C06C071">
            <w:pPr>
              <w:adjustRightInd w:val="0"/>
              <w:snapToGrid w:val="0"/>
              <w:ind w:left="-82" w:leftChars="-39" w:right="-46" w:rightChars="-22"/>
              <w:jc w:val="center"/>
              <w:rPr>
                <w:rFonts w:hint="eastAsia" w:ascii="仿宋" w:hAnsi="仿宋" w:eastAsia="仿宋" w:cs="仿宋"/>
                <w:szCs w:val="21"/>
                <w:highlight w:val="none"/>
              </w:rPr>
            </w:pPr>
            <w:r>
              <w:rPr>
                <w:rFonts w:hint="eastAsia" w:ascii="仿宋" w:hAnsi="仿宋" w:eastAsia="仿宋" w:cs="仿宋"/>
                <w:bCs/>
                <w:szCs w:val="21"/>
                <w:highlight w:val="none"/>
              </w:rPr>
              <w:t>建设数智财税信息管控平台项目</w:t>
            </w:r>
          </w:p>
        </w:tc>
        <w:tc>
          <w:tcPr>
            <w:tcW w:w="1718" w:type="dxa"/>
            <w:vAlign w:val="center"/>
          </w:tcPr>
          <w:p w14:paraId="3A11940E">
            <w:pPr>
              <w:adjustRightInd w:val="0"/>
              <w:snapToGrid w:val="0"/>
              <w:ind w:left="-82" w:leftChars="-39"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小写：</w:t>
            </w:r>
          </w:p>
          <w:p w14:paraId="4F69B13B">
            <w:pPr>
              <w:adjustRightInd w:val="0"/>
              <w:snapToGrid w:val="0"/>
              <w:ind w:left="-82" w:leftChars="-39"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大写：</w:t>
            </w:r>
          </w:p>
        </w:tc>
        <w:tc>
          <w:tcPr>
            <w:tcW w:w="1515" w:type="dxa"/>
            <w:vAlign w:val="center"/>
          </w:tcPr>
          <w:p w14:paraId="24C0FD9A">
            <w:pPr>
              <w:adjustRightInd w:val="0"/>
              <w:snapToGrid w:val="0"/>
              <w:ind w:left="-82" w:leftChars="-39"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1588" w:type="dxa"/>
            <w:vAlign w:val="center"/>
          </w:tcPr>
          <w:p w14:paraId="1ACDB645">
            <w:pPr>
              <w:adjustRightInd w:val="0"/>
              <w:snapToGrid w:val="0"/>
              <w:ind w:left="-82" w:leftChars="-39" w:right="-46" w:rightChars="-22"/>
              <w:jc w:val="center"/>
              <w:rPr>
                <w:rFonts w:hint="eastAsia" w:ascii="仿宋" w:hAnsi="仿宋" w:eastAsia="仿宋" w:cs="仿宋"/>
                <w:szCs w:val="21"/>
                <w:highlight w:val="none"/>
              </w:rPr>
            </w:pPr>
          </w:p>
        </w:tc>
        <w:tc>
          <w:tcPr>
            <w:tcW w:w="1449" w:type="dxa"/>
            <w:vAlign w:val="center"/>
          </w:tcPr>
          <w:p w14:paraId="60D626D1">
            <w:pPr>
              <w:adjustRightInd w:val="0"/>
              <w:snapToGrid w:val="0"/>
              <w:ind w:left="-82" w:leftChars="-39" w:right="-46" w:rightChars="-22"/>
              <w:jc w:val="center"/>
              <w:rPr>
                <w:rFonts w:hint="eastAsia" w:ascii="仿宋" w:hAnsi="仿宋" w:eastAsia="仿宋" w:cs="仿宋"/>
                <w:szCs w:val="21"/>
                <w:highlight w:val="none"/>
              </w:rPr>
            </w:pPr>
          </w:p>
        </w:tc>
        <w:tc>
          <w:tcPr>
            <w:tcW w:w="1100" w:type="dxa"/>
            <w:vAlign w:val="center"/>
          </w:tcPr>
          <w:p w14:paraId="129C1125">
            <w:pPr>
              <w:adjustRightInd w:val="0"/>
              <w:snapToGrid w:val="0"/>
              <w:ind w:left="-82" w:leftChars="-39" w:right="-46" w:rightChars="-22"/>
              <w:jc w:val="center"/>
              <w:rPr>
                <w:rFonts w:hint="eastAsia" w:ascii="仿宋" w:hAnsi="仿宋" w:eastAsia="仿宋" w:cs="仿宋"/>
                <w:szCs w:val="21"/>
                <w:highlight w:val="none"/>
              </w:rPr>
            </w:pPr>
          </w:p>
        </w:tc>
      </w:tr>
      <w:tr w14:paraId="21AF8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3203" w:type="dxa"/>
            <w:gridSpan w:val="2"/>
            <w:vAlign w:val="center"/>
          </w:tcPr>
          <w:p w14:paraId="2CBE69A7">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最后报价</w:t>
            </w:r>
          </w:p>
        </w:tc>
        <w:tc>
          <w:tcPr>
            <w:tcW w:w="5652" w:type="dxa"/>
            <w:gridSpan w:val="4"/>
            <w:vAlign w:val="center"/>
          </w:tcPr>
          <w:p w14:paraId="1FE7FBB2">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现场填报</w:t>
            </w:r>
          </w:p>
        </w:tc>
      </w:tr>
    </w:tbl>
    <w:p w14:paraId="6707AA44">
      <w:pPr>
        <w:adjustRightInd w:val="0"/>
        <w:snapToGrid w:val="0"/>
        <w:spacing w:line="360" w:lineRule="auto"/>
        <w:ind w:right="105" w:rightChars="50"/>
        <w:jc w:val="left"/>
        <w:rPr>
          <w:rFonts w:hint="eastAsia" w:ascii="仿宋" w:hAnsi="仿宋" w:eastAsia="仿宋" w:cs="仿宋"/>
          <w:szCs w:val="21"/>
          <w:highlight w:val="none"/>
        </w:rPr>
      </w:pPr>
    </w:p>
    <w:p w14:paraId="2C1BDC94">
      <w:pPr>
        <w:adjustRightInd w:val="0"/>
        <w:snapToGrid w:val="0"/>
        <w:spacing w:line="36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注：1、此表中，响应总价应和服务价格明细表的总价相一致。</w:t>
      </w:r>
    </w:p>
    <w:p w14:paraId="43E9E67E">
      <w:pPr>
        <w:adjustRightInd w:val="0"/>
        <w:snapToGrid w:val="0"/>
        <w:spacing w:line="360" w:lineRule="auto"/>
        <w:ind w:right="105" w:rightChars="50"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2、供应商应按磋商小组要求，在规定时间内提交最后报价（现场填报）。</w:t>
      </w:r>
    </w:p>
    <w:p w14:paraId="7F3C499C">
      <w:pPr>
        <w:adjustRightInd w:val="0"/>
        <w:snapToGrid w:val="0"/>
        <w:spacing w:line="360" w:lineRule="auto"/>
        <w:ind w:right="105" w:rightChars="50"/>
        <w:jc w:val="left"/>
        <w:rPr>
          <w:rFonts w:hint="eastAsia" w:ascii="仿宋" w:hAnsi="仿宋" w:eastAsia="仿宋" w:cs="仿宋"/>
          <w:szCs w:val="21"/>
          <w:highlight w:val="none"/>
        </w:rPr>
      </w:pPr>
    </w:p>
    <w:p w14:paraId="46E0DDB5">
      <w:pPr>
        <w:adjustRightInd w:val="0"/>
        <w:snapToGrid w:val="0"/>
        <w:spacing w:line="360" w:lineRule="auto"/>
        <w:ind w:right="105" w:rightChars="50"/>
        <w:jc w:val="left"/>
        <w:rPr>
          <w:rFonts w:hint="eastAsia" w:ascii="仿宋" w:hAnsi="仿宋" w:eastAsia="仿宋" w:cs="仿宋"/>
          <w:szCs w:val="21"/>
          <w:highlight w:val="none"/>
        </w:rPr>
      </w:pPr>
    </w:p>
    <w:p w14:paraId="3BA6424B">
      <w:pPr>
        <w:adjustRightInd w:val="0"/>
        <w:snapToGrid w:val="0"/>
        <w:spacing w:line="360" w:lineRule="auto"/>
        <w:ind w:right="105" w:rightChars="50"/>
        <w:jc w:val="left"/>
        <w:rPr>
          <w:rFonts w:hint="eastAsia" w:ascii="仿宋" w:hAnsi="仿宋" w:eastAsia="仿宋" w:cs="仿宋"/>
          <w:szCs w:val="21"/>
          <w:highlight w:val="none"/>
        </w:rPr>
      </w:pPr>
    </w:p>
    <w:p w14:paraId="744A1368">
      <w:pPr>
        <w:adjustRightInd w:val="0"/>
        <w:snapToGrid w:val="0"/>
        <w:spacing w:line="360" w:lineRule="auto"/>
        <w:ind w:right="105" w:rightChars="50"/>
        <w:jc w:val="left"/>
        <w:rPr>
          <w:rFonts w:hint="eastAsia" w:ascii="仿宋" w:hAnsi="仿宋" w:eastAsia="仿宋" w:cs="仿宋"/>
          <w:szCs w:val="21"/>
          <w:highlight w:val="none"/>
        </w:rPr>
      </w:pPr>
    </w:p>
    <w:p w14:paraId="58D766A7">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rPr>
        <w:t>供应商(加盖单位公章):</w:t>
      </w:r>
      <w:r>
        <w:rPr>
          <w:rFonts w:hint="eastAsia" w:ascii="仿宋" w:hAnsi="仿宋" w:eastAsia="仿宋" w:cs="仿宋"/>
          <w:szCs w:val="21"/>
          <w:highlight w:val="none"/>
          <w:u w:val="single"/>
        </w:rPr>
        <w:t xml:space="preserve">               </w:t>
      </w:r>
    </w:p>
    <w:p w14:paraId="5A8A07D5">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rPr>
        <w:t>法定代表人（或非法人组织负责人）或其</w:t>
      </w:r>
      <w:r>
        <w:rPr>
          <w:rFonts w:hint="eastAsia" w:ascii="仿宋" w:hAnsi="仿宋" w:eastAsia="仿宋" w:cs="仿宋"/>
          <w:highlight w:val="none"/>
        </w:rPr>
        <w:t>授权委托人(签字或盖章)</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p>
    <w:p w14:paraId="7C5B572F">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日期:</w:t>
      </w:r>
      <w:r>
        <w:rPr>
          <w:rFonts w:hint="eastAsia" w:ascii="仿宋" w:hAnsi="仿宋" w:eastAsia="仿宋" w:cs="仿宋"/>
          <w:szCs w:val="21"/>
          <w:highlight w:val="none"/>
          <w:u w:val="single"/>
        </w:rPr>
        <w:t xml:space="preserve">                     </w:t>
      </w:r>
    </w:p>
    <w:p w14:paraId="572C99FD">
      <w:pPr>
        <w:adjustRightInd w:val="0"/>
        <w:snapToGrid w:val="0"/>
        <w:spacing w:line="360" w:lineRule="auto"/>
        <w:ind w:right="105" w:rightChars="50"/>
        <w:jc w:val="left"/>
        <w:rPr>
          <w:rFonts w:hint="eastAsia" w:ascii="仿宋" w:hAnsi="仿宋" w:eastAsia="仿宋" w:cs="仿宋"/>
          <w:szCs w:val="21"/>
          <w:highlight w:val="none"/>
        </w:rPr>
      </w:pPr>
    </w:p>
    <w:p w14:paraId="651C58BF">
      <w:pPr>
        <w:widowControl/>
        <w:jc w:val="left"/>
        <w:outlineLvl w:val="1"/>
        <w:rPr>
          <w:rFonts w:hint="eastAsia" w:ascii="仿宋" w:hAnsi="仿宋" w:eastAsia="仿宋" w:cs="仿宋"/>
          <w:b/>
          <w:bCs/>
          <w:sz w:val="28"/>
          <w:szCs w:val="28"/>
          <w:highlight w:val="none"/>
        </w:rPr>
      </w:pPr>
      <w:r>
        <w:rPr>
          <w:rFonts w:hint="eastAsia" w:ascii="仿宋" w:hAnsi="仿宋" w:eastAsia="仿宋" w:cs="仿宋"/>
          <w:szCs w:val="21"/>
          <w:highlight w:val="none"/>
        </w:rPr>
        <w:br w:type="page"/>
      </w:r>
      <w:bookmarkStart w:id="82" w:name="_Toc533340159"/>
      <w:bookmarkStart w:id="83" w:name="_Toc4485635"/>
      <w:r>
        <w:rPr>
          <w:rFonts w:hint="eastAsia" w:ascii="仿宋" w:hAnsi="仿宋" w:eastAsia="仿宋" w:cs="仿宋"/>
          <w:b/>
          <w:bCs/>
          <w:sz w:val="28"/>
          <w:szCs w:val="28"/>
          <w:highlight w:val="none"/>
        </w:rPr>
        <w:t>格式1</w:t>
      </w:r>
      <w:bookmarkEnd w:id="82"/>
      <w:r>
        <w:rPr>
          <w:rFonts w:hint="eastAsia" w:ascii="仿宋" w:hAnsi="仿宋" w:eastAsia="仿宋" w:cs="仿宋"/>
          <w:b/>
          <w:bCs/>
          <w:sz w:val="28"/>
          <w:szCs w:val="28"/>
          <w:highlight w:val="none"/>
        </w:rPr>
        <w:t>3</w:t>
      </w:r>
      <w:bookmarkEnd w:id="83"/>
    </w:p>
    <w:p w14:paraId="0B858F6D">
      <w:pPr>
        <w:spacing w:before="319" w:beforeLines="100" w:after="319"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服务价格明细表</w:t>
      </w:r>
    </w:p>
    <w:p w14:paraId="1DDBFBA0">
      <w:pPr>
        <w:adjustRightInd w:val="0"/>
        <w:snapToGrid w:val="0"/>
        <w:spacing w:line="360" w:lineRule="auto"/>
        <w:ind w:right="105" w:rightChars="50"/>
        <w:jc w:val="left"/>
        <w:rPr>
          <w:rFonts w:hint="eastAsia" w:ascii="仿宋" w:hAnsi="仿宋" w:eastAsia="仿宋" w:cs="仿宋"/>
          <w:b/>
          <w:bCs/>
          <w:szCs w:val="21"/>
          <w:highlight w:val="none"/>
        </w:rPr>
      </w:pPr>
      <w:r>
        <w:rPr>
          <w:rFonts w:hint="eastAsia" w:ascii="仿宋" w:hAnsi="仿宋" w:eastAsia="仿宋" w:cs="仿宋"/>
          <w:b/>
          <w:bCs/>
          <w:szCs w:val="21"/>
          <w:highlight w:val="none"/>
        </w:rPr>
        <w:t>包号：                                                      报价单位：元</w:t>
      </w:r>
    </w:p>
    <w:tbl>
      <w:tblPr>
        <w:tblStyle w:val="20"/>
        <w:tblW w:w="8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3078"/>
        <w:gridCol w:w="1228"/>
        <w:gridCol w:w="1238"/>
        <w:gridCol w:w="1457"/>
      </w:tblGrid>
      <w:tr w14:paraId="0A809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vAlign w:val="center"/>
          </w:tcPr>
          <w:p w14:paraId="1B50F75A">
            <w:pPr>
              <w:adjustRightInd w:val="0"/>
              <w:snapToGrid w:val="0"/>
              <w:ind w:left="-65" w:leftChars="-31"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3078" w:type="dxa"/>
            <w:vAlign w:val="center"/>
          </w:tcPr>
          <w:p w14:paraId="0C2E0374">
            <w:pPr>
              <w:adjustRightInd w:val="0"/>
              <w:snapToGrid w:val="0"/>
              <w:ind w:left="-65" w:leftChars="-31"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服务名称</w:t>
            </w:r>
          </w:p>
        </w:tc>
        <w:tc>
          <w:tcPr>
            <w:tcW w:w="1228" w:type="dxa"/>
            <w:vAlign w:val="center"/>
          </w:tcPr>
          <w:p w14:paraId="5C471EC1">
            <w:pPr>
              <w:adjustRightInd w:val="0"/>
              <w:snapToGrid w:val="0"/>
              <w:ind w:left="-65" w:leftChars="-31"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单价</w:t>
            </w:r>
          </w:p>
        </w:tc>
        <w:tc>
          <w:tcPr>
            <w:tcW w:w="1238" w:type="dxa"/>
            <w:vAlign w:val="center"/>
          </w:tcPr>
          <w:p w14:paraId="2F73B2FF">
            <w:pPr>
              <w:adjustRightInd w:val="0"/>
              <w:snapToGrid w:val="0"/>
              <w:ind w:left="-65" w:leftChars="-31"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总价</w:t>
            </w:r>
          </w:p>
        </w:tc>
        <w:tc>
          <w:tcPr>
            <w:tcW w:w="1457" w:type="dxa"/>
            <w:vAlign w:val="center"/>
          </w:tcPr>
          <w:p w14:paraId="04A6B529">
            <w:pPr>
              <w:adjustRightInd w:val="0"/>
              <w:snapToGrid w:val="0"/>
              <w:ind w:left="-65" w:leftChars="-31" w:right="-46" w:rightChars="-22"/>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14:paraId="63412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vAlign w:val="center"/>
          </w:tcPr>
          <w:p w14:paraId="01E7AA6E">
            <w:pPr>
              <w:adjustRightInd w:val="0"/>
              <w:snapToGrid w:val="0"/>
              <w:ind w:right="105" w:rightChars="50"/>
              <w:jc w:val="center"/>
              <w:rPr>
                <w:rFonts w:hint="eastAsia" w:ascii="仿宋" w:hAnsi="仿宋" w:eastAsia="仿宋" w:cs="仿宋"/>
                <w:szCs w:val="21"/>
                <w:highlight w:val="none"/>
              </w:rPr>
            </w:pPr>
          </w:p>
        </w:tc>
        <w:tc>
          <w:tcPr>
            <w:tcW w:w="3078" w:type="dxa"/>
            <w:vAlign w:val="center"/>
          </w:tcPr>
          <w:p w14:paraId="2F81F196">
            <w:pPr>
              <w:adjustRightInd w:val="0"/>
              <w:snapToGrid w:val="0"/>
              <w:ind w:right="105" w:rightChars="50"/>
              <w:jc w:val="center"/>
              <w:rPr>
                <w:rFonts w:hint="eastAsia" w:ascii="仿宋" w:hAnsi="仿宋" w:eastAsia="仿宋" w:cs="仿宋"/>
                <w:szCs w:val="21"/>
                <w:highlight w:val="none"/>
              </w:rPr>
            </w:pPr>
          </w:p>
        </w:tc>
        <w:tc>
          <w:tcPr>
            <w:tcW w:w="1228" w:type="dxa"/>
            <w:vAlign w:val="center"/>
          </w:tcPr>
          <w:p w14:paraId="271DE71B">
            <w:pPr>
              <w:adjustRightInd w:val="0"/>
              <w:snapToGrid w:val="0"/>
              <w:ind w:right="105" w:rightChars="50"/>
              <w:jc w:val="center"/>
              <w:rPr>
                <w:rFonts w:hint="eastAsia" w:ascii="仿宋" w:hAnsi="仿宋" w:eastAsia="仿宋" w:cs="仿宋"/>
                <w:szCs w:val="21"/>
                <w:highlight w:val="none"/>
              </w:rPr>
            </w:pPr>
          </w:p>
        </w:tc>
        <w:tc>
          <w:tcPr>
            <w:tcW w:w="1238" w:type="dxa"/>
            <w:vAlign w:val="center"/>
          </w:tcPr>
          <w:p w14:paraId="4137B899">
            <w:pPr>
              <w:adjustRightInd w:val="0"/>
              <w:snapToGrid w:val="0"/>
              <w:ind w:right="105" w:rightChars="50"/>
              <w:jc w:val="center"/>
              <w:rPr>
                <w:rFonts w:hint="eastAsia" w:ascii="仿宋" w:hAnsi="仿宋" w:eastAsia="仿宋" w:cs="仿宋"/>
                <w:szCs w:val="21"/>
                <w:highlight w:val="none"/>
              </w:rPr>
            </w:pPr>
          </w:p>
        </w:tc>
        <w:tc>
          <w:tcPr>
            <w:tcW w:w="1457" w:type="dxa"/>
            <w:vAlign w:val="center"/>
          </w:tcPr>
          <w:p w14:paraId="11B18B7E">
            <w:pPr>
              <w:adjustRightInd w:val="0"/>
              <w:snapToGrid w:val="0"/>
              <w:ind w:right="105" w:rightChars="50"/>
              <w:jc w:val="center"/>
              <w:rPr>
                <w:rFonts w:hint="eastAsia" w:ascii="仿宋" w:hAnsi="仿宋" w:eastAsia="仿宋" w:cs="仿宋"/>
                <w:szCs w:val="21"/>
                <w:highlight w:val="none"/>
              </w:rPr>
            </w:pPr>
          </w:p>
        </w:tc>
      </w:tr>
      <w:tr w14:paraId="0FB15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vAlign w:val="center"/>
          </w:tcPr>
          <w:p w14:paraId="55676DC1">
            <w:pPr>
              <w:adjustRightInd w:val="0"/>
              <w:snapToGrid w:val="0"/>
              <w:ind w:right="105" w:rightChars="50"/>
              <w:jc w:val="center"/>
              <w:rPr>
                <w:rFonts w:hint="eastAsia" w:ascii="仿宋" w:hAnsi="仿宋" w:eastAsia="仿宋" w:cs="仿宋"/>
                <w:szCs w:val="21"/>
                <w:highlight w:val="none"/>
              </w:rPr>
            </w:pPr>
          </w:p>
        </w:tc>
        <w:tc>
          <w:tcPr>
            <w:tcW w:w="3078" w:type="dxa"/>
            <w:vAlign w:val="center"/>
          </w:tcPr>
          <w:p w14:paraId="7BEA62C5">
            <w:pPr>
              <w:adjustRightInd w:val="0"/>
              <w:snapToGrid w:val="0"/>
              <w:ind w:right="105" w:rightChars="50"/>
              <w:jc w:val="center"/>
              <w:rPr>
                <w:rFonts w:hint="eastAsia" w:ascii="仿宋" w:hAnsi="仿宋" w:eastAsia="仿宋" w:cs="仿宋"/>
                <w:szCs w:val="21"/>
                <w:highlight w:val="none"/>
              </w:rPr>
            </w:pPr>
          </w:p>
        </w:tc>
        <w:tc>
          <w:tcPr>
            <w:tcW w:w="1228" w:type="dxa"/>
            <w:vAlign w:val="center"/>
          </w:tcPr>
          <w:p w14:paraId="69DC21B7">
            <w:pPr>
              <w:adjustRightInd w:val="0"/>
              <w:snapToGrid w:val="0"/>
              <w:ind w:right="105" w:rightChars="50"/>
              <w:jc w:val="center"/>
              <w:rPr>
                <w:rFonts w:hint="eastAsia" w:ascii="仿宋" w:hAnsi="仿宋" w:eastAsia="仿宋" w:cs="仿宋"/>
                <w:szCs w:val="21"/>
                <w:highlight w:val="none"/>
              </w:rPr>
            </w:pPr>
          </w:p>
        </w:tc>
        <w:tc>
          <w:tcPr>
            <w:tcW w:w="1238" w:type="dxa"/>
            <w:vAlign w:val="center"/>
          </w:tcPr>
          <w:p w14:paraId="3D0656F4">
            <w:pPr>
              <w:adjustRightInd w:val="0"/>
              <w:snapToGrid w:val="0"/>
              <w:ind w:right="105" w:rightChars="50"/>
              <w:jc w:val="center"/>
              <w:rPr>
                <w:rFonts w:hint="eastAsia" w:ascii="仿宋" w:hAnsi="仿宋" w:eastAsia="仿宋" w:cs="仿宋"/>
                <w:szCs w:val="21"/>
                <w:highlight w:val="none"/>
              </w:rPr>
            </w:pPr>
          </w:p>
        </w:tc>
        <w:tc>
          <w:tcPr>
            <w:tcW w:w="1457" w:type="dxa"/>
            <w:vAlign w:val="center"/>
          </w:tcPr>
          <w:p w14:paraId="37429094">
            <w:pPr>
              <w:adjustRightInd w:val="0"/>
              <w:snapToGrid w:val="0"/>
              <w:ind w:right="105" w:rightChars="50"/>
              <w:jc w:val="center"/>
              <w:rPr>
                <w:rFonts w:hint="eastAsia" w:ascii="仿宋" w:hAnsi="仿宋" w:eastAsia="仿宋" w:cs="仿宋"/>
                <w:szCs w:val="21"/>
                <w:highlight w:val="none"/>
              </w:rPr>
            </w:pPr>
          </w:p>
        </w:tc>
      </w:tr>
      <w:tr w14:paraId="5C5D7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vAlign w:val="center"/>
          </w:tcPr>
          <w:p w14:paraId="2094B154">
            <w:pPr>
              <w:adjustRightInd w:val="0"/>
              <w:snapToGrid w:val="0"/>
              <w:ind w:right="105" w:rightChars="50"/>
              <w:jc w:val="center"/>
              <w:rPr>
                <w:rFonts w:hint="eastAsia" w:ascii="仿宋" w:hAnsi="仿宋" w:eastAsia="仿宋" w:cs="仿宋"/>
                <w:szCs w:val="21"/>
                <w:highlight w:val="none"/>
              </w:rPr>
            </w:pPr>
          </w:p>
        </w:tc>
        <w:tc>
          <w:tcPr>
            <w:tcW w:w="3078" w:type="dxa"/>
            <w:vAlign w:val="center"/>
          </w:tcPr>
          <w:p w14:paraId="0363AD53">
            <w:pPr>
              <w:adjustRightInd w:val="0"/>
              <w:snapToGrid w:val="0"/>
              <w:ind w:right="105" w:rightChars="50"/>
              <w:jc w:val="center"/>
              <w:rPr>
                <w:rFonts w:hint="eastAsia" w:ascii="仿宋" w:hAnsi="仿宋" w:eastAsia="仿宋" w:cs="仿宋"/>
                <w:szCs w:val="21"/>
                <w:highlight w:val="none"/>
              </w:rPr>
            </w:pPr>
          </w:p>
        </w:tc>
        <w:tc>
          <w:tcPr>
            <w:tcW w:w="1228" w:type="dxa"/>
            <w:vAlign w:val="center"/>
          </w:tcPr>
          <w:p w14:paraId="21FCF969">
            <w:pPr>
              <w:adjustRightInd w:val="0"/>
              <w:snapToGrid w:val="0"/>
              <w:ind w:right="105" w:rightChars="50"/>
              <w:jc w:val="center"/>
              <w:rPr>
                <w:rFonts w:hint="eastAsia" w:ascii="仿宋" w:hAnsi="仿宋" w:eastAsia="仿宋" w:cs="仿宋"/>
                <w:szCs w:val="21"/>
                <w:highlight w:val="none"/>
              </w:rPr>
            </w:pPr>
          </w:p>
        </w:tc>
        <w:tc>
          <w:tcPr>
            <w:tcW w:w="1238" w:type="dxa"/>
            <w:vAlign w:val="center"/>
          </w:tcPr>
          <w:p w14:paraId="00F8E3BA">
            <w:pPr>
              <w:adjustRightInd w:val="0"/>
              <w:snapToGrid w:val="0"/>
              <w:ind w:right="105" w:rightChars="50"/>
              <w:jc w:val="center"/>
              <w:rPr>
                <w:rFonts w:hint="eastAsia" w:ascii="仿宋" w:hAnsi="仿宋" w:eastAsia="仿宋" w:cs="仿宋"/>
                <w:szCs w:val="21"/>
                <w:highlight w:val="none"/>
              </w:rPr>
            </w:pPr>
          </w:p>
        </w:tc>
        <w:tc>
          <w:tcPr>
            <w:tcW w:w="1457" w:type="dxa"/>
            <w:vAlign w:val="center"/>
          </w:tcPr>
          <w:p w14:paraId="6744FAFC">
            <w:pPr>
              <w:adjustRightInd w:val="0"/>
              <w:snapToGrid w:val="0"/>
              <w:ind w:right="105" w:rightChars="50"/>
              <w:jc w:val="center"/>
              <w:rPr>
                <w:rFonts w:hint="eastAsia" w:ascii="仿宋" w:hAnsi="仿宋" w:eastAsia="仿宋" w:cs="仿宋"/>
                <w:szCs w:val="21"/>
                <w:highlight w:val="none"/>
              </w:rPr>
            </w:pPr>
          </w:p>
        </w:tc>
      </w:tr>
      <w:tr w14:paraId="6882E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vAlign w:val="center"/>
          </w:tcPr>
          <w:p w14:paraId="091F33BD">
            <w:pPr>
              <w:adjustRightInd w:val="0"/>
              <w:snapToGrid w:val="0"/>
              <w:ind w:right="105" w:rightChars="50"/>
              <w:jc w:val="center"/>
              <w:rPr>
                <w:rFonts w:hint="eastAsia" w:ascii="仿宋" w:hAnsi="仿宋" w:eastAsia="仿宋" w:cs="仿宋"/>
                <w:szCs w:val="21"/>
                <w:highlight w:val="none"/>
              </w:rPr>
            </w:pPr>
          </w:p>
        </w:tc>
        <w:tc>
          <w:tcPr>
            <w:tcW w:w="3078" w:type="dxa"/>
            <w:vAlign w:val="center"/>
          </w:tcPr>
          <w:p w14:paraId="0D10A14C">
            <w:pPr>
              <w:adjustRightInd w:val="0"/>
              <w:snapToGrid w:val="0"/>
              <w:ind w:right="105" w:rightChars="50"/>
              <w:jc w:val="center"/>
              <w:rPr>
                <w:rFonts w:hint="eastAsia" w:ascii="仿宋" w:hAnsi="仿宋" w:eastAsia="仿宋" w:cs="仿宋"/>
                <w:szCs w:val="21"/>
                <w:highlight w:val="none"/>
              </w:rPr>
            </w:pPr>
          </w:p>
        </w:tc>
        <w:tc>
          <w:tcPr>
            <w:tcW w:w="1228" w:type="dxa"/>
            <w:vAlign w:val="center"/>
          </w:tcPr>
          <w:p w14:paraId="52088699">
            <w:pPr>
              <w:adjustRightInd w:val="0"/>
              <w:snapToGrid w:val="0"/>
              <w:ind w:right="105" w:rightChars="50"/>
              <w:jc w:val="center"/>
              <w:rPr>
                <w:rFonts w:hint="eastAsia" w:ascii="仿宋" w:hAnsi="仿宋" w:eastAsia="仿宋" w:cs="仿宋"/>
                <w:szCs w:val="21"/>
                <w:highlight w:val="none"/>
              </w:rPr>
            </w:pPr>
          </w:p>
        </w:tc>
        <w:tc>
          <w:tcPr>
            <w:tcW w:w="1238" w:type="dxa"/>
            <w:vAlign w:val="center"/>
          </w:tcPr>
          <w:p w14:paraId="2C2078F2">
            <w:pPr>
              <w:adjustRightInd w:val="0"/>
              <w:snapToGrid w:val="0"/>
              <w:ind w:right="105" w:rightChars="50"/>
              <w:jc w:val="center"/>
              <w:rPr>
                <w:rFonts w:hint="eastAsia" w:ascii="仿宋" w:hAnsi="仿宋" w:eastAsia="仿宋" w:cs="仿宋"/>
                <w:szCs w:val="21"/>
                <w:highlight w:val="none"/>
              </w:rPr>
            </w:pPr>
          </w:p>
        </w:tc>
        <w:tc>
          <w:tcPr>
            <w:tcW w:w="1457" w:type="dxa"/>
            <w:vAlign w:val="center"/>
          </w:tcPr>
          <w:p w14:paraId="74CC9BD3">
            <w:pPr>
              <w:adjustRightInd w:val="0"/>
              <w:snapToGrid w:val="0"/>
              <w:ind w:right="105" w:rightChars="50"/>
              <w:jc w:val="center"/>
              <w:rPr>
                <w:rFonts w:hint="eastAsia" w:ascii="仿宋" w:hAnsi="仿宋" w:eastAsia="仿宋" w:cs="仿宋"/>
                <w:szCs w:val="21"/>
                <w:highlight w:val="none"/>
              </w:rPr>
            </w:pPr>
          </w:p>
        </w:tc>
      </w:tr>
      <w:tr w14:paraId="35C40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vAlign w:val="center"/>
          </w:tcPr>
          <w:p w14:paraId="0192A03E">
            <w:pPr>
              <w:adjustRightInd w:val="0"/>
              <w:snapToGrid w:val="0"/>
              <w:ind w:right="105" w:rightChars="50"/>
              <w:jc w:val="center"/>
              <w:rPr>
                <w:rFonts w:hint="eastAsia" w:ascii="仿宋" w:hAnsi="仿宋" w:eastAsia="仿宋" w:cs="仿宋"/>
                <w:szCs w:val="21"/>
                <w:highlight w:val="none"/>
              </w:rPr>
            </w:pPr>
          </w:p>
        </w:tc>
        <w:tc>
          <w:tcPr>
            <w:tcW w:w="3078" w:type="dxa"/>
            <w:vAlign w:val="center"/>
          </w:tcPr>
          <w:p w14:paraId="711A2A36">
            <w:pPr>
              <w:adjustRightInd w:val="0"/>
              <w:snapToGrid w:val="0"/>
              <w:ind w:right="105" w:rightChars="50"/>
              <w:jc w:val="center"/>
              <w:rPr>
                <w:rFonts w:hint="eastAsia" w:ascii="仿宋" w:hAnsi="仿宋" w:eastAsia="仿宋" w:cs="仿宋"/>
                <w:szCs w:val="21"/>
                <w:highlight w:val="none"/>
              </w:rPr>
            </w:pPr>
          </w:p>
        </w:tc>
        <w:tc>
          <w:tcPr>
            <w:tcW w:w="1228" w:type="dxa"/>
            <w:vAlign w:val="center"/>
          </w:tcPr>
          <w:p w14:paraId="13D24299">
            <w:pPr>
              <w:adjustRightInd w:val="0"/>
              <w:snapToGrid w:val="0"/>
              <w:ind w:right="105" w:rightChars="50"/>
              <w:jc w:val="center"/>
              <w:rPr>
                <w:rFonts w:hint="eastAsia" w:ascii="仿宋" w:hAnsi="仿宋" w:eastAsia="仿宋" w:cs="仿宋"/>
                <w:szCs w:val="21"/>
                <w:highlight w:val="none"/>
              </w:rPr>
            </w:pPr>
          </w:p>
        </w:tc>
        <w:tc>
          <w:tcPr>
            <w:tcW w:w="1238" w:type="dxa"/>
            <w:vAlign w:val="center"/>
          </w:tcPr>
          <w:p w14:paraId="045192AB">
            <w:pPr>
              <w:adjustRightInd w:val="0"/>
              <w:snapToGrid w:val="0"/>
              <w:ind w:right="105" w:rightChars="50"/>
              <w:jc w:val="center"/>
              <w:rPr>
                <w:rFonts w:hint="eastAsia" w:ascii="仿宋" w:hAnsi="仿宋" w:eastAsia="仿宋" w:cs="仿宋"/>
                <w:szCs w:val="21"/>
                <w:highlight w:val="none"/>
              </w:rPr>
            </w:pPr>
          </w:p>
        </w:tc>
        <w:tc>
          <w:tcPr>
            <w:tcW w:w="1457" w:type="dxa"/>
            <w:vAlign w:val="center"/>
          </w:tcPr>
          <w:p w14:paraId="48746E9B">
            <w:pPr>
              <w:adjustRightInd w:val="0"/>
              <w:snapToGrid w:val="0"/>
              <w:ind w:right="105" w:rightChars="50"/>
              <w:jc w:val="center"/>
              <w:rPr>
                <w:rFonts w:hint="eastAsia" w:ascii="仿宋" w:hAnsi="仿宋" w:eastAsia="仿宋" w:cs="仿宋"/>
                <w:szCs w:val="21"/>
                <w:highlight w:val="none"/>
              </w:rPr>
            </w:pPr>
          </w:p>
        </w:tc>
      </w:tr>
      <w:tr w14:paraId="10C46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vAlign w:val="center"/>
          </w:tcPr>
          <w:p w14:paraId="3CE2E42F">
            <w:pPr>
              <w:adjustRightInd w:val="0"/>
              <w:snapToGrid w:val="0"/>
              <w:ind w:right="105" w:rightChars="50"/>
              <w:jc w:val="center"/>
              <w:rPr>
                <w:rFonts w:hint="eastAsia" w:ascii="仿宋" w:hAnsi="仿宋" w:eastAsia="仿宋" w:cs="仿宋"/>
                <w:szCs w:val="21"/>
                <w:highlight w:val="none"/>
              </w:rPr>
            </w:pPr>
          </w:p>
        </w:tc>
        <w:tc>
          <w:tcPr>
            <w:tcW w:w="3078" w:type="dxa"/>
            <w:vAlign w:val="center"/>
          </w:tcPr>
          <w:p w14:paraId="6758B59D">
            <w:pPr>
              <w:adjustRightInd w:val="0"/>
              <w:snapToGrid w:val="0"/>
              <w:ind w:right="105" w:rightChars="50"/>
              <w:jc w:val="center"/>
              <w:rPr>
                <w:rFonts w:hint="eastAsia" w:ascii="仿宋" w:hAnsi="仿宋" w:eastAsia="仿宋" w:cs="仿宋"/>
                <w:szCs w:val="21"/>
                <w:highlight w:val="none"/>
              </w:rPr>
            </w:pPr>
          </w:p>
        </w:tc>
        <w:tc>
          <w:tcPr>
            <w:tcW w:w="1228" w:type="dxa"/>
            <w:vAlign w:val="center"/>
          </w:tcPr>
          <w:p w14:paraId="513C405F">
            <w:pPr>
              <w:adjustRightInd w:val="0"/>
              <w:snapToGrid w:val="0"/>
              <w:ind w:right="105" w:rightChars="50"/>
              <w:jc w:val="center"/>
              <w:rPr>
                <w:rFonts w:hint="eastAsia" w:ascii="仿宋" w:hAnsi="仿宋" w:eastAsia="仿宋" w:cs="仿宋"/>
                <w:szCs w:val="21"/>
                <w:highlight w:val="none"/>
              </w:rPr>
            </w:pPr>
          </w:p>
        </w:tc>
        <w:tc>
          <w:tcPr>
            <w:tcW w:w="1238" w:type="dxa"/>
            <w:vAlign w:val="center"/>
          </w:tcPr>
          <w:p w14:paraId="0F7E4B6A">
            <w:pPr>
              <w:adjustRightInd w:val="0"/>
              <w:snapToGrid w:val="0"/>
              <w:ind w:right="105" w:rightChars="50"/>
              <w:jc w:val="center"/>
              <w:rPr>
                <w:rFonts w:hint="eastAsia" w:ascii="仿宋" w:hAnsi="仿宋" w:eastAsia="仿宋" w:cs="仿宋"/>
                <w:szCs w:val="21"/>
                <w:highlight w:val="none"/>
              </w:rPr>
            </w:pPr>
          </w:p>
        </w:tc>
        <w:tc>
          <w:tcPr>
            <w:tcW w:w="1457" w:type="dxa"/>
            <w:vAlign w:val="center"/>
          </w:tcPr>
          <w:p w14:paraId="7B1FDF3F">
            <w:pPr>
              <w:adjustRightInd w:val="0"/>
              <w:snapToGrid w:val="0"/>
              <w:ind w:right="105" w:rightChars="50"/>
              <w:jc w:val="center"/>
              <w:rPr>
                <w:rFonts w:hint="eastAsia" w:ascii="仿宋" w:hAnsi="仿宋" w:eastAsia="仿宋" w:cs="仿宋"/>
                <w:szCs w:val="21"/>
                <w:highlight w:val="none"/>
              </w:rPr>
            </w:pPr>
          </w:p>
        </w:tc>
      </w:tr>
      <w:tr w14:paraId="14103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vAlign w:val="center"/>
          </w:tcPr>
          <w:p w14:paraId="59C37DD4">
            <w:pPr>
              <w:adjustRightInd w:val="0"/>
              <w:snapToGrid w:val="0"/>
              <w:ind w:right="105" w:rightChars="50"/>
              <w:jc w:val="center"/>
              <w:rPr>
                <w:rFonts w:hint="eastAsia" w:ascii="仿宋" w:hAnsi="仿宋" w:eastAsia="仿宋" w:cs="仿宋"/>
                <w:szCs w:val="21"/>
                <w:highlight w:val="none"/>
              </w:rPr>
            </w:pPr>
          </w:p>
        </w:tc>
        <w:tc>
          <w:tcPr>
            <w:tcW w:w="3078" w:type="dxa"/>
            <w:vAlign w:val="center"/>
          </w:tcPr>
          <w:p w14:paraId="3BBF102C">
            <w:pPr>
              <w:adjustRightInd w:val="0"/>
              <w:snapToGrid w:val="0"/>
              <w:ind w:right="105" w:rightChars="50"/>
              <w:jc w:val="center"/>
              <w:rPr>
                <w:rFonts w:hint="eastAsia" w:ascii="仿宋" w:hAnsi="仿宋" w:eastAsia="仿宋" w:cs="仿宋"/>
                <w:szCs w:val="21"/>
                <w:highlight w:val="none"/>
              </w:rPr>
            </w:pPr>
          </w:p>
        </w:tc>
        <w:tc>
          <w:tcPr>
            <w:tcW w:w="1228" w:type="dxa"/>
            <w:vAlign w:val="center"/>
          </w:tcPr>
          <w:p w14:paraId="2BDC3FE0">
            <w:pPr>
              <w:adjustRightInd w:val="0"/>
              <w:snapToGrid w:val="0"/>
              <w:ind w:right="105" w:rightChars="50"/>
              <w:jc w:val="center"/>
              <w:rPr>
                <w:rFonts w:hint="eastAsia" w:ascii="仿宋" w:hAnsi="仿宋" w:eastAsia="仿宋" w:cs="仿宋"/>
                <w:szCs w:val="21"/>
                <w:highlight w:val="none"/>
              </w:rPr>
            </w:pPr>
          </w:p>
        </w:tc>
        <w:tc>
          <w:tcPr>
            <w:tcW w:w="1238" w:type="dxa"/>
            <w:vAlign w:val="center"/>
          </w:tcPr>
          <w:p w14:paraId="3B8B50B0">
            <w:pPr>
              <w:adjustRightInd w:val="0"/>
              <w:snapToGrid w:val="0"/>
              <w:ind w:right="105" w:rightChars="50"/>
              <w:jc w:val="center"/>
              <w:rPr>
                <w:rFonts w:hint="eastAsia" w:ascii="仿宋" w:hAnsi="仿宋" w:eastAsia="仿宋" w:cs="仿宋"/>
                <w:szCs w:val="21"/>
                <w:highlight w:val="none"/>
              </w:rPr>
            </w:pPr>
          </w:p>
        </w:tc>
        <w:tc>
          <w:tcPr>
            <w:tcW w:w="1457" w:type="dxa"/>
            <w:vAlign w:val="center"/>
          </w:tcPr>
          <w:p w14:paraId="6AA34162">
            <w:pPr>
              <w:adjustRightInd w:val="0"/>
              <w:snapToGrid w:val="0"/>
              <w:ind w:right="105" w:rightChars="50"/>
              <w:jc w:val="center"/>
              <w:rPr>
                <w:rFonts w:hint="eastAsia" w:ascii="仿宋" w:hAnsi="仿宋" w:eastAsia="仿宋" w:cs="仿宋"/>
                <w:szCs w:val="21"/>
                <w:highlight w:val="none"/>
              </w:rPr>
            </w:pPr>
          </w:p>
        </w:tc>
      </w:tr>
      <w:tr w14:paraId="5105D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089" w:type="dxa"/>
            <w:gridSpan w:val="2"/>
            <w:vAlign w:val="center"/>
          </w:tcPr>
          <w:p w14:paraId="4D2C115D">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总价</w:t>
            </w:r>
          </w:p>
        </w:tc>
        <w:tc>
          <w:tcPr>
            <w:tcW w:w="1228" w:type="dxa"/>
            <w:vAlign w:val="center"/>
          </w:tcPr>
          <w:p w14:paraId="2EA30DC7">
            <w:pPr>
              <w:adjustRightInd w:val="0"/>
              <w:snapToGrid w:val="0"/>
              <w:ind w:right="105" w:rightChars="50"/>
              <w:jc w:val="center"/>
              <w:rPr>
                <w:rFonts w:hint="eastAsia" w:ascii="仿宋" w:hAnsi="仿宋" w:eastAsia="仿宋" w:cs="仿宋"/>
                <w:szCs w:val="21"/>
                <w:highlight w:val="none"/>
              </w:rPr>
            </w:pPr>
          </w:p>
        </w:tc>
        <w:tc>
          <w:tcPr>
            <w:tcW w:w="1238" w:type="dxa"/>
            <w:vAlign w:val="center"/>
          </w:tcPr>
          <w:p w14:paraId="405461D6">
            <w:pPr>
              <w:adjustRightInd w:val="0"/>
              <w:snapToGrid w:val="0"/>
              <w:ind w:right="105" w:rightChars="50"/>
              <w:jc w:val="center"/>
              <w:rPr>
                <w:rFonts w:hint="eastAsia" w:ascii="仿宋" w:hAnsi="仿宋" w:eastAsia="仿宋" w:cs="仿宋"/>
                <w:szCs w:val="21"/>
                <w:highlight w:val="none"/>
              </w:rPr>
            </w:pPr>
          </w:p>
        </w:tc>
        <w:tc>
          <w:tcPr>
            <w:tcW w:w="1457" w:type="dxa"/>
            <w:vAlign w:val="center"/>
          </w:tcPr>
          <w:p w14:paraId="003A20B8">
            <w:pPr>
              <w:adjustRightInd w:val="0"/>
              <w:snapToGrid w:val="0"/>
              <w:ind w:right="105" w:rightChars="50"/>
              <w:jc w:val="center"/>
              <w:rPr>
                <w:rFonts w:hint="eastAsia" w:ascii="仿宋" w:hAnsi="仿宋" w:eastAsia="仿宋" w:cs="仿宋"/>
                <w:szCs w:val="21"/>
                <w:highlight w:val="none"/>
              </w:rPr>
            </w:pPr>
          </w:p>
        </w:tc>
      </w:tr>
    </w:tbl>
    <w:p w14:paraId="68BDFC57">
      <w:pPr>
        <w:adjustRightInd w:val="0"/>
        <w:snapToGrid w:val="0"/>
        <w:spacing w:line="360" w:lineRule="auto"/>
        <w:ind w:right="105" w:rightChars="50"/>
        <w:jc w:val="left"/>
        <w:rPr>
          <w:rFonts w:hint="eastAsia" w:ascii="仿宋" w:hAnsi="仿宋" w:eastAsia="仿宋" w:cs="仿宋"/>
          <w:szCs w:val="21"/>
          <w:highlight w:val="none"/>
        </w:rPr>
      </w:pPr>
    </w:p>
    <w:p w14:paraId="5B86979B">
      <w:pPr>
        <w:adjustRightInd w:val="0"/>
        <w:snapToGrid w:val="0"/>
        <w:spacing w:line="360" w:lineRule="auto"/>
        <w:ind w:right="105" w:rightChars="50"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注：1.此表中，总价应和报价一览表的响应总价相一致。</w:t>
      </w:r>
    </w:p>
    <w:p w14:paraId="5572F4C4">
      <w:pPr>
        <w:adjustRightInd w:val="0"/>
        <w:snapToGrid w:val="0"/>
        <w:spacing w:line="360" w:lineRule="auto"/>
        <w:ind w:right="105" w:rightChars="50" w:firstLine="840" w:firstLineChars="400"/>
        <w:jc w:val="left"/>
        <w:rPr>
          <w:rFonts w:hint="eastAsia" w:ascii="仿宋" w:hAnsi="仿宋" w:eastAsia="仿宋" w:cs="仿宋"/>
          <w:szCs w:val="21"/>
          <w:highlight w:val="none"/>
        </w:rPr>
      </w:pPr>
      <w:r>
        <w:rPr>
          <w:rFonts w:hint="eastAsia" w:ascii="仿宋" w:hAnsi="仿宋" w:eastAsia="仿宋" w:cs="仿宋"/>
          <w:szCs w:val="21"/>
          <w:highlight w:val="none"/>
        </w:rPr>
        <w:t>2.本表可根据实际情况进行拓展。</w:t>
      </w:r>
    </w:p>
    <w:p w14:paraId="3624ECC7">
      <w:pPr>
        <w:adjustRightInd w:val="0"/>
        <w:snapToGrid w:val="0"/>
        <w:spacing w:line="360" w:lineRule="auto"/>
        <w:ind w:right="105" w:rightChars="50"/>
        <w:jc w:val="left"/>
        <w:rPr>
          <w:rFonts w:hint="eastAsia" w:ascii="仿宋" w:hAnsi="仿宋" w:eastAsia="仿宋" w:cs="仿宋"/>
          <w:b/>
          <w:sz w:val="28"/>
          <w:szCs w:val="28"/>
          <w:highlight w:val="none"/>
        </w:rPr>
      </w:pPr>
    </w:p>
    <w:p w14:paraId="419C6582">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27EF168D">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rPr>
        <w:t>供应商</w:t>
      </w:r>
      <w:r>
        <w:rPr>
          <w:rFonts w:hint="eastAsia" w:ascii="仿宋" w:hAnsi="仿宋" w:eastAsia="仿宋" w:cs="仿宋"/>
          <w:highlight w:val="none"/>
        </w:rPr>
        <w:t>名称</w:t>
      </w:r>
      <w:r>
        <w:rPr>
          <w:rFonts w:hint="eastAsia" w:ascii="仿宋" w:hAnsi="仿宋" w:eastAsia="仿宋" w:cs="仿宋"/>
          <w:szCs w:val="21"/>
          <w:highlight w:val="none"/>
        </w:rPr>
        <w:t>(加盖单位公章):</w:t>
      </w:r>
      <w:r>
        <w:rPr>
          <w:rFonts w:hint="eastAsia" w:ascii="仿宋" w:hAnsi="仿宋" w:eastAsia="仿宋" w:cs="仿宋"/>
          <w:szCs w:val="21"/>
          <w:highlight w:val="none"/>
          <w:u w:val="single"/>
        </w:rPr>
        <w:t xml:space="preserve">               </w:t>
      </w:r>
    </w:p>
    <w:p w14:paraId="1A40EF66">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rPr>
        <w:t>法定代表人（或非法人组织负责人）或其授权委托人</w:t>
      </w:r>
      <w:r>
        <w:rPr>
          <w:rFonts w:hint="eastAsia" w:ascii="仿宋" w:hAnsi="仿宋" w:eastAsia="仿宋" w:cs="仿宋"/>
          <w:highlight w:val="none"/>
        </w:rPr>
        <w:t>(签字或盖章)</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p>
    <w:p w14:paraId="482CDD2B">
      <w:pPr>
        <w:adjustRightInd w:val="0"/>
        <w:snapToGrid w:val="0"/>
        <w:spacing w:line="480" w:lineRule="auto"/>
        <w:ind w:right="1050" w:rightChars="500"/>
        <w:rPr>
          <w:rFonts w:hint="eastAsia" w:ascii="仿宋" w:hAnsi="仿宋" w:eastAsia="仿宋" w:cs="仿宋"/>
          <w:szCs w:val="21"/>
          <w:highlight w:val="non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7C2D8E8A">
      <w:pPr>
        <w:adjustRightInd w:val="0"/>
        <w:snapToGrid w:val="0"/>
        <w:spacing w:line="480" w:lineRule="auto"/>
        <w:ind w:right="1050" w:rightChars="500"/>
        <w:rPr>
          <w:rFonts w:hint="eastAsia" w:ascii="仿宋" w:hAnsi="仿宋" w:eastAsia="仿宋" w:cs="仿宋"/>
          <w:szCs w:val="21"/>
          <w:highlight w:val="none"/>
        </w:rPr>
      </w:pPr>
      <w:r>
        <w:rPr>
          <w:rFonts w:hint="eastAsia" w:ascii="仿宋" w:hAnsi="仿宋" w:eastAsia="仿宋" w:cs="仿宋"/>
          <w:szCs w:val="21"/>
          <w:highlight w:val="none"/>
        </w:rPr>
        <w:t xml:space="preserve"> </w:t>
      </w:r>
    </w:p>
    <w:p w14:paraId="7AC22EC1">
      <w:pPr>
        <w:adjustRightInd w:val="0"/>
        <w:snapToGrid w:val="0"/>
        <w:spacing w:line="360" w:lineRule="auto"/>
        <w:ind w:right="105" w:rightChars="50"/>
        <w:jc w:val="left"/>
        <w:rPr>
          <w:rFonts w:hint="eastAsia" w:ascii="仿宋" w:hAnsi="仿宋" w:eastAsia="仿宋" w:cs="仿宋"/>
          <w:b/>
          <w:sz w:val="28"/>
          <w:szCs w:val="28"/>
          <w:highlight w:val="none"/>
        </w:rPr>
      </w:pPr>
    </w:p>
    <w:p w14:paraId="06888E3D">
      <w:pPr>
        <w:pStyle w:val="3"/>
        <w:adjustRightInd w:val="0"/>
        <w:snapToGrid w:val="0"/>
        <w:spacing w:before="120" w:after="0" w:line="240" w:lineRule="auto"/>
        <w:jc w:val="left"/>
        <w:rPr>
          <w:rFonts w:hint="eastAsia" w:ascii="仿宋" w:hAnsi="仿宋" w:eastAsia="仿宋" w:cs="仿宋"/>
          <w:sz w:val="28"/>
          <w:szCs w:val="28"/>
          <w:highlight w:val="none"/>
        </w:rPr>
      </w:pPr>
      <w:r>
        <w:rPr>
          <w:rFonts w:hint="eastAsia" w:ascii="仿宋" w:hAnsi="仿宋" w:eastAsia="仿宋" w:cs="仿宋"/>
          <w:b w:val="0"/>
          <w:sz w:val="28"/>
          <w:szCs w:val="28"/>
          <w:highlight w:val="none"/>
        </w:rPr>
        <w:br w:type="page"/>
      </w:r>
      <w:r>
        <w:rPr>
          <w:rFonts w:hint="eastAsia" w:ascii="仿宋" w:hAnsi="仿宋" w:eastAsia="仿宋" w:cs="仿宋"/>
          <w:sz w:val="28"/>
          <w:szCs w:val="28"/>
          <w:highlight w:val="none"/>
        </w:rPr>
        <w:t>格式14</w:t>
      </w:r>
    </w:p>
    <w:p w14:paraId="3FC571D5">
      <w:pPr>
        <w:spacing w:before="319" w:beforeLines="100" w:after="319"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服务需求响应表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0"/>
        <w:gridCol w:w="2529"/>
        <w:gridCol w:w="1335"/>
        <w:gridCol w:w="1305"/>
        <w:gridCol w:w="1201"/>
      </w:tblGrid>
      <w:tr w14:paraId="0CBA4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000" w:type="dxa"/>
            <w:gridSpan w:val="5"/>
            <w:tcBorders>
              <w:top w:val="single" w:color="auto" w:sz="4" w:space="0"/>
              <w:left w:val="single" w:color="auto" w:sz="4" w:space="0"/>
              <w:bottom w:val="single" w:color="auto" w:sz="4" w:space="0"/>
              <w:right w:val="single" w:color="auto" w:sz="4" w:space="0"/>
            </w:tcBorders>
            <w:vAlign w:val="center"/>
          </w:tcPr>
          <w:p w14:paraId="14ACD0A6">
            <w:pPr>
              <w:adjustRightInd w:val="0"/>
              <w:snapToGrid w:val="0"/>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包号/序号：001</w:t>
            </w:r>
          </w:p>
          <w:p w14:paraId="44CD22BB">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服务内容:</w:t>
            </w:r>
            <w:r>
              <w:rPr>
                <w:rFonts w:hint="eastAsia" w:ascii="仿宋" w:hAnsi="仿宋" w:eastAsia="仿宋" w:cs="仿宋"/>
                <w:bCs/>
                <w:szCs w:val="21"/>
                <w:highlight w:val="none"/>
              </w:rPr>
              <w:t>建设数智财税信息管控平台项目</w:t>
            </w:r>
          </w:p>
        </w:tc>
      </w:tr>
      <w:tr w14:paraId="051A5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5" w:hRule="atLeast"/>
        </w:trPr>
        <w:tc>
          <w:tcPr>
            <w:tcW w:w="2630" w:type="dxa"/>
            <w:tcBorders>
              <w:top w:val="single" w:color="auto" w:sz="4" w:space="0"/>
              <w:left w:val="single" w:color="auto" w:sz="4" w:space="0"/>
              <w:bottom w:val="single" w:color="auto" w:sz="4" w:space="0"/>
              <w:right w:val="single" w:color="auto" w:sz="4" w:space="0"/>
            </w:tcBorders>
            <w:vAlign w:val="center"/>
          </w:tcPr>
          <w:p w14:paraId="60AE826F">
            <w:pPr>
              <w:jc w:val="center"/>
              <w:rPr>
                <w:rFonts w:hint="eastAsia" w:ascii="仿宋" w:hAnsi="仿宋" w:eastAsia="仿宋" w:cs="仿宋"/>
                <w:szCs w:val="21"/>
                <w:highlight w:val="none"/>
              </w:rPr>
            </w:pPr>
            <w:r>
              <w:rPr>
                <w:rFonts w:hint="eastAsia" w:ascii="仿宋" w:hAnsi="仿宋" w:eastAsia="仿宋" w:cs="仿宋"/>
                <w:szCs w:val="21"/>
                <w:highlight w:val="none"/>
              </w:rPr>
              <w:t>采购文件要求</w:t>
            </w:r>
          </w:p>
          <w:p w14:paraId="21CECBAB">
            <w:pPr>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重要提示：实质性要求及重要指标用★标注（“★”必须标注在序号前），★标注项不得负偏离，如果负偏离，则响应文件无效。</w:t>
            </w:r>
          </w:p>
        </w:tc>
        <w:tc>
          <w:tcPr>
            <w:tcW w:w="2529" w:type="dxa"/>
            <w:tcBorders>
              <w:top w:val="single" w:color="auto" w:sz="4" w:space="0"/>
              <w:left w:val="single" w:color="auto" w:sz="4" w:space="0"/>
              <w:bottom w:val="single" w:color="auto" w:sz="4" w:space="0"/>
              <w:right w:val="single" w:color="auto" w:sz="4" w:space="0"/>
            </w:tcBorders>
            <w:vAlign w:val="center"/>
          </w:tcPr>
          <w:p w14:paraId="156835D1">
            <w:pPr>
              <w:jc w:val="center"/>
              <w:rPr>
                <w:rFonts w:hint="eastAsia" w:ascii="仿宋" w:hAnsi="仿宋" w:eastAsia="仿宋" w:cs="仿宋"/>
                <w:szCs w:val="21"/>
                <w:highlight w:val="none"/>
              </w:rPr>
            </w:pPr>
            <w:r>
              <w:rPr>
                <w:rFonts w:hint="eastAsia" w:ascii="仿宋" w:hAnsi="仿宋" w:eastAsia="仿宋" w:cs="仿宋"/>
                <w:szCs w:val="21"/>
                <w:highlight w:val="none"/>
              </w:rPr>
              <w:t>响应文件</w:t>
            </w:r>
          </w:p>
          <w:p w14:paraId="59E54C78">
            <w:pPr>
              <w:tabs>
                <w:tab w:val="left" w:pos="0"/>
              </w:tabs>
              <w:spacing w:line="240" w:lineRule="exact"/>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1335" w:type="dxa"/>
            <w:tcBorders>
              <w:top w:val="single" w:color="auto" w:sz="4" w:space="0"/>
              <w:left w:val="single" w:color="auto" w:sz="4" w:space="0"/>
              <w:bottom w:val="single" w:color="auto" w:sz="4" w:space="0"/>
              <w:right w:val="single" w:color="auto" w:sz="4" w:space="0"/>
            </w:tcBorders>
            <w:vAlign w:val="center"/>
          </w:tcPr>
          <w:p w14:paraId="4CB3849D">
            <w:pPr>
              <w:tabs>
                <w:tab w:val="left" w:pos="0"/>
              </w:tabs>
              <w:spacing w:line="240" w:lineRule="exact"/>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1305" w:type="dxa"/>
            <w:tcBorders>
              <w:top w:val="single" w:color="auto" w:sz="4" w:space="0"/>
              <w:left w:val="single" w:color="auto" w:sz="4" w:space="0"/>
              <w:bottom w:val="single" w:color="auto" w:sz="4" w:space="0"/>
              <w:right w:val="single" w:color="auto" w:sz="4" w:space="0"/>
            </w:tcBorders>
            <w:vAlign w:val="center"/>
          </w:tcPr>
          <w:p w14:paraId="1DF35FE4">
            <w:pPr>
              <w:tabs>
                <w:tab w:val="left" w:pos="0"/>
              </w:tabs>
              <w:spacing w:line="240" w:lineRule="exact"/>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201" w:type="dxa"/>
            <w:tcBorders>
              <w:top w:val="single" w:color="auto" w:sz="4" w:space="0"/>
              <w:left w:val="single" w:color="auto" w:sz="4" w:space="0"/>
              <w:bottom w:val="single" w:color="auto" w:sz="4" w:space="0"/>
              <w:right w:val="single" w:color="auto" w:sz="4" w:space="0"/>
            </w:tcBorders>
            <w:vAlign w:val="center"/>
          </w:tcPr>
          <w:p w14:paraId="1CB2740A">
            <w:pPr>
              <w:tabs>
                <w:tab w:val="left" w:pos="0"/>
              </w:tabs>
              <w:spacing w:line="240" w:lineRule="exact"/>
              <w:jc w:val="center"/>
              <w:rPr>
                <w:rFonts w:hint="eastAsia" w:ascii="仿宋" w:hAnsi="仿宋" w:eastAsia="仿宋" w:cs="仿宋"/>
                <w:kern w:val="0"/>
                <w:szCs w:val="21"/>
                <w:highlight w:val="none"/>
              </w:rPr>
            </w:pPr>
            <w:r>
              <w:rPr>
                <w:rFonts w:hint="eastAsia" w:ascii="仿宋" w:hAnsi="仿宋" w:eastAsia="仿宋" w:cs="仿宋"/>
                <w:szCs w:val="21"/>
                <w:highlight w:val="none"/>
              </w:rPr>
              <w:t>证明资料</w:t>
            </w:r>
          </w:p>
        </w:tc>
      </w:tr>
      <w:tr w14:paraId="32E81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2" w:hRule="atLeast"/>
        </w:trPr>
        <w:tc>
          <w:tcPr>
            <w:tcW w:w="2630" w:type="dxa"/>
            <w:tcBorders>
              <w:top w:val="single" w:color="auto" w:sz="4" w:space="0"/>
              <w:left w:val="single" w:color="auto" w:sz="4" w:space="0"/>
              <w:bottom w:val="single" w:color="auto" w:sz="4" w:space="0"/>
              <w:right w:val="single" w:color="auto" w:sz="4" w:space="0"/>
            </w:tcBorders>
            <w:vAlign w:val="center"/>
          </w:tcPr>
          <w:p w14:paraId="5FAEF1C8">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b/>
                <w:sz w:val="18"/>
                <w:szCs w:val="18"/>
                <w:highlight w:val="none"/>
              </w:rPr>
              <w:t>★</w:t>
            </w:r>
            <w:r>
              <w:rPr>
                <w:rFonts w:hint="eastAsia" w:ascii="仿宋" w:hAnsi="仿宋" w:eastAsia="仿宋" w:cs="仿宋"/>
                <w:szCs w:val="21"/>
                <w:highlight w:val="none"/>
              </w:rPr>
              <w:t>按服务需求填写</w:t>
            </w:r>
          </w:p>
        </w:tc>
        <w:tc>
          <w:tcPr>
            <w:tcW w:w="2529" w:type="dxa"/>
            <w:tcBorders>
              <w:top w:val="single" w:color="auto" w:sz="4" w:space="0"/>
              <w:left w:val="single" w:color="auto" w:sz="4" w:space="0"/>
              <w:bottom w:val="single" w:color="auto" w:sz="4" w:space="0"/>
              <w:right w:val="single" w:color="auto" w:sz="4" w:space="0"/>
            </w:tcBorders>
            <w:vAlign w:val="center"/>
          </w:tcPr>
          <w:p w14:paraId="557E64D0">
            <w:pPr>
              <w:tabs>
                <w:tab w:val="left" w:pos="0"/>
              </w:tabs>
              <w:adjustRightInd w:val="0"/>
              <w:snapToGrid w:val="0"/>
              <w:jc w:val="center"/>
              <w:rPr>
                <w:rFonts w:hint="eastAsia" w:ascii="仿宋" w:hAnsi="仿宋" w:eastAsia="仿宋" w:cs="仿宋"/>
                <w:kern w:val="0"/>
                <w:szCs w:val="21"/>
                <w:highlight w:val="none"/>
              </w:rPr>
            </w:pPr>
          </w:p>
        </w:tc>
        <w:tc>
          <w:tcPr>
            <w:tcW w:w="1335" w:type="dxa"/>
            <w:tcBorders>
              <w:top w:val="single" w:color="auto" w:sz="4" w:space="0"/>
              <w:left w:val="single" w:color="auto" w:sz="4" w:space="0"/>
              <w:bottom w:val="single" w:color="auto" w:sz="4" w:space="0"/>
              <w:right w:val="single" w:color="auto" w:sz="4" w:space="0"/>
            </w:tcBorders>
            <w:vAlign w:val="center"/>
          </w:tcPr>
          <w:p w14:paraId="6CEE73A0">
            <w:pPr>
              <w:tabs>
                <w:tab w:val="left" w:pos="0"/>
              </w:tabs>
              <w:spacing w:line="240" w:lineRule="exact"/>
              <w:jc w:val="center"/>
              <w:rPr>
                <w:rFonts w:hint="eastAsia" w:ascii="仿宋" w:hAnsi="仿宋" w:eastAsia="仿宋" w:cs="仿宋"/>
                <w:kern w:val="0"/>
                <w:szCs w:val="21"/>
                <w:highlight w:val="none"/>
              </w:rPr>
            </w:pPr>
          </w:p>
        </w:tc>
        <w:tc>
          <w:tcPr>
            <w:tcW w:w="1305" w:type="dxa"/>
            <w:tcBorders>
              <w:top w:val="single" w:color="auto" w:sz="4" w:space="0"/>
              <w:left w:val="single" w:color="auto" w:sz="4" w:space="0"/>
              <w:bottom w:val="single" w:color="auto" w:sz="4" w:space="0"/>
              <w:right w:val="single" w:color="auto" w:sz="4" w:space="0"/>
            </w:tcBorders>
            <w:vAlign w:val="center"/>
          </w:tcPr>
          <w:p w14:paraId="12D6A8D4">
            <w:pPr>
              <w:tabs>
                <w:tab w:val="left" w:pos="0"/>
              </w:tabs>
              <w:spacing w:line="240" w:lineRule="exact"/>
              <w:jc w:val="center"/>
              <w:rPr>
                <w:rFonts w:hint="eastAsia" w:ascii="仿宋" w:hAnsi="仿宋" w:eastAsia="仿宋" w:cs="仿宋"/>
                <w:kern w:val="0"/>
                <w:szCs w:val="21"/>
                <w:highlight w:val="none"/>
              </w:rPr>
            </w:pPr>
          </w:p>
        </w:tc>
        <w:tc>
          <w:tcPr>
            <w:tcW w:w="1201" w:type="dxa"/>
            <w:tcBorders>
              <w:top w:val="single" w:color="auto" w:sz="4" w:space="0"/>
              <w:left w:val="single" w:color="auto" w:sz="4" w:space="0"/>
              <w:bottom w:val="single" w:color="auto" w:sz="4" w:space="0"/>
              <w:right w:val="single" w:color="auto" w:sz="4" w:space="0"/>
            </w:tcBorders>
            <w:vAlign w:val="center"/>
          </w:tcPr>
          <w:p w14:paraId="50178F7A">
            <w:pPr>
              <w:tabs>
                <w:tab w:val="left" w:pos="0"/>
              </w:tabs>
              <w:spacing w:line="240" w:lineRule="exact"/>
              <w:jc w:val="center"/>
              <w:rPr>
                <w:rFonts w:hint="eastAsia" w:ascii="仿宋" w:hAnsi="仿宋" w:eastAsia="仿宋" w:cs="仿宋"/>
                <w:kern w:val="0"/>
                <w:szCs w:val="21"/>
                <w:highlight w:val="none"/>
              </w:rPr>
            </w:pPr>
          </w:p>
        </w:tc>
      </w:tr>
      <w:tr w14:paraId="3DC3B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2630" w:type="dxa"/>
            <w:tcBorders>
              <w:top w:val="single" w:color="auto" w:sz="4" w:space="0"/>
              <w:left w:val="single" w:color="auto" w:sz="4" w:space="0"/>
              <w:bottom w:val="single" w:color="auto" w:sz="4" w:space="0"/>
              <w:right w:val="single" w:color="auto" w:sz="4" w:space="0"/>
            </w:tcBorders>
            <w:vAlign w:val="center"/>
          </w:tcPr>
          <w:p w14:paraId="0D2A2FF1">
            <w:pPr>
              <w:adjustRightInd w:val="0"/>
              <w:snapToGrid w:val="0"/>
              <w:ind w:hanging="1"/>
              <w:jc w:val="center"/>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2529" w:type="dxa"/>
            <w:tcBorders>
              <w:top w:val="single" w:color="auto" w:sz="4" w:space="0"/>
              <w:left w:val="single" w:color="auto" w:sz="4" w:space="0"/>
              <w:bottom w:val="single" w:color="auto" w:sz="4" w:space="0"/>
              <w:right w:val="single" w:color="auto" w:sz="4" w:space="0"/>
            </w:tcBorders>
            <w:vAlign w:val="center"/>
          </w:tcPr>
          <w:p w14:paraId="267DD69E">
            <w:pPr>
              <w:tabs>
                <w:tab w:val="left" w:pos="0"/>
              </w:tabs>
              <w:adjustRightInd w:val="0"/>
              <w:snapToGrid w:val="0"/>
              <w:jc w:val="center"/>
              <w:rPr>
                <w:rFonts w:hint="eastAsia" w:ascii="仿宋" w:hAnsi="仿宋" w:eastAsia="仿宋" w:cs="仿宋"/>
                <w:kern w:val="0"/>
                <w:szCs w:val="21"/>
                <w:highlight w:val="none"/>
              </w:rPr>
            </w:pPr>
            <w:r>
              <w:rPr>
                <w:rFonts w:hint="eastAsia" w:ascii="仿宋" w:hAnsi="仿宋" w:eastAsia="仿宋" w:cs="仿宋"/>
                <w:szCs w:val="21"/>
                <w:highlight w:val="none"/>
              </w:rPr>
              <w:t>采购单位未提供需求而供应商认为需说明及补充的内容在此填列</w:t>
            </w:r>
          </w:p>
        </w:tc>
        <w:tc>
          <w:tcPr>
            <w:tcW w:w="1335" w:type="dxa"/>
            <w:tcBorders>
              <w:top w:val="single" w:color="auto" w:sz="4" w:space="0"/>
              <w:left w:val="single" w:color="auto" w:sz="4" w:space="0"/>
              <w:bottom w:val="single" w:color="auto" w:sz="4" w:space="0"/>
              <w:right w:val="single" w:color="auto" w:sz="4" w:space="0"/>
            </w:tcBorders>
            <w:vAlign w:val="center"/>
          </w:tcPr>
          <w:p w14:paraId="449F295D">
            <w:pPr>
              <w:tabs>
                <w:tab w:val="left" w:pos="0"/>
              </w:tabs>
              <w:spacing w:line="240" w:lineRule="exact"/>
              <w:jc w:val="center"/>
              <w:rPr>
                <w:rFonts w:hint="eastAsia" w:ascii="仿宋" w:hAnsi="仿宋" w:eastAsia="仿宋" w:cs="仿宋"/>
                <w:kern w:val="0"/>
                <w:szCs w:val="21"/>
                <w:highlight w:val="none"/>
              </w:rPr>
            </w:pPr>
          </w:p>
        </w:tc>
        <w:tc>
          <w:tcPr>
            <w:tcW w:w="1305" w:type="dxa"/>
            <w:tcBorders>
              <w:top w:val="single" w:color="auto" w:sz="4" w:space="0"/>
              <w:left w:val="single" w:color="auto" w:sz="4" w:space="0"/>
              <w:bottom w:val="single" w:color="auto" w:sz="4" w:space="0"/>
              <w:right w:val="single" w:color="auto" w:sz="4" w:space="0"/>
            </w:tcBorders>
            <w:vAlign w:val="center"/>
          </w:tcPr>
          <w:p w14:paraId="2902B6F1">
            <w:pPr>
              <w:tabs>
                <w:tab w:val="left" w:pos="0"/>
              </w:tabs>
              <w:spacing w:line="240" w:lineRule="exact"/>
              <w:jc w:val="center"/>
              <w:rPr>
                <w:rFonts w:hint="eastAsia" w:ascii="仿宋" w:hAnsi="仿宋" w:eastAsia="仿宋" w:cs="仿宋"/>
                <w:kern w:val="0"/>
                <w:szCs w:val="21"/>
                <w:highlight w:val="none"/>
              </w:rPr>
            </w:pPr>
          </w:p>
        </w:tc>
        <w:tc>
          <w:tcPr>
            <w:tcW w:w="1201" w:type="dxa"/>
            <w:tcBorders>
              <w:top w:val="single" w:color="auto" w:sz="4" w:space="0"/>
              <w:left w:val="single" w:color="auto" w:sz="4" w:space="0"/>
              <w:bottom w:val="single" w:color="auto" w:sz="4" w:space="0"/>
              <w:right w:val="single" w:color="auto" w:sz="4" w:space="0"/>
            </w:tcBorders>
            <w:vAlign w:val="center"/>
          </w:tcPr>
          <w:p w14:paraId="68311371">
            <w:pPr>
              <w:tabs>
                <w:tab w:val="left" w:pos="0"/>
              </w:tabs>
              <w:spacing w:line="240" w:lineRule="exact"/>
              <w:jc w:val="center"/>
              <w:rPr>
                <w:rFonts w:hint="eastAsia" w:ascii="仿宋" w:hAnsi="仿宋" w:eastAsia="仿宋" w:cs="仿宋"/>
                <w:kern w:val="0"/>
                <w:szCs w:val="21"/>
                <w:highlight w:val="none"/>
              </w:rPr>
            </w:pPr>
          </w:p>
        </w:tc>
      </w:tr>
    </w:tbl>
    <w:p w14:paraId="179E6B3C">
      <w:pPr>
        <w:adjustRightInd w:val="0"/>
        <w:snapToGrid w:val="0"/>
        <w:spacing w:line="360" w:lineRule="auto"/>
        <w:ind w:right="105" w:rightChars="50" w:firstLine="479" w:firstLineChars="227"/>
        <w:jc w:val="left"/>
        <w:rPr>
          <w:rFonts w:hint="eastAsia" w:ascii="仿宋" w:hAnsi="仿宋" w:eastAsia="仿宋" w:cs="仿宋"/>
          <w:szCs w:val="21"/>
          <w:highlight w:val="none"/>
        </w:rPr>
      </w:pPr>
      <w:r>
        <w:rPr>
          <w:rFonts w:hint="eastAsia" w:ascii="仿宋" w:hAnsi="仿宋" w:eastAsia="仿宋" w:cs="仿宋"/>
          <w:b/>
          <w:szCs w:val="21"/>
          <w:highlight w:val="none"/>
        </w:rPr>
        <w:t>填表说明：</w:t>
      </w:r>
    </w:p>
    <w:p w14:paraId="3384A148">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1．“响应文件响应内容”一栏由供应商填写。</w:t>
      </w:r>
    </w:p>
    <w:p w14:paraId="022C21C0">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2．“偏离程度”一栏根据“响应文件响应内容”与采购文件逐项对照的结果填写。偏离必须用 “正偏离、负偏离或无偏离”三个名称中的一种进行标注。</w:t>
      </w:r>
    </w:p>
    <w:p w14:paraId="72176703">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3．“偏离说明”一栏由供应商对偏离的情况做详细说明。</w:t>
      </w:r>
    </w:p>
    <w:p w14:paraId="06D7DB00">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21F9519D">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74BCB9DE">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07335E95">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rPr>
        <w:t>供应商(加盖单位公章):</w:t>
      </w:r>
      <w:r>
        <w:rPr>
          <w:rFonts w:hint="eastAsia" w:ascii="仿宋" w:hAnsi="仿宋" w:eastAsia="仿宋" w:cs="仿宋"/>
          <w:szCs w:val="21"/>
          <w:highlight w:val="none"/>
          <w:u w:val="single"/>
        </w:rPr>
        <w:t xml:space="preserve">               </w:t>
      </w:r>
    </w:p>
    <w:p w14:paraId="58C02104">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rPr>
        <w:t>法定代表人（或非法人组织负责人）或其授权委托人</w:t>
      </w:r>
      <w:r>
        <w:rPr>
          <w:rFonts w:hint="eastAsia" w:ascii="仿宋" w:hAnsi="仿宋" w:eastAsia="仿宋" w:cs="仿宋"/>
          <w:highlight w:val="none"/>
        </w:rPr>
        <w:t>(签字或盖章)</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p>
    <w:p w14:paraId="5DBF7AB5">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14:paraId="15D34CF2">
      <w:pPr>
        <w:adjustRightInd w:val="0"/>
        <w:snapToGrid w:val="0"/>
        <w:spacing w:line="360" w:lineRule="auto"/>
        <w:ind w:right="105" w:rightChars="50"/>
        <w:jc w:val="left"/>
        <w:outlineLvl w:val="1"/>
        <w:rPr>
          <w:rFonts w:hint="eastAsia" w:ascii="仿宋" w:hAnsi="仿宋" w:eastAsia="仿宋" w:cs="仿宋"/>
          <w:b/>
          <w:bCs/>
          <w:sz w:val="28"/>
          <w:szCs w:val="28"/>
          <w:highlight w:val="none"/>
        </w:rPr>
      </w:pPr>
      <w:r>
        <w:rPr>
          <w:rFonts w:hint="eastAsia" w:ascii="仿宋" w:hAnsi="仿宋" w:eastAsia="仿宋" w:cs="仿宋"/>
          <w:b/>
          <w:sz w:val="28"/>
          <w:szCs w:val="28"/>
          <w:highlight w:val="none"/>
        </w:rPr>
        <w:br w:type="page"/>
      </w:r>
      <w:bookmarkStart w:id="84" w:name="_Toc4485637"/>
      <w:bookmarkStart w:id="85" w:name="_Toc533340161"/>
      <w:r>
        <w:rPr>
          <w:rFonts w:hint="eastAsia" w:ascii="仿宋" w:hAnsi="仿宋" w:eastAsia="仿宋" w:cs="仿宋"/>
          <w:b/>
          <w:bCs/>
          <w:sz w:val="28"/>
          <w:szCs w:val="28"/>
          <w:highlight w:val="none"/>
        </w:rPr>
        <w:t>格式</w:t>
      </w:r>
      <w:bookmarkEnd w:id="84"/>
      <w:bookmarkEnd w:id="85"/>
      <w:r>
        <w:rPr>
          <w:rFonts w:hint="eastAsia" w:ascii="仿宋" w:hAnsi="仿宋" w:eastAsia="仿宋" w:cs="仿宋"/>
          <w:b/>
          <w:bCs/>
          <w:sz w:val="28"/>
          <w:szCs w:val="28"/>
          <w:highlight w:val="none"/>
        </w:rPr>
        <w:t>15</w:t>
      </w:r>
    </w:p>
    <w:p w14:paraId="663B9590">
      <w:pPr>
        <w:adjustRightInd w:val="0"/>
        <w:snapToGrid w:val="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商务条款偏离表</w:t>
      </w:r>
    </w:p>
    <w:p w14:paraId="16E59141">
      <w:pPr>
        <w:adjustRightInd w:val="0"/>
        <w:snapToGrid w:val="0"/>
        <w:spacing w:line="360" w:lineRule="auto"/>
        <w:ind w:right="105" w:rightChars="50"/>
        <w:jc w:val="left"/>
        <w:rPr>
          <w:rFonts w:hint="eastAsia" w:ascii="仿宋" w:hAnsi="仿宋" w:eastAsia="仿宋" w:cs="仿宋"/>
          <w:b/>
          <w:bCs/>
          <w:szCs w:val="21"/>
          <w:highlight w:val="none"/>
        </w:rPr>
      </w:pPr>
      <w:r>
        <w:rPr>
          <w:rFonts w:hint="eastAsia" w:ascii="仿宋" w:hAnsi="仿宋" w:eastAsia="仿宋" w:cs="仿宋"/>
          <w:b/>
          <w:bCs/>
          <w:szCs w:val="21"/>
          <w:highlight w:val="none"/>
        </w:rPr>
        <w:t xml:space="preserve">包号：        </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3300"/>
        <w:gridCol w:w="2357"/>
        <w:gridCol w:w="1006"/>
        <w:gridCol w:w="1100"/>
      </w:tblGrid>
      <w:tr w14:paraId="7F9B2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730" w:type="dxa"/>
            <w:vAlign w:val="center"/>
          </w:tcPr>
          <w:p w14:paraId="00021939">
            <w:pPr>
              <w:adjustRightInd w:val="0"/>
              <w:snapToGrid w:val="0"/>
              <w:ind w:right="-48" w:rightChars="-23"/>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3300" w:type="dxa"/>
            <w:vAlign w:val="center"/>
          </w:tcPr>
          <w:p w14:paraId="6B8E526E">
            <w:pPr>
              <w:adjustRightInd w:val="0"/>
              <w:snapToGrid w:val="0"/>
              <w:ind w:right="-73" w:rightChars="-35"/>
              <w:jc w:val="center"/>
              <w:rPr>
                <w:rFonts w:hint="eastAsia" w:ascii="仿宋" w:hAnsi="仿宋" w:eastAsia="仿宋" w:cs="仿宋"/>
                <w:szCs w:val="21"/>
                <w:highlight w:val="none"/>
              </w:rPr>
            </w:pPr>
            <w:r>
              <w:rPr>
                <w:rFonts w:hint="eastAsia" w:ascii="仿宋" w:hAnsi="仿宋" w:eastAsia="仿宋" w:cs="仿宋"/>
                <w:szCs w:val="21"/>
                <w:highlight w:val="none"/>
              </w:rPr>
              <w:t>采购文件的商务条款</w:t>
            </w:r>
          </w:p>
          <w:p w14:paraId="4DFD450A">
            <w:pPr>
              <w:adjustRightInd w:val="0"/>
              <w:snapToGrid w:val="0"/>
              <w:ind w:right="-73" w:rightChars="-35"/>
              <w:jc w:val="center"/>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b/>
                <w:sz w:val="18"/>
                <w:szCs w:val="18"/>
                <w:highlight w:val="none"/>
              </w:rPr>
              <w:t>实质性要求及重要指标用★标注，★标注项不得负偏离，如果负偏离，则响应文件无效。</w:t>
            </w:r>
            <w:r>
              <w:rPr>
                <w:rFonts w:hint="eastAsia" w:ascii="仿宋" w:hAnsi="仿宋" w:eastAsia="仿宋" w:cs="仿宋"/>
                <w:szCs w:val="21"/>
                <w:highlight w:val="none"/>
              </w:rPr>
              <w:t>）</w:t>
            </w:r>
          </w:p>
        </w:tc>
        <w:tc>
          <w:tcPr>
            <w:tcW w:w="2357" w:type="dxa"/>
            <w:vAlign w:val="center"/>
          </w:tcPr>
          <w:p w14:paraId="084E7ACF">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响应文件响应内容</w:t>
            </w:r>
          </w:p>
        </w:tc>
        <w:tc>
          <w:tcPr>
            <w:tcW w:w="1006" w:type="dxa"/>
            <w:vAlign w:val="center"/>
          </w:tcPr>
          <w:p w14:paraId="45CA1970">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偏离程度</w:t>
            </w:r>
          </w:p>
        </w:tc>
        <w:tc>
          <w:tcPr>
            <w:tcW w:w="1100" w:type="dxa"/>
            <w:vAlign w:val="center"/>
          </w:tcPr>
          <w:p w14:paraId="753EA70A">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偏离说明</w:t>
            </w:r>
          </w:p>
        </w:tc>
      </w:tr>
      <w:tr w14:paraId="4E78F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30" w:type="dxa"/>
            <w:vAlign w:val="center"/>
          </w:tcPr>
          <w:p w14:paraId="7DC75112">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3300" w:type="dxa"/>
            <w:vAlign w:val="center"/>
          </w:tcPr>
          <w:p w14:paraId="627E1C71">
            <w:pPr>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履约期限：合同签订后</w:t>
            </w:r>
            <w:r>
              <w:rPr>
                <w:rFonts w:ascii="仿宋" w:hAnsi="仿宋" w:eastAsia="仿宋" w:cs="仿宋"/>
                <w:szCs w:val="21"/>
                <w:highlight w:val="none"/>
              </w:rPr>
              <w:t>2个月</w:t>
            </w:r>
            <w:r>
              <w:rPr>
                <w:rFonts w:hint="eastAsia" w:ascii="仿宋" w:hAnsi="仿宋" w:eastAsia="仿宋" w:cs="仿宋"/>
                <w:szCs w:val="21"/>
                <w:highlight w:val="none"/>
              </w:rPr>
              <w:t>（具体时间以合同签订为准）</w:t>
            </w:r>
          </w:p>
        </w:tc>
        <w:tc>
          <w:tcPr>
            <w:tcW w:w="2357" w:type="dxa"/>
            <w:vAlign w:val="center"/>
          </w:tcPr>
          <w:p w14:paraId="1B161377">
            <w:pPr>
              <w:adjustRightInd w:val="0"/>
              <w:snapToGrid w:val="0"/>
              <w:ind w:right="105" w:rightChars="50"/>
              <w:jc w:val="center"/>
              <w:rPr>
                <w:rFonts w:hint="eastAsia" w:ascii="仿宋" w:hAnsi="仿宋" w:eastAsia="仿宋" w:cs="仿宋"/>
                <w:szCs w:val="21"/>
                <w:highlight w:val="none"/>
              </w:rPr>
            </w:pPr>
          </w:p>
        </w:tc>
        <w:tc>
          <w:tcPr>
            <w:tcW w:w="1006" w:type="dxa"/>
            <w:vAlign w:val="center"/>
          </w:tcPr>
          <w:p w14:paraId="38F56BBC">
            <w:pPr>
              <w:adjustRightInd w:val="0"/>
              <w:snapToGrid w:val="0"/>
              <w:ind w:right="105" w:rightChars="50"/>
              <w:jc w:val="center"/>
              <w:rPr>
                <w:rFonts w:hint="eastAsia" w:ascii="仿宋" w:hAnsi="仿宋" w:eastAsia="仿宋" w:cs="仿宋"/>
                <w:szCs w:val="21"/>
                <w:highlight w:val="none"/>
              </w:rPr>
            </w:pPr>
          </w:p>
        </w:tc>
        <w:tc>
          <w:tcPr>
            <w:tcW w:w="1100" w:type="dxa"/>
            <w:vAlign w:val="center"/>
          </w:tcPr>
          <w:p w14:paraId="3A32EB48">
            <w:pPr>
              <w:adjustRightInd w:val="0"/>
              <w:snapToGrid w:val="0"/>
              <w:ind w:right="105" w:rightChars="50"/>
              <w:jc w:val="center"/>
              <w:rPr>
                <w:rFonts w:hint="eastAsia" w:ascii="仿宋" w:hAnsi="仿宋" w:eastAsia="仿宋" w:cs="仿宋"/>
                <w:szCs w:val="21"/>
                <w:highlight w:val="none"/>
              </w:rPr>
            </w:pPr>
          </w:p>
        </w:tc>
      </w:tr>
      <w:tr w14:paraId="0C582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30" w:type="dxa"/>
            <w:vAlign w:val="center"/>
          </w:tcPr>
          <w:p w14:paraId="11A03764">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3300" w:type="dxa"/>
            <w:vAlign w:val="center"/>
          </w:tcPr>
          <w:p w14:paraId="4A79BDE9">
            <w:pPr>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履约地点：采购人指定地点</w:t>
            </w:r>
          </w:p>
        </w:tc>
        <w:tc>
          <w:tcPr>
            <w:tcW w:w="2357" w:type="dxa"/>
            <w:vAlign w:val="center"/>
          </w:tcPr>
          <w:p w14:paraId="3B777188">
            <w:pPr>
              <w:adjustRightInd w:val="0"/>
              <w:snapToGrid w:val="0"/>
              <w:ind w:right="105" w:rightChars="50"/>
              <w:jc w:val="center"/>
              <w:rPr>
                <w:rFonts w:hint="eastAsia" w:ascii="仿宋" w:hAnsi="仿宋" w:eastAsia="仿宋" w:cs="仿宋"/>
                <w:szCs w:val="21"/>
                <w:highlight w:val="none"/>
              </w:rPr>
            </w:pPr>
          </w:p>
        </w:tc>
        <w:tc>
          <w:tcPr>
            <w:tcW w:w="1006" w:type="dxa"/>
            <w:vAlign w:val="center"/>
          </w:tcPr>
          <w:p w14:paraId="704B38BC">
            <w:pPr>
              <w:adjustRightInd w:val="0"/>
              <w:snapToGrid w:val="0"/>
              <w:ind w:right="105" w:rightChars="50"/>
              <w:jc w:val="center"/>
              <w:rPr>
                <w:rFonts w:hint="eastAsia" w:ascii="仿宋" w:hAnsi="仿宋" w:eastAsia="仿宋" w:cs="仿宋"/>
                <w:szCs w:val="21"/>
                <w:highlight w:val="none"/>
              </w:rPr>
            </w:pPr>
          </w:p>
        </w:tc>
        <w:tc>
          <w:tcPr>
            <w:tcW w:w="1100" w:type="dxa"/>
            <w:vAlign w:val="center"/>
          </w:tcPr>
          <w:p w14:paraId="10CC6555">
            <w:pPr>
              <w:adjustRightInd w:val="0"/>
              <w:snapToGrid w:val="0"/>
              <w:ind w:right="105" w:rightChars="50"/>
              <w:jc w:val="center"/>
              <w:rPr>
                <w:rFonts w:hint="eastAsia" w:ascii="仿宋" w:hAnsi="仿宋" w:eastAsia="仿宋" w:cs="仿宋"/>
                <w:szCs w:val="21"/>
                <w:highlight w:val="none"/>
              </w:rPr>
            </w:pPr>
          </w:p>
        </w:tc>
      </w:tr>
      <w:tr w14:paraId="19364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30" w:type="dxa"/>
            <w:vAlign w:val="center"/>
          </w:tcPr>
          <w:p w14:paraId="2D51E2BB">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3300" w:type="dxa"/>
            <w:vAlign w:val="center"/>
          </w:tcPr>
          <w:p w14:paraId="3973E7A4">
            <w:pPr>
              <w:adjustRightInd w:val="0"/>
              <w:snapToGrid w:val="0"/>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付款方式及条件：</w:t>
            </w:r>
            <w:r>
              <w:rPr>
                <w:rFonts w:ascii="仿宋" w:hAnsi="仿宋" w:eastAsia="仿宋" w:cs="仿宋"/>
                <w:szCs w:val="21"/>
                <w:highlight w:val="none"/>
              </w:rPr>
              <w:t>合同签订</w:t>
            </w:r>
            <w:r>
              <w:rPr>
                <w:rFonts w:hint="eastAsia" w:ascii="仿宋" w:hAnsi="仿宋" w:eastAsia="仿宋" w:cs="仿宋"/>
                <w:szCs w:val="21"/>
                <w:highlight w:val="none"/>
              </w:rPr>
              <w:t>后支付预付款</w:t>
            </w:r>
            <w:r>
              <w:rPr>
                <w:rFonts w:ascii="仿宋" w:hAnsi="仿宋" w:eastAsia="仿宋" w:cs="仿宋"/>
                <w:szCs w:val="21"/>
                <w:highlight w:val="none"/>
              </w:rPr>
              <w:t>30%，项目建设完成</w:t>
            </w:r>
            <w:r>
              <w:rPr>
                <w:rFonts w:hint="eastAsia" w:ascii="仿宋" w:hAnsi="仿宋" w:eastAsia="仿宋" w:cs="仿宋"/>
                <w:szCs w:val="21"/>
                <w:highlight w:val="none"/>
              </w:rPr>
              <w:t>支付合同金额</w:t>
            </w:r>
            <w:r>
              <w:rPr>
                <w:rFonts w:ascii="仿宋" w:hAnsi="仿宋" w:eastAsia="仿宋" w:cs="仿宋"/>
                <w:szCs w:val="21"/>
                <w:highlight w:val="none"/>
              </w:rPr>
              <w:t>30%，试用期两个月后</w:t>
            </w:r>
            <w:r>
              <w:rPr>
                <w:rFonts w:hint="eastAsia" w:ascii="仿宋" w:hAnsi="仿宋" w:eastAsia="仿宋" w:cs="仿宋"/>
                <w:szCs w:val="21"/>
                <w:highlight w:val="none"/>
              </w:rPr>
              <w:t>支付合同金额</w:t>
            </w:r>
            <w:r>
              <w:rPr>
                <w:rFonts w:ascii="仿宋" w:hAnsi="仿宋" w:eastAsia="仿宋" w:cs="仿宋"/>
                <w:szCs w:val="21"/>
                <w:highlight w:val="none"/>
              </w:rPr>
              <w:t>30%，合同签订半年后</w:t>
            </w:r>
            <w:r>
              <w:rPr>
                <w:rFonts w:hint="eastAsia" w:ascii="仿宋" w:hAnsi="仿宋" w:eastAsia="仿宋" w:cs="仿宋"/>
                <w:szCs w:val="21"/>
                <w:highlight w:val="none"/>
              </w:rPr>
              <w:t>且</w:t>
            </w:r>
            <w:r>
              <w:rPr>
                <w:rFonts w:ascii="仿宋" w:hAnsi="仿宋" w:eastAsia="仿宋" w:cs="仿宋"/>
                <w:szCs w:val="21"/>
                <w:highlight w:val="none"/>
              </w:rPr>
              <w:t>项目</w:t>
            </w:r>
            <w:r>
              <w:rPr>
                <w:rFonts w:hint="eastAsia" w:ascii="仿宋" w:hAnsi="仿宋" w:eastAsia="仿宋" w:cs="仿宋"/>
                <w:szCs w:val="21"/>
                <w:highlight w:val="none"/>
              </w:rPr>
              <w:t>履约</w:t>
            </w:r>
            <w:r>
              <w:rPr>
                <w:rFonts w:ascii="仿宋" w:hAnsi="仿宋" w:eastAsia="仿宋" w:cs="仿宋"/>
                <w:szCs w:val="21"/>
                <w:highlight w:val="none"/>
              </w:rPr>
              <w:t>验收完成</w:t>
            </w:r>
            <w:r>
              <w:rPr>
                <w:rFonts w:hint="eastAsia" w:ascii="仿宋" w:hAnsi="仿宋" w:eastAsia="仿宋" w:cs="仿宋"/>
                <w:szCs w:val="21"/>
                <w:highlight w:val="none"/>
              </w:rPr>
              <w:t>支付合同金额</w:t>
            </w:r>
            <w:r>
              <w:rPr>
                <w:rFonts w:ascii="仿宋" w:hAnsi="仿宋" w:eastAsia="仿宋" w:cs="仿宋"/>
                <w:szCs w:val="21"/>
                <w:highlight w:val="none"/>
              </w:rPr>
              <w:t>10%。</w:t>
            </w:r>
          </w:p>
        </w:tc>
        <w:tc>
          <w:tcPr>
            <w:tcW w:w="2357" w:type="dxa"/>
            <w:vAlign w:val="center"/>
          </w:tcPr>
          <w:p w14:paraId="2E8A51E6">
            <w:pPr>
              <w:adjustRightInd w:val="0"/>
              <w:snapToGrid w:val="0"/>
              <w:ind w:right="105" w:rightChars="50"/>
              <w:jc w:val="center"/>
              <w:rPr>
                <w:rFonts w:hint="eastAsia" w:ascii="仿宋" w:hAnsi="仿宋" w:eastAsia="仿宋" w:cs="仿宋"/>
                <w:szCs w:val="21"/>
                <w:highlight w:val="none"/>
              </w:rPr>
            </w:pPr>
          </w:p>
        </w:tc>
        <w:tc>
          <w:tcPr>
            <w:tcW w:w="1006" w:type="dxa"/>
            <w:vAlign w:val="center"/>
          </w:tcPr>
          <w:p w14:paraId="0B74BDCC">
            <w:pPr>
              <w:adjustRightInd w:val="0"/>
              <w:snapToGrid w:val="0"/>
              <w:ind w:right="105" w:rightChars="50"/>
              <w:jc w:val="center"/>
              <w:rPr>
                <w:rFonts w:hint="eastAsia" w:ascii="仿宋" w:hAnsi="仿宋" w:eastAsia="仿宋" w:cs="仿宋"/>
                <w:szCs w:val="21"/>
                <w:highlight w:val="none"/>
              </w:rPr>
            </w:pPr>
          </w:p>
        </w:tc>
        <w:tc>
          <w:tcPr>
            <w:tcW w:w="1100" w:type="dxa"/>
            <w:vAlign w:val="center"/>
          </w:tcPr>
          <w:p w14:paraId="18A1FB67">
            <w:pPr>
              <w:adjustRightInd w:val="0"/>
              <w:snapToGrid w:val="0"/>
              <w:ind w:right="105" w:rightChars="50"/>
              <w:jc w:val="center"/>
              <w:rPr>
                <w:rFonts w:hint="eastAsia" w:ascii="仿宋" w:hAnsi="仿宋" w:eastAsia="仿宋" w:cs="仿宋"/>
                <w:szCs w:val="21"/>
                <w:highlight w:val="none"/>
              </w:rPr>
            </w:pPr>
          </w:p>
        </w:tc>
      </w:tr>
      <w:tr w14:paraId="5DAA4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730" w:type="dxa"/>
            <w:vAlign w:val="center"/>
          </w:tcPr>
          <w:p w14:paraId="531059F3">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3300" w:type="dxa"/>
            <w:vAlign w:val="center"/>
          </w:tcPr>
          <w:p w14:paraId="3557A734">
            <w:pPr>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验收按照《关于印发辽宁省政府采购履约验收管理办法的通知》【辽政采（2017）603号】规定执行</w:t>
            </w:r>
          </w:p>
          <w:p w14:paraId="7EB64D41">
            <w:pPr>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组织验收主体：本项目的履约验收工作由采购人依法组织实施。</w:t>
            </w:r>
          </w:p>
        </w:tc>
        <w:tc>
          <w:tcPr>
            <w:tcW w:w="2357" w:type="dxa"/>
            <w:vAlign w:val="center"/>
          </w:tcPr>
          <w:p w14:paraId="32BEAEE0">
            <w:pPr>
              <w:adjustRightInd w:val="0"/>
              <w:snapToGrid w:val="0"/>
              <w:ind w:right="105" w:rightChars="50"/>
              <w:jc w:val="center"/>
              <w:rPr>
                <w:rFonts w:hint="eastAsia" w:ascii="仿宋" w:hAnsi="仿宋" w:eastAsia="仿宋" w:cs="仿宋"/>
                <w:szCs w:val="21"/>
                <w:highlight w:val="none"/>
              </w:rPr>
            </w:pPr>
          </w:p>
        </w:tc>
        <w:tc>
          <w:tcPr>
            <w:tcW w:w="1006" w:type="dxa"/>
            <w:vAlign w:val="center"/>
          </w:tcPr>
          <w:p w14:paraId="58478F61">
            <w:pPr>
              <w:adjustRightInd w:val="0"/>
              <w:snapToGrid w:val="0"/>
              <w:ind w:right="105" w:rightChars="50"/>
              <w:jc w:val="center"/>
              <w:rPr>
                <w:rFonts w:hint="eastAsia" w:ascii="仿宋" w:hAnsi="仿宋" w:eastAsia="仿宋" w:cs="仿宋"/>
                <w:szCs w:val="21"/>
                <w:highlight w:val="none"/>
              </w:rPr>
            </w:pPr>
          </w:p>
        </w:tc>
        <w:tc>
          <w:tcPr>
            <w:tcW w:w="1100" w:type="dxa"/>
            <w:vAlign w:val="center"/>
          </w:tcPr>
          <w:p w14:paraId="4C546B6E">
            <w:pPr>
              <w:adjustRightInd w:val="0"/>
              <w:snapToGrid w:val="0"/>
              <w:ind w:right="105" w:rightChars="50"/>
              <w:jc w:val="center"/>
              <w:rPr>
                <w:rFonts w:hint="eastAsia" w:ascii="仿宋" w:hAnsi="仿宋" w:eastAsia="仿宋" w:cs="仿宋"/>
                <w:szCs w:val="21"/>
                <w:highlight w:val="none"/>
              </w:rPr>
            </w:pPr>
          </w:p>
        </w:tc>
      </w:tr>
      <w:tr w14:paraId="7E5C0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30" w:type="dxa"/>
            <w:vAlign w:val="center"/>
          </w:tcPr>
          <w:p w14:paraId="68E8C96A">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★5</w:t>
            </w:r>
          </w:p>
        </w:tc>
        <w:tc>
          <w:tcPr>
            <w:tcW w:w="3300" w:type="dxa"/>
            <w:vAlign w:val="center"/>
          </w:tcPr>
          <w:p w14:paraId="4583D3C7">
            <w:pPr>
              <w:adjustRightInd w:val="0"/>
              <w:snapToGrid w:val="0"/>
              <w:ind w:hanging="1"/>
              <w:rPr>
                <w:rFonts w:hint="eastAsia" w:ascii="仿宋" w:hAnsi="仿宋" w:eastAsia="仿宋" w:cs="仿宋"/>
                <w:szCs w:val="21"/>
                <w:highlight w:val="none"/>
              </w:rPr>
            </w:pPr>
            <w:r>
              <w:rPr>
                <w:rFonts w:hint="eastAsia" w:ascii="仿宋" w:hAnsi="仿宋" w:eastAsia="仿宋" w:cs="仿宋"/>
                <w:szCs w:val="21"/>
                <w:highlight w:val="none"/>
              </w:rPr>
              <w:t>★热线支持：（填写热线电话）</w:t>
            </w:r>
          </w:p>
          <w:p w14:paraId="6D606530">
            <w:pPr>
              <w:spacing w:line="240" w:lineRule="exact"/>
              <w:rPr>
                <w:rFonts w:hint="eastAsia" w:ascii="仿宋" w:hAnsi="仿宋" w:eastAsia="仿宋" w:cs="仿宋"/>
                <w:szCs w:val="21"/>
                <w:highlight w:val="none"/>
              </w:rPr>
            </w:pPr>
            <w:r>
              <w:rPr>
                <w:rFonts w:hint="eastAsia" w:ascii="仿宋" w:hAnsi="仿宋" w:eastAsia="仿宋" w:cs="仿宋"/>
                <w:szCs w:val="21"/>
                <w:highlight w:val="none"/>
              </w:rPr>
              <w:t>现场支持：（0.5）小时内响应；（1）小时内到达</w:t>
            </w:r>
          </w:p>
        </w:tc>
        <w:tc>
          <w:tcPr>
            <w:tcW w:w="2357" w:type="dxa"/>
            <w:vAlign w:val="center"/>
          </w:tcPr>
          <w:p w14:paraId="2616D1DC">
            <w:pPr>
              <w:adjustRightInd w:val="0"/>
              <w:snapToGrid w:val="0"/>
              <w:ind w:right="105" w:rightChars="50"/>
              <w:jc w:val="center"/>
              <w:rPr>
                <w:rFonts w:hint="eastAsia" w:ascii="仿宋" w:hAnsi="仿宋" w:eastAsia="仿宋" w:cs="仿宋"/>
                <w:szCs w:val="21"/>
                <w:highlight w:val="none"/>
              </w:rPr>
            </w:pPr>
          </w:p>
        </w:tc>
        <w:tc>
          <w:tcPr>
            <w:tcW w:w="1006" w:type="dxa"/>
            <w:vAlign w:val="center"/>
          </w:tcPr>
          <w:p w14:paraId="547D9C4B">
            <w:pPr>
              <w:adjustRightInd w:val="0"/>
              <w:snapToGrid w:val="0"/>
              <w:ind w:right="105" w:rightChars="50"/>
              <w:jc w:val="center"/>
              <w:rPr>
                <w:rFonts w:hint="eastAsia" w:ascii="仿宋" w:hAnsi="仿宋" w:eastAsia="仿宋" w:cs="仿宋"/>
                <w:szCs w:val="21"/>
                <w:highlight w:val="none"/>
              </w:rPr>
            </w:pPr>
          </w:p>
        </w:tc>
        <w:tc>
          <w:tcPr>
            <w:tcW w:w="1100" w:type="dxa"/>
            <w:vAlign w:val="center"/>
          </w:tcPr>
          <w:p w14:paraId="71E1CC00">
            <w:pPr>
              <w:adjustRightInd w:val="0"/>
              <w:snapToGrid w:val="0"/>
              <w:ind w:right="105" w:rightChars="50"/>
              <w:jc w:val="center"/>
              <w:rPr>
                <w:rFonts w:hint="eastAsia" w:ascii="仿宋" w:hAnsi="仿宋" w:eastAsia="仿宋" w:cs="仿宋"/>
                <w:szCs w:val="21"/>
                <w:highlight w:val="none"/>
              </w:rPr>
            </w:pPr>
          </w:p>
        </w:tc>
      </w:tr>
      <w:tr w14:paraId="20FC5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730" w:type="dxa"/>
            <w:vAlign w:val="center"/>
          </w:tcPr>
          <w:p w14:paraId="2B433036">
            <w:pPr>
              <w:adjustRightInd w:val="0"/>
              <w:snapToGrid w:val="0"/>
              <w:ind w:right="105" w:rightChars="50"/>
              <w:jc w:val="center"/>
              <w:rPr>
                <w:rFonts w:hint="eastAsia" w:ascii="仿宋" w:hAnsi="仿宋" w:eastAsia="仿宋" w:cs="仿宋"/>
                <w:szCs w:val="21"/>
                <w:highlight w:val="none"/>
              </w:rPr>
            </w:pPr>
          </w:p>
        </w:tc>
        <w:tc>
          <w:tcPr>
            <w:tcW w:w="3300" w:type="dxa"/>
            <w:vAlign w:val="center"/>
          </w:tcPr>
          <w:p w14:paraId="4B9D631B">
            <w:pPr>
              <w:adjustRightInd w:val="0"/>
              <w:snapToGrid w:val="0"/>
              <w:ind w:hanging="1"/>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2357" w:type="dxa"/>
            <w:vAlign w:val="center"/>
          </w:tcPr>
          <w:p w14:paraId="6FEFD454">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采购单位未提供需求而供应商认为需说明及补充的内容在此填列</w:t>
            </w:r>
          </w:p>
        </w:tc>
        <w:tc>
          <w:tcPr>
            <w:tcW w:w="1006" w:type="dxa"/>
            <w:vAlign w:val="center"/>
          </w:tcPr>
          <w:p w14:paraId="5EB18C55">
            <w:pPr>
              <w:adjustRightInd w:val="0"/>
              <w:snapToGrid w:val="0"/>
              <w:ind w:right="105" w:rightChars="50"/>
              <w:jc w:val="center"/>
              <w:rPr>
                <w:rFonts w:hint="eastAsia" w:ascii="仿宋" w:hAnsi="仿宋" w:eastAsia="仿宋" w:cs="仿宋"/>
                <w:szCs w:val="21"/>
                <w:highlight w:val="none"/>
              </w:rPr>
            </w:pPr>
          </w:p>
        </w:tc>
        <w:tc>
          <w:tcPr>
            <w:tcW w:w="1100" w:type="dxa"/>
            <w:vAlign w:val="center"/>
          </w:tcPr>
          <w:p w14:paraId="5C616F6B">
            <w:pPr>
              <w:adjustRightInd w:val="0"/>
              <w:snapToGrid w:val="0"/>
              <w:ind w:right="105" w:rightChars="50"/>
              <w:jc w:val="center"/>
              <w:rPr>
                <w:rFonts w:hint="eastAsia" w:ascii="仿宋" w:hAnsi="仿宋" w:eastAsia="仿宋" w:cs="仿宋"/>
                <w:szCs w:val="21"/>
                <w:highlight w:val="none"/>
              </w:rPr>
            </w:pPr>
          </w:p>
        </w:tc>
      </w:tr>
    </w:tbl>
    <w:p w14:paraId="0B374428">
      <w:pPr>
        <w:adjustRightInd w:val="0"/>
        <w:snapToGrid w:val="0"/>
        <w:spacing w:line="360" w:lineRule="auto"/>
        <w:ind w:right="105" w:rightChars="50"/>
        <w:jc w:val="left"/>
        <w:rPr>
          <w:rFonts w:hint="eastAsia" w:ascii="仿宋" w:hAnsi="仿宋" w:eastAsia="仿宋" w:cs="仿宋"/>
          <w:szCs w:val="21"/>
          <w:highlight w:val="none"/>
        </w:rPr>
      </w:pPr>
      <w:r>
        <w:rPr>
          <w:rFonts w:hint="eastAsia" w:ascii="仿宋" w:hAnsi="仿宋" w:eastAsia="仿宋" w:cs="仿宋"/>
          <w:b/>
          <w:szCs w:val="21"/>
          <w:highlight w:val="none"/>
        </w:rPr>
        <w:t>填表说明：</w:t>
      </w:r>
    </w:p>
    <w:p w14:paraId="623E7045">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1．“响应文件响应内容”一栏由供应商填写。</w:t>
      </w:r>
    </w:p>
    <w:p w14:paraId="1065FAAF">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2．“偏离程度”一栏根据“响应文件响应内容”与采购文件逐项对照的结果填写。偏离必须用 “正偏离、负偏离或无偏离”三个名称中的一种进行标注。</w:t>
      </w:r>
    </w:p>
    <w:p w14:paraId="334EC977">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3．“偏离说明”一栏由供应商对偏离的情况做详细说明。</w:t>
      </w:r>
    </w:p>
    <w:p w14:paraId="7093B56A">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6DA3A5E1">
      <w:pPr>
        <w:adjustRightInd w:val="0"/>
        <w:snapToGrid w:val="0"/>
        <w:spacing w:line="480" w:lineRule="auto"/>
        <w:ind w:right="105" w:rightChars="50"/>
        <w:jc w:val="left"/>
        <w:outlineLvl w:val="9"/>
        <w:rPr>
          <w:rFonts w:hint="eastAsia" w:ascii="仿宋" w:hAnsi="仿宋" w:eastAsia="仿宋" w:cs="仿宋"/>
          <w:szCs w:val="21"/>
          <w:highlight w:val="none"/>
          <w:u w:val="single"/>
        </w:rPr>
      </w:pPr>
      <w:r>
        <w:rPr>
          <w:rFonts w:hint="eastAsia" w:ascii="仿宋" w:hAnsi="仿宋" w:eastAsia="仿宋" w:cs="仿宋"/>
          <w:szCs w:val="21"/>
          <w:highlight w:val="none"/>
        </w:rPr>
        <w:t>供应商名称(加盖单位公章):</w:t>
      </w:r>
      <w:r>
        <w:rPr>
          <w:rFonts w:hint="eastAsia" w:ascii="仿宋" w:hAnsi="仿宋" w:eastAsia="仿宋" w:cs="仿宋"/>
          <w:szCs w:val="21"/>
          <w:highlight w:val="none"/>
          <w:u w:val="single"/>
        </w:rPr>
        <w:t xml:space="preserve">               </w:t>
      </w:r>
    </w:p>
    <w:p w14:paraId="3A1FAB0A">
      <w:pPr>
        <w:adjustRightInd w:val="0"/>
        <w:snapToGrid w:val="0"/>
        <w:spacing w:line="480" w:lineRule="auto"/>
        <w:ind w:right="105" w:rightChars="50"/>
        <w:jc w:val="left"/>
        <w:outlineLvl w:val="9"/>
        <w:rPr>
          <w:rFonts w:hint="eastAsia" w:ascii="仿宋" w:hAnsi="仿宋" w:eastAsia="仿宋" w:cs="仿宋"/>
          <w:szCs w:val="21"/>
          <w:highlight w:val="none"/>
          <w:u w:val="single"/>
        </w:rPr>
      </w:pPr>
      <w:r>
        <w:rPr>
          <w:rFonts w:hint="eastAsia" w:ascii="仿宋" w:hAnsi="仿宋" w:eastAsia="仿宋" w:cs="仿宋"/>
          <w:szCs w:val="21"/>
          <w:highlight w:val="none"/>
        </w:rPr>
        <w:t>法定代表人（或非法人组织负责人）或其授权委托人</w:t>
      </w:r>
      <w:r>
        <w:rPr>
          <w:rFonts w:hint="eastAsia" w:ascii="仿宋" w:hAnsi="仿宋" w:eastAsia="仿宋" w:cs="仿宋"/>
          <w:highlight w:val="none"/>
        </w:rPr>
        <w:t>(签字或盖章)</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p>
    <w:p w14:paraId="6BF173AD">
      <w:pPr>
        <w:adjustRightInd w:val="0"/>
        <w:snapToGrid w:val="0"/>
        <w:spacing w:line="480" w:lineRule="auto"/>
        <w:ind w:right="105" w:rightChars="50"/>
        <w:jc w:val="left"/>
        <w:outlineLvl w:val="9"/>
        <w:rPr>
          <w:rFonts w:hint="eastAsia" w:ascii="仿宋" w:hAnsi="仿宋" w:eastAsia="仿宋" w:cs="仿宋"/>
          <w:szCs w:val="21"/>
          <w:highlight w:val="none"/>
        </w:rPr>
      </w:pPr>
      <w:r>
        <w:rPr>
          <w:rFonts w:hint="eastAsia" w:ascii="仿宋" w:hAnsi="仿宋" w:eastAsia="仿宋" w:cs="仿宋"/>
          <w:szCs w:val="21"/>
          <w:highlight w:val="none"/>
        </w:rPr>
        <w:t>日期:</w:t>
      </w:r>
      <w:r>
        <w:rPr>
          <w:rFonts w:hint="eastAsia" w:ascii="仿宋" w:hAnsi="仿宋" w:eastAsia="仿宋" w:cs="仿宋"/>
          <w:szCs w:val="21"/>
          <w:highlight w:val="none"/>
          <w:u w:val="single"/>
        </w:rPr>
        <w:t xml:space="preserve">                               </w:t>
      </w:r>
    </w:p>
    <w:p w14:paraId="28EF93E8">
      <w:pPr>
        <w:wordWrap w:val="0"/>
        <w:adjustRightInd w:val="0"/>
        <w:snapToGrid w:val="0"/>
        <w:spacing w:line="360" w:lineRule="auto"/>
        <w:ind w:right="105" w:rightChars="50"/>
        <w:outlineLvl w:val="9"/>
        <w:rPr>
          <w:rFonts w:hint="eastAsia" w:ascii="仿宋" w:hAnsi="仿宋" w:eastAsia="仿宋" w:cs="仿宋"/>
          <w:b/>
          <w:bCs/>
          <w:sz w:val="28"/>
          <w:szCs w:val="28"/>
          <w:highlight w:val="none"/>
        </w:rPr>
      </w:pPr>
      <w:bookmarkStart w:id="86" w:name="_Toc533340162"/>
      <w:bookmarkStart w:id="87" w:name="_Toc4485638"/>
    </w:p>
    <w:p w14:paraId="0A0A0007">
      <w:pPr>
        <w:wordWrap w:val="0"/>
        <w:adjustRightInd w:val="0"/>
        <w:snapToGrid w:val="0"/>
        <w:spacing w:line="360" w:lineRule="auto"/>
        <w:ind w:right="105" w:rightChars="50"/>
        <w:outlineLvl w:val="9"/>
        <w:rPr>
          <w:rFonts w:hint="eastAsia" w:ascii="仿宋" w:hAnsi="仿宋" w:eastAsia="仿宋" w:cs="仿宋"/>
          <w:b/>
          <w:bCs/>
          <w:sz w:val="28"/>
          <w:szCs w:val="28"/>
          <w:highlight w:val="none"/>
        </w:rPr>
      </w:pPr>
    </w:p>
    <w:p w14:paraId="3CAFD0BA">
      <w:pPr>
        <w:wordWrap w:val="0"/>
        <w:adjustRightInd w:val="0"/>
        <w:snapToGrid w:val="0"/>
        <w:spacing w:line="360" w:lineRule="auto"/>
        <w:ind w:right="105" w:rightChars="50"/>
        <w:outlineLvl w:val="9"/>
        <w:rPr>
          <w:rFonts w:hint="eastAsia" w:ascii="仿宋" w:hAnsi="仿宋" w:eastAsia="仿宋" w:cs="仿宋"/>
          <w:b/>
          <w:bCs/>
          <w:sz w:val="28"/>
          <w:szCs w:val="28"/>
          <w:highlight w:val="none"/>
        </w:rPr>
      </w:pPr>
    </w:p>
    <w:p w14:paraId="234DB111">
      <w:pPr>
        <w:wordWrap w:val="0"/>
        <w:adjustRightInd w:val="0"/>
        <w:snapToGrid w:val="0"/>
        <w:spacing w:line="360" w:lineRule="auto"/>
        <w:ind w:right="105" w:rightChars="50"/>
        <w:outlineLvl w:val="1"/>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格式</w:t>
      </w:r>
      <w:bookmarkEnd w:id="86"/>
      <w:bookmarkEnd w:id="87"/>
      <w:r>
        <w:rPr>
          <w:rFonts w:hint="eastAsia" w:ascii="仿宋" w:hAnsi="仿宋" w:eastAsia="仿宋" w:cs="仿宋"/>
          <w:b/>
          <w:bCs/>
          <w:sz w:val="28"/>
          <w:szCs w:val="28"/>
          <w:highlight w:val="none"/>
        </w:rPr>
        <w:t>16</w:t>
      </w:r>
    </w:p>
    <w:p w14:paraId="768EADC4">
      <w:pPr>
        <w:spacing w:before="319" w:beforeLines="100" w:after="319"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供应商关联单位的说明</w:t>
      </w:r>
    </w:p>
    <w:p w14:paraId="5AAD3B2D">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说明：供应商应当如实披露与本单位存在下列关联关系的单位名称：</w:t>
      </w:r>
    </w:p>
    <w:p w14:paraId="42C41AAB">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（1）与供应商单位法定代表人（或非法人组织负责人）为同一人的其他单位；</w:t>
      </w:r>
    </w:p>
    <w:p w14:paraId="783FEC7B">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（2）与供应商存在直接控股、管理关系的其他单位。</w:t>
      </w:r>
    </w:p>
    <w:p w14:paraId="47602D22">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4FB05455">
      <w:pPr>
        <w:adjustRightInd w:val="0"/>
        <w:snapToGrid w:val="0"/>
        <w:spacing w:line="360" w:lineRule="auto"/>
        <w:ind w:right="105" w:rightChars="50" w:firstLine="476" w:firstLineChars="227"/>
        <w:jc w:val="left"/>
        <w:rPr>
          <w:rFonts w:hint="eastAsia" w:ascii="仿宋" w:hAnsi="仿宋" w:eastAsia="仿宋" w:cs="仿宋"/>
          <w:szCs w:val="21"/>
          <w:highlight w:val="none"/>
        </w:rPr>
      </w:pPr>
      <w:r>
        <w:rPr>
          <w:rFonts w:hint="eastAsia" w:ascii="仿宋" w:hAnsi="仿宋" w:eastAsia="仿宋" w:cs="仿宋"/>
          <w:szCs w:val="21"/>
          <w:highlight w:val="none"/>
        </w:rPr>
        <w:t>注：若无此情形，写“无”即可</w:t>
      </w:r>
    </w:p>
    <w:p w14:paraId="3AA018B2">
      <w:pPr>
        <w:adjustRightInd w:val="0"/>
        <w:snapToGrid w:val="0"/>
        <w:spacing w:line="360" w:lineRule="auto"/>
        <w:ind w:right="105" w:rightChars="50" w:firstLine="476" w:firstLineChars="227"/>
        <w:jc w:val="left"/>
        <w:rPr>
          <w:rFonts w:hint="eastAsia" w:ascii="仿宋" w:hAnsi="仿宋" w:eastAsia="仿宋" w:cs="仿宋"/>
          <w:szCs w:val="21"/>
          <w:highlight w:val="none"/>
        </w:rPr>
      </w:pPr>
    </w:p>
    <w:p w14:paraId="2AE03A02">
      <w:pPr>
        <w:adjustRightInd w:val="0"/>
        <w:snapToGrid w:val="0"/>
        <w:spacing w:line="36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 xml:space="preserve"> </w:t>
      </w:r>
    </w:p>
    <w:p w14:paraId="771E344B">
      <w:pPr>
        <w:adjustRightInd w:val="0"/>
        <w:snapToGrid w:val="0"/>
        <w:spacing w:line="360" w:lineRule="auto"/>
        <w:ind w:right="105" w:rightChars="50"/>
        <w:jc w:val="left"/>
        <w:rPr>
          <w:rFonts w:hint="eastAsia" w:ascii="仿宋" w:hAnsi="仿宋" w:eastAsia="仿宋" w:cs="仿宋"/>
          <w:szCs w:val="21"/>
          <w:highlight w:val="none"/>
        </w:rPr>
      </w:pPr>
    </w:p>
    <w:p w14:paraId="5CC90BB8">
      <w:pPr>
        <w:adjustRightInd w:val="0"/>
        <w:snapToGrid w:val="0"/>
        <w:spacing w:line="360" w:lineRule="auto"/>
        <w:ind w:right="105" w:rightChars="50"/>
        <w:jc w:val="left"/>
        <w:rPr>
          <w:rFonts w:hint="eastAsia" w:ascii="仿宋" w:hAnsi="仿宋" w:eastAsia="仿宋" w:cs="仿宋"/>
          <w:szCs w:val="21"/>
          <w:highlight w:val="none"/>
        </w:rPr>
      </w:pPr>
    </w:p>
    <w:p w14:paraId="27D37008">
      <w:pPr>
        <w:adjustRightInd w:val="0"/>
        <w:snapToGrid w:val="0"/>
        <w:spacing w:line="360" w:lineRule="auto"/>
        <w:ind w:right="105" w:rightChars="50"/>
        <w:jc w:val="left"/>
        <w:rPr>
          <w:rFonts w:hint="eastAsia" w:ascii="仿宋" w:hAnsi="仿宋" w:eastAsia="仿宋" w:cs="仿宋"/>
          <w:szCs w:val="21"/>
          <w:highlight w:val="none"/>
        </w:rPr>
      </w:pPr>
    </w:p>
    <w:p w14:paraId="757DA2BE">
      <w:pPr>
        <w:adjustRightInd w:val="0"/>
        <w:snapToGrid w:val="0"/>
        <w:spacing w:line="360" w:lineRule="auto"/>
        <w:ind w:right="105" w:rightChars="50"/>
        <w:jc w:val="left"/>
        <w:rPr>
          <w:rFonts w:hint="eastAsia" w:ascii="仿宋" w:hAnsi="仿宋" w:eastAsia="仿宋" w:cs="仿宋"/>
          <w:szCs w:val="21"/>
          <w:highlight w:val="none"/>
        </w:rPr>
      </w:pPr>
    </w:p>
    <w:p w14:paraId="6FD949EF">
      <w:pPr>
        <w:adjustRightInd w:val="0"/>
        <w:snapToGrid w:val="0"/>
        <w:spacing w:line="360" w:lineRule="auto"/>
        <w:ind w:right="105" w:rightChars="50"/>
        <w:jc w:val="left"/>
        <w:rPr>
          <w:rFonts w:hint="eastAsia" w:ascii="仿宋" w:hAnsi="仿宋" w:eastAsia="仿宋" w:cs="仿宋"/>
          <w:szCs w:val="21"/>
          <w:highlight w:val="none"/>
        </w:rPr>
      </w:pPr>
    </w:p>
    <w:p w14:paraId="7DF639DA">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rPr>
        <w:t>供应商名称(加盖单位公章):</w:t>
      </w:r>
      <w:r>
        <w:rPr>
          <w:rFonts w:hint="eastAsia" w:ascii="仿宋" w:hAnsi="仿宋" w:eastAsia="仿宋" w:cs="仿宋"/>
          <w:szCs w:val="21"/>
          <w:highlight w:val="none"/>
          <w:u w:val="single"/>
        </w:rPr>
        <w:t xml:space="preserve">               </w:t>
      </w:r>
    </w:p>
    <w:p w14:paraId="6A164CEA">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rPr>
        <w:t>法定代表人（或非法人组织负责人）或其授权委托人</w:t>
      </w:r>
      <w:r>
        <w:rPr>
          <w:rFonts w:hint="eastAsia" w:ascii="仿宋" w:hAnsi="仿宋" w:eastAsia="仿宋" w:cs="仿宋"/>
          <w:highlight w:val="none"/>
        </w:rPr>
        <w:t>(签字或盖章)</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p>
    <w:p w14:paraId="74919C6C">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日期:</w:t>
      </w:r>
      <w:r>
        <w:rPr>
          <w:rFonts w:hint="eastAsia" w:ascii="仿宋" w:hAnsi="仿宋" w:eastAsia="仿宋" w:cs="仿宋"/>
          <w:szCs w:val="21"/>
          <w:highlight w:val="none"/>
          <w:u w:val="single"/>
        </w:rPr>
        <w:t xml:space="preserve">                              </w:t>
      </w:r>
    </w:p>
    <w:p w14:paraId="35988EAD">
      <w:pPr>
        <w:rPr>
          <w:rFonts w:hint="eastAsia" w:ascii="仿宋" w:hAnsi="仿宋" w:eastAsia="仿宋" w:cs="仿宋"/>
          <w:szCs w:val="21"/>
          <w:highlight w:val="none"/>
          <w:u w:val="single"/>
        </w:rPr>
      </w:pPr>
      <w:r>
        <w:rPr>
          <w:rFonts w:hint="eastAsia" w:ascii="仿宋" w:hAnsi="仿宋" w:eastAsia="仿宋" w:cs="仿宋"/>
          <w:szCs w:val="21"/>
          <w:highlight w:val="none"/>
          <w:u w:val="single"/>
        </w:rPr>
        <w:br w:type="page"/>
      </w:r>
    </w:p>
    <w:p w14:paraId="7277CD23">
      <w:pPr>
        <w:wordWrap w:val="0"/>
        <w:adjustRightInd w:val="0"/>
        <w:snapToGrid w:val="0"/>
        <w:spacing w:line="360" w:lineRule="auto"/>
        <w:ind w:right="105" w:rightChars="50"/>
        <w:outlineLvl w:val="1"/>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rPr>
        <w:t>格式1</w:t>
      </w:r>
      <w:r>
        <w:rPr>
          <w:rFonts w:hint="eastAsia" w:ascii="仿宋" w:hAnsi="仿宋" w:eastAsia="仿宋" w:cs="仿宋"/>
          <w:b/>
          <w:bCs/>
          <w:sz w:val="28"/>
          <w:szCs w:val="28"/>
          <w:highlight w:val="none"/>
          <w:lang w:val="en-US" w:eastAsia="zh-CN"/>
        </w:rPr>
        <w:t>7</w:t>
      </w:r>
    </w:p>
    <w:p w14:paraId="0FC99DAD">
      <w:pPr>
        <w:widowControl/>
        <w:jc w:val="center"/>
        <w:rPr>
          <w:rFonts w:ascii="宋体" w:hAnsi="宋体" w:eastAsia="宋体" w:cs="宋体"/>
          <w:b/>
          <w:bCs/>
          <w:sz w:val="32"/>
          <w:szCs w:val="32"/>
          <w:highlight w:val="none"/>
        </w:rPr>
      </w:pPr>
      <w:r>
        <w:rPr>
          <w:rFonts w:hint="eastAsia" w:ascii="宋体" w:hAnsi="宋体" w:eastAsia="宋体" w:cs="宋体"/>
          <w:b/>
          <w:bCs/>
          <w:sz w:val="32"/>
          <w:szCs w:val="32"/>
          <w:highlight w:val="none"/>
        </w:rPr>
        <w:t>备份文件和电子文件一致性承诺函</w:t>
      </w:r>
    </w:p>
    <w:p w14:paraId="2B258AD9">
      <w:pPr>
        <w:widowControl/>
        <w:spacing w:line="600" w:lineRule="exact"/>
        <w:jc w:val="left"/>
        <w:rPr>
          <w:rFonts w:ascii="宋体" w:hAnsi="宋体" w:eastAsia="宋体" w:cs="宋体"/>
          <w:highlight w:val="none"/>
        </w:rPr>
      </w:pPr>
      <w:r>
        <w:rPr>
          <w:rFonts w:hint="eastAsia" w:ascii="宋体" w:hAnsi="宋体" w:eastAsia="宋体" w:cs="宋体"/>
          <w:b/>
          <w:color w:val="000000"/>
          <w:kern w:val="0"/>
          <w:szCs w:val="21"/>
          <w:highlight w:val="none"/>
          <w:lang w:bidi="ar"/>
        </w:rPr>
        <w:t xml:space="preserve">（采购人名称） ： </w:t>
      </w:r>
    </w:p>
    <w:p w14:paraId="21D48DD9">
      <w:pPr>
        <w:spacing w:line="360" w:lineRule="auto"/>
        <w:ind w:firstLine="420" w:firstLineChars="200"/>
        <w:rPr>
          <w:rFonts w:hint="eastAsia" w:ascii="FangSong_GB2312" w:hAnsi="FangSong_GB2312" w:eastAsia="FangSong_GB2312" w:cs="FangSong_GB2312"/>
          <w:szCs w:val="21"/>
          <w:highlight w:val="none"/>
        </w:rPr>
      </w:pPr>
      <w:r>
        <w:rPr>
          <w:rFonts w:hint="eastAsia" w:ascii="FangSong_GB2312" w:hAnsi="FangSong_GB2312" w:eastAsia="FangSong_GB2312" w:cs="FangSong_GB2312"/>
          <w:szCs w:val="21"/>
          <w:highlight w:val="none"/>
        </w:rPr>
        <w:t xml:space="preserve">我单位参加本次政府采购活动作出如下承诺： </w:t>
      </w:r>
    </w:p>
    <w:p w14:paraId="3B50E50E">
      <w:pPr>
        <w:spacing w:line="360" w:lineRule="auto"/>
        <w:ind w:firstLine="420" w:firstLineChars="200"/>
        <w:rPr>
          <w:rFonts w:hint="eastAsia" w:ascii="FangSong_GB2312" w:hAnsi="FangSong_GB2312" w:eastAsia="FangSong_GB2312" w:cs="FangSong_GB2312"/>
          <w:szCs w:val="21"/>
          <w:highlight w:val="none"/>
        </w:rPr>
      </w:pPr>
      <w:r>
        <w:rPr>
          <w:rFonts w:hint="eastAsia" w:ascii="FangSong_GB2312" w:hAnsi="FangSong_GB2312" w:eastAsia="FangSong_GB2312" w:cs="FangSong_GB2312"/>
          <w:szCs w:val="21"/>
          <w:highlight w:val="none"/>
        </w:rPr>
        <w:t>我方提供的备份文件与电子评审系统中上传的投标（响应）文件内容、格式一致，备系统突发故障使用。若因不一致引发的一切不利事宜，我方自行承担责任及风险。</w:t>
      </w:r>
    </w:p>
    <w:p w14:paraId="619C4BD4">
      <w:pPr>
        <w:adjustRightInd w:val="0"/>
        <w:ind w:left="425"/>
        <w:textAlignment w:val="baseline"/>
        <w:rPr>
          <w:rFonts w:hint="eastAsia" w:ascii="FangSong_GB2312" w:hAnsi="FangSong_GB2312" w:eastAsia="FangSong_GB2312" w:cs="FangSong_GB2312"/>
          <w:szCs w:val="21"/>
          <w:highlight w:val="none"/>
        </w:rPr>
      </w:pPr>
    </w:p>
    <w:p w14:paraId="256D1917">
      <w:pPr>
        <w:adjustRightInd w:val="0"/>
        <w:ind w:left="425"/>
        <w:textAlignment w:val="baseline"/>
        <w:rPr>
          <w:rFonts w:hint="eastAsia" w:ascii="FangSong_GB2312" w:hAnsi="FangSong_GB2312" w:eastAsia="FangSong_GB2312" w:cs="FangSong_GB2312"/>
          <w:szCs w:val="21"/>
          <w:highlight w:val="none"/>
        </w:rPr>
      </w:pPr>
      <w:r>
        <w:rPr>
          <w:rFonts w:hint="eastAsia" w:ascii="FangSong_GB2312" w:hAnsi="FangSong_GB2312" w:eastAsia="FangSong_GB2312" w:cs="FangSong_GB2312"/>
          <w:szCs w:val="21"/>
          <w:highlight w:val="none"/>
        </w:rPr>
        <w:t>特此承诺。</w:t>
      </w:r>
    </w:p>
    <w:p w14:paraId="7320F49F">
      <w:pPr>
        <w:adjustRightInd w:val="0"/>
        <w:ind w:left="425"/>
        <w:textAlignment w:val="baseline"/>
        <w:rPr>
          <w:rFonts w:hint="eastAsia" w:ascii="FangSong_GB2312" w:hAnsi="FangSong_GB2312" w:eastAsia="FangSong_GB2312" w:cs="FangSong_GB2312"/>
          <w:szCs w:val="21"/>
          <w:highlight w:val="none"/>
        </w:rPr>
      </w:pPr>
    </w:p>
    <w:p w14:paraId="71D36B34">
      <w:pPr>
        <w:adjustRightInd w:val="0"/>
        <w:ind w:left="425"/>
        <w:textAlignment w:val="baseline"/>
        <w:rPr>
          <w:rFonts w:hint="eastAsia" w:ascii="FangSong_GB2312" w:hAnsi="FangSong_GB2312" w:eastAsia="FangSong_GB2312" w:cs="FangSong_GB2312"/>
          <w:szCs w:val="21"/>
          <w:highlight w:val="none"/>
        </w:rPr>
      </w:pPr>
    </w:p>
    <w:p w14:paraId="461E371D">
      <w:pPr>
        <w:adjustRightInd w:val="0"/>
        <w:ind w:left="425"/>
        <w:textAlignment w:val="baseline"/>
        <w:rPr>
          <w:rFonts w:hint="eastAsia" w:ascii="FangSong_GB2312" w:hAnsi="FangSong_GB2312" w:eastAsia="FangSong_GB2312" w:cs="FangSong_GB2312"/>
          <w:szCs w:val="21"/>
          <w:highlight w:val="none"/>
        </w:rPr>
      </w:pPr>
    </w:p>
    <w:p w14:paraId="6443124E">
      <w:pPr>
        <w:adjustRightInd w:val="0"/>
        <w:ind w:left="425"/>
        <w:textAlignment w:val="baseline"/>
        <w:rPr>
          <w:rFonts w:hint="eastAsia" w:ascii="FangSong_GB2312" w:hAnsi="FangSong_GB2312" w:eastAsia="FangSong_GB2312" w:cs="FangSong_GB2312"/>
          <w:szCs w:val="21"/>
          <w:highlight w:val="none"/>
        </w:rPr>
      </w:pPr>
    </w:p>
    <w:p w14:paraId="539F823F">
      <w:pPr>
        <w:adjustRightInd w:val="0"/>
        <w:ind w:left="425"/>
        <w:textAlignment w:val="baseline"/>
        <w:rPr>
          <w:rFonts w:hint="eastAsia" w:ascii="FangSong_GB2312" w:hAnsi="FangSong_GB2312" w:eastAsia="FangSong_GB2312" w:cs="FangSong_GB2312"/>
          <w:szCs w:val="21"/>
          <w:highlight w:val="none"/>
        </w:rPr>
      </w:pPr>
    </w:p>
    <w:p w14:paraId="79105355">
      <w:pPr>
        <w:adjustRightInd w:val="0"/>
        <w:ind w:left="425"/>
        <w:textAlignment w:val="baseline"/>
        <w:rPr>
          <w:rFonts w:hint="eastAsia" w:ascii="FangSong_GB2312" w:hAnsi="FangSong_GB2312" w:eastAsia="FangSong_GB2312" w:cs="FangSong_GB2312"/>
          <w:szCs w:val="21"/>
          <w:highlight w:val="none"/>
        </w:rPr>
      </w:pPr>
    </w:p>
    <w:p w14:paraId="19499069">
      <w:pPr>
        <w:adjustRightInd w:val="0"/>
        <w:ind w:left="425"/>
        <w:textAlignment w:val="baseline"/>
        <w:rPr>
          <w:rFonts w:hint="eastAsia" w:ascii="FangSong_GB2312" w:hAnsi="FangSong_GB2312" w:eastAsia="FangSong_GB2312" w:cs="FangSong_GB2312"/>
          <w:szCs w:val="21"/>
          <w:highlight w:val="none"/>
        </w:rPr>
      </w:pPr>
    </w:p>
    <w:p w14:paraId="7C911E41">
      <w:pPr>
        <w:adjustRightInd w:val="0"/>
        <w:ind w:left="425"/>
        <w:textAlignment w:val="baseline"/>
        <w:rPr>
          <w:rFonts w:hint="eastAsia" w:ascii="FangSong_GB2312" w:hAnsi="FangSong_GB2312" w:eastAsia="FangSong_GB2312" w:cs="FangSong_GB2312"/>
          <w:szCs w:val="21"/>
          <w:highlight w:val="none"/>
        </w:rPr>
      </w:pPr>
    </w:p>
    <w:p w14:paraId="350757A6">
      <w:pPr>
        <w:adjustRightInd w:val="0"/>
        <w:ind w:left="425"/>
        <w:textAlignment w:val="baseline"/>
        <w:rPr>
          <w:rFonts w:hint="eastAsia" w:ascii="FangSong_GB2312" w:hAnsi="FangSong_GB2312" w:eastAsia="FangSong_GB2312" w:cs="FangSong_GB2312"/>
          <w:szCs w:val="21"/>
          <w:highlight w:val="none"/>
        </w:rPr>
      </w:pPr>
    </w:p>
    <w:p w14:paraId="722E3C38">
      <w:pPr>
        <w:adjustRightInd w:val="0"/>
        <w:ind w:left="425"/>
        <w:textAlignment w:val="baseline"/>
        <w:rPr>
          <w:rFonts w:hint="eastAsia" w:ascii="FangSong_GB2312" w:hAnsi="FangSong_GB2312" w:eastAsia="FangSong_GB2312" w:cs="FangSong_GB2312"/>
          <w:szCs w:val="21"/>
          <w:highlight w:val="none"/>
        </w:rPr>
      </w:pPr>
    </w:p>
    <w:p w14:paraId="756AFB43">
      <w:pPr>
        <w:adjustRightInd w:val="0"/>
        <w:ind w:left="425"/>
        <w:textAlignment w:val="baseline"/>
        <w:rPr>
          <w:rFonts w:hint="eastAsia" w:ascii="FangSong_GB2312" w:hAnsi="FangSong_GB2312" w:eastAsia="FangSong_GB2312" w:cs="FangSong_GB2312"/>
          <w:szCs w:val="21"/>
          <w:highlight w:val="none"/>
        </w:rPr>
      </w:pPr>
    </w:p>
    <w:p w14:paraId="61086FEE">
      <w:pPr>
        <w:adjustRightInd w:val="0"/>
        <w:ind w:left="425"/>
        <w:textAlignment w:val="baseline"/>
        <w:rPr>
          <w:rFonts w:hint="eastAsia" w:ascii="FangSong_GB2312" w:hAnsi="FangSong_GB2312" w:eastAsia="FangSong_GB2312" w:cs="FangSong_GB2312"/>
          <w:szCs w:val="21"/>
          <w:highlight w:val="none"/>
        </w:rPr>
      </w:pPr>
    </w:p>
    <w:p w14:paraId="19E03228">
      <w:pPr>
        <w:adjustRightInd w:val="0"/>
        <w:ind w:left="425"/>
        <w:textAlignment w:val="baseline"/>
        <w:rPr>
          <w:rFonts w:hint="eastAsia" w:ascii="FangSong_GB2312" w:hAnsi="FangSong_GB2312" w:eastAsia="FangSong_GB2312" w:cs="FangSong_GB2312"/>
          <w:szCs w:val="21"/>
          <w:highlight w:val="none"/>
        </w:rPr>
      </w:pPr>
    </w:p>
    <w:p w14:paraId="3D778E47">
      <w:pPr>
        <w:adjustRightInd w:val="0"/>
        <w:ind w:left="425"/>
        <w:textAlignment w:val="baseline"/>
        <w:rPr>
          <w:rFonts w:hint="eastAsia" w:ascii="FangSong_GB2312" w:hAnsi="FangSong_GB2312" w:eastAsia="FangSong_GB2312" w:cs="FangSong_GB2312"/>
          <w:szCs w:val="21"/>
          <w:highlight w:val="none"/>
        </w:rPr>
      </w:pPr>
    </w:p>
    <w:p w14:paraId="02F29DEA">
      <w:pPr>
        <w:adjustRightInd w:val="0"/>
        <w:ind w:left="425"/>
        <w:textAlignment w:val="baseline"/>
        <w:rPr>
          <w:rFonts w:hint="eastAsia" w:ascii="FangSong_GB2312" w:hAnsi="FangSong_GB2312" w:eastAsia="FangSong_GB2312" w:cs="FangSong_GB2312"/>
          <w:szCs w:val="21"/>
          <w:highlight w:val="none"/>
        </w:rPr>
      </w:pPr>
    </w:p>
    <w:p w14:paraId="0CAE25A1">
      <w:pPr>
        <w:adjustRightInd w:val="0"/>
        <w:ind w:left="425"/>
        <w:textAlignment w:val="baseline"/>
        <w:rPr>
          <w:rFonts w:hint="eastAsia" w:ascii="FangSong_GB2312" w:hAnsi="FangSong_GB2312" w:eastAsia="FangSong_GB2312" w:cs="FangSong_GB2312"/>
          <w:szCs w:val="21"/>
          <w:highlight w:val="none"/>
        </w:rPr>
      </w:pPr>
    </w:p>
    <w:p w14:paraId="03D5177B">
      <w:pPr>
        <w:adjustRightInd w:val="0"/>
        <w:ind w:left="425"/>
        <w:textAlignment w:val="baseline"/>
        <w:rPr>
          <w:rFonts w:hint="eastAsia" w:ascii="Times New Roman" w:hAnsi="Times New Roman" w:cs="Times New Roman"/>
          <w:kern w:val="0"/>
          <w:szCs w:val="20"/>
          <w:highlight w:val="none"/>
        </w:rPr>
      </w:pPr>
    </w:p>
    <w:p w14:paraId="2816EA0C">
      <w:pPr>
        <w:spacing w:line="480" w:lineRule="auto"/>
        <w:rPr>
          <w:rFonts w:hint="eastAsia" w:ascii="FangSong_GB2312" w:hAnsi="FangSong_GB2312" w:eastAsia="FangSong_GB2312" w:cs="FangSong_GB2312"/>
          <w:highlight w:val="none"/>
        </w:rPr>
      </w:pPr>
      <w:r>
        <w:rPr>
          <w:rFonts w:hint="eastAsia" w:ascii="FangSong_GB2312" w:hAnsi="FangSong_GB2312" w:eastAsia="FangSong_GB2312" w:cs="FangSong_GB2312"/>
          <w:highlight w:val="none"/>
        </w:rPr>
        <w:t>供应商名称（加盖单位公章）：</w:t>
      </w:r>
      <w:r>
        <w:rPr>
          <w:rFonts w:hint="eastAsia" w:ascii="FangSong_GB2312" w:hAnsi="FangSong_GB2312" w:eastAsia="FangSong_GB2312" w:cs="FangSong_GB2312"/>
          <w:highlight w:val="none"/>
          <w:u w:val="single"/>
        </w:rPr>
        <w:t xml:space="preserve">           </w:t>
      </w:r>
    </w:p>
    <w:p w14:paraId="1E5C4A12">
      <w:pPr>
        <w:spacing w:line="480" w:lineRule="auto"/>
        <w:rPr>
          <w:rFonts w:hint="eastAsia" w:ascii="FangSong_GB2312" w:hAnsi="FangSong_GB2312" w:eastAsia="FangSong_GB2312" w:cs="FangSong_GB2312"/>
          <w:highlight w:val="none"/>
        </w:rPr>
      </w:pPr>
      <w:r>
        <w:rPr>
          <w:rFonts w:hint="eastAsia" w:ascii="FangSong_GB2312" w:hAnsi="FangSong_GB2312" w:eastAsia="FangSong_GB2312" w:cs="FangSong_GB2312"/>
          <w:highlight w:val="none"/>
        </w:rPr>
        <w:t>法定代表人（或</w:t>
      </w:r>
      <w:r>
        <w:rPr>
          <w:rFonts w:hint="eastAsia" w:ascii="FangSong_GB2312" w:hAnsi="FangSong_GB2312" w:eastAsia="FangSong_GB2312" w:cs="FangSong_GB2312"/>
          <w:szCs w:val="21"/>
          <w:highlight w:val="none"/>
        </w:rPr>
        <w:t>非法人组织负责人）或</w:t>
      </w:r>
      <w:r>
        <w:rPr>
          <w:rFonts w:hint="eastAsia" w:ascii="FangSong_GB2312" w:hAnsi="FangSong_GB2312" w:eastAsia="FangSong_GB2312" w:cs="FangSong_GB2312"/>
          <w:highlight w:val="none"/>
        </w:rPr>
        <w:t>其授权委托人(签字或盖章)：</w:t>
      </w:r>
      <w:r>
        <w:rPr>
          <w:rFonts w:hint="eastAsia" w:ascii="FangSong_GB2312" w:hAnsi="FangSong_GB2312" w:eastAsia="FangSong_GB2312" w:cs="FangSong_GB2312"/>
          <w:highlight w:val="none"/>
          <w:u w:val="single"/>
        </w:rPr>
        <w:t xml:space="preserve">           </w:t>
      </w:r>
    </w:p>
    <w:p w14:paraId="063A6D57">
      <w:pPr>
        <w:spacing w:line="480" w:lineRule="auto"/>
        <w:rPr>
          <w:rFonts w:hint="eastAsia" w:ascii="FangSong_GB2312" w:hAnsi="FangSong_GB2312" w:eastAsia="FangSong_GB2312" w:cs="FangSong_GB2312"/>
          <w:highlight w:val="none"/>
        </w:rPr>
      </w:pPr>
      <w:r>
        <w:rPr>
          <w:rFonts w:hint="eastAsia" w:ascii="FangSong_GB2312" w:hAnsi="FangSong_GB2312" w:eastAsia="FangSong_GB2312" w:cs="FangSong_GB2312"/>
          <w:highlight w:val="none"/>
        </w:rPr>
        <w:t>日期：</w:t>
      </w:r>
      <w:r>
        <w:rPr>
          <w:rFonts w:hint="eastAsia" w:ascii="FangSong_GB2312" w:hAnsi="FangSong_GB2312" w:eastAsia="FangSong_GB2312" w:cs="FangSong_GB2312"/>
          <w:highlight w:val="none"/>
          <w:u w:val="single"/>
        </w:rPr>
        <w:t xml:space="preserve">                </w:t>
      </w:r>
    </w:p>
    <w:p w14:paraId="112ADF43">
      <w:pPr>
        <w:spacing w:line="480" w:lineRule="auto"/>
        <w:rPr>
          <w:rFonts w:hint="eastAsia" w:ascii="仿宋" w:hAnsi="仿宋" w:eastAsia="仿宋" w:cs="仿宋"/>
          <w:highlight w:val="none"/>
        </w:rPr>
      </w:pPr>
      <w:r>
        <w:rPr>
          <w:rFonts w:hint="eastAsia" w:ascii="仿宋" w:hAnsi="仿宋" w:eastAsia="仿宋" w:cs="仿宋"/>
          <w:szCs w:val="21"/>
          <w:highlight w:val="none"/>
          <w:u w:val="single"/>
        </w:rPr>
        <w:br w:type="page"/>
      </w:r>
    </w:p>
    <w:bookmarkEnd w:id="52"/>
    <w:bookmarkEnd w:id="53"/>
    <w:p w14:paraId="34C3C2EA">
      <w:pPr>
        <w:pStyle w:val="2"/>
        <w:adjustRightInd w:val="0"/>
        <w:snapToGrid w:val="0"/>
        <w:spacing w:before="319" w:beforeLines="100" w:after="319" w:afterLines="100" w:line="360" w:lineRule="auto"/>
        <w:jc w:val="center"/>
        <w:rPr>
          <w:rFonts w:hint="eastAsia" w:ascii="仿宋" w:hAnsi="仿宋" w:eastAsia="仿宋" w:cs="仿宋"/>
          <w:highlight w:val="none"/>
        </w:rPr>
      </w:pPr>
      <w:bookmarkStart w:id="88" w:name="_Toc4485643"/>
      <w:bookmarkStart w:id="89" w:name="_Toc15891"/>
      <w:r>
        <w:rPr>
          <w:rFonts w:hint="eastAsia" w:ascii="仿宋" w:hAnsi="仿宋" w:eastAsia="仿宋" w:cs="仿宋"/>
          <w:highlight w:val="none"/>
        </w:rPr>
        <w:t>第三章  服务需求</w:t>
      </w:r>
      <w:bookmarkEnd w:id="88"/>
      <w:bookmarkEnd w:id="89"/>
    </w:p>
    <w:p w14:paraId="55195FFA">
      <w:pPr>
        <w:spacing w:line="360" w:lineRule="auto"/>
        <w:ind w:firstLine="422" w:firstLineChars="200"/>
        <w:rPr>
          <w:rFonts w:hint="eastAsia" w:ascii="仿宋" w:hAnsi="仿宋" w:eastAsia="仿宋" w:cs="仿宋"/>
          <w:szCs w:val="21"/>
          <w:highlight w:val="none"/>
        </w:rPr>
      </w:pPr>
      <w:r>
        <w:rPr>
          <w:rFonts w:hint="eastAsia" w:ascii="仿宋" w:hAnsi="仿宋" w:eastAsia="仿宋" w:cs="仿宋"/>
          <w:b/>
          <w:bCs/>
          <w:szCs w:val="21"/>
          <w:highlight w:val="none"/>
        </w:rPr>
        <w:t>一、项目名称</w:t>
      </w:r>
      <w:r>
        <w:rPr>
          <w:rFonts w:hint="eastAsia" w:ascii="仿宋" w:hAnsi="仿宋" w:eastAsia="仿宋" w:cs="仿宋"/>
          <w:szCs w:val="21"/>
          <w:highlight w:val="none"/>
        </w:rPr>
        <w:t>：鞍山市铁西区财政局</w:t>
      </w:r>
    </w:p>
    <w:p w14:paraId="4983D2E9">
      <w:pPr>
        <w:spacing w:line="360" w:lineRule="auto"/>
        <w:ind w:firstLine="422" w:firstLineChars="200"/>
        <w:rPr>
          <w:rFonts w:hint="eastAsia" w:ascii="仿宋" w:hAnsi="仿宋" w:eastAsia="仿宋" w:cs="仿宋"/>
          <w:szCs w:val="21"/>
          <w:highlight w:val="none"/>
        </w:rPr>
      </w:pPr>
      <w:r>
        <w:rPr>
          <w:rFonts w:hint="eastAsia" w:ascii="仿宋" w:hAnsi="仿宋" w:eastAsia="仿宋" w:cs="仿宋"/>
          <w:b/>
          <w:bCs/>
          <w:szCs w:val="21"/>
          <w:highlight w:val="none"/>
        </w:rPr>
        <w:t>二、项目地点</w:t>
      </w:r>
      <w:r>
        <w:rPr>
          <w:rFonts w:hint="eastAsia" w:ascii="仿宋" w:hAnsi="仿宋" w:eastAsia="仿宋" w:cs="仿宋"/>
          <w:szCs w:val="21"/>
          <w:highlight w:val="none"/>
        </w:rPr>
        <w:t>：采购人指定地点</w:t>
      </w:r>
    </w:p>
    <w:p w14:paraId="613F0D5C">
      <w:pPr>
        <w:spacing w:line="360" w:lineRule="auto"/>
        <w:ind w:firstLine="422" w:firstLineChars="200"/>
        <w:rPr>
          <w:rFonts w:hint="eastAsia" w:ascii="仿宋" w:hAnsi="仿宋" w:eastAsia="仿宋" w:cs="仿宋"/>
          <w:szCs w:val="21"/>
          <w:highlight w:val="none"/>
        </w:rPr>
      </w:pPr>
      <w:r>
        <w:rPr>
          <w:rFonts w:hint="eastAsia" w:ascii="仿宋" w:hAnsi="仿宋" w:eastAsia="仿宋" w:cs="仿宋"/>
          <w:b/>
          <w:bCs/>
          <w:szCs w:val="21"/>
          <w:highlight w:val="none"/>
        </w:rPr>
        <w:t>三、服务期限</w:t>
      </w:r>
      <w:r>
        <w:rPr>
          <w:rFonts w:hint="eastAsia" w:ascii="仿宋" w:hAnsi="仿宋" w:eastAsia="仿宋" w:cs="仿宋"/>
          <w:szCs w:val="21"/>
          <w:highlight w:val="none"/>
        </w:rPr>
        <w:t>：合同签订后</w:t>
      </w:r>
      <w:r>
        <w:rPr>
          <w:rFonts w:ascii="仿宋" w:hAnsi="仿宋" w:eastAsia="仿宋" w:cs="仿宋"/>
          <w:szCs w:val="21"/>
          <w:highlight w:val="none"/>
        </w:rPr>
        <w:t>2个月</w:t>
      </w:r>
      <w:r>
        <w:rPr>
          <w:rFonts w:hint="eastAsia" w:ascii="仿宋" w:hAnsi="仿宋" w:eastAsia="仿宋" w:cs="仿宋"/>
          <w:szCs w:val="21"/>
          <w:highlight w:val="none"/>
        </w:rPr>
        <w:t>（具体时间以合同签订为准）</w:t>
      </w:r>
    </w:p>
    <w:p w14:paraId="4AF05EA9">
      <w:pPr>
        <w:spacing w:line="360" w:lineRule="auto"/>
        <w:ind w:firstLine="422" w:firstLineChars="200"/>
        <w:rPr>
          <w:rFonts w:hint="eastAsia" w:ascii="仿宋" w:hAnsi="仿宋" w:eastAsia="仿宋" w:cs="仿宋"/>
          <w:szCs w:val="21"/>
          <w:highlight w:val="none"/>
        </w:rPr>
      </w:pPr>
      <w:r>
        <w:rPr>
          <w:rFonts w:hint="eastAsia" w:ascii="仿宋" w:hAnsi="仿宋" w:eastAsia="仿宋" w:cs="仿宋"/>
          <w:b/>
          <w:bCs/>
          <w:szCs w:val="21"/>
          <w:highlight w:val="none"/>
        </w:rPr>
        <w:t>四、付款方式</w:t>
      </w:r>
      <w:r>
        <w:rPr>
          <w:rFonts w:hint="eastAsia" w:ascii="仿宋" w:hAnsi="仿宋" w:eastAsia="仿宋" w:cs="仿宋"/>
          <w:szCs w:val="21"/>
          <w:highlight w:val="none"/>
        </w:rPr>
        <w:t xml:space="preserve">： </w:t>
      </w:r>
      <w:r>
        <w:rPr>
          <w:rFonts w:ascii="仿宋" w:hAnsi="仿宋" w:eastAsia="仿宋" w:cs="仿宋"/>
          <w:szCs w:val="21"/>
          <w:highlight w:val="none"/>
        </w:rPr>
        <w:t>合同签订</w:t>
      </w:r>
      <w:r>
        <w:rPr>
          <w:rFonts w:hint="eastAsia" w:ascii="仿宋" w:hAnsi="仿宋" w:eastAsia="仿宋" w:cs="仿宋"/>
          <w:szCs w:val="21"/>
          <w:highlight w:val="none"/>
        </w:rPr>
        <w:t>后支付预付款</w:t>
      </w:r>
      <w:r>
        <w:rPr>
          <w:rFonts w:ascii="仿宋" w:hAnsi="仿宋" w:eastAsia="仿宋" w:cs="仿宋"/>
          <w:szCs w:val="21"/>
          <w:highlight w:val="none"/>
        </w:rPr>
        <w:t>30%，项目建设完成</w:t>
      </w:r>
      <w:r>
        <w:rPr>
          <w:rFonts w:hint="eastAsia" w:ascii="仿宋" w:hAnsi="仿宋" w:eastAsia="仿宋" w:cs="仿宋"/>
          <w:szCs w:val="21"/>
          <w:highlight w:val="none"/>
        </w:rPr>
        <w:t>支付合同金额</w:t>
      </w:r>
      <w:r>
        <w:rPr>
          <w:rFonts w:ascii="仿宋" w:hAnsi="仿宋" w:eastAsia="仿宋" w:cs="仿宋"/>
          <w:szCs w:val="21"/>
          <w:highlight w:val="none"/>
        </w:rPr>
        <w:t>30%，试用期两个月后</w:t>
      </w:r>
      <w:r>
        <w:rPr>
          <w:rFonts w:hint="eastAsia" w:ascii="仿宋" w:hAnsi="仿宋" w:eastAsia="仿宋" w:cs="仿宋"/>
          <w:szCs w:val="21"/>
          <w:highlight w:val="none"/>
        </w:rPr>
        <w:t>支付合同金额</w:t>
      </w:r>
      <w:r>
        <w:rPr>
          <w:rFonts w:ascii="仿宋" w:hAnsi="仿宋" w:eastAsia="仿宋" w:cs="仿宋"/>
          <w:szCs w:val="21"/>
          <w:highlight w:val="none"/>
        </w:rPr>
        <w:t>30%，合同签订半年后</w:t>
      </w:r>
      <w:r>
        <w:rPr>
          <w:rFonts w:hint="eastAsia" w:ascii="仿宋" w:hAnsi="仿宋" w:eastAsia="仿宋" w:cs="仿宋"/>
          <w:szCs w:val="21"/>
          <w:highlight w:val="none"/>
        </w:rPr>
        <w:t>且</w:t>
      </w:r>
      <w:r>
        <w:rPr>
          <w:rFonts w:ascii="仿宋" w:hAnsi="仿宋" w:eastAsia="仿宋" w:cs="仿宋"/>
          <w:szCs w:val="21"/>
          <w:highlight w:val="none"/>
        </w:rPr>
        <w:t>项目</w:t>
      </w:r>
      <w:r>
        <w:rPr>
          <w:rFonts w:hint="eastAsia" w:ascii="仿宋" w:hAnsi="仿宋" w:eastAsia="仿宋" w:cs="仿宋"/>
          <w:szCs w:val="21"/>
          <w:highlight w:val="none"/>
        </w:rPr>
        <w:t>履约</w:t>
      </w:r>
      <w:r>
        <w:rPr>
          <w:rFonts w:ascii="仿宋" w:hAnsi="仿宋" w:eastAsia="仿宋" w:cs="仿宋"/>
          <w:szCs w:val="21"/>
          <w:highlight w:val="none"/>
        </w:rPr>
        <w:t>验收完成</w:t>
      </w:r>
      <w:r>
        <w:rPr>
          <w:rFonts w:hint="eastAsia" w:ascii="仿宋" w:hAnsi="仿宋" w:eastAsia="仿宋" w:cs="仿宋"/>
          <w:szCs w:val="21"/>
          <w:highlight w:val="none"/>
        </w:rPr>
        <w:t>支付合同金额</w:t>
      </w:r>
      <w:r>
        <w:rPr>
          <w:rFonts w:ascii="仿宋" w:hAnsi="仿宋" w:eastAsia="仿宋" w:cs="仿宋"/>
          <w:szCs w:val="21"/>
          <w:highlight w:val="none"/>
        </w:rPr>
        <w:t>10%。</w:t>
      </w:r>
    </w:p>
    <w:p w14:paraId="026C43E1">
      <w:pPr>
        <w:spacing w:line="360" w:lineRule="auto"/>
        <w:ind w:firstLine="422" w:firstLineChars="200"/>
        <w:rPr>
          <w:rFonts w:hint="eastAsia" w:ascii="仿宋" w:hAnsi="仿宋" w:eastAsia="仿宋" w:cs="仿宋"/>
          <w:szCs w:val="21"/>
          <w:highlight w:val="none"/>
        </w:rPr>
      </w:pPr>
      <w:r>
        <w:rPr>
          <w:rFonts w:hint="eastAsia" w:ascii="仿宋" w:hAnsi="仿宋" w:eastAsia="仿宋" w:cs="仿宋"/>
          <w:b/>
          <w:bCs/>
          <w:szCs w:val="21"/>
          <w:highlight w:val="none"/>
        </w:rPr>
        <w:t>五、最高限价</w:t>
      </w:r>
      <w:r>
        <w:rPr>
          <w:rFonts w:hint="eastAsia" w:ascii="仿宋" w:hAnsi="仿宋" w:eastAsia="仿宋" w:cs="仿宋"/>
          <w:szCs w:val="21"/>
          <w:highlight w:val="none"/>
        </w:rPr>
        <w:t>：180万元</w:t>
      </w:r>
    </w:p>
    <w:p w14:paraId="0E74B0FC">
      <w:pPr>
        <w:spacing w:line="360" w:lineRule="auto"/>
        <w:ind w:firstLine="422" w:firstLineChars="200"/>
        <w:rPr>
          <w:rFonts w:hint="eastAsia" w:ascii="仿宋" w:hAnsi="仿宋" w:eastAsia="仿宋" w:cs="仿宋"/>
          <w:b/>
          <w:bCs/>
          <w:szCs w:val="21"/>
          <w:highlight w:val="none"/>
        </w:rPr>
      </w:pPr>
      <w:r>
        <w:rPr>
          <w:rFonts w:hint="eastAsia" w:ascii="仿宋" w:hAnsi="仿宋" w:eastAsia="仿宋" w:cs="仿宋"/>
          <w:b/>
          <w:bCs/>
          <w:szCs w:val="21"/>
          <w:highlight w:val="none"/>
        </w:rPr>
        <w:t>六、服务需求</w:t>
      </w:r>
    </w:p>
    <w:p w14:paraId="2DB66767">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通过建设大数据协税管控平台，从实际业务场景出发，采用互联网+等手段，联合各级行政管理部门、财税系统及企业主体等，通过数据汇聚、智能预测、算法研发、模型设计和产品应用，整合各方面涉税数据源，打通财政、税务等各委办局间的数据壁垒，实现政府各级部门信息互通共享。全方位实时监控辖区内各行业的纳税人实际经营情况，并实时推送可视化图谱至各级财政机关，确保税收收入及时足额缴入国库。大数据协税管控平台要求如下：</w:t>
      </w:r>
    </w:p>
    <w:p w14:paraId="49A99935">
      <w:pPr>
        <w:spacing w:line="360" w:lineRule="auto"/>
        <w:ind w:firstLine="424" w:firstLineChars="202"/>
        <w:rPr>
          <w:rFonts w:hint="eastAsia" w:ascii="仿宋" w:hAnsi="仿宋" w:eastAsia="仿宋" w:cs="仿宋"/>
          <w:color w:val="000000"/>
          <w:kern w:val="0"/>
          <w:szCs w:val="21"/>
          <w:highlight w:val="none"/>
          <w:lang w:bidi="ar"/>
        </w:rPr>
      </w:pPr>
      <w:bookmarkStart w:id="90" w:name="_Toc4485644"/>
      <w:r>
        <w:rPr>
          <w:rFonts w:hint="eastAsia" w:ascii="仿宋" w:hAnsi="仿宋" w:eastAsia="仿宋" w:cs="仿宋"/>
          <w:color w:val="000000"/>
          <w:kern w:val="0"/>
          <w:szCs w:val="21"/>
          <w:highlight w:val="none"/>
          <w:lang w:bidi="ar"/>
        </w:rPr>
        <w:t>1、统一系统管理</w:t>
      </w:r>
    </w:p>
    <w:p w14:paraId="0A676857">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（1）登录登出功能：提供多角色权限登录机制，确保系统访问安全，并在主页面提供明确的登出操作入口。</w:t>
      </w:r>
    </w:p>
    <w:p w14:paraId="3C1A7C2A">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（2）权限组管理：建立灵活的权限组机制，支持权限组的增加、修改、删除及细致的功能权限分配。</w:t>
      </w:r>
    </w:p>
    <w:p w14:paraId="5F1A37B0">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（3）管理员账号管理：实现权限组下管理员账号的精细化管理，支持按用户名搜索、账号的增删改操作，并设定超级管理员为受保护账号，禁止修改与删除。</w:t>
      </w:r>
    </w:p>
    <w:p w14:paraId="0BD75260">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（4）系统日志管理：提供全面的系统日志管理，支持查看各账号的操作记录（含管理员名、操作内容、IP、时间等），可按管理员名搜索，并支持日志的删除与批量删除。</w:t>
      </w:r>
    </w:p>
    <w:p w14:paraId="5E7FF4E1">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5）系统配置与辅助：实现对全系统的全局配置，包括网站基本信息（如系统名称、域名、邮箱）、上传参数及文件类型限制等。同时集成建议反馈、版本公告、产品手册等辅助功能，便于用户与开发维护团队之间的协作。</w:t>
      </w:r>
    </w:p>
    <w:p w14:paraId="6DE24AEE">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2、多源数据整合</w:t>
      </w:r>
    </w:p>
    <w:p w14:paraId="1D617B95">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（1）数据交换任务创建：支持根据所选系统（包含预测、治税、审计、财政四个系统）、所选行业、所选模型、截止时间及起止年份等参数，一键创建数据交换任务。</w:t>
      </w:r>
    </w:p>
    <w:p w14:paraId="3FCEC4FE">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（2）任务派发与管理：任务创建后，系统应能自动依据模型为相关委办局生成待办任务，并支持管理员向指定委办局账号进行任务派发。同时，需提供任务相关申请文件的上传功能，完善任务派发的前置流程。</w:t>
      </w:r>
    </w:p>
    <w:p w14:paraId="7A681126">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3）数据交换：支持在数据交换时，实现基于用户权限的差异化数据内容展示，确保数据安全与隔离。同时需支持两种主流数据交换模式。接口传输模式需经过委办局任务审核后方可自动进行数据同步；文件上传模式则需提供标准模板下载与手动文件上传功能，以适应不同数据源的特点。</w:t>
      </w:r>
    </w:p>
    <w:p w14:paraId="0566C696">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（4）数据审查与复核：提供任务完成情况的直观展示，并赋予财政局管理员账号数据审查权限，对已完成交换的任务数据进行复核，确保数据准确性。</w:t>
      </w:r>
    </w:p>
    <w:p w14:paraId="52DD0BA2">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（5）核心数据处理与加密：将多源数据端提供的数据进行本地化计算清洗、加工后，生成基础指标和中间参数值。再对数据进行加密，中心计算系统生成中间参数值并进行存储。</w:t>
      </w:r>
    </w:p>
    <w:p w14:paraId="051426F6">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（6）中央数据枢纽：对已经清洗加工的数据，进行数据加密，存储至中央数据枢纽。各系统调用所需数据，需要根据基础统计指标，在中央数据枢纽进行数据调用和解密，从而快速的调用所需数据。</w:t>
      </w:r>
    </w:p>
    <w:p w14:paraId="71276E6D">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3、财政预测系统</w:t>
      </w:r>
    </w:p>
    <w:p w14:paraId="10C43B3E">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（1）预测模型库：系统需内置不少于5种预测模型（如时间序列模型、变量回归模型等），以支持财政收入与税收收入的科学预测。</w:t>
      </w:r>
    </w:p>
    <w:p w14:paraId="532185E0">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2）预测任务管理：系统必需支持灵活创建预测任务，允许用户选择任务分类并自由组合预测模型（每个任务可选择1个或多个模型）。任务创建后，可一键跳转至预测系统进行预测。该预测系统必需支持单个或多个模型并行预测与比对，即能够对同一预测目标（如财政收入）使用多个模型同步进行计算，并将不同模型的预测结果进行集中展示与对比分析，为决策提供多视角的科学依据。</w:t>
      </w:r>
    </w:p>
    <w:p w14:paraId="4819BFBC">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3）财政收入预测展示：展示基于多种模型的财政收入预测结果，并进行对比分析；提供全面的财政指标分析与展示，内容包括但不限于：财政收入分项预测、财政收入与支出趋势分析图、支出结构合理性预测、当年预测与实际完成情况对比及影响因素分析、财政政策与年度预算对比、重点行业目标达成率分析。</w:t>
      </w:r>
    </w:p>
    <w:p w14:paraId="1EDD7594">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4）税收收入预测展示：展示基于多种模型的税收收入预测结果，支持全行业及特定多行业的税收预测；以表格、图表等多种形式直观展示往年税收数据与预测结果，支持按行业进行历史与预测趋势的图表化查询；提供预测数据与当年实际税收数据的差异分析功能，辅助研判预测准确性。</w:t>
      </w:r>
    </w:p>
    <w:p w14:paraId="30F45FEB">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（5）行业选取建议：系统能够综合行业税收预测结果、历史数据及当地实际情况，自动生成初始行业选取推荐清单；用户可对系统推荐的行业进行审阅，并通过点击操作确认采纳或忽略建议。</w:t>
      </w:r>
    </w:p>
    <w:p w14:paraId="2A109A35">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4、综合治税系统</w:t>
      </w:r>
    </w:p>
    <w:p w14:paraId="59F8A2F1">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1）多源数据采集：实现从互联网平台获取住宿、驾校等销售行业的产品价格信息，整合纳税人名称、行业、平台名称及产品单价，为风险评估提供数据基础；实现对零售行业在互联网平台的销售数据获取与整合，信息包括纳税人名称、平台名称、月/季度销售总额及产品明细（含产品名称、单价、数量）。支持补充录入各类线下数据，包括但不限于通过银行接口、硬件设备等渠道获取的数据。</w:t>
      </w:r>
    </w:p>
    <w:p w14:paraId="328FE087">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（2）数据维护与关联：提供数据维护工具，可将存在差异的数据进行关联匹配，以减少误差，并支持对已入库纳税人进行手动关联操作。</w:t>
      </w:r>
    </w:p>
    <w:p w14:paraId="54A560E0">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（3）发票信息管理：对税务局提供的发票信息进行统一管理，展示各企业发票详情，并对同行业中发票金额异常的企业进行红色标识警示。</w:t>
      </w:r>
    </w:p>
    <w:p w14:paraId="6782564D">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4）行业单价计算与维护：通过大数据计算与整合，为模型企业计算出其产品月或年度单价，供后续模型分析使用；提供行业产品单价的维护功能，支持按项目名称、类别进行搜索，并可对价格数据进行增加、修改和删除操作。</w:t>
      </w:r>
    </w:p>
    <w:p w14:paraId="0E35BB84">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（5）行业风险模型管理：系统需要集中展示所有行业及模型信息，包括行业分类、行业名称、模型名称及其重要等级；须内置并展示4种真实有效的模型种类，并提供每种模型的详细说明。</w:t>
      </w:r>
    </w:p>
    <w:p w14:paraId="3E676DE0">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6）行业风险计算：系统需要展示多个行业及相应模型，每个行业提供至少2种成熟的模型计算方法，起到结果相互佐证的效果。能基于已完成的数据交换任务，生成以年为单位的任务统计，并提供按钮触发后台自动完成数据汇总、计算至结果生成的全流程；若流程中断，需提供问题原因查询机制。</w:t>
      </w:r>
    </w:p>
    <w:p w14:paraId="20EF09B0">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7）风险评估信息展示：展示由行业经营监控计算生成的风险纳税人名单，名单信息需包含纳税人名称、年份、月份、系统计算收入、自行申报收入及风险差值；提供增值税、企业所得税、个人所得税及滞纳金等风险数据的详细展示。</w:t>
      </w:r>
    </w:p>
    <w:p w14:paraId="0D535A37">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8）风险信息反馈：系统必需提供至少两种高效、灵活的风险信息反馈机制。其一为系统内闭环反馈：税务局账号可查看全部风险纳税人名单或单个纳税人的详细风险数据（需按月份/季度清晰区分），并能够在线直接反馈核查结果与处理意见。其二为线下协同反馈：支持按不同行业模型分类，一键生成与线上数据完全一致的Excel格式风险报告，供税务局下载后用于线下传递、核查与反馈，满足多种工作场景需求。</w:t>
      </w:r>
    </w:p>
    <w:p w14:paraId="51B8A913">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（9）风险二次核查：对委办局反馈的风险名单进行二次回归计算，比对系统计算值与委办局核查值的差异；如委办局通过线下文件方式反馈，需提供电子文件的一键上传功能。</w:t>
      </w:r>
    </w:p>
    <w:p w14:paraId="343B277A">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（10）多功能报表：提供全面的报表查询与定制功能，支持用户任意设置查询条件、项目阶段并自定义表头，生成的报表方案可保存并供后续重复使用。</w:t>
      </w:r>
    </w:p>
    <w:p w14:paraId="5C664A89">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5、数智审计系统</w:t>
      </w:r>
    </w:p>
    <w:p w14:paraId="5B465417">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（1）风险分级配置：提供灵活的风险等级配置功能，支持定义低、中、高等多个风险级别，并可修改各等级对应的风险阈值。</w:t>
      </w:r>
    </w:p>
    <w:p w14:paraId="3414ECE5">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（2）核查任务再派发：风险评估后，支持基于新的分级结果再次创建核查任务并进行派发。</w:t>
      </w:r>
    </w:p>
    <w:p w14:paraId="21D0CE4E">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（3）实地审计辅助：提供可以辅助委办局工作人员将线下采集的纳税人的各类财税相关文件通过电子化方式快速上传文件至系统，便于后续审计工作的开展。</w:t>
      </w:r>
    </w:p>
    <w:p w14:paraId="62875A41">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4）大数据审计分析：基于大数据模型，能够从财务指标、营业收入、利润等多个关键维度，对纳税人财务报表的真实性进行深度核验与审计。系统需支持至少两种不同的分析模型，并通过丰富的视图和报表形式，直观、多维地呈现核验结果与异常点。确认企业财务数据真实有效后，需综合计算出企业各月/季度的营业收入。</w:t>
      </w:r>
    </w:p>
    <w:p w14:paraId="7D9E5A3C">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（5）模型审计分析：通过建立多种分析模型，综合计算企业的真实总体收入与线下收入；系统需内置不少于5种模型方法，利用不同数据来源进行交叉验证，以得出最接近企业真实经营收入的结果。</w:t>
      </w:r>
    </w:p>
    <w:p w14:paraId="3EF89BD8">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6、智慧财政系统</w:t>
      </w:r>
    </w:p>
    <w:p w14:paraId="627F849C">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（1）区域业绩总览：实现对指定县区或多个县区的关键信息进行汇总与集中展示，形成区域综合信息总览。</w:t>
      </w:r>
    </w:p>
    <w:p w14:paraId="510F3807">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（2）多维度汇总报表：支持按行业、税种、产业、街道等多个维度生成财政汇总报表；能实现任意两个维度的组合分析，并至少生成3张不同组合视角的报表供用户查看。</w:t>
      </w:r>
    </w:p>
    <w:p w14:paraId="4FE538D6">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3）企业信息查询：提供全面的企业入库信息查询功能，支持按行业、经济类型等条件进行查询；支持对异常纳税人信息进行单独筛选与查询；同时须支持基于入库信息进行多维度排名统计与查询，维度包括但不限于企业、行业、科目等。</w:t>
      </w:r>
    </w:p>
    <w:p w14:paraId="27C250D8">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4）日常办公功能：提供委办局各账号之间的内部消息发送与接收功能；提供内部内部审批功能，支持下级账号向上级领导账号发起审批申请；提供建立和查阅通知公告功能；提供线上资源库功能，用于保存文章、资料等电子文件，支持对上传文件进行加密，可为每个文件设定独立密码，其他账号下载加密文件需输入正确密码方可进行。</w:t>
      </w:r>
    </w:p>
    <w:p w14:paraId="64A445E8">
      <w:pPr>
        <w:spacing w:line="360" w:lineRule="auto"/>
        <w:ind w:firstLine="424" w:firstLineChars="202"/>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（5）双终端支持：智慧财政系统核心功能（1~3）需同时支持WEB端与APP端，确保用户能通过多种终端快速查看各类报表和信息。</w:t>
      </w:r>
    </w:p>
    <w:p w14:paraId="0D1AD483">
      <w:pPr>
        <w:rPr>
          <w:rFonts w:hint="eastAsia" w:ascii="仿宋" w:hAnsi="仿宋" w:eastAsia="仿宋" w:cs="仿宋"/>
          <w:highlight w:val="none"/>
        </w:rPr>
      </w:pPr>
      <w:r>
        <w:rPr>
          <w:rFonts w:hint="eastAsia" w:ascii="仿宋" w:hAnsi="仿宋" w:eastAsia="仿宋" w:cs="仿宋"/>
          <w:highlight w:val="none"/>
        </w:rPr>
        <w:br w:type="page"/>
      </w:r>
    </w:p>
    <w:p w14:paraId="59576966">
      <w:pPr>
        <w:pStyle w:val="2"/>
        <w:jc w:val="center"/>
        <w:rPr>
          <w:rFonts w:hint="eastAsia" w:ascii="仿宋" w:hAnsi="仿宋" w:eastAsia="仿宋" w:cs="仿宋"/>
          <w:highlight w:val="none"/>
        </w:rPr>
      </w:pPr>
      <w:bookmarkStart w:id="91" w:name="_Toc13473"/>
      <w:r>
        <w:rPr>
          <w:rFonts w:hint="eastAsia" w:ascii="仿宋" w:hAnsi="仿宋" w:eastAsia="仿宋" w:cs="仿宋"/>
          <w:highlight w:val="none"/>
        </w:rPr>
        <w:t>第四章 磋商内容、磋商过程中可能实质性变动的内容</w:t>
      </w:r>
      <w:bookmarkEnd w:id="90"/>
      <w:bookmarkEnd w:id="91"/>
    </w:p>
    <w:p w14:paraId="097356A9">
      <w:pP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 xml:space="preserve">    磋商小组根据与供应商磋商情况可能实质性变动的内容（不得变动采购文件中的其他内容）：</w:t>
      </w:r>
      <w:r>
        <w:rPr>
          <w:rFonts w:hint="eastAsia" w:ascii="仿宋" w:hAnsi="仿宋" w:eastAsia="仿宋" w:cs="仿宋"/>
          <w:highlight w:val="none"/>
        </w:rPr>
        <w:t>无</w:t>
      </w:r>
      <w:r>
        <w:rPr>
          <w:rFonts w:hint="eastAsia" w:ascii="仿宋" w:hAnsi="仿宋" w:eastAsia="仿宋" w:cs="仿宋"/>
          <w:bCs/>
          <w:kern w:val="0"/>
          <w:szCs w:val="21"/>
          <w:highlight w:val="none"/>
        </w:rPr>
        <w:t xml:space="preserve"> </w:t>
      </w:r>
    </w:p>
    <w:p w14:paraId="28D03463">
      <w:pPr>
        <w:rPr>
          <w:rFonts w:hint="eastAsia" w:ascii="仿宋" w:hAnsi="仿宋" w:eastAsia="仿宋" w:cs="仿宋"/>
          <w:bCs/>
          <w:kern w:val="0"/>
          <w:szCs w:val="21"/>
          <w:highlight w:val="none"/>
        </w:rPr>
      </w:pPr>
    </w:p>
    <w:p w14:paraId="56768D22">
      <w:pP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1、技术要求</w:t>
      </w:r>
    </w:p>
    <w:p w14:paraId="1D114305">
      <w:pP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w:t>
      </w:r>
    </w:p>
    <w:p w14:paraId="3A44DF59">
      <w:pPr>
        <w:numPr>
          <w:ilvl w:val="0"/>
          <w:numId w:val="3"/>
        </w:numP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服务要求</w:t>
      </w:r>
    </w:p>
    <w:p w14:paraId="7F392C93">
      <w:pP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w:t>
      </w:r>
    </w:p>
    <w:p w14:paraId="4F6FFC09">
      <w:pP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3、合同草案条款</w:t>
      </w:r>
    </w:p>
    <w:p w14:paraId="1624D032">
      <w:pPr>
        <w:rPr>
          <w:rFonts w:hint="eastAsia" w:ascii="仿宋" w:hAnsi="仿宋" w:eastAsia="仿宋" w:cs="仿宋"/>
          <w:highlight w:val="none"/>
        </w:rPr>
      </w:pPr>
      <w:r>
        <w:rPr>
          <w:rFonts w:hint="eastAsia" w:ascii="仿宋" w:hAnsi="仿宋" w:eastAsia="仿宋" w:cs="仿宋"/>
          <w:highlight w:val="none"/>
        </w:rPr>
        <w:t>……</w:t>
      </w:r>
    </w:p>
    <w:p w14:paraId="1D53C95C">
      <w:pPr>
        <w:rPr>
          <w:rFonts w:hint="eastAsia" w:ascii="仿宋" w:hAnsi="仿宋" w:eastAsia="仿宋" w:cs="仿宋"/>
          <w:highlight w:val="none"/>
        </w:rPr>
      </w:pPr>
    </w:p>
    <w:p w14:paraId="326094EE">
      <w:pPr>
        <w:rPr>
          <w:rFonts w:hint="eastAsia" w:ascii="仿宋" w:hAnsi="仿宋" w:eastAsia="仿宋" w:cs="仿宋"/>
          <w:highlight w:val="none"/>
        </w:rPr>
      </w:pPr>
    </w:p>
    <w:p w14:paraId="3E3E4561">
      <w:pPr>
        <w:rPr>
          <w:rFonts w:hint="eastAsia" w:ascii="仿宋" w:hAnsi="仿宋" w:eastAsia="仿宋" w:cs="仿宋"/>
          <w:highlight w:val="none"/>
        </w:rPr>
      </w:pPr>
    </w:p>
    <w:p w14:paraId="75F868AF">
      <w:pPr>
        <w:rPr>
          <w:rFonts w:hint="eastAsia" w:ascii="仿宋" w:hAnsi="仿宋" w:eastAsia="仿宋" w:cs="仿宋"/>
          <w:highlight w:val="none"/>
        </w:rPr>
      </w:pPr>
    </w:p>
    <w:p w14:paraId="55D50898">
      <w:pPr>
        <w:rPr>
          <w:rFonts w:hint="eastAsia" w:ascii="仿宋" w:hAnsi="仿宋" w:eastAsia="仿宋" w:cs="仿宋"/>
          <w:highlight w:val="none"/>
        </w:rPr>
      </w:pPr>
    </w:p>
    <w:p w14:paraId="68B79558">
      <w:pPr>
        <w:rPr>
          <w:rFonts w:hint="eastAsia" w:ascii="仿宋" w:hAnsi="仿宋" w:eastAsia="仿宋" w:cs="仿宋"/>
          <w:highlight w:val="none"/>
        </w:rPr>
      </w:pPr>
    </w:p>
    <w:p w14:paraId="65E940E9">
      <w:pPr>
        <w:rPr>
          <w:rFonts w:hint="eastAsia" w:ascii="仿宋" w:hAnsi="仿宋" w:eastAsia="仿宋" w:cs="仿宋"/>
          <w:highlight w:val="none"/>
        </w:rPr>
      </w:pPr>
    </w:p>
    <w:p w14:paraId="406C12B8">
      <w:pPr>
        <w:rPr>
          <w:rFonts w:hint="eastAsia" w:ascii="仿宋" w:hAnsi="仿宋" w:eastAsia="仿宋" w:cs="仿宋"/>
          <w:bCs/>
          <w:kern w:val="0"/>
          <w:szCs w:val="21"/>
          <w:highlight w:val="none"/>
        </w:rPr>
      </w:pPr>
      <w:r>
        <w:rPr>
          <w:rFonts w:hint="eastAsia" w:ascii="仿宋" w:hAnsi="仿宋" w:eastAsia="仿宋" w:cs="仿宋"/>
          <w:bCs/>
          <w:kern w:val="0"/>
          <w:szCs w:val="21"/>
          <w:highlight w:val="none"/>
        </w:rPr>
        <w:t>注：采购人不同意采购文件在磋商过程中有任何变动的，直接写无，实质性变动的内容，须经采购人代表确认。</w:t>
      </w:r>
    </w:p>
    <w:p w14:paraId="0D170226">
      <w:pPr>
        <w:widowControl/>
        <w:jc w:val="left"/>
        <w:rPr>
          <w:rFonts w:hint="eastAsia" w:ascii="仿宋" w:hAnsi="仿宋" w:eastAsia="仿宋" w:cs="仿宋"/>
          <w:highlight w:val="none"/>
        </w:rPr>
      </w:pPr>
    </w:p>
    <w:p w14:paraId="46BA3576">
      <w:pPr>
        <w:pStyle w:val="2"/>
        <w:jc w:val="center"/>
        <w:rPr>
          <w:rFonts w:hint="eastAsia" w:ascii="仿宋" w:hAnsi="仿宋" w:eastAsia="仿宋" w:cs="仿宋"/>
          <w:highlight w:val="none"/>
        </w:rPr>
      </w:pPr>
      <w:bookmarkStart w:id="92" w:name="_Toc4485645"/>
      <w:r>
        <w:rPr>
          <w:rFonts w:hint="eastAsia" w:ascii="仿宋" w:hAnsi="仿宋" w:eastAsia="仿宋" w:cs="仿宋"/>
          <w:highlight w:val="none"/>
        </w:rPr>
        <w:br w:type="page"/>
      </w:r>
      <w:bookmarkStart w:id="93" w:name="_Toc25286"/>
      <w:r>
        <w:rPr>
          <w:rFonts w:hint="eastAsia" w:ascii="仿宋" w:hAnsi="仿宋" w:eastAsia="仿宋" w:cs="仿宋"/>
          <w:highlight w:val="none"/>
        </w:rPr>
        <w:t>第五章 评审办法</w:t>
      </w:r>
      <w:bookmarkEnd w:id="92"/>
      <w:bookmarkEnd w:id="93"/>
    </w:p>
    <w:p w14:paraId="70A1B88C">
      <w:pPr>
        <w:adjustRightInd w:val="0"/>
        <w:snapToGrid w:val="0"/>
        <w:spacing w:line="360" w:lineRule="auto"/>
        <w:ind w:firstLine="420" w:firstLineChars="200"/>
        <w:rPr>
          <w:rFonts w:hint="eastAsia" w:ascii="仿宋" w:hAnsi="仿宋" w:eastAsia="仿宋" w:cs="仿宋"/>
          <w:bCs/>
          <w:kern w:val="0"/>
          <w:szCs w:val="21"/>
          <w:highlight w:val="none"/>
        </w:rPr>
      </w:pPr>
      <w:r>
        <w:rPr>
          <w:rFonts w:hint="eastAsia" w:ascii="仿宋" w:hAnsi="仿宋" w:eastAsia="仿宋" w:cs="仿宋"/>
          <w:bCs/>
          <w:kern w:val="0"/>
          <w:szCs w:val="21"/>
          <w:highlight w:val="none"/>
        </w:rPr>
        <w:t>本项目将按照采购文件第一章供应商须知中“六 磋商及评审”、“七 确定成交”及本章的规定评审。</w:t>
      </w:r>
    </w:p>
    <w:p w14:paraId="0731B40C">
      <w:pPr>
        <w:adjustRightInd w:val="0"/>
        <w:snapToGrid w:val="0"/>
        <w:spacing w:line="360" w:lineRule="auto"/>
        <w:ind w:firstLine="422" w:firstLineChars="200"/>
        <w:rPr>
          <w:rFonts w:hint="eastAsia" w:ascii="仿宋" w:hAnsi="仿宋" w:eastAsia="仿宋" w:cs="仿宋"/>
          <w:b/>
          <w:kern w:val="0"/>
          <w:szCs w:val="21"/>
          <w:highlight w:val="none"/>
        </w:rPr>
      </w:pPr>
      <w:r>
        <w:rPr>
          <w:rFonts w:hint="eastAsia" w:ascii="仿宋" w:hAnsi="仿宋" w:eastAsia="仿宋" w:cs="仿宋"/>
          <w:b/>
          <w:kern w:val="0"/>
          <w:szCs w:val="21"/>
          <w:highlight w:val="none"/>
        </w:rPr>
        <w:t>一、评审方法</w:t>
      </w:r>
    </w:p>
    <w:p w14:paraId="18D4D41A">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本项目采用</w:t>
      </w:r>
      <w:r>
        <w:rPr>
          <w:rFonts w:hint="eastAsia" w:ascii="仿宋" w:hAnsi="仿宋" w:eastAsia="仿宋" w:cs="仿宋"/>
          <w:kern w:val="0"/>
          <w:szCs w:val="21"/>
          <w:highlight w:val="none"/>
          <w:u w:val="single"/>
        </w:rPr>
        <w:t xml:space="preserve">     综合评分法     </w:t>
      </w:r>
      <w:r>
        <w:rPr>
          <w:rFonts w:hint="eastAsia" w:ascii="仿宋" w:hAnsi="仿宋" w:eastAsia="仿宋" w:cs="仿宋"/>
          <w:kern w:val="0"/>
          <w:szCs w:val="21"/>
          <w:highlight w:val="none"/>
        </w:rPr>
        <w:t>进行</w:t>
      </w:r>
      <w:r>
        <w:rPr>
          <w:rFonts w:hint="eastAsia" w:ascii="仿宋" w:hAnsi="仿宋" w:eastAsia="仿宋" w:cs="仿宋"/>
          <w:bCs/>
          <w:kern w:val="0"/>
          <w:szCs w:val="21"/>
          <w:highlight w:val="none"/>
        </w:rPr>
        <w:t>评审</w:t>
      </w:r>
      <w:r>
        <w:rPr>
          <w:rFonts w:hint="eastAsia" w:ascii="仿宋" w:hAnsi="仿宋" w:eastAsia="仿宋" w:cs="仿宋"/>
          <w:kern w:val="0"/>
          <w:szCs w:val="21"/>
          <w:highlight w:val="none"/>
        </w:rPr>
        <w:t>。</w:t>
      </w:r>
    </w:p>
    <w:p w14:paraId="37D9B593">
      <w:pPr>
        <w:adjustRightInd w:val="0"/>
        <w:snapToGrid w:val="0"/>
        <w:spacing w:line="360" w:lineRule="auto"/>
        <w:ind w:firstLine="422" w:firstLineChars="200"/>
        <w:textAlignment w:val="baseline"/>
        <w:rPr>
          <w:rFonts w:hint="eastAsia" w:ascii="仿宋" w:hAnsi="仿宋" w:eastAsia="仿宋" w:cs="仿宋"/>
          <w:b/>
          <w:kern w:val="0"/>
          <w:szCs w:val="21"/>
          <w:highlight w:val="none"/>
        </w:rPr>
      </w:pPr>
      <w:r>
        <w:rPr>
          <w:rFonts w:hint="eastAsia" w:ascii="仿宋" w:hAnsi="仿宋" w:eastAsia="仿宋" w:cs="仿宋"/>
          <w:b/>
          <w:kern w:val="0"/>
          <w:szCs w:val="21"/>
          <w:highlight w:val="none"/>
        </w:rPr>
        <w:t>二、评审原则及程序</w:t>
      </w:r>
    </w:p>
    <w:p w14:paraId="361790DC">
      <w:pPr>
        <w:adjustRightInd w:val="0"/>
        <w:snapToGrid w:val="0"/>
        <w:spacing w:line="360" w:lineRule="auto"/>
        <w:ind w:firstLine="422" w:firstLineChars="200"/>
        <w:textAlignment w:val="baseline"/>
        <w:rPr>
          <w:rFonts w:hint="eastAsia" w:ascii="仿宋" w:hAnsi="仿宋" w:eastAsia="仿宋" w:cs="仿宋"/>
          <w:b/>
          <w:kern w:val="0"/>
          <w:szCs w:val="21"/>
          <w:highlight w:val="none"/>
        </w:rPr>
      </w:pPr>
      <w:r>
        <w:rPr>
          <w:rFonts w:hint="eastAsia" w:ascii="仿宋" w:hAnsi="仿宋" w:eastAsia="仿宋" w:cs="仿宋"/>
          <w:b/>
          <w:kern w:val="0"/>
          <w:szCs w:val="21"/>
          <w:highlight w:val="none"/>
        </w:rPr>
        <w:t>（一）评审原则</w:t>
      </w:r>
    </w:p>
    <w:p w14:paraId="411D1433">
      <w:pPr>
        <w:adjustRightInd w:val="0"/>
        <w:snapToGrid w:val="0"/>
        <w:spacing w:line="360" w:lineRule="auto"/>
        <w:ind w:firstLine="420" w:firstLineChars="200"/>
        <w:textAlignment w:val="baseline"/>
        <w:rPr>
          <w:rFonts w:hint="eastAsia" w:ascii="仿宋" w:hAnsi="仿宋" w:eastAsia="仿宋" w:cs="仿宋"/>
          <w:kern w:val="0"/>
          <w:highlight w:val="none"/>
        </w:rPr>
      </w:pPr>
      <w:r>
        <w:rPr>
          <w:rFonts w:hint="eastAsia" w:ascii="仿宋" w:hAnsi="仿宋" w:eastAsia="仿宋" w:cs="仿宋"/>
          <w:kern w:val="0"/>
          <w:highlight w:val="none"/>
        </w:rPr>
        <w:t>磋商小组应当按照客观、公正、审慎的原则，根据采购文件规定的评审程序、评审办法和评审标准进行独立评审。采购文件内容违反国家有关强制性规定的，磋商小组应当停止评审并向采购人或者采购代理机构说明情况。</w:t>
      </w:r>
    </w:p>
    <w:p w14:paraId="139CBEEC">
      <w:pPr>
        <w:adjustRightInd w:val="0"/>
        <w:snapToGrid w:val="0"/>
        <w:spacing w:line="360" w:lineRule="auto"/>
        <w:ind w:firstLine="422" w:firstLineChars="200"/>
        <w:textAlignment w:val="baseline"/>
        <w:rPr>
          <w:rFonts w:hint="eastAsia" w:ascii="仿宋" w:hAnsi="仿宋" w:eastAsia="仿宋" w:cs="仿宋"/>
          <w:b/>
          <w:kern w:val="0"/>
          <w:szCs w:val="21"/>
          <w:highlight w:val="none"/>
        </w:rPr>
      </w:pPr>
      <w:r>
        <w:rPr>
          <w:rFonts w:hint="eastAsia" w:ascii="仿宋" w:hAnsi="仿宋" w:eastAsia="仿宋" w:cs="仿宋"/>
          <w:b/>
          <w:kern w:val="0"/>
          <w:szCs w:val="21"/>
          <w:highlight w:val="none"/>
        </w:rPr>
        <w:t>（二）评审程序</w:t>
      </w:r>
    </w:p>
    <w:p w14:paraId="7F5527C4">
      <w:pPr>
        <w:adjustRightInd w:val="0"/>
        <w:snapToGrid w:val="0"/>
        <w:spacing w:line="360" w:lineRule="auto"/>
        <w:ind w:firstLine="422" w:firstLineChars="200"/>
        <w:textAlignment w:val="baseline"/>
        <w:rPr>
          <w:rFonts w:hint="eastAsia" w:ascii="仿宋" w:hAnsi="仿宋" w:eastAsia="仿宋" w:cs="仿宋"/>
          <w:b/>
          <w:kern w:val="0"/>
          <w:szCs w:val="21"/>
          <w:highlight w:val="none"/>
        </w:rPr>
      </w:pPr>
      <w:r>
        <w:rPr>
          <w:rFonts w:hint="eastAsia" w:ascii="仿宋" w:hAnsi="仿宋" w:eastAsia="仿宋" w:cs="仿宋"/>
          <w:b/>
          <w:kern w:val="0"/>
          <w:szCs w:val="21"/>
          <w:highlight w:val="none"/>
        </w:rPr>
        <w:t>1、资格审查</w:t>
      </w:r>
    </w:p>
    <w:p w14:paraId="00E387B6">
      <w:pPr>
        <w:adjustRightInd w:val="0"/>
        <w:snapToGrid w:val="0"/>
        <w:spacing w:line="360" w:lineRule="auto"/>
        <w:ind w:firstLine="420" w:firstLineChars="200"/>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详见供应商须知22条。资格审查表详见本章附件1。</w:t>
      </w:r>
    </w:p>
    <w:p w14:paraId="33DA0E2F">
      <w:pPr>
        <w:numPr>
          <w:ilvl w:val="0"/>
          <w:numId w:val="4"/>
        </w:numPr>
        <w:adjustRightInd w:val="0"/>
        <w:snapToGrid w:val="0"/>
        <w:spacing w:line="360" w:lineRule="auto"/>
        <w:ind w:firstLine="422" w:firstLineChars="200"/>
        <w:textAlignment w:val="baseline"/>
        <w:rPr>
          <w:rFonts w:hint="eastAsia" w:ascii="仿宋" w:hAnsi="仿宋" w:eastAsia="仿宋" w:cs="仿宋"/>
          <w:b/>
          <w:bCs/>
          <w:kern w:val="0"/>
          <w:szCs w:val="21"/>
          <w:highlight w:val="none"/>
        </w:rPr>
      </w:pPr>
      <w:r>
        <w:rPr>
          <w:rFonts w:hint="eastAsia" w:ascii="仿宋" w:hAnsi="仿宋" w:eastAsia="仿宋" w:cs="仿宋"/>
          <w:b/>
          <w:bCs/>
          <w:kern w:val="0"/>
          <w:szCs w:val="21"/>
          <w:highlight w:val="none"/>
        </w:rPr>
        <w:t>符合性审查</w:t>
      </w:r>
    </w:p>
    <w:p w14:paraId="4F5EFC56">
      <w:pPr>
        <w:adjustRightInd w:val="0"/>
        <w:snapToGrid w:val="0"/>
        <w:spacing w:line="360" w:lineRule="auto"/>
        <w:ind w:firstLine="420" w:firstLineChars="200"/>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2.1详见供应商须知23条。符合性审查表详见本章附件2。</w:t>
      </w:r>
    </w:p>
    <w:p w14:paraId="0A035DBA">
      <w:pPr>
        <w:adjustRightInd w:val="0"/>
        <w:snapToGrid w:val="0"/>
        <w:spacing w:line="360" w:lineRule="auto"/>
        <w:ind w:firstLine="422" w:firstLineChars="200"/>
        <w:textAlignment w:val="baseline"/>
        <w:rPr>
          <w:rFonts w:hint="eastAsia" w:ascii="仿宋" w:hAnsi="仿宋" w:eastAsia="仿宋" w:cs="仿宋"/>
          <w:b/>
          <w:kern w:val="0"/>
          <w:szCs w:val="21"/>
          <w:highlight w:val="none"/>
        </w:rPr>
      </w:pPr>
      <w:r>
        <w:rPr>
          <w:rFonts w:hint="eastAsia" w:ascii="仿宋" w:hAnsi="仿宋" w:eastAsia="仿宋" w:cs="仿宋"/>
          <w:b/>
          <w:kern w:val="0"/>
          <w:szCs w:val="21"/>
          <w:highlight w:val="none"/>
        </w:rPr>
        <w:t>3、样品及演示</w:t>
      </w:r>
    </w:p>
    <w:p w14:paraId="3E2F68B6">
      <w:pPr>
        <w:adjustRightInd w:val="0"/>
        <w:snapToGrid w:val="0"/>
        <w:spacing w:line="360" w:lineRule="auto"/>
        <w:ind w:firstLine="420" w:firstLineChars="200"/>
        <w:textAlignment w:val="baseline"/>
        <w:rPr>
          <w:rFonts w:hint="eastAsia" w:ascii="仿宋" w:hAnsi="仿宋" w:eastAsia="仿宋" w:cs="仿宋"/>
          <w:szCs w:val="21"/>
          <w:highlight w:val="none"/>
        </w:rPr>
      </w:pPr>
      <w:r>
        <w:rPr>
          <w:rFonts w:hint="eastAsia" w:ascii="仿宋" w:hAnsi="仿宋" w:eastAsia="仿宋" w:cs="仿宋"/>
          <w:szCs w:val="21"/>
          <w:highlight w:val="none"/>
        </w:rPr>
        <w:t>3.1</w:t>
      </w:r>
      <w:r>
        <w:rPr>
          <w:rFonts w:hint="eastAsia" w:ascii="仿宋" w:hAnsi="仿宋" w:eastAsia="仿宋" w:cs="仿宋"/>
          <w:kern w:val="0"/>
          <w:szCs w:val="21"/>
          <w:highlight w:val="none"/>
        </w:rPr>
        <w:t>供应商须知表11.3条</w:t>
      </w:r>
      <w:r>
        <w:rPr>
          <w:rFonts w:hint="eastAsia" w:ascii="仿宋" w:hAnsi="仿宋" w:eastAsia="仿宋" w:cs="仿宋"/>
          <w:szCs w:val="21"/>
          <w:highlight w:val="none"/>
        </w:rPr>
        <w:t>中要求供应商提供样品或演示的，按照供</w:t>
      </w:r>
      <w:r>
        <w:rPr>
          <w:rFonts w:hint="eastAsia" w:ascii="仿宋" w:hAnsi="仿宋" w:eastAsia="仿宋" w:cs="仿宋"/>
          <w:kern w:val="0"/>
          <w:szCs w:val="21"/>
          <w:highlight w:val="none"/>
        </w:rPr>
        <w:t>应商须知表24.1条</w:t>
      </w:r>
      <w:r>
        <w:rPr>
          <w:rFonts w:hint="eastAsia" w:ascii="仿宋" w:hAnsi="仿宋" w:eastAsia="仿宋" w:cs="仿宋"/>
          <w:szCs w:val="21"/>
          <w:highlight w:val="none"/>
        </w:rPr>
        <w:t>中确定的评审方法以及评审标准进行评审。(样品或演示属于符合性审查的，按照供应商</w:t>
      </w:r>
      <w:r>
        <w:rPr>
          <w:rFonts w:hint="eastAsia" w:ascii="仿宋" w:hAnsi="仿宋" w:eastAsia="仿宋" w:cs="仿宋"/>
          <w:kern w:val="0"/>
          <w:szCs w:val="21"/>
          <w:highlight w:val="none"/>
        </w:rPr>
        <w:t>须知23条</w:t>
      </w:r>
      <w:r>
        <w:rPr>
          <w:rFonts w:hint="eastAsia" w:ascii="仿宋" w:hAnsi="仿宋" w:eastAsia="仿宋" w:cs="仿宋"/>
          <w:szCs w:val="21"/>
          <w:highlight w:val="none"/>
        </w:rPr>
        <w:t>规定执行）</w:t>
      </w:r>
    </w:p>
    <w:p w14:paraId="3BD0D42D">
      <w:pPr>
        <w:adjustRightInd w:val="0"/>
        <w:snapToGrid w:val="0"/>
        <w:spacing w:line="360" w:lineRule="auto"/>
        <w:ind w:firstLine="422" w:firstLineChars="200"/>
        <w:textAlignment w:val="baseline"/>
        <w:rPr>
          <w:rFonts w:hint="eastAsia" w:ascii="仿宋" w:hAnsi="仿宋" w:eastAsia="仿宋" w:cs="仿宋"/>
          <w:b/>
          <w:bCs/>
          <w:kern w:val="0"/>
          <w:szCs w:val="21"/>
          <w:highlight w:val="none"/>
        </w:rPr>
      </w:pPr>
      <w:r>
        <w:rPr>
          <w:rFonts w:hint="eastAsia" w:ascii="仿宋" w:hAnsi="仿宋" w:eastAsia="仿宋" w:cs="仿宋"/>
          <w:b/>
          <w:bCs/>
          <w:kern w:val="0"/>
          <w:szCs w:val="21"/>
          <w:highlight w:val="none"/>
        </w:rPr>
        <w:t>4、磋商</w:t>
      </w:r>
    </w:p>
    <w:p w14:paraId="556895D1">
      <w:pPr>
        <w:adjustRightInd w:val="0"/>
        <w:snapToGrid w:val="0"/>
        <w:spacing w:line="360" w:lineRule="auto"/>
        <w:ind w:firstLine="420" w:firstLineChars="200"/>
        <w:textAlignment w:val="baseline"/>
        <w:rPr>
          <w:rFonts w:hint="eastAsia" w:ascii="仿宋" w:hAnsi="仿宋" w:eastAsia="仿宋" w:cs="仿宋"/>
          <w:kern w:val="0"/>
          <w:szCs w:val="21"/>
          <w:highlight w:val="none"/>
        </w:rPr>
      </w:pPr>
      <w:r>
        <w:rPr>
          <w:rFonts w:hint="eastAsia" w:ascii="仿宋" w:hAnsi="仿宋" w:eastAsia="仿宋" w:cs="仿宋"/>
          <w:kern w:val="0"/>
          <w:szCs w:val="21"/>
          <w:highlight w:val="none"/>
        </w:rPr>
        <w:t>详见供应商须知26条。</w:t>
      </w:r>
    </w:p>
    <w:p w14:paraId="28485A1B">
      <w:pPr>
        <w:adjustRightInd w:val="0"/>
        <w:snapToGrid w:val="0"/>
        <w:spacing w:line="360" w:lineRule="auto"/>
        <w:ind w:firstLine="422" w:firstLineChars="200"/>
        <w:rPr>
          <w:rFonts w:hint="eastAsia" w:ascii="仿宋" w:hAnsi="仿宋" w:eastAsia="仿宋" w:cs="仿宋"/>
          <w:b/>
          <w:bCs/>
          <w:kern w:val="0"/>
          <w:szCs w:val="21"/>
          <w:highlight w:val="none"/>
        </w:rPr>
      </w:pPr>
      <w:r>
        <w:rPr>
          <w:rFonts w:hint="eastAsia" w:ascii="仿宋" w:hAnsi="仿宋" w:eastAsia="仿宋" w:cs="仿宋"/>
          <w:b/>
          <w:bCs/>
          <w:kern w:val="0"/>
          <w:szCs w:val="21"/>
          <w:highlight w:val="none"/>
        </w:rPr>
        <w:t>5、最后报价</w:t>
      </w:r>
    </w:p>
    <w:p w14:paraId="7AB575DA">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详见供应商须知27条。</w:t>
      </w:r>
    </w:p>
    <w:p w14:paraId="1E77274E">
      <w:pPr>
        <w:adjustRightInd w:val="0"/>
        <w:snapToGrid w:val="0"/>
        <w:spacing w:line="360" w:lineRule="auto"/>
        <w:ind w:firstLine="413" w:firstLineChars="196"/>
        <w:rPr>
          <w:rFonts w:hint="eastAsia" w:ascii="仿宋" w:hAnsi="仿宋" w:eastAsia="仿宋" w:cs="仿宋"/>
          <w:b/>
          <w:bCs/>
          <w:kern w:val="0"/>
          <w:szCs w:val="21"/>
          <w:highlight w:val="none"/>
        </w:rPr>
      </w:pPr>
      <w:r>
        <w:rPr>
          <w:rFonts w:hint="eastAsia" w:ascii="仿宋" w:hAnsi="仿宋" w:eastAsia="仿宋" w:cs="仿宋"/>
          <w:b/>
          <w:bCs/>
          <w:kern w:val="0"/>
          <w:szCs w:val="21"/>
          <w:highlight w:val="none"/>
        </w:rPr>
        <w:t>6、比较及评价</w:t>
      </w:r>
    </w:p>
    <w:p w14:paraId="5C2B9F98">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6.1磋商小组对通过资格审查、符合性审查的响应文件进行比较和评价。</w:t>
      </w:r>
    </w:p>
    <w:p w14:paraId="10967645">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6.2在磋商期间，对响应文件的澄清按供应商须知25条内容执行。</w:t>
      </w:r>
    </w:p>
    <w:p w14:paraId="7743E5B1">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6.3磋商小组</w:t>
      </w:r>
      <w:r>
        <w:rPr>
          <w:rFonts w:hint="eastAsia" w:ascii="仿宋" w:hAnsi="仿宋" w:eastAsia="仿宋" w:cs="仿宋"/>
          <w:szCs w:val="21"/>
          <w:highlight w:val="none"/>
        </w:rPr>
        <w:t>认为供应商的报价明显低于其他通过符合性审查的供应商报价，有可能影响服务质量或者不能诚信履约的，磋商小组应当要求其在评审现场合理的时间（</w:t>
      </w:r>
      <w:r>
        <w:rPr>
          <w:rFonts w:hint="eastAsia" w:ascii="仿宋" w:hAnsi="仿宋" w:eastAsia="仿宋" w:cs="仿宋"/>
          <w:kern w:val="0"/>
          <w:szCs w:val="21"/>
          <w:highlight w:val="none"/>
        </w:rPr>
        <w:t>接到通知后</w:t>
      </w:r>
    </w:p>
    <w:p w14:paraId="02CFB316">
      <w:pPr>
        <w:adjustRightInd w:val="0"/>
        <w:snapToGrid w:val="0"/>
        <w:spacing w:line="360" w:lineRule="auto"/>
        <w:rPr>
          <w:rFonts w:hint="eastAsia" w:ascii="仿宋" w:hAnsi="仿宋" w:eastAsia="仿宋" w:cs="仿宋"/>
          <w:szCs w:val="21"/>
          <w:highlight w:val="none"/>
        </w:rPr>
      </w:pPr>
      <w:r>
        <w:rPr>
          <w:rFonts w:hint="eastAsia" w:ascii="仿宋" w:hAnsi="仿宋" w:eastAsia="仿宋" w:cs="仿宋"/>
          <w:kern w:val="0"/>
          <w:szCs w:val="21"/>
          <w:highlight w:val="none"/>
          <w:u w:val="single"/>
        </w:rPr>
        <w:t xml:space="preserve"> 0.5 </w:t>
      </w:r>
      <w:r>
        <w:rPr>
          <w:rFonts w:hint="eastAsia" w:ascii="仿宋" w:hAnsi="仿宋" w:eastAsia="仿宋" w:cs="仿宋"/>
          <w:kern w:val="0"/>
          <w:szCs w:val="21"/>
          <w:highlight w:val="none"/>
        </w:rPr>
        <w:t>小时</w:t>
      </w:r>
      <w:r>
        <w:rPr>
          <w:rFonts w:hint="eastAsia" w:ascii="仿宋" w:hAnsi="仿宋" w:eastAsia="仿宋" w:cs="仿宋"/>
          <w:szCs w:val="21"/>
          <w:highlight w:val="none"/>
        </w:rPr>
        <w:t>）内提供书面说明，必要时提交相关证明材料，</w:t>
      </w:r>
      <w:r>
        <w:rPr>
          <w:rFonts w:hint="eastAsia" w:ascii="仿宋" w:hAnsi="仿宋" w:eastAsia="仿宋" w:cs="仿宋"/>
          <w:kern w:val="0"/>
          <w:szCs w:val="21"/>
          <w:highlight w:val="none"/>
        </w:rPr>
        <w:t>供应商不能证明其报价合理性的，磋商小组应当将</w:t>
      </w:r>
      <w:r>
        <w:rPr>
          <w:rFonts w:hint="eastAsia" w:ascii="仿宋" w:hAnsi="仿宋" w:eastAsia="仿宋" w:cs="仿宋"/>
          <w:szCs w:val="21"/>
          <w:highlight w:val="none"/>
        </w:rPr>
        <w:t>其响应作为</w:t>
      </w:r>
      <w:r>
        <w:rPr>
          <w:rFonts w:hint="eastAsia" w:ascii="仿宋" w:hAnsi="仿宋" w:eastAsia="仿宋" w:cs="仿宋"/>
          <w:b/>
          <w:bCs/>
          <w:szCs w:val="21"/>
          <w:highlight w:val="none"/>
        </w:rPr>
        <w:t>无效响应处理</w:t>
      </w:r>
      <w:r>
        <w:rPr>
          <w:rFonts w:hint="eastAsia" w:ascii="仿宋" w:hAnsi="仿宋" w:eastAsia="仿宋" w:cs="仿宋"/>
          <w:szCs w:val="21"/>
          <w:highlight w:val="none"/>
        </w:rPr>
        <w:t>。</w:t>
      </w:r>
    </w:p>
    <w:p w14:paraId="7516092A">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供应商的书面说明材料包含服务本身成本、人工费用、运输、税收等，以及最后报价不会影响服务质量或诚信履约能力的说明等。</w:t>
      </w:r>
    </w:p>
    <w:p w14:paraId="696A769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供应商的书面说明应当签字确认或者加盖公章，否则无效。书面说明的签字确认，由其法定代表人（非法人单位负责人或自然人本人）或者其授权代表签字确认。</w:t>
      </w:r>
    </w:p>
    <w:p w14:paraId="3455343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供应商提供书面说明后，磋商小组应当结合采购项目采购需求、专业实际情况、供应商财务状况报告、与其他供应商比较情况等就供应商的书面说明进行审查评价。供应商如有下列情况的，磋商小组应当将其响应文件作为无效处理：</w:t>
      </w:r>
    </w:p>
    <w:p w14:paraId="43C1BB69">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（1）拒绝或者变相拒绝提供有效书面说明；</w:t>
      </w:r>
    </w:p>
    <w:p w14:paraId="7A3F8E45">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（2）书面说明不能证明其报价合理性的；</w:t>
      </w:r>
    </w:p>
    <w:p w14:paraId="7341F92E">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（3）未在规定时间内递交有效书面说明书的。</w:t>
      </w:r>
    </w:p>
    <w:p w14:paraId="45014D53">
      <w:pPr>
        <w:adjustRightInd w:val="0"/>
        <w:snapToGrid w:val="0"/>
        <w:spacing w:line="360" w:lineRule="auto"/>
        <w:ind w:firstLine="422" w:firstLineChars="200"/>
        <w:rPr>
          <w:rFonts w:hint="eastAsia" w:ascii="仿宋" w:hAnsi="仿宋" w:eastAsia="仿宋" w:cs="仿宋"/>
          <w:b/>
          <w:kern w:val="0"/>
          <w:szCs w:val="21"/>
          <w:highlight w:val="none"/>
        </w:rPr>
      </w:pPr>
      <w:r>
        <w:rPr>
          <w:rFonts w:hint="eastAsia" w:ascii="仿宋" w:hAnsi="仿宋" w:eastAsia="仿宋" w:cs="仿宋"/>
          <w:b/>
          <w:bCs/>
          <w:kern w:val="0"/>
          <w:szCs w:val="21"/>
          <w:highlight w:val="none"/>
        </w:rPr>
        <w:t>7、需落实的政府采购政</w:t>
      </w:r>
      <w:r>
        <w:rPr>
          <w:rFonts w:hint="eastAsia" w:ascii="仿宋" w:hAnsi="仿宋" w:eastAsia="仿宋" w:cs="仿宋"/>
          <w:b/>
          <w:kern w:val="0"/>
          <w:szCs w:val="21"/>
          <w:highlight w:val="none"/>
        </w:rPr>
        <w:t>策性规</w:t>
      </w:r>
      <w:r>
        <w:rPr>
          <w:rFonts w:hint="eastAsia" w:ascii="仿宋" w:hAnsi="仿宋" w:eastAsia="仿宋" w:cs="仿宋"/>
          <w:b/>
          <w:bCs/>
          <w:kern w:val="0"/>
          <w:szCs w:val="21"/>
          <w:highlight w:val="none"/>
        </w:rPr>
        <w:t>定：本项目专门面向中小企业，不再享受评审价格扣除（若为非专门面向中小企业项目，按本章7.1-7.4条执行价格扣除，本项目不适用）</w:t>
      </w:r>
    </w:p>
    <w:p w14:paraId="5E004D7B">
      <w:pPr>
        <w:adjustRightInd w:val="0"/>
        <w:snapToGrid w:val="0"/>
        <w:spacing w:line="360" w:lineRule="auto"/>
        <w:ind w:firstLine="422" w:firstLineChars="200"/>
        <w:rPr>
          <w:rFonts w:hint="eastAsia" w:ascii="仿宋" w:hAnsi="仿宋" w:eastAsia="仿宋" w:cs="仿宋"/>
          <w:b/>
          <w:kern w:val="0"/>
          <w:szCs w:val="21"/>
          <w:highlight w:val="none"/>
        </w:rPr>
      </w:pPr>
      <w:r>
        <w:rPr>
          <w:rFonts w:hint="eastAsia" w:ascii="仿宋" w:hAnsi="仿宋" w:eastAsia="仿宋" w:cs="仿宋"/>
          <w:b/>
          <w:kern w:val="0"/>
          <w:szCs w:val="21"/>
          <w:highlight w:val="none"/>
        </w:rPr>
        <w:t>7.1对于中小微企业的相关规定</w:t>
      </w:r>
    </w:p>
    <w:p w14:paraId="4CA949D7">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7.1.1对于非专门面向中小企业的项目，在满足价格扣除条件且在响应文件中按要求提交了《中小企业声明函》、《制造商企业（单位）类型声明函》</w:t>
      </w:r>
      <w:r>
        <w:rPr>
          <w:rFonts w:hint="eastAsia" w:ascii="仿宋" w:hAnsi="仿宋" w:eastAsia="仿宋" w:cs="仿宋"/>
          <w:kern w:val="0"/>
          <w:szCs w:val="21"/>
          <w:highlight w:val="none"/>
        </w:rPr>
        <w:t>（采购人采购的服务有伴随货物时，供应商所投货物为其它企业生产时须提供此声明函，仅作为价格扣除条件）的，</w:t>
      </w:r>
      <w:r>
        <w:rPr>
          <w:rFonts w:hint="eastAsia" w:ascii="仿宋" w:hAnsi="仿宋" w:eastAsia="仿宋" w:cs="仿宋"/>
          <w:szCs w:val="21"/>
          <w:highlight w:val="none"/>
        </w:rPr>
        <w:t>对最后报价给予价格扣除，用扣除后的价格参与评审。最后报价扣除比例如下：</w:t>
      </w:r>
    </w:p>
    <w:p w14:paraId="15829500">
      <w:pPr>
        <w:adjustRightInd w:val="0"/>
        <w:snapToGrid w:val="0"/>
        <w:spacing w:line="360" w:lineRule="auto"/>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（1）非联合体投标</w:t>
      </w:r>
    </w:p>
    <w:p w14:paraId="4D9AD6F3">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小型和微型企业相应产品、服务最后报价的</w:t>
      </w:r>
      <w:r>
        <w:rPr>
          <w:rFonts w:hint="eastAsia" w:ascii="仿宋" w:hAnsi="仿宋" w:eastAsia="仿宋" w:cs="仿宋"/>
          <w:kern w:val="0"/>
          <w:szCs w:val="21"/>
          <w:highlight w:val="none"/>
          <w:u w:val="single"/>
        </w:rPr>
        <w:t xml:space="preserve">  10%    </w:t>
      </w:r>
    </w:p>
    <w:p w14:paraId="4834F9B9">
      <w:pPr>
        <w:adjustRightInd w:val="0"/>
        <w:snapToGrid w:val="0"/>
        <w:spacing w:line="360" w:lineRule="auto"/>
        <w:ind w:firstLine="210" w:firstLineChars="100"/>
        <w:jc w:val="left"/>
        <w:rPr>
          <w:rFonts w:hint="eastAsia" w:ascii="仿宋" w:hAnsi="仿宋" w:eastAsia="仿宋" w:cs="仿宋"/>
          <w:szCs w:val="21"/>
          <w:highlight w:val="none"/>
        </w:rPr>
      </w:pPr>
      <w:r>
        <w:rPr>
          <w:rFonts w:hint="eastAsia" w:ascii="仿宋" w:hAnsi="仿宋" w:eastAsia="仿宋" w:cs="仿宋"/>
          <w:szCs w:val="21"/>
          <w:highlight w:val="none"/>
        </w:rPr>
        <w:t>（2）联合体投标</w:t>
      </w:r>
    </w:p>
    <w:p w14:paraId="335D190E">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最后报价扣除</w:t>
      </w:r>
      <w:r>
        <w:rPr>
          <w:rFonts w:hint="eastAsia" w:ascii="仿宋" w:hAnsi="仿宋" w:eastAsia="仿宋" w:cs="仿宋"/>
          <w:kern w:val="0"/>
          <w:szCs w:val="21"/>
          <w:highlight w:val="none"/>
          <w:u w:val="single"/>
        </w:rPr>
        <w:t xml:space="preserve">  /    </w:t>
      </w:r>
      <w:r>
        <w:rPr>
          <w:rFonts w:hint="eastAsia" w:ascii="仿宋" w:hAnsi="仿宋" w:eastAsia="仿宋" w:cs="仿宋"/>
          <w:szCs w:val="21"/>
          <w:highlight w:val="none"/>
        </w:rPr>
        <w:t>。</w:t>
      </w:r>
    </w:p>
    <w:p w14:paraId="159708AD">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5E349F7A">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7.1.2监狱企业视同小型、微型企业，在满足价格扣除条件且在响应文件中按要求提交了省级以上监狱管理局、戒毒管理局（含新疆生产建设兵团）出具的属于监狱企业的证明文件的，对其最后报价按本章5.1.1条款的比例予以扣除，</w:t>
      </w:r>
      <w:r>
        <w:rPr>
          <w:rFonts w:hint="eastAsia" w:ascii="仿宋" w:hAnsi="仿宋" w:eastAsia="仿宋" w:cs="仿宋"/>
          <w:kern w:val="0"/>
          <w:szCs w:val="21"/>
          <w:highlight w:val="none"/>
        </w:rPr>
        <w:t>用扣除后的价格参与评审</w:t>
      </w:r>
      <w:r>
        <w:rPr>
          <w:rFonts w:hint="eastAsia" w:ascii="仿宋" w:hAnsi="仿宋" w:eastAsia="仿宋" w:cs="仿宋"/>
          <w:szCs w:val="21"/>
          <w:highlight w:val="none"/>
        </w:rPr>
        <w:t>。</w:t>
      </w:r>
    </w:p>
    <w:p w14:paraId="23D6E1DD">
      <w:pPr>
        <w:adjustRightInd w:val="0"/>
        <w:snapToGrid w:val="0"/>
        <w:spacing w:line="360" w:lineRule="auto"/>
        <w:ind w:firstLine="422" w:firstLineChars="200"/>
        <w:jc w:val="left"/>
        <w:rPr>
          <w:rFonts w:hint="eastAsia" w:ascii="仿宋" w:hAnsi="仿宋" w:eastAsia="仿宋" w:cs="仿宋"/>
          <w:szCs w:val="21"/>
          <w:highlight w:val="none"/>
        </w:rPr>
      </w:pPr>
      <w:r>
        <w:rPr>
          <w:rFonts w:hint="eastAsia" w:ascii="仿宋" w:hAnsi="仿宋" w:eastAsia="仿宋" w:cs="仿宋"/>
          <w:b/>
          <w:kern w:val="0"/>
          <w:szCs w:val="21"/>
          <w:highlight w:val="none"/>
        </w:rPr>
        <w:t>7.1.3</w:t>
      </w:r>
      <w:r>
        <w:rPr>
          <w:rFonts w:hint="eastAsia" w:ascii="仿宋" w:hAnsi="仿宋" w:eastAsia="仿宋" w:cs="仿宋"/>
          <w:szCs w:val="21"/>
          <w:highlight w:val="none"/>
        </w:rPr>
        <w:t>残疾人福利性单位视同小型、微型企业，在满足价格扣除条件且在</w:t>
      </w:r>
      <w:r>
        <w:rPr>
          <w:rFonts w:hint="eastAsia" w:ascii="仿宋" w:hAnsi="仿宋" w:eastAsia="仿宋" w:cs="仿宋"/>
          <w:kern w:val="0"/>
          <w:szCs w:val="21"/>
          <w:highlight w:val="none"/>
        </w:rPr>
        <w:t>响应文件中提供了《残疾人福利性单位声明函》的，</w:t>
      </w:r>
      <w:r>
        <w:rPr>
          <w:rFonts w:hint="eastAsia" w:ascii="仿宋" w:hAnsi="仿宋" w:eastAsia="仿宋" w:cs="仿宋"/>
          <w:szCs w:val="21"/>
          <w:highlight w:val="none"/>
        </w:rPr>
        <w:t>对其最后报价按本章5.1.1条款的比例予以扣除</w:t>
      </w:r>
      <w:r>
        <w:rPr>
          <w:rFonts w:hint="eastAsia" w:ascii="仿宋" w:hAnsi="仿宋" w:eastAsia="仿宋" w:cs="仿宋"/>
          <w:kern w:val="0"/>
          <w:szCs w:val="21"/>
          <w:highlight w:val="none"/>
        </w:rPr>
        <w:t>，用扣除后的价格参与评审。</w:t>
      </w:r>
    </w:p>
    <w:p w14:paraId="05A3AD43">
      <w:pPr>
        <w:adjustRightInd w:val="0"/>
        <w:snapToGrid w:val="0"/>
        <w:spacing w:line="360" w:lineRule="auto"/>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7.1.4残疾人福利性单位属于小型、微型企业的，不重复享受政策。</w:t>
      </w:r>
    </w:p>
    <w:p w14:paraId="733A8BE0">
      <w:pPr>
        <w:adjustRightInd w:val="0"/>
        <w:snapToGrid w:val="0"/>
        <w:spacing w:line="360" w:lineRule="auto"/>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7.2对于节能产品、环境标志产品的相关规定”</w:t>
      </w:r>
    </w:p>
    <w:p w14:paraId="2814F47B">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（1）采购人采购的服务</w:t>
      </w:r>
      <w:r>
        <w:rPr>
          <w:rFonts w:hint="eastAsia" w:ascii="仿宋" w:hAnsi="仿宋" w:eastAsia="仿宋" w:cs="仿宋"/>
          <w:szCs w:val="21"/>
          <w:highlight w:val="none"/>
        </w:rPr>
        <w:t>有伴随货物的，如伴随的货物</w:t>
      </w:r>
      <w:r>
        <w:rPr>
          <w:rFonts w:hint="eastAsia" w:ascii="仿宋" w:hAnsi="仿宋" w:eastAsia="仿宋" w:cs="仿宋"/>
          <w:bCs/>
          <w:szCs w:val="21"/>
          <w:highlight w:val="none"/>
        </w:rPr>
        <w:t>属于节能产品或环境标志产品，依据品目清单和认证证书实施政府优先采购。供应商应能够提供国家确定的认证机构出具的、处于有效期之内的节能产品、环境标志产品认证证书，方可对获得证书的产品优先推荐。</w:t>
      </w:r>
    </w:p>
    <w:p w14:paraId="46F3DFEF">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评审时，对清单中产品给予相应的加分。（详见评分细则）</w:t>
      </w:r>
    </w:p>
    <w:p w14:paraId="14E2B815">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（2）供应商应同时提供品目清单网络截图，并以明确标注所报产品信息和位置的方式，用以方便评审。</w:t>
      </w:r>
    </w:p>
    <w:p w14:paraId="58BCB274">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（3）认证机构和获证产品信息发布媒体：详见中国政府采购网（www.ccgp.gov.cn）建立的与认证结果信息发布平台的链接。</w:t>
      </w:r>
    </w:p>
    <w:p w14:paraId="5A16E827">
      <w:pPr>
        <w:adjustRightInd w:val="0"/>
        <w:snapToGrid w:val="0"/>
        <w:spacing w:line="360" w:lineRule="auto"/>
        <w:ind w:firstLine="422" w:firstLineChars="200"/>
        <w:rPr>
          <w:rFonts w:hint="eastAsia" w:ascii="仿宋" w:hAnsi="仿宋" w:eastAsia="仿宋" w:cs="仿宋"/>
          <w:b/>
          <w:kern w:val="0"/>
          <w:szCs w:val="21"/>
          <w:highlight w:val="none"/>
        </w:rPr>
      </w:pPr>
      <w:r>
        <w:rPr>
          <w:rFonts w:hint="eastAsia" w:ascii="仿宋" w:hAnsi="仿宋" w:eastAsia="仿宋" w:cs="仿宋"/>
          <w:b/>
          <w:kern w:val="0"/>
          <w:szCs w:val="21"/>
          <w:highlight w:val="none"/>
        </w:rPr>
        <w:t>7.3对于聘用建档立卡贫困人员物业公司的相关规定</w:t>
      </w:r>
    </w:p>
    <w:p w14:paraId="3BD4FC1B">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在满足价格扣除条件且在响应文件中按要求提交了《聘用建档立卡贫困人员物业公司声明函》的供应商，对最后报价给予价格扣除，用扣除后的价格参与评审。扣除比例为最后</w:t>
      </w:r>
      <w:r>
        <w:rPr>
          <w:rFonts w:hint="eastAsia" w:ascii="仿宋" w:hAnsi="仿宋" w:eastAsia="仿宋" w:cs="仿宋"/>
          <w:kern w:val="0"/>
          <w:szCs w:val="21"/>
          <w:highlight w:val="none"/>
        </w:rPr>
        <w:t>报价的</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 xml:space="preserve"> %。</w:t>
      </w:r>
    </w:p>
    <w:p w14:paraId="74D86CC6">
      <w:pPr>
        <w:adjustRightInd w:val="0"/>
        <w:spacing w:line="360" w:lineRule="auto"/>
        <w:ind w:firstLine="422" w:firstLineChars="200"/>
        <w:jc w:val="left"/>
        <w:rPr>
          <w:rFonts w:hint="eastAsia" w:ascii="仿宋" w:hAnsi="仿宋" w:eastAsia="仿宋" w:cs="仿宋"/>
          <w:b/>
          <w:bCs/>
          <w:szCs w:val="21"/>
          <w:highlight w:val="none"/>
        </w:rPr>
      </w:pPr>
      <w:r>
        <w:rPr>
          <w:rFonts w:hint="eastAsia" w:ascii="仿宋" w:hAnsi="仿宋" w:eastAsia="仿宋" w:cs="仿宋"/>
          <w:b/>
          <w:bCs/>
          <w:szCs w:val="21"/>
          <w:highlight w:val="none"/>
        </w:rPr>
        <w:t>7.4对于列入《创新产品和服务目录》内的产品、服务的相关规定</w:t>
      </w:r>
    </w:p>
    <w:p w14:paraId="2DD1E762">
      <w:pPr>
        <w:adjustRightIn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对列入《创新产品和服务目录》内的响应产品、服务给予其最后报价</w:t>
      </w:r>
      <w:r>
        <w:rPr>
          <w:rFonts w:hint="eastAsia" w:ascii="仿宋" w:hAnsi="仿宋" w:eastAsia="仿宋" w:cs="仿宋"/>
          <w:szCs w:val="21"/>
          <w:highlight w:val="none"/>
          <w:u w:val="single"/>
        </w:rPr>
        <w:t xml:space="preserve"> </w:t>
      </w:r>
      <w:r>
        <w:rPr>
          <w:rFonts w:hint="eastAsia" w:ascii="仿宋" w:hAnsi="仿宋" w:eastAsia="仿宋" w:cs="黑体"/>
          <w:szCs w:val="21"/>
          <w:highlight w:val="none"/>
          <w:u w:val="single"/>
        </w:rPr>
        <w:t xml:space="preserve"> 6%</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的价格扣除，用扣除后的价格参与评审。</w:t>
      </w:r>
    </w:p>
    <w:p w14:paraId="68A67364">
      <w:pPr>
        <w:adjustRightInd w:val="0"/>
        <w:snapToGrid w:val="0"/>
        <w:spacing w:line="360" w:lineRule="auto"/>
        <w:ind w:firstLine="422" w:firstLineChars="200"/>
        <w:rPr>
          <w:rFonts w:hint="eastAsia" w:ascii="仿宋" w:hAnsi="仿宋" w:eastAsia="仿宋" w:cs="仿宋"/>
          <w:b/>
          <w:bCs/>
          <w:kern w:val="0"/>
          <w:szCs w:val="21"/>
          <w:highlight w:val="none"/>
        </w:rPr>
      </w:pPr>
      <w:r>
        <w:rPr>
          <w:rFonts w:hint="eastAsia" w:ascii="仿宋" w:hAnsi="仿宋" w:eastAsia="仿宋" w:cs="仿宋"/>
          <w:b/>
          <w:bCs/>
          <w:kern w:val="0"/>
          <w:szCs w:val="21"/>
          <w:highlight w:val="none"/>
        </w:rPr>
        <w:t>8、响应无效</w:t>
      </w:r>
    </w:p>
    <w:p w14:paraId="54A5A688">
      <w:pPr>
        <w:adjustRightInd w:val="0"/>
        <w:snapToGrid w:val="0"/>
        <w:spacing w:line="360" w:lineRule="auto"/>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详见供应商须知28条。</w:t>
      </w:r>
    </w:p>
    <w:p w14:paraId="71F29C20">
      <w:pPr>
        <w:adjustRightInd w:val="0"/>
        <w:snapToGrid w:val="0"/>
        <w:spacing w:line="360" w:lineRule="auto"/>
        <w:ind w:firstLine="422" w:firstLineChars="200"/>
        <w:rPr>
          <w:rFonts w:hint="eastAsia" w:ascii="仿宋" w:hAnsi="仿宋" w:eastAsia="仿宋" w:cs="仿宋"/>
          <w:b/>
          <w:bCs/>
          <w:kern w:val="0"/>
          <w:szCs w:val="21"/>
          <w:highlight w:val="none"/>
        </w:rPr>
      </w:pPr>
      <w:r>
        <w:rPr>
          <w:rFonts w:hint="eastAsia" w:ascii="仿宋" w:hAnsi="仿宋" w:eastAsia="仿宋" w:cs="仿宋"/>
          <w:b/>
          <w:kern w:val="0"/>
          <w:szCs w:val="21"/>
          <w:highlight w:val="none"/>
        </w:rPr>
        <w:t>★9</w:t>
      </w:r>
      <w:r>
        <w:rPr>
          <w:rFonts w:hint="eastAsia" w:ascii="仿宋" w:hAnsi="仿宋" w:eastAsia="仿宋" w:cs="仿宋"/>
          <w:b/>
          <w:bCs/>
          <w:kern w:val="0"/>
          <w:szCs w:val="21"/>
          <w:highlight w:val="none"/>
        </w:rPr>
        <w:t>、推荐成标候选供应商的原则</w:t>
      </w:r>
    </w:p>
    <w:p w14:paraId="035C66F9">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详见第一章供应商须知第31条，具体处理办法如下：</w:t>
      </w:r>
    </w:p>
    <w:p w14:paraId="0AE70EF0">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得分相同的，按扣除后的最后报价由低到高顺序排序；</w:t>
      </w:r>
    </w:p>
    <w:p w14:paraId="5D34D4AB">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按前款不能区分的，按最后报价由低至高顺序排序；</w:t>
      </w:r>
    </w:p>
    <w:p w14:paraId="4ECF88E6">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按前款不能区分的，按技术指标优劣排序；</w:t>
      </w:r>
    </w:p>
    <w:p w14:paraId="0AC3C529">
      <w:pPr>
        <w:adjustRightInd w:val="0"/>
        <w:snapToGri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其他情况，由磋商小组投票处理。</w:t>
      </w:r>
    </w:p>
    <w:p w14:paraId="136F7510">
      <w:pPr>
        <w:adjustRightInd w:val="0"/>
        <w:snapToGrid w:val="0"/>
        <w:spacing w:line="360" w:lineRule="auto"/>
        <w:ind w:firstLine="422" w:firstLineChars="200"/>
        <w:rPr>
          <w:rFonts w:hint="eastAsia" w:ascii="仿宋" w:hAnsi="仿宋" w:eastAsia="仿宋" w:cs="仿宋"/>
          <w:b/>
          <w:kern w:val="0"/>
          <w:szCs w:val="21"/>
          <w:highlight w:val="none"/>
        </w:rPr>
      </w:pPr>
      <w:r>
        <w:rPr>
          <w:rFonts w:hint="eastAsia" w:ascii="仿宋" w:hAnsi="仿宋" w:eastAsia="仿宋" w:cs="仿宋"/>
          <w:b/>
          <w:szCs w:val="21"/>
          <w:highlight w:val="none"/>
        </w:rPr>
        <w:t>三、</w:t>
      </w:r>
      <w:r>
        <w:rPr>
          <w:rFonts w:hint="eastAsia" w:ascii="仿宋" w:hAnsi="仿宋" w:eastAsia="仿宋" w:cs="仿宋"/>
          <w:b/>
          <w:kern w:val="0"/>
          <w:szCs w:val="21"/>
          <w:highlight w:val="none"/>
        </w:rPr>
        <w:t>确定成交供应商</w:t>
      </w:r>
    </w:p>
    <w:p w14:paraId="35EA9F0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磋商小组根据全体磋商小组成员签字的原始评审记录和评审结果编写评审报告，并向采购人提交书面评审报告。</w:t>
      </w:r>
    </w:p>
    <w:p w14:paraId="04E2F269">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采购人按照评审报告确定的成交候选供应商名单按顺序确定成交供应商，或由采购人委托磋商小组按照第一章 供应商须知表33条中规定的方式确定成交供应商。</w:t>
      </w:r>
    </w:p>
    <w:p w14:paraId="117A6217">
      <w:pPr>
        <w:widowControl/>
        <w:snapToGrid w:val="0"/>
        <w:spacing w:line="360" w:lineRule="auto"/>
        <w:jc w:val="left"/>
        <w:rPr>
          <w:rFonts w:hint="eastAsia" w:ascii="仿宋" w:hAnsi="仿宋" w:eastAsia="仿宋" w:cs="仿宋"/>
          <w:kern w:val="0"/>
          <w:sz w:val="24"/>
          <w:highlight w:val="none"/>
        </w:rPr>
      </w:pPr>
    </w:p>
    <w:p w14:paraId="1F11CBD2">
      <w:pPr>
        <w:pStyle w:val="3"/>
        <w:adjustRightInd w:val="0"/>
        <w:snapToGrid w:val="0"/>
        <w:spacing w:before="0" w:after="0" w:line="240" w:lineRule="auto"/>
        <w:jc w:val="left"/>
        <w:rPr>
          <w:rFonts w:hint="eastAsia" w:ascii="仿宋" w:hAnsi="仿宋" w:eastAsia="仿宋" w:cs="仿宋"/>
          <w:sz w:val="28"/>
          <w:szCs w:val="28"/>
          <w:highlight w:val="none"/>
        </w:rPr>
      </w:pPr>
      <w:bookmarkStart w:id="94" w:name="_Toc4485646"/>
      <w:bookmarkStart w:id="95" w:name="_Toc533340170"/>
      <w:r>
        <w:rPr>
          <w:rFonts w:hint="eastAsia" w:ascii="仿宋" w:hAnsi="仿宋" w:eastAsia="仿宋" w:cs="仿宋"/>
          <w:sz w:val="28"/>
          <w:szCs w:val="28"/>
          <w:highlight w:val="none"/>
        </w:rPr>
        <w:br w:type="page"/>
      </w:r>
      <w:r>
        <w:rPr>
          <w:rFonts w:hint="eastAsia" w:ascii="仿宋" w:hAnsi="仿宋" w:eastAsia="仿宋" w:cs="仿宋"/>
          <w:sz w:val="28"/>
          <w:szCs w:val="28"/>
          <w:highlight w:val="none"/>
        </w:rPr>
        <w:t xml:space="preserve">附件1                   </w:t>
      </w:r>
    </w:p>
    <w:p w14:paraId="08C50B5D">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资格审查表</w:t>
      </w:r>
      <w:bookmarkEnd w:id="94"/>
      <w:bookmarkEnd w:id="95"/>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3472"/>
        <w:gridCol w:w="1996"/>
        <w:gridCol w:w="759"/>
        <w:gridCol w:w="759"/>
        <w:gridCol w:w="760"/>
      </w:tblGrid>
      <w:tr w14:paraId="730FC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14" w:type="dxa"/>
            <w:vMerge w:val="restart"/>
            <w:vAlign w:val="center"/>
          </w:tcPr>
          <w:p w14:paraId="0A519A9F">
            <w:pPr>
              <w:rPr>
                <w:rFonts w:hint="eastAsia" w:ascii="仿宋" w:hAnsi="仿宋" w:eastAsia="仿宋" w:cs="仿宋"/>
                <w:highlight w:val="none"/>
              </w:rPr>
            </w:pPr>
            <w:bookmarkStart w:id="96" w:name="_Toc533340171"/>
            <w:bookmarkStart w:id="97" w:name="_Toc4485647"/>
            <w:r>
              <w:rPr>
                <w:rFonts w:hint="eastAsia" w:ascii="仿宋" w:hAnsi="仿宋" w:eastAsia="仿宋" w:cs="仿宋"/>
                <w:highlight w:val="none"/>
              </w:rPr>
              <w:t>序号</w:t>
            </w:r>
          </w:p>
        </w:tc>
        <w:tc>
          <w:tcPr>
            <w:tcW w:w="3472" w:type="dxa"/>
            <w:vMerge w:val="restart"/>
            <w:vAlign w:val="center"/>
          </w:tcPr>
          <w:p w14:paraId="77A58333">
            <w:pPr>
              <w:pStyle w:val="3"/>
              <w:adjustRightInd w:val="0"/>
              <w:snapToGrid w:val="0"/>
              <w:spacing w:before="0" w:after="0" w:line="240" w:lineRule="auto"/>
              <w:jc w:val="center"/>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审查项目</w:t>
            </w:r>
            <w:bookmarkEnd w:id="96"/>
            <w:bookmarkEnd w:id="97"/>
          </w:p>
        </w:tc>
        <w:tc>
          <w:tcPr>
            <w:tcW w:w="1996" w:type="dxa"/>
            <w:vMerge w:val="restart"/>
            <w:vAlign w:val="center"/>
          </w:tcPr>
          <w:p w14:paraId="23A739A2">
            <w:pPr>
              <w:pStyle w:val="3"/>
              <w:adjustRightInd w:val="0"/>
              <w:snapToGrid w:val="0"/>
              <w:spacing w:before="0" w:after="0" w:line="240" w:lineRule="auto"/>
              <w:jc w:val="center"/>
              <w:rPr>
                <w:rFonts w:hint="eastAsia" w:ascii="仿宋" w:hAnsi="仿宋" w:eastAsia="仿宋" w:cs="仿宋"/>
                <w:b w:val="0"/>
                <w:sz w:val="21"/>
                <w:szCs w:val="21"/>
                <w:highlight w:val="none"/>
              </w:rPr>
            </w:pPr>
            <w:bookmarkStart w:id="98" w:name="_Toc4485648"/>
            <w:bookmarkStart w:id="99" w:name="_Toc533340172"/>
            <w:r>
              <w:rPr>
                <w:rFonts w:hint="eastAsia" w:ascii="仿宋" w:hAnsi="仿宋" w:eastAsia="仿宋" w:cs="仿宋"/>
                <w:b w:val="0"/>
                <w:sz w:val="21"/>
                <w:szCs w:val="21"/>
                <w:highlight w:val="none"/>
              </w:rPr>
              <w:t>审查标准</w:t>
            </w:r>
            <w:bookmarkEnd w:id="98"/>
            <w:bookmarkEnd w:id="99"/>
          </w:p>
        </w:tc>
        <w:tc>
          <w:tcPr>
            <w:tcW w:w="2278" w:type="dxa"/>
            <w:gridSpan w:val="3"/>
            <w:vAlign w:val="center"/>
          </w:tcPr>
          <w:p w14:paraId="615ACA4D">
            <w:pPr>
              <w:pStyle w:val="3"/>
              <w:adjustRightInd w:val="0"/>
              <w:snapToGrid w:val="0"/>
              <w:spacing w:before="0" w:after="0" w:line="240" w:lineRule="auto"/>
              <w:jc w:val="center"/>
              <w:rPr>
                <w:rFonts w:hint="eastAsia" w:ascii="仿宋" w:hAnsi="仿宋" w:eastAsia="仿宋" w:cs="仿宋"/>
                <w:b w:val="0"/>
                <w:sz w:val="21"/>
                <w:szCs w:val="21"/>
                <w:highlight w:val="none"/>
              </w:rPr>
            </w:pPr>
            <w:bookmarkStart w:id="100" w:name="_Toc533340173"/>
            <w:bookmarkStart w:id="101" w:name="_Toc4485649"/>
            <w:r>
              <w:rPr>
                <w:rFonts w:hint="eastAsia" w:ascii="仿宋" w:hAnsi="仿宋" w:eastAsia="仿宋" w:cs="仿宋"/>
                <w:b w:val="0"/>
                <w:sz w:val="21"/>
                <w:szCs w:val="21"/>
                <w:highlight w:val="none"/>
              </w:rPr>
              <w:t>供应商名称</w:t>
            </w:r>
            <w:bookmarkEnd w:id="100"/>
            <w:bookmarkEnd w:id="101"/>
          </w:p>
        </w:tc>
      </w:tr>
      <w:tr w14:paraId="573F5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14" w:type="dxa"/>
            <w:vMerge w:val="continue"/>
            <w:vAlign w:val="center"/>
          </w:tcPr>
          <w:p w14:paraId="402A2277">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3472" w:type="dxa"/>
            <w:vMerge w:val="continue"/>
            <w:vAlign w:val="center"/>
          </w:tcPr>
          <w:p w14:paraId="2B791150">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1996" w:type="dxa"/>
            <w:vMerge w:val="continue"/>
            <w:vAlign w:val="center"/>
          </w:tcPr>
          <w:p w14:paraId="5E99FAFC">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59" w:type="dxa"/>
            <w:vAlign w:val="center"/>
          </w:tcPr>
          <w:p w14:paraId="543E75FB">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59" w:type="dxa"/>
            <w:vAlign w:val="center"/>
          </w:tcPr>
          <w:p w14:paraId="7B40EF41">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60" w:type="dxa"/>
            <w:vAlign w:val="center"/>
          </w:tcPr>
          <w:p w14:paraId="05277EFD">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512EC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714" w:type="dxa"/>
            <w:vAlign w:val="center"/>
          </w:tcPr>
          <w:p w14:paraId="334AFBDE">
            <w:pPr>
              <w:snapToGrid w:val="0"/>
              <w:jc w:val="center"/>
              <w:rPr>
                <w:rFonts w:hint="eastAsia" w:ascii="仿宋" w:hAnsi="仿宋" w:eastAsia="仿宋" w:cs="仿宋"/>
                <w:highlight w:val="none"/>
              </w:rPr>
            </w:pPr>
            <w:r>
              <w:rPr>
                <w:rFonts w:hint="eastAsia" w:ascii="仿宋" w:hAnsi="仿宋" w:eastAsia="仿宋" w:cs="仿宋"/>
                <w:highlight w:val="none"/>
              </w:rPr>
              <w:t>1</w:t>
            </w:r>
          </w:p>
        </w:tc>
        <w:tc>
          <w:tcPr>
            <w:tcW w:w="3472" w:type="dxa"/>
            <w:vAlign w:val="center"/>
          </w:tcPr>
          <w:p w14:paraId="5EAD3150">
            <w:pPr>
              <w:snapToGrid w:val="0"/>
              <w:rPr>
                <w:rFonts w:hint="eastAsia" w:ascii="仿宋" w:hAnsi="仿宋" w:eastAsia="仿宋" w:cs="仿宋"/>
                <w:b/>
                <w:szCs w:val="21"/>
                <w:highlight w:val="none"/>
              </w:rPr>
            </w:pPr>
            <w:r>
              <w:rPr>
                <w:rFonts w:hint="eastAsia" w:ascii="仿宋" w:hAnsi="仿宋" w:eastAsia="仿宋" w:cs="仿宋"/>
                <w:highlight w:val="none"/>
              </w:rPr>
              <w:t>营业执照或事业单位法人证书或执业许可证等证明文件或自然人的身份证明</w:t>
            </w:r>
          </w:p>
        </w:tc>
        <w:tc>
          <w:tcPr>
            <w:tcW w:w="1996" w:type="dxa"/>
            <w:vAlign w:val="center"/>
          </w:tcPr>
          <w:p w14:paraId="3549B6B6">
            <w:pPr>
              <w:pStyle w:val="3"/>
              <w:adjustRightInd w:val="0"/>
              <w:snapToGrid w:val="0"/>
              <w:spacing w:before="0" w:after="0" w:line="240" w:lineRule="auto"/>
              <w:rPr>
                <w:rFonts w:hint="eastAsia" w:ascii="仿宋" w:hAnsi="仿宋" w:eastAsia="仿宋" w:cs="仿宋"/>
                <w:b w:val="0"/>
                <w:sz w:val="21"/>
                <w:szCs w:val="21"/>
                <w:highlight w:val="none"/>
              </w:rPr>
            </w:pPr>
            <w:bookmarkStart w:id="102" w:name="_Toc4485650"/>
            <w:bookmarkStart w:id="103" w:name="_Toc533340174"/>
            <w:r>
              <w:rPr>
                <w:rFonts w:hint="eastAsia" w:ascii="仿宋" w:hAnsi="仿宋" w:eastAsia="仿宋" w:cs="仿宋"/>
                <w:b w:val="0"/>
                <w:sz w:val="21"/>
                <w:szCs w:val="21"/>
                <w:highlight w:val="none"/>
              </w:rPr>
              <w:t>1.按要求提供</w:t>
            </w:r>
            <w:bookmarkEnd w:id="102"/>
            <w:bookmarkEnd w:id="103"/>
          </w:p>
          <w:p w14:paraId="67F32620">
            <w:pPr>
              <w:pStyle w:val="3"/>
              <w:adjustRightInd w:val="0"/>
              <w:snapToGrid w:val="0"/>
              <w:spacing w:before="0" w:after="0" w:line="240" w:lineRule="auto"/>
              <w:rPr>
                <w:rFonts w:hint="eastAsia" w:ascii="仿宋" w:hAnsi="仿宋" w:eastAsia="仿宋" w:cs="仿宋"/>
                <w:b w:val="0"/>
                <w:sz w:val="21"/>
                <w:szCs w:val="21"/>
                <w:highlight w:val="none"/>
              </w:rPr>
            </w:pPr>
            <w:bookmarkStart w:id="104" w:name="_Toc4485651"/>
            <w:bookmarkStart w:id="105" w:name="_Toc533340175"/>
            <w:r>
              <w:rPr>
                <w:rFonts w:hint="eastAsia" w:ascii="仿宋" w:hAnsi="仿宋" w:eastAsia="仿宋" w:cs="仿宋"/>
                <w:b w:val="0"/>
                <w:sz w:val="21"/>
                <w:szCs w:val="21"/>
                <w:highlight w:val="none"/>
              </w:rPr>
              <w:t>2.合法有效</w:t>
            </w:r>
            <w:bookmarkEnd w:id="104"/>
            <w:bookmarkEnd w:id="105"/>
          </w:p>
        </w:tc>
        <w:tc>
          <w:tcPr>
            <w:tcW w:w="759" w:type="dxa"/>
            <w:vAlign w:val="center"/>
          </w:tcPr>
          <w:p w14:paraId="760A9ACC">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59" w:type="dxa"/>
            <w:vAlign w:val="center"/>
          </w:tcPr>
          <w:p w14:paraId="0FE18A02">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60" w:type="dxa"/>
            <w:vAlign w:val="center"/>
          </w:tcPr>
          <w:p w14:paraId="5A7838FB">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7342B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714" w:type="dxa"/>
            <w:vAlign w:val="center"/>
          </w:tcPr>
          <w:p w14:paraId="0BD18A78">
            <w:pPr>
              <w:widowControl/>
              <w:snapToGrid w:val="0"/>
              <w:jc w:val="center"/>
              <w:rPr>
                <w:rFonts w:hint="eastAsia" w:ascii="仿宋" w:hAnsi="仿宋" w:eastAsia="仿宋" w:cs="仿宋"/>
                <w:highlight w:val="none"/>
              </w:rPr>
            </w:pPr>
            <w:r>
              <w:rPr>
                <w:rFonts w:hint="eastAsia" w:ascii="仿宋" w:hAnsi="仿宋" w:eastAsia="仿宋" w:cs="仿宋"/>
                <w:highlight w:val="none"/>
              </w:rPr>
              <w:t>2</w:t>
            </w:r>
          </w:p>
        </w:tc>
        <w:tc>
          <w:tcPr>
            <w:tcW w:w="3472" w:type="dxa"/>
            <w:vAlign w:val="center"/>
          </w:tcPr>
          <w:p w14:paraId="00B9C443">
            <w:pPr>
              <w:widowControl/>
              <w:snapToGrid w:val="0"/>
              <w:rPr>
                <w:rFonts w:hint="eastAsia" w:ascii="仿宋" w:hAnsi="仿宋" w:eastAsia="仿宋" w:cs="仿宋"/>
                <w:b/>
                <w:szCs w:val="21"/>
                <w:highlight w:val="none"/>
              </w:rPr>
            </w:pPr>
            <w:r>
              <w:rPr>
                <w:rFonts w:hint="eastAsia" w:ascii="仿宋" w:hAnsi="仿宋" w:eastAsia="仿宋" w:cs="仿宋"/>
                <w:highlight w:val="none"/>
              </w:rPr>
              <w:t>组织机构代码证</w:t>
            </w:r>
          </w:p>
        </w:tc>
        <w:tc>
          <w:tcPr>
            <w:tcW w:w="1996" w:type="dxa"/>
            <w:vAlign w:val="center"/>
          </w:tcPr>
          <w:p w14:paraId="71AAE753">
            <w:pPr>
              <w:pStyle w:val="3"/>
              <w:adjustRightInd w:val="0"/>
              <w:snapToGrid w:val="0"/>
              <w:spacing w:before="0" w:after="0" w:line="240" w:lineRule="auto"/>
              <w:rPr>
                <w:rFonts w:hint="eastAsia" w:ascii="仿宋" w:hAnsi="仿宋" w:eastAsia="仿宋" w:cs="仿宋"/>
                <w:b w:val="0"/>
                <w:sz w:val="21"/>
                <w:szCs w:val="21"/>
                <w:highlight w:val="none"/>
              </w:rPr>
            </w:pPr>
            <w:bookmarkStart w:id="106" w:name="_Toc533340176"/>
            <w:bookmarkStart w:id="107" w:name="_Toc4485652"/>
            <w:r>
              <w:rPr>
                <w:rFonts w:hint="eastAsia" w:ascii="仿宋" w:hAnsi="仿宋" w:eastAsia="仿宋" w:cs="仿宋"/>
                <w:b w:val="0"/>
                <w:sz w:val="21"/>
                <w:szCs w:val="21"/>
                <w:highlight w:val="none"/>
              </w:rPr>
              <w:t>1.按要求提供</w:t>
            </w:r>
            <w:bookmarkEnd w:id="106"/>
            <w:bookmarkEnd w:id="107"/>
          </w:p>
          <w:p w14:paraId="447942B4">
            <w:pPr>
              <w:pStyle w:val="3"/>
              <w:adjustRightInd w:val="0"/>
              <w:snapToGrid w:val="0"/>
              <w:spacing w:before="0" w:after="0" w:line="240" w:lineRule="auto"/>
              <w:rPr>
                <w:rFonts w:hint="eastAsia" w:ascii="仿宋" w:hAnsi="仿宋" w:eastAsia="仿宋" w:cs="仿宋"/>
                <w:b w:val="0"/>
                <w:sz w:val="21"/>
                <w:szCs w:val="21"/>
                <w:highlight w:val="none"/>
              </w:rPr>
            </w:pPr>
            <w:bookmarkStart w:id="108" w:name="_Toc533340177"/>
            <w:bookmarkStart w:id="109" w:name="_Toc4485653"/>
            <w:r>
              <w:rPr>
                <w:rFonts w:hint="eastAsia" w:ascii="仿宋" w:hAnsi="仿宋" w:eastAsia="仿宋" w:cs="仿宋"/>
                <w:b w:val="0"/>
                <w:sz w:val="21"/>
                <w:szCs w:val="21"/>
                <w:highlight w:val="none"/>
              </w:rPr>
              <w:t>2.合法有效</w:t>
            </w:r>
            <w:bookmarkEnd w:id="108"/>
            <w:bookmarkEnd w:id="109"/>
          </w:p>
        </w:tc>
        <w:tc>
          <w:tcPr>
            <w:tcW w:w="759" w:type="dxa"/>
          </w:tcPr>
          <w:p w14:paraId="7B00D9D0">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59" w:type="dxa"/>
          </w:tcPr>
          <w:p w14:paraId="6AB10C60">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60" w:type="dxa"/>
          </w:tcPr>
          <w:p w14:paraId="2534BCFB">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35AC5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vAlign w:val="center"/>
          </w:tcPr>
          <w:p w14:paraId="6188C2A3">
            <w:pPr>
              <w:widowControl/>
              <w:snapToGrid w:val="0"/>
              <w:jc w:val="center"/>
              <w:rPr>
                <w:rFonts w:hint="eastAsia" w:ascii="仿宋" w:hAnsi="仿宋" w:eastAsia="仿宋" w:cs="仿宋"/>
                <w:highlight w:val="none"/>
              </w:rPr>
            </w:pPr>
            <w:r>
              <w:rPr>
                <w:rFonts w:hint="eastAsia" w:ascii="仿宋" w:hAnsi="仿宋" w:eastAsia="仿宋" w:cs="仿宋"/>
                <w:highlight w:val="none"/>
              </w:rPr>
              <w:t>3</w:t>
            </w:r>
          </w:p>
        </w:tc>
        <w:tc>
          <w:tcPr>
            <w:tcW w:w="3472" w:type="dxa"/>
            <w:vAlign w:val="center"/>
          </w:tcPr>
          <w:p w14:paraId="569FD163">
            <w:pPr>
              <w:widowControl/>
              <w:snapToGrid w:val="0"/>
              <w:rPr>
                <w:rFonts w:hint="eastAsia" w:ascii="仿宋" w:hAnsi="仿宋" w:eastAsia="仿宋" w:cs="仿宋"/>
                <w:b/>
                <w:szCs w:val="21"/>
                <w:highlight w:val="none"/>
              </w:rPr>
            </w:pPr>
            <w:r>
              <w:rPr>
                <w:rFonts w:hint="eastAsia" w:ascii="仿宋" w:hAnsi="仿宋" w:eastAsia="仿宋" w:cs="仿宋"/>
                <w:highlight w:val="none"/>
              </w:rPr>
              <w:t>税务登记证</w:t>
            </w:r>
          </w:p>
        </w:tc>
        <w:tc>
          <w:tcPr>
            <w:tcW w:w="1996" w:type="dxa"/>
            <w:vAlign w:val="center"/>
          </w:tcPr>
          <w:p w14:paraId="4C30AB90">
            <w:pPr>
              <w:pStyle w:val="3"/>
              <w:adjustRightInd w:val="0"/>
              <w:snapToGrid w:val="0"/>
              <w:spacing w:before="0" w:after="0" w:line="240" w:lineRule="auto"/>
              <w:rPr>
                <w:rFonts w:hint="eastAsia" w:ascii="仿宋" w:hAnsi="仿宋" w:eastAsia="仿宋" w:cs="仿宋"/>
                <w:b w:val="0"/>
                <w:sz w:val="21"/>
                <w:szCs w:val="21"/>
                <w:highlight w:val="none"/>
              </w:rPr>
            </w:pPr>
            <w:bookmarkStart w:id="110" w:name="_Toc533340178"/>
            <w:bookmarkStart w:id="111" w:name="_Toc4485654"/>
            <w:r>
              <w:rPr>
                <w:rFonts w:hint="eastAsia" w:ascii="仿宋" w:hAnsi="仿宋" w:eastAsia="仿宋" w:cs="仿宋"/>
                <w:b w:val="0"/>
                <w:sz w:val="21"/>
                <w:szCs w:val="21"/>
                <w:highlight w:val="none"/>
              </w:rPr>
              <w:t>1.按要求提供</w:t>
            </w:r>
            <w:bookmarkEnd w:id="110"/>
            <w:bookmarkEnd w:id="111"/>
          </w:p>
          <w:p w14:paraId="0232A309">
            <w:pPr>
              <w:pStyle w:val="3"/>
              <w:adjustRightInd w:val="0"/>
              <w:snapToGrid w:val="0"/>
              <w:spacing w:before="0" w:after="0" w:line="240" w:lineRule="auto"/>
              <w:rPr>
                <w:rFonts w:hint="eastAsia" w:ascii="仿宋" w:hAnsi="仿宋" w:eastAsia="仿宋" w:cs="仿宋"/>
                <w:b w:val="0"/>
                <w:sz w:val="21"/>
                <w:szCs w:val="21"/>
                <w:highlight w:val="none"/>
              </w:rPr>
            </w:pPr>
            <w:bookmarkStart w:id="112" w:name="_Toc533340179"/>
            <w:bookmarkStart w:id="113" w:name="_Toc4485655"/>
            <w:r>
              <w:rPr>
                <w:rFonts w:hint="eastAsia" w:ascii="仿宋" w:hAnsi="仿宋" w:eastAsia="仿宋" w:cs="仿宋"/>
                <w:b w:val="0"/>
                <w:sz w:val="21"/>
                <w:szCs w:val="21"/>
                <w:highlight w:val="none"/>
              </w:rPr>
              <w:t>2.合法有效</w:t>
            </w:r>
            <w:bookmarkEnd w:id="112"/>
            <w:bookmarkEnd w:id="113"/>
          </w:p>
        </w:tc>
        <w:tc>
          <w:tcPr>
            <w:tcW w:w="759" w:type="dxa"/>
          </w:tcPr>
          <w:p w14:paraId="6BA53D13">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59" w:type="dxa"/>
          </w:tcPr>
          <w:p w14:paraId="3D24F392">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60" w:type="dxa"/>
          </w:tcPr>
          <w:p w14:paraId="4DA10792">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6A858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vAlign w:val="center"/>
          </w:tcPr>
          <w:p w14:paraId="3068933A">
            <w:pPr>
              <w:widowControl/>
              <w:snapToGrid w:val="0"/>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3472" w:type="dxa"/>
            <w:vAlign w:val="center"/>
          </w:tcPr>
          <w:p w14:paraId="36E4DC68">
            <w:pPr>
              <w:widowControl/>
              <w:snapToGrid w:val="0"/>
              <w:rPr>
                <w:rFonts w:hint="eastAsia" w:ascii="仿宋" w:hAnsi="仿宋" w:eastAsia="仿宋" w:cs="仿宋"/>
                <w:b/>
                <w:szCs w:val="21"/>
                <w:highlight w:val="none"/>
              </w:rPr>
            </w:pPr>
            <w:r>
              <w:rPr>
                <w:rFonts w:hint="eastAsia" w:ascii="仿宋" w:hAnsi="仿宋" w:eastAsia="仿宋" w:cs="仿宋"/>
                <w:szCs w:val="21"/>
                <w:highlight w:val="none"/>
              </w:rPr>
              <w:t>法定代表人（或非法人组织负责人）身份证明书</w:t>
            </w:r>
          </w:p>
        </w:tc>
        <w:tc>
          <w:tcPr>
            <w:tcW w:w="1996" w:type="dxa"/>
            <w:vAlign w:val="center"/>
          </w:tcPr>
          <w:p w14:paraId="04E84E70">
            <w:pPr>
              <w:pStyle w:val="3"/>
              <w:adjustRightInd w:val="0"/>
              <w:snapToGrid w:val="0"/>
              <w:spacing w:before="0" w:after="0" w:line="240" w:lineRule="auto"/>
              <w:rPr>
                <w:rFonts w:hint="eastAsia" w:ascii="仿宋" w:hAnsi="仿宋" w:eastAsia="仿宋" w:cs="仿宋"/>
                <w:b w:val="0"/>
                <w:sz w:val="21"/>
                <w:szCs w:val="21"/>
                <w:highlight w:val="none"/>
              </w:rPr>
            </w:pPr>
            <w:bookmarkStart w:id="114" w:name="_Toc4485656"/>
            <w:bookmarkStart w:id="115" w:name="_Toc533340180"/>
            <w:r>
              <w:rPr>
                <w:rFonts w:hint="eastAsia" w:ascii="仿宋" w:hAnsi="仿宋" w:eastAsia="仿宋" w:cs="仿宋"/>
                <w:b w:val="0"/>
                <w:sz w:val="21"/>
                <w:szCs w:val="21"/>
                <w:highlight w:val="none"/>
              </w:rPr>
              <w:t>1.按给定格式填写</w:t>
            </w:r>
            <w:bookmarkEnd w:id="114"/>
            <w:bookmarkEnd w:id="115"/>
          </w:p>
          <w:p w14:paraId="5F15CB31">
            <w:pPr>
              <w:pStyle w:val="3"/>
              <w:adjustRightInd w:val="0"/>
              <w:snapToGrid w:val="0"/>
              <w:spacing w:before="0" w:after="0" w:line="240" w:lineRule="auto"/>
              <w:rPr>
                <w:rFonts w:hint="eastAsia" w:ascii="仿宋" w:hAnsi="仿宋" w:eastAsia="仿宋" w:cs="仿宋"/>
                <w:b w:val="0"/>
                <w:sz w:val="21"/>
                <w:szCs w:val="21"/>
                <w:highlight w:val="none"/>
              </w:rPr>
            </w:pPr>
            <w:bookmarkStart w:id="116" w:name="_Toc533340181"/>
            <w:bookmarkStart w:id="117" w:name="_Toc4485657"/>
            <w:r>
              <w:rPr>
                <w:rFonts w:hint="eastAsia" w:ascii="仿宋" w:hAnsi="仿宋" w:eastAsia="仿宋" w:cs="仿宋"/>
                <w:b w:val="0"/>
                <w:sz w:val="21"/>
                <w:szCs w:val="21"/>
                <w:highlight w:val="none"/>
              </w:rPr>
              <w:t>2.按规定签章</w:t>
            </w:r>
            <w:bookmarkEnd w:id="116"/>
            <w:bookmarkEnd w:id="117"/>
          </w:p>
        </w:tc>
        <w:tc>
          <w:tcPr>
            <w:tcW w:w="759" w:type="dxa"/>
          </w:tcPr>
          <w:p w14:paraId="622112F5">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59" w:type="dxa"/>
          </w:tcPr>
          <w:p w14:paraId="29E11A05">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60" w:type="dxa"/>
          </w:tcPr>
          <w:p w14:paraId="3BB00390">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545C8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vAlign w:val="center"/>
          </w:tcPr>
          <w:p w14:paraId="204C0F97">
            <w:pPr>
              <w:widowControl/>
              <w:snapToGrid w:val="0"/>
              <w:jc w:val="center"/>
              <w:rPr>
                <w:rFonts w:hint="eastAsia" w:ascii="仿宋" w:hAnsi="仿宋" w:eastAsia="仿宋" w:cs="仿宋"/>
                <w:highlight w:val="none"/>
              </w:rPr>
            </w:pPr>
            <w:r>
              <w:rPr>
                <w:rFonts w:hint="eastAsia" w:ascii="仿宋" w:hAnsi="仿宋" w:eastAsia="仿宋" w:cs="仿宋"/>
                <w:highlight w:val="none"/>
              </w:rPr>
              <w:t>5</w:t>
            </w:r>
          </w:p>
        </w:tc>
        <w:tc>
          <w:tcPr>
            <w:tcW w:w="3472" w:type="dxa"/>
            <w:vAlign w:val="center"/>
          </w:tcPr>
          <w:p w14:paraId="20FEDFFC">
            <w:pPr>
              <w:widowControl/>
              <w:snapToGrid w:val="0"/>
              <w:rPr>
                <w:rFonts w:hint="eastAsia" w:ascii="仿宋" w:hAnsi="仿宋" w:eastAsia="仿宋" w:cs="仿宋"/>
                <w:b/>
                <w:szCs w:val="21"/>
                <w:highlight w:val="none"/>
              </w:rPr>
            </w:pPr>
            <w:r>
              <w:rPr>
                <w:rFonts w:hint="eastAsia" w:ascii="仿宋" w:hAnsi="仿宋" w:eastAsia="仿宋" w:cs="仿宋"/>
                <w:highlight w:val="none"/>
              </w:rPr>
              <w:t>法定代表人（或非法人组织</w:t>
            </w:r>
            <w:r>
              <w:rPr>
                <w:rFonts w:hint="eastAsia" w:ascii="仿宋" w:hAnsi="仿宋" w:eastAsia="仿宋" w:cs="仿宋"/>
                <w:szCs w:val="21"/>
                <w:highlight w:val="none"/>
              </w:rPr>
              <w:t>负责人）</w:t>
            </w:r>
            <w:r>
              <w:rPr>
                <w:rFonts w:hint="eastAsia" w:ascii="仿宋" w:hAnsi="仿宋" w:eastAsia="仿宋" w:cs="仿宋"/>
                <w:highlight w:val="none"/>
              </w:rPr>
              <w:t>授权委托书</w:t>
            </w:r>
            <w:r>
              <w:rPr>
                <w:rFonts w:hint="eastAsia" w:ascii="仿宋" w:hAnsi="仿宋" w:eastAsia="仿宋" w:cs="仿宋"/>
                <w:szCs w:val="21"/>
                <w:highlight w:val="none"/>
              </w:rPr>
              <w:t>（如适用）</w:t>
            </w:r>
          </w:p>
        </w:tc>
        <w:tc>
          <w:tcPr>
            <w:tcW w:w="1996" w:type="dxa"/>
            <w:vAlign w:val="center"/>
          </w:tcPr>
          <w:p w14:paraId="6CE38F00">
            <w:pPr>
              <w:pStyle w:val="3"/>
              <w:adjustRightInd w:val="0"/>
              <w:snapToGrid w:val="0"/>
              <w:spacing w:before="0" w:after="0" w:line="240" w:lineRule="auto"/>
              <w:rPr>
                <w:rFonts w:hint="eastAsia" w:ascii="仿宋" w:hAnsi="仿宋" w:eastAsia="仿宋" w:cs="仿宋"/>
                <w:b w:val="0"/>
                <w:sz w:val="21"/>
                <w:szCs w:val="21"/>
                <w:highlight w:val="none"/>
              </w:rPr>
            </w:pPr>
            <w:bookmarkStart w:id="118" w:name="_Toc4485658"/>
            <w:bookmarkStart w:id="119" w:name="_Toc533340182"/>
            <w:r>
              <w:rPr>
                <w:rFonts w:hint="eastAsia" w:ascii="仿宋" w:hAnsi="仿宋" w:eastAsia="仿宋" w:cs="仿宋"/>
                <w:b w:val="0"/>
                <w:sz w:val="21"/>
                <w:szCs w:val="21"/>
                <w:highlight w:val="none"/>
              </w:rPr>
              <w:t>1.按给定格式填写</w:t>
            </w:r>
            <w:bookmarkEnd w:id="118"/>
            <w:bookmarkEnd w:id="119"/>
          </w:p>
          <w:p w14:paraId="70F1E5A3">
            <w:pPr>
              <w:pStyle w:val="3"/>
              <w:adjustRightInd w:val="0"/>
              <w:snapToGrid w:val="0"/>
              <w:spacing w:before="0" w:after="0" w:line="240" w:lineRule="auto"/>
              <w:rPr>
                <w:rFonts w:hint="eastAsia" w:ascii="仿宋" w:hAnsi="仿宋" w:eastAsia="仿宋" w:cs="仿宋"/>
                <w:b w:val="0"/>
                <w:sz w:val="21"/>
                <w:szCs w:val="21"/>
                <w:highlight w:val="none"/>
              </w:rPr>
            </w:pPr>
            <w:bookmarkStart w:id="120" w:name="_Toc533340183"/>
            <w:bookmarkStart w:id="121" w:name="_Toc4485659"/>
            <w:r>
              <w:rPr>
                <w:rFonts w:hint="eastAsia" w:ascii="仿宋" w:hAnsi="仿宋" w:eastAsia="仿宋" w:cs="仿宋"/>
                <w:b w:val="0"/>
                <w:sz w:val="21"/>
                <w:szCs w:val="21"/>
                <w:highlight w:val="none"/>
              </w:rPr>
              <w:t>2.按规定签章</w:t>
            </w:r>
            <w:bookmarkEnd w:id="120"/>
            <w:bookmarkEnd w:id="121"/>
          </w:p>
        </w:tc>
        <w:tc>
          <w:tcPr>
            <w:tcW w:w="759" w:type="dxa"/>
          </w:tcPr>
          <w:p w14:paraId="0B039B20">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59" w:type="dxa"/>
          </w:tcPr>
          <w:p w14:paraId="2462C64F">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60" w:type="dxa"/>
          </w:tcPr>
          <w:p w14:paraId="7C5E9A90">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66700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714" w:type="dxa"/>
            <w:vAlign w:val="center"/>
          </w:tcPr>
          <w:p w14:paraId="7D8CFD17">
            <w:pPr>
              <w:widowControl/>
              <w:snapToGrid w:val="0"/>
              <w:jc w:val="center"/>
              <w:rPr>
                <w:rFonts w:hint="eastAsia" w:ascii="仿宋" w:hAnsi="仿宋" w:eastAsia="仿宋" w:cs="仿宋"/>
                <w:highlight w:val="none"/>
              </w:rPr>
            </w:pPr>
            <w:r>
              <w:rPr>
                <w:rFonts w:hint="eastAsia" w:ascii="仿宋" w:hAnsi="仿宋" w:eastAsia="仿宋" w:cs="仿宋"/>
                <w:highlight w:val="none"/>
              </w:rPr>
              <w:t>6</w:t>
            </w:r>
          </w:p>
        </w:tc>
        <w:tc>
          <w:tcPr>
            <w:tcW w:w="3472" w:type="dxa"/>
            <w:vAlign w:val="center"/>
          </w:tcPr>
          <w:p w14:paraId="24D6696C">
            <w:pPr>
              <w:widowControl/>
              <w:snapToGrid w:val="0"/>
              <w:rPr>
                <w:rFonts w:hint="eastAsia" w:ascii="仿宋" w:hAnsi="仿宋" w:eastAsia="仿宋" w:cs="仿宋"/>
                <w:highlight w:val="none"/>
              </w:rPr>
            </w:pPr>
            <w:r>
              <w:rPr>
                <w:rFonts w:hint="eastAsia" w:ascii="仿宋" w:hAnsi="仿宋" w:eastAsia="仿宋" w:cs="仿宋"/>
                <w:highlight w:val="none"/>
              </w:rPr>
              <w:t>具有良好的商业信誉和健全的财务会计制度的承诺函</w:t>
            </w:r>
          </w:p>
        </w:tc>
        <w:tc>
          <w:tcPr>
            <w:tcW w:w="1996" w:type="dxa"/>
            <w:vAlign w:val="center"/>
          </w:tcPr>
          <w:p w14:paraId="509716B2">
            <w:pPr>
              <w:pStyle w:val="3"/>
              <w:adjustRightInd w:val="0"/>
              <w:snapToGrid w:val="0"/>
              <w:spacing w:before="0" w:after="0" w:line="240" w:lineRule="auto"/>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1.信息完整</w:t>
            </w:r>
          </w:p>
          <w:p w14:paraId="4F4E88EC">
            <w:pPr>
              <w:pStyle w:val="3"/>
              <w:adjustRightInd w:val="0"/>
              <w:snapToGrid w:val="0"/>
              <w:spacing w:before="0" w:after="0" w:line="240" w:lineRule="auto"/>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2.按规定签章</w:t>
            </w:r>
          </w:p>
        </w:tc>
        <w:tc>
          <w:tcPr>
            <w:tcW w:w="759" w:type="dxa"/>
          </w:tcPr>
          <w:p w14:paraId="12E7B2E8">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59" w:type="dxa"/>
          </w:tcPr>
          <w:p w14:paraId="5DC73AB5">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60" w:type="dxa"/>
          </w:tcPr>
          <w:p w14:paraId="3F241615">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0F561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vAlign w:val="center"/>
          </w:tcPr>
          <w:p w14:paraId="729AC7E8">
            <w:pPr>
              <w:snapToGrid w:val="0"/>
              <w:jc w:val="center"/>
              <w:rPr>
                <w:rFonts w:hint="eastAsia" w:ascii="仿宋" w:hAnsi="仿宋" w:eastAsia="仿宋" w:cs="仿宋"/>
                <w:highlight w:val="none"/>
              </w:rPr>
            </w:pPr>
            <w:r>
              <w:rPr>
                <w:rFonts w:hint="eastAsia" w:ascii="仿宋" w:hAnsi="仿宋" w:eastAsia="仿宋" w:cs="仿宋"/>
                <w:highlight w:val="none"/>
              </w:rPr>
              <w:t>7</w:t>
            </w:r>
          </w:p>
        </w:tc>
        <w:tc>
          <w:tcPr>
            <w:tcW w:w="3472" w:type="dxa"/>
            <w:vAlign w:val="center"/>
          </w:tcPr>
          <w:p w14:paraId="36F411F5">
            <w:pPr>
              <w:snapToGrid w:val="0"/>
              <w:rPr>
                <w:rFonts w:hint="eastAsia" w:ascii="仿宋" w:hAnsi="仿宋" w:eastAsia="仿宋" w:cs="仿宋"/>
                <w:b/>
                <w:szCs w:val="21"/>
                <w:highlight w:val="none"/>
              </w:rPr>
            </w:pPr>
            <w:r>
              <w:rPr>
                <w:rFonts w:hint="eastAsia" w:ascii="仿宋" w:hAnsi="仿宋" w:eastAsia="仿宋" w:cs="仿宋"/>
                <w:highlight w:val="none"/>
              </w:rPr>
              <w:t>磋商会议前六个月内任一个月的依法缴纳税收的缴款凭据</w:t>
            </w:r>
          </w:p>
        </w:tc>
        <w:tc>
          <w:tcPr>
            <w:tcW w:w="1996" w:type="dxa"/>
            <w:vAlign w:val="center"/>
          </w:tcPr>
          <w:p w14:paraId="4C61B573">
            <w:pPr>
              <w:pStyle w:val="3"/>
              <w:adjustRightInd w:val="0"/>
              <w:snapToGrid w:val="0"/>
              <w:spacing w:before="0" w:after="0" w:line="240" w:lineRule="auto"/>
              <w:rPr>
                <w:rFonts w:hint="eastAsia" w:ascii="仿宋" w:hAnsi="仿宋" w:eastAsia="仿宋" w:cs="仿宋"/>
                <w:b w:val="0"/>
                <w:sz w:val="21"/>
                <w:szCs w:val="21"/>
                <w:highlight w:val="none"/>
              </w:rPr>
            </w:pPr>
            <w:bookmarkStart w:id="122" w:name="_Toc4485662"/>
            <w:bookmarkStart w:id="123" w:name="_Toc533340186"/>
            <w:r>
              <w:rPr>
                <w:rFonts w:hint="eastAsia" w:ascii="仿宋" w:hAnsi="仿宋" w:eastAsia="仿宋" w:cs="仿宋"/>
                <w:b w:val="0"/>
                <w:sz w:val="21"/>
                <w:szCs w:val="21"/>
                <w:highlight w:val="none"/>
              </w:rPr>
              <w:t>1.按要求提供</w:t>
            </w:r>
            <w:bookmarkEnd w:id="122"/>
            <w:bookmarkEnd w:id="123"/>
          </w:p>
          <w:p w14:paraId="5B7AE7A0">
            <w:pPr>
              <w:pStyle w:val="3"/>
              <w:adjustRightInd w:val="0"/>
              <w:snapToGrid w:val="0"/>
              <w:spacing w:before="0" w:after="0" w:line="240" w:lineRule="auto"/>
              <w:rPr>
                <w:rFonts w:hint="eastAsia" w:ascii="仿宋" w:hAnsi="仿宋" w:eastAsia="仿宋" w:cs="仿宋"/>
                <w:b w:val="0"/>
                <w:sz w:val="21"/>
                <w:szCs w:val="21"/>
                <w:highlight w:val="none"/>
              </w:rPr>
            </w:pPr>
            <w:bookmarkStart w:id="124" w:name="_Toc533340187"/>
            <w:bookmarkStart w:id="125" w:name="_Toc4485663"/>
            <w:r>
              <w:rPr>
                <w:rFonts w:hint="eastAsia" w:ascii="仿宋" w:hAnsi="仿宋" w:eastAsia="仿宋" w:cs="仿宋"/>
                <w:b w:val="0"/>
                <w:sz w:val="21"/>
                <w:szCs w:val="21"/>
                <w:highlight w:val="none"/>
              </w:rPr>
              <w:t>2.合法有效</w:t>
            </w:r>
            <w:bookmarkEnd w:id="124"/>
            <w:bookmarkEnd w:id="125"/>
          </w:p>
        </w:tc>
        <w:tc>
          <w:tcPr>
            <w:tcW w:w="759" w:type="dxa"/>
          </w:tcPr>
          <w:p w14:paraId="1514BFB7">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59" w:type="dxa"/>
          </w:tcPr>
          <w:p w14:paraId="580B9A1C">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60" w:type="dxa"/>
          </w:tcPr>
          <w:p w14:paraId="5023FAB7">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14537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vAlign w:val="center"/>
          </w:tcPr>
          <w:p w14:paraId="73C2010A">
            <w:pPr>
              <w:snapToGrid w:val="0"/>
              <w:jc w:val="center"/>
              <w:rPr>
                <w:rFonts w:hint="eastAsia" w:ascii="仿宋" w:hAnsi="仿宋" w:eastAsia="仿宋" w:cs="仿宋"/>
                <w:highlight w:val="none"/>
              </w:rPr>
            </w:pPr>
            <w:r>
              <w:rPr>
                <w:rFonts w:hint="eastAsia" w:ascii="仿宋" w:hAnsi="仿宋" w:eastAsia="仿宋" w:cs="仿宋"/>
                <w:highlight w:val="none"/>
              </w:rPr>
              <w:t>8</w:t>
            </w:r>
          </w:p>
        </w:tc>
        <w:tc>
          <w:tcPr>
            <w:tcW w:w="3472" w:type="dxa"/>
            <w:vAlign w:val="center"/>
          </w:tcPr>
          <w:p w14:paraId="74AEC0BC">
            <w:pPr>
              <w:snapToGrid w:val="0"/>
              <w:rPr>
                <w:rFonts w:hint="eastAsia" w:ascii="仿宋" w:hAnsi="仿宋" w:eastAsia="仿宋" w:cs="仿宋"/>
                <w:b/>
                <w:szCs w:val="21"/>
                <w:highlight w:val="none"/>
              </w:rPr>
            </w:pPr>
            <w:r>
              <w:rPr>
                <w:rFonts w:hint="eastAsia" w:ascii="仿宋" w:hAnsi="仿宋" w:eastAsia="仿宋" w:cs="仿宋"/>
                <w:highlight w:val="none"/>
              </w:rPr>
              <w:t>磋商会议前六个月内任一个月的依法缴纳社会保障资金的缴款凭据</w:t>
            </w:r>
          </w:p>
        </w:tc>
        <w:tc>
          <w:tcPr>
            <w:tcW w:w="1996" w:type="dxa"/>
            <w:vAlign w:val="center"/>
          </w:tcPr>
          <w:p w14:paraId="6F24DFE9">
            <w:pPr>
              <w:pStyle w:val="3"/>
              <w:adjustRightInd w:val="0"/>
              <w:snapToGrid w:val="0"/>
              <w:spacing w:before="0" w:after="0" w:line="240" w:lineRule="auto"/>
              <w:rPr>
                <w:rFonts w:hint="eastAsia" w:ascii="仿宋" w:hAnsi="仿宋" w:eastAsia="仿宋" w:cs="仿宋"/>
                <w:b w:val="0"/>
                <w:sz w:val="21"/>
                <w:szCs w:val="21"/>
                <w:highlight w:val="none"/>
              </w:rPr>
            </w:pPr>
            <w:bookmarkStart w:id="126" w:name="_Toc533340188"/>
            <w:bookmarkStart w:id="127" w:name="_Toc4485664"/>
            <w:r>
              <w:rPr>
                <w:rFonts w:hint="eastAsia" w:ascii="仿宋" w:hAnsi="仿宋" w:eastAsia="仿宋" w:cs="仿宋"/>
                <w:b w:val="0"/>
                <w:sz w:val="21"/>
                <w:szCs w:val="21"/>
                <w:highlight w:val="none"/>
              </w:rPr>
              <w:t>1.按要求提供</w:t>
            </w:r>
            <w:bookmarkEnd w:id="126"/>
            <w:bookmarkEnd w:id="127"/>
          </w:p>
          <w:p w14:paraId="74AED1F8">
            <w:pPr>
              <w:pStyle w:val="3"/>
              <w:adjustRightInd w:val="0"/>
              <w:snapToGrid w:val="0"/>
              <w:spacing w:before="0" w:after="0" w:line="240" w:lineRule="auto"/>
              <w:rPr>
                <w:rFonts w:hint="eastAsia" w:ascii="仿宋" w:hAnsi="仿宋" w:eastAsia="仿宋" w:cs="仿宋"/>
                <w:b w:val="0"/>
                <w:sz w:val="21"/>
                <w:szCs w:val="21"/>
                <w:highlight w:val="none"/>
              </w:rPr>
            </w:pPr>
            <w:bookmarkStart w:id="128" w:name="_Toc4485665"/>
            <w:bookmarkStart w:id="129" w:name="_Toc533340189"/>
            <w:r>
              <w:rPr>
                <w:rFonts w:hint="eastAsia" w:ascii="仿宋" w:hAnsi="仿宋" w:eastAsia="仿宋" w:cs="仿宋"/>
                <w:b w:val="0"/>
                <w:sz w:val="21"/>
                <w:szCs w:val="21"/>
                <w:highlight w:val="none"/>
              </w:rPr>
              <w:t>2.合法有效</w:t>
            </w:r>
            <w:bookmarkEnd w:id="128"/>
            <w:bookmarkEnd w:id="129"/>
          </w:p>
        </w:tc>
        <w:tc>
          <w:tcPr>
            <w:tcW w:w="759" w:type="dxa"/>
          </w:tcPr>
          <w:p w14:paraId="71BA1FAF">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59" w:type="dxa"/>
          </w:tcPr>
          <w:p w14:paraId="0C5E81E0">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60" w:type="dxa"/>
          </w:tcPr>
          <w:p w14:paraId="20A9273F">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047CC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714" w:type="dxa"/>
            <w:vAlign w:val="center"/>
          </w:tcPr>
          <w:p w14:paraId="6011DB2A">
            <w:pPr>
              <w:snapToGrid w:val="0"/>
              <w:jc w:val="center"/>
              <w:rPr>
                <w:rFonts w:hint="eastAsia" w:ascii="仿宋" w:hAnsi="仿宋" w:eastAsia="仿宋" w:cs="仿宋"/>
                <w:highlight w:val="none"/>
              </w:rPr>
            </w:pPr>
            <w:r>
              <w:rPr>
                <w:rFonts w:hint="eastAsia" w:ascii="仿宋" w:hAnsi="仿宋" w:eastAsia="仿宋" w:cs="仿宋"/>
                <w:highlight w:val="none"/>
              </w:rPr>
              <w:t>9</w:t>
            </w:r>
          </w:p>
        </w:tc>
        <w:tc>
          <w:tcPr>
            <w:tcW w:w="3472" w:type="dxa"/>
            <w:vAlign w:val="center"/>
          </w:tcPr>
          <w:p w14:paraId="2811C375">
            <w:pPr>
              <w:snapToGrid w:val="0"/>
              <w:rPr>
                <w:rFonts w:hint="eastAsia" w:ascii="仿宋" w:hAnsi="仿宋" w:eastAsia="仿宋" w:cs="仿宋"/>
                <w:b/>
                <w:szCs w:val="21"/>
                <w:highlight w:val="none"/>
              </w:rPr>
            </w:pPr>
            <w:r>
              <w:rPr>
                <w:rFonts w:hint="eastAsia" w:ascii="仿宋" w:hAnsi="仿宋" w:eastAsia="仿宋" w:cs="仿宋"/>
                <w:highlight w:val="none"/>
              </w:rPr>
              <w:t>具备履行合同所必需的设备和专业技术能力声明函</w:t>
            </w:r>
          </w:p>
        </w:tc>
        <w:tc>
          <w:tcPr>
            <w:tcW w:w="1996" w:type="dxa"/>
            <w:vAlign w:val="center"/>
          </w:tcPr>
          <w:p w14:paraId="4C843A3E">
            <w:pPr>
              <w:pStyle w:val="3"/>
              <w:adjustRightInd w:val="0"/>
              <w:snapToGrid w:val="0"/>
              <w:spacing w:before="0" w:after="0" w:line="240" w:lineRule="auto"/>
              <w:rPr>
                <w:rFonts w:hint="eastAsia" w:ascii="仿宋" w:hAnsi="仿宋" w:eastAsia="仿宋" w:cs="仿宋"/>
                <w:b w:val="0"/>
                <w:sz w:val="21"/>
                <w:szCs w:val="21"/>
                <w:highlight w:val="none"/>
              </w:rPr>
            </w:pPr>
            <w:bookmarkStart w:id="130" w:name="_Toc4485666"/>
            <w:bookmarkStart w:id="131" w:name="_Toc533340190"/>
            <w:r>
              <w:rPr>
                <w:rFonts w:hint="eastAsia" w:ascii="仿宋" w:hAnsi="仿宋" w:eastAsia="仿宋" w:cs="仿宋"/>
                <w:b w:val="0"/>
                <w:sz w:val="21"/>
                <w:szCs w:val="21"/>
                <w:highlight w:val="none"/>
              </w:rPr>
              <w:t>1.信息完整</w:t>
            </w:r>
            <w:bookmarkEnd w:id="130"/>
            <w:bookmarkEnd w:id="131"/>
          </w:p>
          <w:p w14:paraId="07BB3518">
            <w:pPr>
              <w:pStyle w:val="3"/>
              <w:adjustRightInd w:val="0"/>
              <w:snapToGrid w:val="0"/>
              <w:spacing w:before="0" w:after="0" w:line="240" w:lineRule="auto"/>
              <w:rPr>
                <w:rFonts w:hint="eastAsia" w:ascii="仿宋" w:hAnsi="仿宋" w:eastAsia="仿宋" w:cs="仿宋"/>
                <w:b w:val="0"/>
                <w:sz w:val="21"/>
                <w:szCs w:val="21"/>
                <w:highlight w:val="none"/>
              </w:rPr>
            </w:pPr>
            <w:bookmarkStart w:id="132" w:name="_Toc4485667"/>
            <w:bookmarkStart w:id="133" w:name="_Toc533340191"/>
            <w:r>
              <w:rPr>
                <w:rFonts w:hint="eastAsia" w:ascii="仿宋" w:hAnsi="仿宋" w:eastAsia="仿宋" w:cs="仿宋"/>
                <w:b w:val="0"/>
                <w:sz w:val="21"/>
                <w:szCs w:val="21"/>
                <w:highlight w:val="none"/>
              </w:rPr>
              <w:t>2.按规定签章</w:t>
            </w:r>
            <w:bookmarkEnd w:id="132"/>
            <w:bookmarkEnd w:id="133"/>
          </w:p>
        </w:tc>
        <w:tc>
          <w:tcPr>
            <w:tcW w:w="759" w:type="dxa"/>
          </w:tcPr>
          <w:p w14:paraId="33F081A8">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59" w:type="dxa"/>
          </w:tcPr>
          <w:p w14:paraId="2CAADCC1">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60" w:type="dxa"/>
          </w:tcPr>
          <w:p w14:paraId="31E39FF8">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0E616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714" w:type="dxa"/>
            <w:vAlign w:val="center"/>
          </w:tcPr>
          <w:p w14:paraId="430523B1">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10</w:t>
            </w:r>
          </w:p>
        </w:tc>
        <w:tc>
          <w:tcPr>
            <w:tcW w:w="3472" w:type="dxa"/>
            <w:vAlign w:val="center"/>
          </w:tcPr>
          <w:p w14:paraId="373724B4">
            <w:pPr>
              <w:snapToGrid w:val="0"/>
              <w:rPr>
                <w:rFonts w:hint="eastAsia" w:ascii="仿宋" w:hAnsi="仿宋" w:eastAsia="仿宋" w:cs="仿宋"/>
                <w:highlight w:val="none"/>
              </w:rPr>
            </w:pPr>
            <w:r>
              <w:rPr>
                <w:rFonts w:hint="eastAsia" w:ascii="仿宋" w:hAnsi="仿宋" w:eastAsia="仿宋" w:cs="仿宋"/>
                <w:szCs w:val="21"/>
                <w:highlight w:val="none"/>
              </w:rPr>
              <w:t>参加政府采购活动前3年内在经营活动中没有重大违法记录的书面声明</w:t>
            </w:r>
          </w:p>
        </w:tc>
        <w:tc>
          <w:tcPr>
            <w:tcW w:w="1996" w:type="dxa"/>
            <w:vAlign w:val="center"/>
          </w:tcPr>
          <w:p w14:paraId="5987DA57">
            <w:pPr>
              <w:pStyle w:val="3"/>
              <w:adjustRightInd w:val="0"/>
              <w:snapToGrid w:val="0"/>
              <w:spacing w:before="0" w:after="0" w:line="240" w:lineRule="auto"/>
              <w:rPr>
                <w:rFonts w:hint="eastAsia" w:ascii="仿宋" w:hAnsi="仿宋" w:eastAsia="仿宋" w:cs="仿宋"/>
                <w:b w:val="0"/>
                <w:sz w:val="21"/>
                <w:szCs w:val="21"/>
                <w:highlight w:val="none"/>
              </w:rPr>
            </w:pPr>
            <w:bookmarkStart w:id="134" w:name="_Toc4485668"/>
            <w:bookmarkStart w:id="135" w:name="_Toc533340192"/>
            <w:r>
              <w:rPr>
                <w:rFonts w:hint="eastAsia" w:ascii="仿宋" w:hAnsi="仿宋" w:eastAsia="仿宋" w:cs="仿宋"/>
                <w:b w:val="0"/>
                <w:sz w:val="21"/>
                <w:szCs w:val="21"/>
                <w:highlight w:val="none"/>
              </w:rPr>
              <w:t>1.按给定格式填写</w:t>
            </w:r>
            <w:bookmarkEnd w:id="134"/>
            <w:bookmarkEnd w:id="135"/>
          </w:p>
          <w:p w14:paraId="4BD02A59">
            <w:pPr>
              <w:pStyle w:val="3"/>
              <w:adjustRightInd w:val="0"/>
              <w:snapToGrid w:val="0"/>
              <w:spacing w:before="0" w:after="0" w:line="240" w:lineRule="auto"/>
              <w:rPr>
                <w:rFonts w:hint="eastAsia" w:ascii="仿宋" w:hAnsi="仿宋" w:eastAsia="仿宋" w:cs="仿宋"/>
                <w:b w:val="0"/>
                <w:sz w:val="21"/>
                <w:szCs w:val="21"/>
                <w:highlight w:val="none"/>
              </w:rPr>
            </w:pPr>
            <w:bookmarkStart w:id="136" w:name="_Toc533340193"/>
            <w:bookmarkStart w:id="137" w:name="_Toc4485669"/>
            <w:r>
              <w:rPr>
                <w:rFonts w:hint="eastAsia" w:ascii="仿宋" w:hAnsi="仿宋" w:eastAsia="仿宋" w:cs="仿宋"/>
                <w:b w:val="0"/>
                <w:sz w:val="21"/>
                <w:szCs w:val="21"/>
                <w:highlight w:val="none"/>
              </w:rPr>
              <w:t>2.按规定签章</w:t>
            </w:r>
            <w:bookmarkEnd w:id="136"/>
            <w:bookmarkEnd w:id="137"/>
          </w:p>
        </w:tc>
        <w:tc>
          <w:tcPr>
            <w:tcW w:w="759" w:type="dxa"/>
          </w:tcPr>
          <w:p w14:paraId="0BF58402">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59" w:type="dxa"/>
          </w:tcPr>
          <w:p w14:paraId="64D5F4E0">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60" w:type="dxa"/>
          </w:tcPr>
          <w:p w14:paraId="7F201F65">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70FF4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714" w:type="dxa"/>
            <w:vAlign w:val="center"/>
          </w:tcPr>
          <w:p w14:paraId="49AE7297">
            <w:pPr>
              <w:snapToGrid w:val="0"/>
              <w:jc w:val="center"/>
              <w:rPr>
                <w:rFonts w:hint="eastAsia" w:ascii="仿宋" w:hAnsi="仿宋" w:eastAsia="仿宋" w:cs="仿宋"/>
                <w:highlight w:val="none"/>
              </w:rPr>
            </w:pPr>
            <w:r>
              <w:rPr>
                <w:rFonts w:hint="eastAsia" w:ascii="仿宋" w:hAnsi="仿宋" w:eastAsia="仿宋" w:cs="仿宋"/>
                <w:highlight w:val="none"/>
              </w:rPr>
              <w:t>11</w:t>
            </w:r>
          </w:p>
        </w:tc>
        <w:tc>
          <w:tcPr>
            <w:tcW w:w="3472" w:type="dxa"/>
            <w:vAlign w:val="center"/>
          </w:tcPr>
          <w:p w14:paraId="446EEB37">
            <w:pPr>
              <w:snapToGrid w:val="0"/>
              <w:rPr>
                <w:rFonts w:hint="eastAsia" w:ascii="仿宋" w:hAnsi="仿宋" w:eastAsia="仿宋" w:cs="仿宋"/>
                <w:b/>
                <w:szCs w:val="21"/>
                <w:highlight w:val="none"/>
              </w:rPr>
            </w:pPr>
            <w:r>
              <w:rPr>
                <w:rFonts w:hint="eastAsia" w:ascii="仿宋" w:hAnsi="仿宋" w:eastAsia="仿宋" w:cs="仿宋"/>
                <w:highlight w:val="none"/>
              </w:rPr>
              <w:t>信用记录（</w:t>
            </w:r>
            <w:r>
              <w:rPr>
                <w:rFonts w:hint="eastAsia" w:ascii="仿宋" w:hAnsi="仿宋" w:eastAsia="仿宋" w:cs="仿宋"/>
                <w:szCs w:val="21"/>
                <w:highlight w:val="none"/>
              </w:rPr>
              <w:t>采购人或采购代理机构将按照采购文件规定的审查期间内进行查询</w:t>
            </w:r>
            <w:r>
              <w:rPr>
                <w:rFonts w:hint="eastAsia" w:ascii="仿宋" w:hAnsi="仿宋" w:eastAsia="仿宋" w:cs="仿宋"/>
                <w:highlight w:val="none"/>
              </w:rPr>
              <w:t>）</w:t>
            </w:r>
          </w:p>
        </w:tc>
        <w:tc>
          <w:tcPr>
            <w:tcW w:w="1996" w:type="dxa"/>
            <w:vAlign w:val="center"/>
          </w:tcPr>
          <w:p w14:paraId="6E426715">
            <w:pPr>
              <w:pStyle w:val="3"/>
              <w:adjustRightInd w:val="0"/>
              <w:snapToGrid w:val="0"/>
              <w:spacing w:before="0" w:after="0" w:line="240" w:lineRule="auto"/>
              <w:rPr>
                <w:rFonts w:hint="eastAsia" w:ascii="仿宋" w:hAnsi="仿宋" w:eastAsia="仿宋" w:cs="仿宋"/>
                <w:b w:val="0"/>
                <w:sz w:val="21"/>
                <w:szCs w:val="21"/>
                <w:highlight w:val="none"/>
              </w:rPr>
            </w:pPr>
            <w:bookmarkStart w:id="138" w:name="_Toc533340198"/>
            <w:bookmarkStart w:id="139" w:name="_Toc4485674"/>
            <w:r>
              <w:rPr>
                <w:rFonts w:hint="eastAsia" w:ascii="仿宋" w:hAnsi="仿宋" w:eastAsia="仿宋" w:cs="仿宋"/>
                <w:b w:val="0"/>
                <w:sz w:val="21"/>
                <w:szCs w:val="21"/>
                <w:highlight w:val="none"/>
              </w:rPr>
              <w:t>无供应商须知</w:t>
            </w:r>
          </w:p>
          <w:p w14:paraId="04798320">
            <w:pPr>
              <w:pStyle w:val="3"/>
              <w:adjustRightInd w:val="0"/>
              <w:snapToGrid w:val="0"/>
              <w:spacing w:before="0" w:after="0" w:line="240" w:lineRule="auto"/>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22.3.1所述的不良记录</w:t>
            </w:r>
            <w:bookmarkEnd w:id="138"/>
            <w:bookmarkEnd w:id="139"/>
          </w:p>
        </w:tc>
        <w:tc>
          <w:tcPr>
            <w:tcW w:w="759" w:type="dxa"/>
          </w:tcPr>
          <w:p w14:paraId="44A804B8">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59" w:type="dxa"/>
          </w:tcPr>
          <w:p w14:paraId="7CC9D31E">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60" w:type="dxa"/>
          </w:tcPr>
          <w:p w14:paraId="65B522A7">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0DB06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714" w:type="dxa"/>
            <w:vAlign w:val="center"/>
          </w:tcPr>
          <w:p w14:paraId="0CF28231">
            <w:pPr>
              <w:snapToGrid w:val="0"/>
              <w:jc w:val="center"/>
              <w:rPr>
                <w:rFonts w:hint="eastAsia" w:ascii="仿宋" w:hAnsi="仿宋" w:eastAsia="仿宋" w:cs="仿宋"/>
                <w:highlight w:val="none"/>
              </w:rPr>
            </w:pPr>
            <w:r>
              <w:rPr>
                <w:rFonts w:hint="eastAsia" w:ascii="仿宋" w:hAnsi="仿宋" w:eastAsia="仿宋" w:cs="仿宋"/>
                <w:highlight w:val="none"/>
              </w:rPr>
              <w:t>12</w:t>
            </w:r>
          </w:p>
        </w:tc>
        <w:tc>
          <w:tcPr>
            <w:tcW w:w="3472" w:type="dxa"/>
            <w:vAlign w:val="center"/>
          </w:tcPr>
          <w:p w14:paraId="4E794AAC">
            <w:pPr>
              <w:snapToGrid w:val="0"/>
              <w:rPr>
                <w:rFonts w:hint="eastAsia" w:ascii="仿宋" w:hAnsi="仿宋" w:eastAsia="仿宋" w:cs="仿宋"/>
                <w:highlight w:val="none"/>
              </w:rPr>
            </w:pPr>
            <w:r>
              <w:rPr>
                <w:rFonts w:hint="eastAsia" w:ascii="仿宋" w:hAnsi="仿宋" w:eastAsia="仿宋" w:cs="仿宋"/>
                <w:szCs w:val="21"/>
                <w:highlight w:val="none"/>
              </w:rPr>
              <w:t>落实政府采购政策需满足的资格要求（提供中小企业声明函/残疾人福利性单位声明函/由省级以上监狱管理局、戒毒管理局（含新疆生产建设兵团）</w:t>
            </w:r>
          </w:p>
        </w:tc>
        <w:tc>
          <w:tcPr>
            <w:tcW w:w="1996" w:type="dxa"/>
            <w:vAlign w:val="center"/>
          </w:tcPr>
          <w:p w14:paraId="1E327D28">
            <w:pPr>
              <w:pStyle w:val="3"/>
              <w:adjustRightInd w:val="0"/>
              <w:snapToGrid w:val="0"/>
              <w:spacing w:before="0" w:after="0" w:line="240" w:lineRule="auto"/>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1.按给定格式填写</w:t>
            </w:r>
          </w:p>
          <w:p w14:paraId="11F824C0">
            <w:pPr>
              <w:pStyle w:val="3"/>
              <w:adjustRightInd w:val="0"/>
              <w:snapToGrid w:val="0"/>
              <w:spacing w:before="0" w:after="0" w:line="240" w:lineRule="auto"/>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2.按规定签章</w:t>
            </w:r>
          </w:p>
        </w:tc>
        <w:tc>
          <w:tcPr>
            <w:tcW w:w="759" w:type="dxa"/>
          </w:tcPr>
          <w:p w14:paraId="77A69C95">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59" w:type="dxa"/>
          </w:tcPr>
          <w:p w14:paraId="4DD2013B">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60" w:type="dxa"/>
          </w:tcPr>
          <w:p w14:paraId="0C860D14">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54EC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714" w:type="dxa"/>
            <w:vAlign w:val="center"/>
          </w:tcPr>
          <w:p w14:paraId="4372D196">
            <w:pPr>
              <w:snapToGrid w:val="0"/>
              <w:jc w:val="center"/>
              <w:rPr>
                <w:rFonts w:hint="eastAsia" w:ascii="仿宋" w:hAnsi="仿宋" w:eastAsia="仿宋" w:cs="仿宋"/>
                <w:highlight w:val="none"/>
              </w:rPr>
            </w:pPr>
          </w:p>
        </w:tc>
        <w:tc>
          <w:tcPr>
            <w:tcW w:w="3472" w:type="dxa"/>
            <w:vAlign w:val="center"/>
          </w:tcPr>
          <w:p w14:paraId="26DF2FBA">
            <w:pPr>
              <w:snapToGrid w:val="0"/>
              <w:jc w:val="center"/>
              <w:rPr>
                <w:rFonts w:hint="eastAsia" w:ascii="仿宋" w:hAnsi="仿宋" w:eastAsia="仿宋" w:cs="仿宋"/>
                <w:highlight w:val="none"/>
              </w:rPr>
            </w:pPr>
            <w:r>
              <w:rPr>
                <w:rFonts w:hint="eastAsia" w:ascii="仿宋" w:hAnsi="仿宋" w:eastAsia="仿宋" w:cs="仿宋"/>
                <w:highlight w:val="none"/>
              </w:rPr>
              <w:t>结论</w:t>
            </w:r>
          </w:p>
        </w:tc>
        <w:tc>
          <w:tcPr>
            <w:tcW w:w="1996" w:type="dxa"/>
          </w:tcPr>
          <w:p w14:paraId="5B36A9F1">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59" w:type="dxa"/>
          </w:tcPr>
          <w:p w14:paraId="5B22654E">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59" w:type="dxa"/>
          </w:tcPr>
          <w:p w14:paraId="51954A9C">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760" w:type="dxa"/>
          </w:tcPr>
          <w:p w14:paraId="675C2460">
            <w:pPr>
              <w:pStyle w:val="3"/>
              <w:adjustRightInd w:val="0"/>
              <w:snapToGrid w:val="0"/>
              <w:spacing w:before="0" w:after="0" w:line="240" w:lineRule="auto"/>
              <w:jc w:val="center"/>
              <w:rPr>
                <w:rFonts w:hint="eastAsia" w:ascii="仿宋" w:hAnsi="仿宋" w:eastAsia="仿宋" w:cs="仿宋"/>
                <w:sz w:val="21"/>
                <w:szCs w:val="21"/>
                <w:highlight w:val="none"/>
              </w:rPr>
            </w:pPr>
          </w:p>
        </w:tc>
      </w:tr>
    </w:tbl>
    <w:p w14:paraId="0DD21541">
      <w:pPr>
        <w:rPr>
          <w:rFonts w:hint="eastAsia" w:ascii="仿宋" w:hAnsi="仿宋" w:eastAsia="仿宋" w:cs="仿宋"/>
          <w:highlight w:val="none"/>
        </w:rPr>
      </w:pPr>
      <w:r>
        <w:rPr>
          <w:rFonts w:hint="eastAsia" w:ascii="仿宋" w:hAnsi="仿宋" w:eastAsia="仿宋" w:cs="仿宋"/>
          <w:highlight w:val="none"/>
        </w:rPr>
        <w:t>填表说明：1、每项内容审查合格，在表中填写“√”；不合格填写“×”</w:t>
      </w:r>
    </w:p>
    <w:p w14:paraId="4F860773">
      <w:pPr>
        <w:rPr>
          <w:rFonts w:hint="eastAsia" w:ascii="仿宋" w:hAnsi="仿宋" w:eastAsia="仿宋" w:cs="仿宋"/>
          <w:highlight w:val="none"/>
        </w:rPr>
      </w:pPr>
      <w:r>
        <w:rPr>
          <w:rFonts w:hint="eastAsia" w:ascii="仿宋" w:hAnsi="仿宋" w:eastAsia="仿宋" w:cs="仿宋"/>
          <w:highlight w:val="none"/>
        </w:rPr>
        <w:t xml:space="preserve">          2、审查结论填写“通过”或“不通过”</w:t>
      </w:r>
    </w:p>
    <w:p w14:paraId="63D8A064">
      <w:pPr>
        <w:spacing w:line="360" w:lineRule="auto"/>
        <w:rPr>
          <w:rFonts w:hint="eastAsia" w:ascii="仿宋" w:hAnsi="仿宋" w:eastAsia="仿宋" w:cs="仿宋"/>
          <w:highlight w:val="none"/>
        </w:rPr>
      </w:pPr>
      <w:r>
        <w:rPr>
          <w:rFonts w:hint="eastAsia" w:ascii="仿宋" w:hAnsi="仿宋" w:eastAsia="仿宋" w:cs="仿宋"/>
          <w:highlight w:val="none"/>
        </w:rPr>
        <w:t>审查人签字：</w:t>
      </w:r>
    </w:p>
    <w:p w14:paraId="088DFF76">
      <w:pPr>
        <w:spacing w:line="360" w:lineRule="auto"/>
        <w:rPr>
          <w:rFonts w:hint="eastAsia" w:ascii="仿宋" w:hAnsi="仿宋" w:eastAsia="仿宋" w:cs="仿宋"/>
          <w:b/>
          <w:szCs w:val="21"/>
          <w:highlight w:val="none"/>
        </w:rPr>
      </w:pPr>
      <w:r>
        <w:rPr>
          <w:rFonts w:hint="eastAsia" w:ascii="仿宋" w:hAnsi="仿宋" w:eastAsia="仿宋" w:cs="仿宋"/>
          <w:highlight w:val="none"/>
        </w:rPr>
        <w:t>日      期</w:t>
      </w:r>
      <w:r>
        <w:rPr>
          <w:rFonts w:hint="eastAsia" w:ascii="仿宋" w:hAnsi="仿宋" w:eastAsia="仿宋" w:cs="仿宋"/>
          <w:b/>
          <w:szCs w:val="21"/>
          <w:highlight w:val="none"/>
        </w:rPr>
        <w:br w:type="page"/>
      </w:r>
    </w:p>
    <w:p w14:paraId="4A8E1142">
      <w:pPr>
        <w:pStyle w:val="3"/>
        <w:adjustRightInd w:val="0"/>
        <w:snapToGrid w:val="0"/>
        <w:spacing w:before="0" w:after="0" w:line="240" w:lineRule="auto"/>
        <w:jc w:val="left"/>
        <w:rPr>
          <w:rFonts w:hint="eastAsia" w:ascii="仿宋" w:hAnsi="仿宋" w:eastAsia="仿宋" w:cs="仿宋"/>
          <w:sz w:val="28"/>
          <w:szCs w:val="28"/>
          <w:highlight w:val="none"/>
        </w:rPr>
      </w:pPr>
      <w:bookmarkStart w:id="140" w:name="_Toc533340199"/>
      <w:bookmarkStart w:id="141" w:name="_Toc4485675"/>
      <w:r>
        <w:rPr>
          <w:rFonts w:hint="eastAsia" w:ascii="仿宋" w:hAnsi="仿宋" w:eastAsia="仿宋" w:cs="仿宋"/>
          <w:sz w:val="28"/>
          <w:szCs w:val="28"/>
          <w:highlight w:val="none"/>
        </w:rPr>
        <w:t xml:space="preserve">附件2                  </w:t>
      </w:r>
    </w:p>
    <w:p w14:paraId="4738DE14">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符合性审查表</w:t>
      </w:r>
      <w:bookmarkEnd w:id="140"/>
      <w:bookmarkEnd w:id="141"/>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2415"/>
        <w:gridCol w:w="2776"/>
        <w:gridCol w:w="847"/>
        <w:gridCol w:w="848"/>
        <w:gridCol w:w="849"/>
      </w:tblGrid>
      <w:tr w14:paraId="1EEAD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79" w:type="dxa"/>
            <w:vMerge w:val="restart"/>
            <w:vAlign w:val="center"/>
          </w:tcPr>
          <w:p w14:paraId="6BAC7B95">
            <w:pPr>
              <w:jc w:val="center"/>
              <w:rPr>
                <w:rFonts w:hint="eastAsia" w:ascii="仿宋" w:hAnsi="仿宋" w:eastAsia="仿宋" w:cs="仿宋"/>
                <w:highlight w:val="none"/>
              </w:rPr>
            </w:pPr>
            <w:bookmarkStart w:id="142" w:name="_Toc533340200"/>
            <w:bookmarkStart w:id="143" w:name="_Toc4485676"/>
            <w:r>
              <w:rPr>
                <w:rFonts w:hint="eastAsia" w:ascii="仿宋" w:hAnsi="仿宋" w:eastAsia="仿宋" w:cs="仿宋"/>
                <w:highlight w:val="none"/>
              </w:rPr>
              <w:t>序号</w:t>
            </w:r>
          </w:p>
        </w:tc>
        <w:tc>
          <w:tcPr>
            <w:tcW w:w="2415" w:type="dxa"/>
            <w:vMerge w:val="restart"/>
            <w:vAlign w:val="center"/>
          </w:tcPr>
          <w:p w14:paraId="530DE68F">
            <w:pPr>
              <w:pStyle w:val="3"/>
              <w:adjustRightInd w:val="0"/>
              <w:snapToGrid w:val="0"/>
              <w:spacing w:before="0" w:after="0" w:line="240" w:lineRule="auto"/>
              <w:jc w:val="center"/>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审查项目</w:t>
            </w:r>
            <w:bookmarkEnd w:id="142"/>
            <w:bookmarkEnd w:id="143"/>
          </w:p>
        </w:tc>
        <w:tc>
          <w:tcPr>
            <w:tcW w:w="2776" w:type="dxa"/>
            <w:vMerge w:val="restart"/>
            <w:vAlign w:val="center"/>
          </w:tcPr>
          <w:p w14:paraId="5752D749">
            <w:pPr>
              <w:pStyle w:val="3"/>
              <w:adjustRightInd w:val="0"/>
              <w:snapToGrid w:val="0"/>
              <w:spacing w:before="0" w:after="0" w:line="240" w:lineRule="auto"/>
              <w:jc w:val="center"/>
              <w:rPr>
                <w:rFonts w:hint="eastAsia" w:ascii="仿宋" w:hAnsi="仿宋" w:eastAsia="仿宋" w:cs="仿宋"/>
                <w:b w:val="0"/>
                <w:sz w:val="21"/>
                <w:szCs w:val="21"/>
                <w:highlight w:val="none"/>
              </w:rPr>
            </w:pPr>
            <w:bookmarkStart w:id="144" w:name="_Toc4485677"/>
            <w:bookmarkStart w:id="145" w:name="_Toc533340201"/>
            <w:r>
              <w:rPr>
                <w:rFonts w:hint="eastAsia" w:ascii="仿宋" w:hAnsi="仿宋" w:eastAsia="仿宋" w:cs="仿宋"/>
                <w:b w:val="0"/>
                <w:sz w:val="21"/>
                <w:szCs w:val="21"/>
                <w:highlight w:val="none"/>
              </w:rPr>
              <w:t>审查标准</w:t>
            </w:r>
            <w:bookmarkEnd w:id="144"/>
            <w:bookmarkEnd w:id="145"/>
          </w:p>
        </w:tc>
        <w:tc>
          <w:tcPr>
            <w:tcW w:w="2544" w:type="dxa"/>
            <w:gridSpan w:val="3"/>
            <w:vAlign w:val="center"/>
          </w:tcPr>
          <w:p w14:paraId="2019F578">
            <w:pPr>
              <w:pStyle w:val="3"/>
              <w:adjustRightInd w:val="0"/>
              <w:snapToGrid w:val="0"/>
              <w:spacing w:before="0" w:after="0" w:line="240" w:lineRule="auto"/>
              <w:jc w:val="center"/>
              <w:rPr>
                <w:rFonts w:hint="eastAsia" w:ascii="仿宋" w:hAnsi="仿宋" w:eastAsia="仿宋" w:cs="仿宋"/>
                <w:b w:val="0"/>
                <w:sz w:val="21"/>
                <w:szCs w:val="21"/>
                <w:highlight w:val="none"/>
              </w:rPr>
            </w:pPr>
            <w:bookmarkStart w:id="146" w:name="_Toc533340202"/>
            <w:bookmarkStart w:id="147" w:name="_Toc4485678"/>
            <w:r>
              <w:rPr>
                <w:rFonts w:hint="eastAsia" w:ascii="仿宋" w:hAnsi="仿宋" w:eastAsia="仿宋" w:cs="仿宋"/>
                <w:b w:val="0"/>
                <w:sz w:val="21"/>
                <w:szCs w:val="21"/>
                <w:highlight w:val="none"/>
              </w:rPr>
              <w:t>供应商名称</w:t>
            </w:r>
            <w:bookmarkEnd w:id="146"/>
            <w:bookmarkEnd w:id="147"/>
          </w:p>
        </w:tc>
      </w:tr>
      <w:tr w14:paraId="4EDAA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79" w:type="dxa"/>
            <w:vMerge w:val="continue"/>
            <w:vAlign w:val="center"/>
          </w:tcPr>
          <w:p w14:paraId="31457C9A">
            <w:pPr>
              <w:pStyle w:val="3"/>
              <w:adjustRightInd w:val="0"/>
              <w:snapToGrid w:val="0"/>
              <w:spacing w:before="0" w:after="0" w:line="240" w:lineRule="auto"/>
              <w:jc w:val="center"/>
              <w:rPr>
                <w:rFonts w:hint="eastAsia" w:ascii="仿宋" w:hAnsi="仿宋" w:eastAsia="仿宋" w:cs="仿宋"/>
                <w:b w:val="0"/>
                <w:sz w:val="21"/>
                <w:szCs w:val="21"/>
                <w:highlight w:val="none"/>
              </w:rPr>
            </w:pPr>
          </w:p>
        </w:tc>
        <w:tc>
          <w:tcPr>
            <w:tcW w:w="2415" w:type="dxa"/>
            <w:vMerge w:val="continue"/>
            <w:vAlign w:val="center"/>
          </w:tcPr>
          <w:p w14:paraId="51C9F1FE">
            <w:pPr>
              <w:pStyle w:val="3"/>
              <w:adjustRightInd w:val="0"/>
              <w:snapToGrid w:val="0"/>
              <w:spacing w:before="0" w:after="0" w:line="240" w:lineRule="auto"/>
              <w:jc w:val="center"/>
              <w:rPr>
                <w:rFonts w:hint="eastAsia" w:ascii="仿宋" w:hAnsi="仿宋" w:eastAsia="仿宋" w:cs="仿宋"/>
                <w:b w:val="0"/>
                <w:sz w:val="21"/>
                <w:szCs w:val="21"/>
                <w:highlight w:val="none"/>
              </w:rPr>
            </w:pPr>
          </w:p>
        </w:tc>
        <w:tc>
          <w:tcPr>
            <w:tcW w:w="2776" w:type="dxa"/>
            <w:vMerge w:val="continue"/>
            <w:vAlign w:val="center"/>
          </w:tcPr>
          <w:p w14:paraId="4B557324">
            <w:pPr>
              <w:pStyle w:val="3"/>
              <w:adjustRightInd w:val="0"/>
              <w:snapToGrid w:val="0"/>
              <w:spacing w:before="0" w:after="0" w:line="240" w:lineRule="auto"/>
              <w:jc w:val="center"/>
              <w:rPr>
                <w:rFonts w:hint="eastAsia" w:ascii="仿宋" w:hAnsi="仿宋" w:eastAsia="仿宋" w:cs="仿宋"/>
                <w:b w:val="0"/>
                <w:sz w:val="21"/>
                <w:szCs w:val="21"/>
                <w:highlight w:val="none"/>
              </w:rPr>
            </w:pPr>
          </w:p>
        </w:tc>
        <w:tc>
          <w:tcPr>
            <w:tcW w:w="847" w:type="dxa"/>
            <w:vAlign w:val="center"/>
          </w:tcPr>
          <w:p w14:paraId="282F0C10">
            <w:pPr>
              <w:pStyle w:val="3"/>
              <w:adjustRightInd w:val="0"/>
              <w:snapToGrid w:val="0"/>
              <w:spacing w:before="0" w:after="0" w:line="240" w:lineRule="auto"/>
              <w:jc w:val="center"/>
              <w:rPr>
                <w:rFonts w:hint="eastAsia" w:ascii="仿宋" w:hAnsi="仿宋" w:eastAsia="仿宋" w:cs="仿宋"/>
                <w:b w:val="0"/>
                <w:sz w:val="21"/>
                <w:szCs w:val="21"/>
                <w:highlight w:val="none"/>
              </w:rPr>
            </w:pPr>
          </w:p>
        </w:tc>
        <w:tc>
          <w:tcPr>
            <w:tcW w:w="848" w:type="dxa"/>
            <w:vAlign w:val="center"/>
          </w:tcPr>
          <w:p w14:paraId="2FEE8F71">
            <w:pPr>
              <w:pStyle w:val="3"/>
              <w:adjustRightInd w:val="0"/>
              <w:snapToGrid w:val="0"/>
              <w:spacing w:before="0" w:after="0" w:line="240" w:lineRule="auto"/>
              <w:jc w:val="center"/>
              <w:rPr>
                <w:rFonts w:hint="eastAsia" w:ascii="仿宋" w:hAnsi="仿宋" w:eastAsia="仿宋" w:cs="仿宋"/>
                <w:b w:val="0"/>
                <w:sz w:val="21"/>
                <w:szCs w:val="21"/>
                <w:highlight w:val="none"/>
              </w:rPr>
            </w:pPr>
          </w:p>
        </w:tc>
        <w:tc>
          <w:tcPr>
            <w:tcW w:w="849" w:type="dxa"/>
            <w:vAlign w:val="center"/>
          </w:tcPr>
          <w:p w14:paraId="6E019C6B">
            <w:pPr>
              <w:pStyle w:val="3"/>
              <w:adjustRightInd w:val="0"/>
              <w:snapToGrid w:val="0"/>
              <w:spacing w:before="0" w:after="0" w:line="240" w:lineRule="auto"/>
              <w:jc w:val="center"/>
              <w:rPr>
                <w:rFonts w:hint="eastAsia" w:ascii="仿宋" w:hAnsi="仿宋" w:eastAsia="仿宋" w:cs="仿宋"/>
                <w:b w:val="0"/>
                <w:sz w:val="21"/>
                <w:szCs w:val="21"/>
                <w:highlight w:val="none"/>
              </w:rPr>
            </w:pPr>
          </w:p>
        </w:tc>
      </w:tr>
      <w:tr w14:paraId="5B95A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779" w:type="dxa"/>
            <w:vAlign w:val="center"/>
          </w:tcPr>
          <w:p w14:paraId="347EACF6">
            <w:pPr>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2415" w:type="dxa"/>
            <w:vAlign w:val="center"/>
          </w:tcPr>
          <w:p w14:paraId="7ABE31A1">
            <w:pPr>
              <w:jc w:val="left"/>
              <w:rPr>
                <w:rFonts w:hint="eastAsia" w:ascii="仿宋" w:hAnsi="仿宋" w:eastAsia="仿宋" w:cs="仿宋"/>
                <w:szCs w:val="21"/>
                <w:highlight w:val="none"/>
              </w:rPr>
            </w:pPr>
            <w:r>
              <w:rPr>
                <w:rFonts w:hint="eastAsia" w:ascii="仿宋" w:hAnsi="仿宋" w:eastAsia="仿宋" w:cs="仿宋"/>
                <w:szCs w:val="21"/>
                <w:highlight w:val="none"/>
              </w:rPr>
              <w:t>响应函</w:t>
            </w:r>
          </w:p>
        </w:tc>
        <w:tc>
          <w:tcPr>
            <w:tcW w:w="2776" w:type="dxa"/>
          </w:tcPr>
          <w:p w14:paraId="6D82ECA4">
            <w:pPr>
              <w:pStyle w:val="3"/>
              <w:adjustRightInd w:val="0"/>
              <w:snapToGrid w:val="0"/>
              <w:spacing w:before="0" w:after="0" w:line="240" w:lineRule="auto"/>
              <w:jc w:val="left"/>
              <w:rPr>
                <w:rFonts w:hint="eastAsia" w:ascii="仿宋" w:hAnsi="仿宋" w:eastAsia="仿宋" w:cs="仿宋"/>
                <w:b w:val="0"/>
                <w:sz w:val="21"/>
                <w:szCs w:val="21"/>
                <w:highlight w:val="none"/>
              </w:rPr>
            </w:pPr>
            <w:bookmarkStart w:id="148" w:name="_Toc533340203"/>
            <w:bookmarkStart w:id="149" w:name="_Toc4485679"/>
            <w:r>
              <w:rPr>
                <w:rFonts w:hint="eastAsia" w:ascii="仿宋" w:hAnsi="仿宋" w:eastAsia="仿宋" w:cs="仿宋"/>
                <w:b w:val="0"/>
                <w:sz w:val="21"/>
                <w:szCs w:val="21"/>
                <w:highlight w:val="none"/>
              </w:rPr>
              <w:t>1.按给定格式填写</w:t>
            </w:r>
            <w:bookmarkEnd w:id="148"/>
            <w:bookmarkEnd w:id="149"/>
          </w:p>
          <w:p w14:paraId="52BD32DB">
            <w:pPr>
              <w:jc w:val="left"/>
              <w:rPr>
                <w:rFonts w:hint="eastAsia" w:ascii="仿宋" w:hAnsi="仿宋" w:eastAsia="仿宋" w:cs="仿宋"/>
                <w:szCs w:val="21"/>
                <w:highlight w:val="none"/>
              </w:rPr>
            </w:pPr>
            <w:r>
              <w:rPr>
                <w:rFonts w:hint="eastAsia" w:ascii="仿宋" w:hAnsi="仿宋" w:eastAsia="仿宋" w:cs="仿宋"/>
                <w:szCs w:val="21"/>
                <w:highlight w:val="none"/>
              </w:rPr>
              <w:t>2.响应采购文件实质性要求</w:t>
            </w:r>
          </w:p>
          <w:p w14:paraId="3F54EF53">
            <w:pPr>
              <w:pStyle w:val="3"/>
              <w:adjustRightInd w:val="0"/>
              <w:snapToGrid w:val="0"/>
              <w:spacing w:before="0" w:after="0" w:line="240" w:lineRule="auto"/>
              <w:jc w:val="left"/>
              <w:rPr>
                <w:rFonts w:hint="eastAsia" w:ascii="仿宋" w:hAnsi="仿宋" w:eastAsia="仿宋" w:cs="仿宋"/>
                <w:b w:val="0"/>
                <w:sz w:val="21"/>
                <w:szCs w:val="21"/>
                <w:highlight w:val="none"/>
              </w:rPr>
            </w:pPr>
            <w:bookmarkStart w:id="150" w:name="_Toc533340204"/>
            <w:bookmarkStart w:id="151" w:name="_Toc4485680"/>
            <w:r>
              <w:rPr>
                <w:rFonts w:hint="eastAsia" w:ascii="仿宋" w:hAnsi="仿宋" w:eastAsia="仿宋" w:cs="仿宋"/>
                <w:b w:val="0"/>
                <w:sz w:val="21"/>
                <w:szCs w:val="21"/>
                <w:highlight w:val="none"/>
              </w:rPr>
              <w:t>3.按规定签章</w:t>
            </w:r>
            <w:bookmarkEnd w:id="150"/>
            <w:bookmarkEnd w:id="151"/>
          </w:p>
        </w:tc>
        <w:tc>
          <w:tcPr>
            <w:tcW w:w="847" w:type="dxa"/>
            <w:vAlign w:val="center"/>
          </w:tcPr>
          <w:p w14:paraId="386E0EFB">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8" w:type="dxa"/>
            <w:vAlign w:val="center"/>
          </w:tcPr>
          <w:p w14:paraId="71418620">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9" w:type="dxa"/>
            <w:vAlign w:val="center"/>
          </w:tcPr>
          <w:p w14:paraId="79C37CBF">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71C86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779" w:type="dxa"/>
            <w:vAlign w:val="center"/>
          </w:tcPr>
          <w:p w14:paraId="172C99E2">
            <w:pPr>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2415" w:type="dxa"/>
            <w:vAlign w:val="center"/>
          </w:tcPr>
          <w:p w14:paraId="2518284D">
            <w:pPr>
              <w:jc w:val="left"/>
              <w:rPr>
                <w:rFonts w:hint="eastAsia" w:ascii="仿宋" w:hAnsi="仿宋" w:eastAsia="仿宋" w:cs="仿宋"/>
                <w:szCs w:val="21"/>
                <w:highlight w:val="none"/>
              </w:rPr>
            </w:pPr>
            <w:r>
              <w:rPr>
                <w:rFonts w:hint="eastAsia" w:ascii="仿宋" w:hAnsi="仿宋" w:eastAsia="仿宋" w:cs="仿宋"/>
                <w:szCs w:val="21"/>
                <w:highlight w:val="none"/>
              </w:rPr>
              <w:t>报价一览表</w:t>
            </w:r>
          </w:p>
        </w:tc>
        <w:tc>
          <w:tcPr>
            <w:tcW w:w="2776" w:type="dxa"/>
          </w:tcPr>
          <w:p w14:paraId="2ACEEA77">
            <w:pPr>
              <w:pStyle w:val="3"/>
              <w:adjustRightInd w:val="0"/>
              <w:snapToGrid w:val="0"/>
              <w:spacing w:before="0" w:after="0" w:line="240" w:lineRule="auto"/>
              <w:jc w:val="left"/>
              <w:rPr>
                <w:rFonts w:hint="eastAsia" w:ascii="仿宋" w:hAnsi="仿宋" w:eastAsia="仿宋" w:cs="仿宋"/>
                <w:b w:val="0"/>
                <w:sz w:val="21"/>
                <w:szCs w:val="21"/>
                <w:highlight w:val="none"/>
              </w:rPr>
            </w:pPr>
            <w:bookmarkStart w:id="152" w:name="_Toc533340207"/>
            <w:bookmarkStart w:id="153" w:name="_Toc4485681"/>
            <w:r>
              <w:rPr>
                <w:rFonts w:hint="eastAsia" w:ascii="仿宋" w:hAnsi="仿宋" w:eastAsia="仿宋" w:cs="仿宋"/>
                <w:b w:val="0"/>
                <w:sz w:val="21"/>
                <w:szCs w:val="21"/>
                <w:highlight w:val="none"/>
              </w:rPr>
              <w:t>1.按给定格式填写</w:t>
            </w:r>
            <w:bookmarkEnd w:id="152"/>
            <w:bookmarkEnd w:id="153"/>
          </w:p>
          <w:p w14:paraId="5F059E90">
            <w:pPr>
              <w:jc w:val="left"/>
              <w:rPr>
                <w:rFonts w:hint="eastAsia" w:ascii="仿宋" w:hAnsi="仿宋" w:eastAsia="仿宋" w:cs="仿宋"/>
                <w:szCs w:val="21"/>
                <w:highlight w:val="none"/>
              </w:rPr>
            </w:pPr>
            <w:r>
              <w:rPr>
                <w:rFonts w:hint="eastAsia" w:ascii="仿宋" w:hAnsi="仿宋" w:eastAsia="仿宋" w:cs="仿宋"/>
                <w:szCs w:val="21"/>
                <w:highlight w:val="none"/>
              </w:rPr>
              <w:t>2.响应采购文件实质性要求</w:t>
            </w:r>
          </w:p>
          <w:p w14:paraId="75A0D127">
            <w:pPr>
              <w:pStyle w:val="3"/>
              <w:adjustRightInd w:val="0"/>
              <w:snapToGrid w:val="0"/>
              <w:spacing w:before="0" w:after="0" w:line="240" w:lineRule="auto"/>
              <w:jc w:val="left"/>
              <w:rPr>
                <w:rFonts w:hint="eastAsia" w:ascii="仿宋" w:hAnsi="仿宋" w:eastAsia="仿宋" w:cs="仿宋"/>
                <w:b w:val="0"/>
                <w:sz w:val="21"/>
                <w:szCs w:val="21"/>
                <w:highlight w:val="none"/>
              </w:rPr>
            </w:pPr>
            <w:bookmarkStart w:id="154" w:name="_Toc533340208"/>
            <w:bookmarkStart w:id="155" w:name="_Toc4485682"/>
            <w:r>
              <w:rPr>
                <w:rFonts w:hint="eastAsia" w:ascii="仿宋" w:hAnsi="仿宋" w:eastAsia="仿宋" w:cs="仿宋"/>
                <w:b w:val="0"/>
                <w:sz w:val="21"/>
                <w:szCs w:val="21"/>
                <w:highlight w:val="none"/>
              </w:rPr>
              <w:t>3.按规定签章</w:t>
            </w:r>
            <w:bookmarkEnd w:id="154"/>
            <w:bookmarkEnd w:id="155"/>
          </w:p>
        </w:tc>
        <w:tc>
          <w:tcPr>
            <w:tcW w:w="847" w:type="dxa"/>
          </w:tcPr>
          <w:p w14:paraId="3584B304">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8" w:type="dxa"/>
          </w:tcPr>
          <w:p w14:paraId="3ED45F05">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9" w:type="dxa"/>
          </w:tcPr>
          <w:p w14:paraId="744E0FFD">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54275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779" w:type="dxa"/>
            <w:vAlign w:val="center"/>
          </w:tcPr>
          <w:p w14:paraId="2F2D2D56">
            <w:pPr>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2415" w:type="dxa"/>
            <w:vAlign w:val="center"/>
          </w:tcPr>
          <w:p w14:paraId="7330F88F">
            <w:pPr>
              <w:jc w:val="left"/>
              <w:rPr>
                <w:rFonts w:hint="eastAsia" w:ascii="仿宋" w:hAnsi="仿宋" w:eastAsia="仿宋" w:cs="仿宋"/>
                <w:szCs w:val="21"/>
                <w:highlight w:val="none"/>
              </w:rPr>
            </w:pPr>
            <w:r>
              <w:rPr>
                <w:rFonts w:hint="eastAsia" w:ascii="仿宋" w:hAnsi="仿宋" w:eastAsia="仿宋" w:cs="仿宋"/>
                <w:szCs w:val="21"/>
                <w:highlight w:val="none"/>
              </w:rPr>
              <w:t>服务价格明细表</w:t>
            </w:r>
          </w:p>
        </w:tc>
        <w:tc>
          <w:tcPr>
            <w:tcW w:w="2776" w:type="dxa"/>
          </w:tcPr>
          <w:p w14:paraId="38BC6842">
            <w:pPr>
              <w:pStyle w:val="3"/>
              <w:adjustRightInd w:val="0"/>
              <w:snapToGrid w:val="0"/>
              <w:spacing w:before="0" w:after="0" w:line="240" w:lineRule="auto"/>
              <w:jc w:val="left"/>
              <w:rPr>
                <w:rFonts w:hint="eastAsia" w:ascii="仿宋" w:hAnsi="仿宋" w:eastAsia="仿宋" w:cs="仿宋"/>
                <w:b w:val="0"/>
                <w:sz w:val="21"/>
                <w:szCs w:val="21"/>
                <w:highlight w:val="none"/>
              </w:rPr>
            </w:pPr>
            <w:bookmarkStart w:id="156" w:name="_Toc4485683"/>
            <w:bookmarkStart w:id="157" w:name="_Toc533340209"/>
            <w:r>
              <w:rPr>
                <w:rFonts w:hint="eastAsia" w:ascii="仿宋" w:hAnsi="仿宋" w:eastAsia="仿宋" w:cs="仿宋"/>
                <w:b w:val="0"/>
                <w:sz w:val="21"/>
                <w:szCs w:val="21"/>
                <w:highlight w:val="none"/>
              </w:rPr>
              <w:t>1.按给定格式填写</w:t>
            </w:r>
            <w:bookmarkEnd w:id="156"/>
            <w:bookmarkEnd w:id="157"/>
          </w:p>
          <w:p w14:paraId="2EF86B71">
            <w:pPr>
              <w:jc w:val="left"/>
              <w:rPr>
                <w:rFonts w:hint="eastAsia" w:ascii="仿宋" w:hAnsi="仿宋" w:eastAsia="仿宋" w:cs="仿宋"/>
                <w:szCs w:val="21"/>
                <w:highlight w:val="none"/>
              </w:rPr>
            </w:pPr>
            <w:r>
              <w:rPr>
                <w:rFonts w:hint="eastAsia" w:ascii="仿宋" w:hAnsi="仿宋" w:eastAsia="仿宋" w:cs="仿宋"/>
                <w:szCs w:val="21"/>
                <w:highlight w:val="none"/>
              </w:rPr>
              <w:t>2.响应采购文件实质性要求</w:t>
            </w:r>
          </w:p>
          <w:p w14:paraId="0B3EA220">
            <w:pPr>
              <w:pStyle w:val="3"/>
              <w:adjustRightInd w:val="0"/>
              <w:snapToGrid w:val="0"/>
              <w:spacing w:before="0" w:after="0" w:line="240" w:lineRule="auto"/>
              <w:jc w:val="left"/>
              <w:rPr>
                <w:rFonts w:hint="eastAsia" w:ascii="仿宋" w:hAnsi="仿宋" w:eastAsia="仿宋" w:cs="仿宋"/>
                <w:b w:val="0"/>
                <w:sz w:val="21"/>
                <w:szCs w:val="21"/>
                <w:highlight w:val="none"/>
              </w:rPr>
            </w:pPr>
            <w:bookmarkStart w:id="158" w:name="_Toc4485684"/>
            <w:bookmarkStart w:id="159" w:name="_Toc533340210"/>
            <w:r>
              <w:rPr>
                <w:rFonts w:hint="eastAsia" w:ascii="仿宋" w:hAnsi="仿宋" w:eastAsia="仿宋" w:cs="仿宋"/>
                <w:b w:val="0"/>
                <w:sz w:val="21"/>
                <w:szCs w:val="21"/>
                <w:highlight w:val="none"/>
              </w:rPr>
              <w:t>3.按规定签章</w:t>
            </w:r>
            <w:bookmarkEnd w:id="158"/>
            <w:bookmarkEnd w:id="159"/>
          </w:p>
        </w:tc>
        <w:tc>
          <w:tcPr>
            <w:tcW w:w="847" w:type="dxa"/>
          </w:tcPr>
          <w:p w14:paraId="7CDE5174">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8" w:type="dxa"/>
          </w:tcPr>
          <w:p w14:paraId="77E7D94E">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9" w:type="dxa"/>
          </w:tcPr>
          <w:p w14:paraId="14888371">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1AF76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779" w:type="dxa"/>
            <w:vAlign w:val="center"/>
          </w:tcPr>
          <w:p w14:paraId="03E19329">
            <w:pPr>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2415" w:type="dxa"/>
            <w:vAlign w:val="center"/>
          </w:tcPr>
          <w:p w14:paraId="7FD74B81">
            <w:pPr>
              <w:jc w:val="left"/>
              <w:rPr>
                <w:rFonts w:hint="eastAsia" w:ascii="仿宋" w:hAnsi="仿宋" w:eastAsia="仿宋" w:cs="仿宋"/>
                <w:szCs w:val="21"/>
                <w:highlight w:val="none"/>
              </w:rPr>
            </w:pPr>
            <w:r>
              <w:rPr>
                <w:rFonts w:hint="eastAsia" w:ascii="仿宋" w:hAnsi="仿宋" w:eastAsia="仿宋" w:cs="仿宋"/>
                <w:szCs w:val="21"/>
                <w:highlight w:val="none"/>
              </w:rPr>
              <w:t>服务需求响应表</w:t>
            </w:r>
          </w:p>
        </w:tc>
        <w:tc>
          <w:tcPr>
            <w:tcW w:w="2776" w:type="dxa"/>
          </w:tcPr>
          <w:p w14:paraId="01789C3D">
            <w:pPr>
              <w:pStyle w:val="3"/>
              <w:adjustRightInd w:val="0"/>
              <w:snapToGrid w:val="0"/>
              <w:spacing w:before="0" w:after="0" w:line="240" w:lineRule="auto"/>
              <w:jc w:val="left"/>
              <w:rPr>
                <w:rFonts w:hint="eastAsia" w:ascii="仿宋" w:hAnsi="仿宋" w:eastAsia="仿宋" w:cs="仿宋"/>
                <w:b w:val="0"/>
                <w:sz w:val="21"/>
                <w:szCs w:val="21"/>
                <w:highlight w:val="none"/>
              </w:rPr>
            </w:pPr>
            <w:bookmarkStart w:id="160" w:name="_Toc533340211"/>
            <w:bookmarkStart w:id="161" w:name="_Toc4485685"/>
            <w:r>
              <w:rPr>
                <w:rFonts w:hint="eastAsia" w:ascii="仿宋" w:hAnsi="仿宋" w:eastAsia="仿宋" w:cs="仿宋"/>
                <w:b w:val="0"/>
                <w:sz w:val="21"/>
                <w:szCs w:val="21"/>
                <w:highlight w:val="none"/>
              </w:rPr>
              <w:t>1.按给定格式填写</w:t>
            </w:r>
            <w:bookmarkEnd w:id="160"/>
            <w:bookmarkEnd w:id="161"/>
          </w:p>
          <w:p w14:paraId="0B0E73C1">
            <w:pPr>
              <w:jc w:val="left"/>
              <w:rPr>
                <w:rFonts w:hint="eastAsia" w:ascii="仿宋" w:hAnsi="仿宋" w:eastAsia="仿宋" w:cs="仿宋"/>
                <w:szCs w:val="21"/>
                <w:highlight w:val="none"/>
              </w:rPr>
            </w:pPr>
            <w:r>
              <w:rPr>
                <w:rFonts w:hint="eastAsia" w:ascii="仿宋" w:hAnsi="仿宋" w:eastAsia="仿宋" w:cs="仿宋"/>
                <w:szCs w:val="21"/>
                <w:highlight w:val="none"/>
              </w:rPr>
              <w:t>2.响应采购文件实质性要求</w:t>
            </w:r>
          </w:p>
          <w:p w14:paraId="447B714E">
            <w:pPr>
              <w:pStyle w:val="3"/>
              <w:adjustRightInd w:val="0"/>
              <w:snapToGrid w:val="0"/>
              <w:spacing w:before="0" w:after="0" w:line="240" w:lineRule="auto"/>
              <w:jc w:val="left"/>
              <w:rPr>
                <w:rFonts w:hint="eastAsia" w:ascii="仿宋" w:hAnsi="仿宋" w:eastAsia="仿宋" w:cs="仿宋"/>
                <w:b w:val="0"/>
                <w:sz w:val="21"/>
                <w:szCs w:val="21"/>
                <w:highlight w:val="none"/>
              </w:rPr>
            </w:pPr>
            <w:bookmarkStart w:id="162" w:name="_Toc533340212"/>
            <w:bookmarkStart w:id="163" w:name="_Toc4485686"/>
            <w:r>
              <w:rPr>
                <w:rFonts w:hint="eastAsia" w:ascii="仿宋" w:hAnsi="仿宋" w:eastAsia="仿宋" w:cs="仿宋"/>
                <w:b w:val="0"/>
                <w:sz w:val="21"/>
                <w:szCs w:val="21"/>
                <w:highlight w:val="none"/>
              </w:rPr>
              <w:t>3.按规定签章</w:t>
            </w:r>
            <w:bookmarkEnd w:id="162"/>
            <w:bookmarkEnd w:id="163"/>
          </w:p>
        </w:tc>
        <w:tc>
          <w:tcPr>
            <w:tcW w:w="847" w:type="dxa"/>
          </w:tcPr>
          <w:p w14:paraId="4EB69989">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8" w:type="dxa"/>
          </w:tcPr>
          <w:p w14:paraId="4E2CF6FC">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9" w:type="dxa"/>
          </w:tcPr>
          <w:p w14:paraId="2E0BEFB3">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0C106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779" w:type="dxa"/>
            <w:vAlign w:val="center"/>
          </w:tcPr>
          <w:p w14:paraId="20C97DAA">
            <w:pPr>
              <w:jc w:val="center"/>
              <w:rPr>
                <w:rFonts w:hint="eastAsia" w:ascii="仿宋" w:hAnsi="仿宋" w:eastAsia="仿宋" w:cs="仿宋"/>
                <w:szCs w:val="21"/>
                <w:highlight w:val="none"/>
              </w:rPr>
            </w:pPr>
            <w:r>
              <w:rPr>
                <w:rFonts w:hint="eastAsia" w:ascii="仿宋" w:hAnsi="仿宋" w:eastAsia="仿宋" w:cs="仿宋"/>
                <w:szCs w:val="21"/>
                <w:highlight w:val="none"/>
              </w:rPr>
              <w:t>5</w:t>
            </w:r>
          </w:p>
        </w:tc>
        <w:tc>
          <w:tcPr>
            <w:tcW w:w="2415" w:type="dxa"/>
            <w:vAlign w:val="center"/>
          </w:tcPr>
          <w:p w14:paraId="6CE69CE6">
            <w:pPr>
              <w:jc w:val="left"/>
              <w:rPr>
                <w:rFonts w:hint="eastAsia" w:ascii="仿宋" w:hAnsi="仿宋" w:eastAsia="仿宋" w:cs="仿宋"/>
                <w:szCs w:val="21"/>
                <w:highlight w:val="none"/>
              </w:rPr>
            </w:pPr>
            <w:r>
              <w:rPr>
                <w:rFonts w:hint="eastAsia" w:ascii="仿宋" w:hAnsi="仿宋" w:eastAsia="仿宋" w:cs="仿宋"/>
                <w:szCs w:val="21"/>
                <w:highlight w:val="none"/>
              </w:rPr>
              <w:t>商务条款偏离表</w:t>
            </w:r>
          </w:p>
        </w:tc>
        <w:tc>
          <w:tcPr>
            <w:tcW w:w="2776" w:type="dxa"/>
          </w:tcPr>
          <w:p w14:paraId="661E21F5">
            <w:pPr>
              <w:pStyle w:val="3"/>
              <w:adjustRightInd w:val="0"/>
              <w:snapToGrid w:val="0"/>
              <w:spacing w:before="0" w:after="0" w:line="240" w:lineRule="auto"/>
              <w:jc w:val="left"/>
              <w:rPr>
                <w:rFonts w:hint="eastAsia" w:ascii="仿宋" w:hAnsi="仿宋" w:eastAsia="仿宋" w:cs="仿宋"/>
                <w:b w:val="0"/>
                <w:sz w:val="21"/>
                <w:szCs w:val="21"/>
                <w:highlight w:val="none"/>
              </w:rPr>
            </w:pPr>
            <w:bookmarkStart w:id="164" w:name="_Toc533340213"/>
            <w:bookmarkStart w:id="165" w:name="_Toc4485687"/>
            <w:r>
              <w:rPr>
                <w:rFonts w:hint="eastAsia" w:ascii="仿宋" w:hAnsi="仿宋" w:eastAsia="仿宋" w:cs="仿宋"/>
                <w:b w:val="0"/>
                <w:sz w:val="21"/>
                <w:szCs w:val="21"/>
                <w:highlight w:val="none"/>
              </w:rPr>
              <w:t>1.按给定格式填写</w:t>
            </w:r>
            <w:bookmarkEnd w:id="164"/>
            <w:bookmarkEnd w:id="165"/>
          </w:p>
          <w:p w14:paraId="2D099E54">
            <w:pPr>
              <w:jc w:val="left"/>
              <w:rPr>
                <w:rFonts w:hint="eastAsia" w:ascii="仿宋" w:hAnsi="仿宋" w:eastAsia="仿宋" w:cs="仿宋"/>
                <w:szCs w:val="21"/>
                <w:highlight w:val="none"/>
              </w:rPr>
            </w:pPr>
            <w:r>
              <w:rPr>
                <w:rFonts w:hint="eastAsia" w:ascii="仿宋" w:hAnsi="仿宋" w:eastAsia="仿宋" w:cs="仿宋"/>
                <w:szCs w:val="21"/>
                <w:highlight w:val="none"/>
              </w:rPr>
              <w:t>2.响应采购文件实质性要求</w:t>
            </w:r>
          </w:p>
          <w:p w14:paraId="650BCCB0">
            <w:pPr>
              <w:pStyle w:val="3"/>
              <w:adjustRightInd w:val="0"/>
              <w:snapToGrid w:val="0"/>
              <w:spacing w:before="0" w:after="0" w:line="240" w:lineRule="auto"/>
              <w:jc w:val="left"/>
              <w:rPr>
                <w:rFonts w:hint="eastAsia" w:ascii="仿宋" w:hAnsi="仿宋" w:eastAsia="仿宋" w:cs="仿宋"/>
                <w:b w:val="0"/>
                <w:sz w:val="21"/>
                <w:szCs w:val="21"/>
                <w:highlight w:val="none"/>
              </w:rPr>
            </w:pPr>
            <w:bookmarkStart w:id="166" w:name="_Toc533340214"/>
            <w:bookmarkStart w:id="167" w:name="_Toc4485688"/>
            <w:r>
              <w:rPr>
                <w:rFonts w:hint="eastAsia" w:ascii="仿宋" w:hAnsi="仿宋" w:eastAsia="仿宋" w:cs="仿宋"/>
                <w:b w:val="0"/>
                <w:sz w:val="21"/>
                <w:szCs w:val="21"/>
                <w:highlight w:val="none"/>
              </w:rPr>
              <w:t>3.按规定签章</w:t>
            </w:r>
            <w:bookmarkEnd w:id="166"/>
            <w:bookmarkEnd w:id="167"/>
          </w:p>
        </w:tc>
        <w:tc>
          <w:tcPr>
            <w:tcW w:w="847" w:type="dxa"/>
          </w:tcPr>
          <w:p w14:paraId="10B8636B">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8" w:type="dxa"/>
          </w:tcPr>
          <w:p w14:paraId="0CCAAD6E">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9" w:type="dxa"/>
          </w:tcPr>
          <w:p w14:paraId="566C1938">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3F53A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79" w:type="dxa"/>
            <w:vAlign w:val="center"/>
          </w:tcPr>
          <w:p w14:paraId="6C0E8451">
            <w:pPr>
              <w:jc w:val="center"/>
              <w:rPr>
                <w:rFonts w:hint="eastAsia" w:ascii="仿宋" w:hAnsi="仿宋" w:eastAsia="仿宋" w:cs="仿宋"/>
                <w:szCs w:val="21"/>
                <w:highlight w:val="none"/>
              </w:rPr>
            </w:pPr>
            <w:r>
              <w:rPr>
                <w:rFonts w:hint="eastAsia" w:ascii="仿宋" w:hAnsi="仿宋" w:eastAsia="仿宋" w:cs="仿宋"/>
                <w:szCs w:val="21"/>
                <w:highlight w:val="none"/>
              </w:rPr>
              <w:t>6</w:t>
            </w:r>
          </w:p>
        </w:tc>
        <w:tc>
          <w:tcPr>
            <w:tcW w:w="2415" w:type="dxa"/>
            <w:vAlign w:val="center"/>
          </w:tcPr>
          <w:p w14:paraId="03F71336">
            <w:pPr>
              <w:jc w:val="left"/>
              <w:rPr>
                <w:rFonts w:hint="eastAsia" w:ascii="仿宋" w:hAnsi="仿宋" w:eastAsia="仿宋" w:cs="仿宋"/>
                <w:szCs w:val="21"/>
                <w:highlight w:val="none"/>
              </w:rPr>
            </w:pPr>
            <w:r>
              <w:rPr>
                <w:rFonts w:hint="eastAsia" w:ascii="仿宋" w:hAnsi="仿宋" w:eastAsia="仿宋" w:cs="仿宋"/>
                <w:szCs w:val="21"/>
                <w:highlight w:val="none"/>
              </w:rPr>
              <w:t>供应商关联单位说明</w:t>
            </w:r>
          </w:p>
        </w:tc>
        <w:tc>
          <w:tcPr>
            <w:tcW w:w="2776" w:type="dxa"/>
            <w:vAlign w:val="center"/>
          </w:tcPr>
          <w:p w14:paraId="38A8B4CB">
            <w:pPr>
              <w:pStyle w:val="3"/>
              <w:adjustRightInd w:val="0"/>
              <w:snapToGrid w:val="0"/>
              <w:spacing w:before="0" w:after="0" w:line="240" w:lineRule="auto"/>
              <w:jc w:val="center"/>
              <w:rPr>
                <w:rFonts w:hint="eastAsia" w:ascii="仿宋" w:hAnsi="仿宋" w:eastAsia="仿宋" w:cs="仿宋"/>
                <w:b w:val="0"/>
                <w:sz w:val="21"/>
                <w:szCs w:val="21"/>
                <w:highlight w:val="none"/>
              </w:rPr>
            </w:pPr>
            <w:bookmarkStart w:id="168" w:name="_Toc4485689"/>
            <w:bookmarkStart w:id="169" w:name="_Toc533340215"/>
            <w:r>
              <w:rPr>
                <w:rFonts w:hint="eastAsia" w:ascii="仿宋" w:hAnsi="仿宋" w:eastAsia="仿宋" w:cs="仿宋"/>
                <w:b w:val="0"/>
                <w:sz w:val="21"/>
                <w:szCs w:val="21"/>
                <w:highlight w:val="none"/>
              </w:rPr>
              <w:t>无供应商须知1.5</w:t>
            </w:r>
            <w:bookmarkEnd w:id="168"/>
            <w:bookmarkEnd w:id="169"/>
            <w:bookmarkStart w:id="170" w:name="_Toc533340216"/>
            <w:bookmarkStart w:id="171" w:name="_Toc4485690"/>
            <w:r>
              <w:rPr>
                <w:rFonts w:hint="eastAsia" w:ascii="仿宋" w:hAnsi="仿宋" w:eastAsia="仿宋" w:cs="仿宋"/>
                <w:b w:val="0"/>
                <w:sz w:val="21"/>
                <w:szCs w:val="21"/>
                <w:highlight w:val="none"/>
              </w:rPr>
              <w:t>所述情形</w:t>
            </w:r>
            <w:bookmarkEnd w:id="170"/>
            <w:bookmarkEnd w:id="171"/>
          </w:p>
        </w:tc>
        <w:tc>
          <w:tcPr>
            <w:tcW w:w="847" w:type="dxa"/>
          </w:tcPr>
          <w:p w14:paraId="3B2C8FBC">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8" w:type="dxa"/>
          </w:tcPr>
          <w:p w14:paraId="3792FDC8">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9" w:type="dxa"/>
          </w:tcPr>
          <w:p w14:paraId="1D1EBD5F">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26A75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79" w:type="dxa"/>
            <w:vAlign w:val="center"/>
          </w:tcPr>
          <w:p w14:paraId="747097AD">
            <w:pPr>
              <w:jc w:val="cente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7</w:t>
            </w:r>
          </w:p>
        </w:tc>
        <w:tc>
          <w:tcPr>
            <w:tcW w:w="2415" w:type="dxa"/>
            <w:shd w:val="clear"/>
            <w:vAlign w:val="center"/>
          </w:tcPr>
          <w:p w14:paraId="6EFC36ED">
            <w:pPr>
              <w:jc w:val="left"/>
              <w:rPr>
                <w:rFonts w:hint="eastAsia" w:ascii="仿宋" w:hAnsi="仿宋" w:eastAsia="仿宋" w:cs="黑体"/>
                <w:kern w:val="2"/>
                <w:sz w:val="21"/>
                <w:szCs w:val="21"/>
                <w:highlight w:val="none"/>
                <w:lang w:val="en-US" w:eastAsia="zh-CN" w:bidi="ar-SA"/>
              </w:rPr>
            </w:pPr>
            <w:r>
              <w:rPr>
                <w:rFonts w:hint="eastAsia" w:ascii="仿宋" w:hAnsi="仿宋" w:eastAsia="仿宋" w:cs="黑体"/>
                <w:kern w:val="0"/>
                <w:szCs w:val="21"/>
                <w:highlight w:val="none"/>
              </w:rPr>
              <w:t>备份文件和电子文件一致性承诺函</w:t>
            </w:r>
          </w:p>
        </w:tc>
        <w:tc>
          <w:tcPr>
            <w:tcW w:w="2776" w:type="dxa"/>
            <w:shd w:val="clear"/>
            <w:vAlign w:val="center"/>
          </w:tcPr>
          <w:p w14:paraId="53F6CA8A">
            <w:pPr>
              <w:pStyle w:val="3"/>
              <w:adjustRightInd w:val="0"/>
              <w:snapToGrid w:val="0"/>
              <w:spacing w:before="0" w:after="0" w:line="240" w:lineRule="auto"/>
              <w:jc w:val="left"/>
              <w:rPr>
                <w:rFonts w:hint="eastAsia" w:ascii="仿宋" w:hAnsi="仿宋" w:eastAsia="仿宋" w:cs="黑体"/>
                <w:b w:val="0"/>
                <w:sz w:val="21"/>
                <w:szCs w:val="21"/>
                <w:highlight w:val="none"/>
                <w:lang w:val="en-US" w:eastAsia="zh-CN"/>
              </w:rPr>
            </w:pPr>
            <w:r>
              <w:rPr>
                <w:rFonts w:hint="eastAsia" w:ascii="仿宋" w:hAnsi="仿宋" w:eastAsia="仿宋" w:cs="黑体"/>
                <w:b w:val="0"/>
                <w:sz w:val="21"/>
                <w:szCs w:val="21"/>
                <w:highlight w:val="none"/>
                <w:lang w:val="en-US" w:eastAsia="zh-CN"/>
              </w:rPr>
              <w:t>1.按给定格式填写</w:t>
            </w:r>
          </w:p>
          <w:p w14:paraId="14BF8E6D">
            <w:pPr>
              <w:jc w:val="left"/>
              <w:rPr>
                <w:rFonts w:hint="eastAsia" w:ascii="仿宋" w:hAnsi="仿宋" w:eastAsia="仿宋" w:cs="黑体"/>
                <w:szCs w:val="21"/>
                <w:highlight w:val="none"/>
              </w:rPr>
            </w:pPr>
            <w:r>
              <w:rPr>
                <w:rFonts w:hint="eastAsia" w:ascii="仿宋" w:hAnsi="仿宋" w:eastAsia="仿宋" w:cs="黑体"/>
                <w:szCs w:val="21"/>
                <w:highlight w:val="none"/>
              </w:rPr>
              <w:t>2.响应采购文件实质性要求</w:t>
            </w:r>
          </w:p>
          <w:p w14:paraId="0F445BAF">
            <w:pPr>
              <w:pStyle w:val="3"/>
              <w:adjustRightInd w:val="0"/>
              <w:snapToGrid w:val="0"/>
              <w:spacing w:before="0" w:after="0" w:line="240" w:lineRule="auto"/>
              <w:jc w:val="left"/>
              <w:rPr>
                <w:rFonts w:hint="eastAsia" w:ascii="仿宋" w:hAnsi="仿宋" w:eastAsia="仿宋" w:cs="黑体"/>
                <w:b w:val="0"/>
                <w:kern w:val="2"/>
                <w:sz w:val="21"/>
                <w:szCs w:val="21"/>
                <w:highlight w:val="none"/>
                <w:lang w:val="en-US" w:eastAsia="zh-CN" w:bidi="ar-SA"/>
              </w:rPr>
            </w:pPr>
            <w:r>
              <w:rPr>
                <w:rFonts w:hint="eastAsia" w:ascii="仿宋" w:hAnsi="仿宋" w:eastAsia="仿宋" w:cs="黑体"/>
                <w:b w:val="0"/>
                <w:sz w:val="21"/>
                <w:szCs w:val="21"/>
                <w:highlight w:val="none"/>
                <w:lang w:val="en-US" w:eastAsia="zh-CN"/>
              </w:rPr>
              <w:t>3.按规定签章</w:t>
            </w:r>
          </w:p>
        </w:tc>
        <w:tc>
          <w:tcPr>
            <w:tcW w:w="847" w:type="dxa"/>
          </w:tcPr>
          <w:p w14:paraId="52ECE938">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8" w:type="dxa"/>
          </w:tcPr>
          <w:p w14:paraId="2456225A">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9" w:type="dxa"/>
          </w:tcPr>
          <w:p w14:paraId="3441E52A">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39D7B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79" w:type="dxa"/>
            <w:vAlign w:val="center"/>
          </w:tcPr>
          <w:p w14:paraId="0703DDDC">
            <w:pPr>
              <w:jc w:val="center"/>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8</w:t>
            </w:r>
          </w:p>
        </w:tc>
        <w:tc>
          <w:tcPr>
            <w:tcW w:w="2415" w:type="dxa"/>
            <w:vAlign w:val="center"/>
          </w:tcPr>
          <w:p w14:paraId="3A62F227">
            <w:pPr>
              <w:jc w:val="left"/>
              <w:rPr>
                <w:rFonts w:hint="eastAsia" w:ascii="仿宋" w:hAnsi="仿宋" w:eastAsia="仿宋" w:cs="仿宋"/>
                <w:szCs w:val="21"/>
                <w:highlight w:val="none"/>
              </w:rPr>
            </w:pPr>
            <w:r>
              <w:rPr>
                <w:rFonts w:hint="eastAsia" w:ascii="仿宋" w:hAnsi="仿宋" w:eastAsia="仿宋" w:cs="仿宋"/>
                <w:szCs w:val="21"/>
                <w:highlight w:val="none"/>
              </w:rPr>
              <w:t>投标报价</w:t>
            </w:r>
          </w:p>
        </w:tc>
        <w:tc>
          <w:tcPr>
            <w:tcW w:w="2776" w:type="dxa"/>
          </w:tcPr>
          <w:p w14:paraId="00F0829C">
            <w:pPr>
              <w:jc w:val="left"/>
              <w:rPr>
                <w:rFonts w:hint="eastAsia" w:ascii="仿宋" w:hAnsi="仿宋" w:eastAsia="仿宋" w:cs="仿宋"/>
                <w:szCs w:val="21"/>
                <w:highlight w:val="none"/>
              </w:rPr>
            </w:pPr>
            <w:r>
              <w:rPr>
                <w:rFonts w:hint="eastAsia" w:ascii="仿宋" w:hAnsi="仿宋" w:eastAsia="仿宋" w:cs="仿宋"/>
                <w:szCs w:val="21"/>
                <w:highlight w:val="none"/>
              </w:rPr>
              <w:t>1.响应招标文件实质性要求</w:t>
            </w:r>
          </w:p>
          <w:p w14:paraId="25CF563E">
            <w:pPr>
              <w:jc w:val="left"/>
              <w:rPr>
                <w:rFonts w:hint="eastAsia" w:ascii="仿宋" w:hAnsi="仿宋" w:eastAsia="仿宋" w:cs="仿宋"/>
                <w:szCs w:val="21"/>
                <w:highlight w:val="none"/>
              </w:rPr>
            </w:pPr>
            <w:r>
              <w:rPr>
                <w:rFonts w:hint="eastAsia" w:ascii="仿宋" w:hAnsi="仿宋" w:eastAsia="仿宋" w:cs="仿宋"/>
                <w:szCs w:val="21"/>
                <w:highlight w:val="none"/>
              </w:rPr>
              <w:t>2.无投标须知28.2所述情形</w:t>
            </w:r>
          </w:p>
        </w:tc>
        <w:tc>
          <w:tcPr>
            <w:tcW w:w="847" w:type="dxa"/>
          </w:tcPr>
          <w:p w14:paraId="1E2C4B83">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8" w:type="dxa"/>
          </w:tcPr>
          <w:p w14:paraId="2459AE68">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9" w:type="dxa"/>
          </w:tcPr>
          <w:p w14:paraId="1F848464">
            <w:pPr>
              <w:pStyle w:val="3"/>
              <w:adjustRightInd w:val="0"/>
              <w:snapToGrid w:val="0"/>
              <w:spacing w:before="0" w:after="0" w:line="240" w:lineRule="auto"/>
              <w:jc w:val="center"/>
              <w:rPr>
                <w:rFonts w:hint="eastAsia" w:ascii="仿宋" w:hAnsi="仿宋" w:eastAsia="仿宋" w:cs="仿宋"/>
                <w:sz w:val="21"/>
                <w:szCs w:val="21"/>
                <w:highlight w:val="none"/>
              </w:rPr>
            </w:pPr>
          </w:p>
        </w:tc>
      </w:tr>
      <w:tr w14:paraId="2858D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79" w:type="dxa"/>
            <w:vAlign w:val="center"/>
          </w:tcPr>
          <w:p w14:paraId="24E58735">
            <w:pPr>
              <w:snapToGrid w:val="0"/>
              <w:jc w:val="center"/>
              <w:rPr>
                <w:rFonts w:hint="eastAsia" w:ascii="仿宋" w:hAnsi="仿宋" w:eastAsia="仿宋" w:cs="仿宋"/>
                <w:szCs w:val="21"/>
                <w:highlight w:val="none"/>
              </w:rPr>
            </w:pPr>
          </w:p>
        </w:tc>
        <w:tc>
          <w:tcPr>
            <w:tcW w:w="2415" w:type="dxa"/>
            <w:vAlign w:val="center"/>
          </w:tcPr>
          <w:p w14:paraId="1480BDBF">
            <w:pPr>
              <w:snapToGrid w:val="0"/>
              <w:jc w:val="center"/>
              <w:rPr>
                <w:rFonts w:hint="eastAsia" w:ascii="仿宋" w:hAnsi="仿宋" w:eastAsia="仿宋" w:cs="仿宋"/>
                <w:szCs w:val="21"/>
                <w:highlight w:val="none"/>
              </w:rPr>
            </w:pPr>
            <w:r>
              <w:rPr>
                <w:rFonts w:hint="eastAsia" w:ascii="仿宋" w:hAnsi="仿宋" w:eastAsia="仿宋" w:cs="仿宋"/>
                <w:szCs w:val="21"/>
                <w:highlight w:val="none"/>
              </w:rPr>
              <w:t>结论</w:t>
            </w:r>
          </w:p>
        </w:tc>
        <w:tc>
          <w:tcPr>
            <w:tcW w:w="2776" w:type="dxa"/>
          </w:tcPr>
          <w:p w14:paraId="29FBF26C">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7" w:type="dxa"/>
          </w:tcPr>
          <w:p w14:paraId="418FEF41">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8" w:type="dxa"/>
          </w:tcPr>
          <w:p w14:paraId="49DA582B">
            <w:pPr>
              <w:pStyle w:val="3"/>
              <w:adjustRightInd w:val="0"/>
              <w:snapToGrid w:val="0"/>
              <w:spacing w:before="0" w:after="0" w:line="240" w:lineRule="auto"/>
              <w:jc w:val="center"/>
              <w:rPr>
                <w:rFonts w:hint="eastAsia" w:ascii="仿宋" w:hAnsi="仿宋" w:eastAsia="仿宋" w:cs="仿宋"/>
                <w:sz w:val="21"/>
                <w:szCs w:val="21"/>
                <w:highlight w:val="none"/>
              </w:rPr>
            </w:pPr>
          </w:p>
        </w:tc>
        <w:tc>
          <w:tcPr>
            <w:tcW w:w="849" w:type="dxa"/>
          </w:tcPr>
          <w:p w14:paraId="5875555E">
            <w:pPr>
              <w:pStyle w:val="3"/>
              <w:adjustRightInd w:val="0"/>
              <w:snapToGrid w:val="0"/>
              <w:spacing w:before="0" w:after="0" w:line="240" w:lineRule="auto"/>
              <w:jc w:val="center"/>
              <w:rPr>
                <w:rFonts w:hint="eastAsia" w:ascii="仿宋" w:hAnsi="仿宋" w:eastAsia="仿宋" w:cs="仿宋"/>
                <w:sz w:val="21"/>
                <w:szCs w:val="21"/>
                <w:highlight w:val="none"/>
              </w:rPr>
            </w:pPr>
          </w:p>
        </w:tc>
      </w:tr>
    </w:tbl>
    <w:p w14:paraId="737B7E63">
      <w:pPr>
        <w:rPr>
          <w:rFonts w:hint="eastAsia" w:ascii="仿宋" w:hAnsi="仿宋" w:eastAsia="仿宋" w:cs="仿宋"/>
          <w:highlight w:val="none"/>
        </w:rPr>
      </w:pPr>
      <w:r>
        <w:rPr>
          <w:rFonts w:hint="eastAsia" w:ascii="仿宋" w:hAnsi="仿宋" w:eastAsia="仿宋" w:cs="仿宋"/>
          <w:highlight w:val="none"/>
        </w:rPr>
        <w:t>注：《创新产品和服务目录》内产品、服务证明材料（可视具体情况调整至符合性证明材料及符合性审查表中）</w:t>
      </w:r>
    </w:p>
    <w:p w14:paraId="63AC9D5D">
      <w:pPr>
        <w:rPr>
          <w:rFonts w:hint="eastAsia" w:ascii="仿宋" w:hAnsi="仿宋" w:eastAsia="仿宋" w:cs="仿宋"/>
          <w:highlight w:val="none"/>
        </w:rPr>
      </w:pPr>
      <w:r>
        <w:rPr>
          <w:rFonts w:hint="eastAsia" w:ascii="仿宋" w:hAnsi="仿宋" w:eastAsia="仿宋" w:cs="仿宋"/>
          <w:highlight w:val="none"/>
        </w:rPr>
        <w:t>填表说明：1、每项内容审查合格，在表中填写“√”；不合格填写“×”</w:t>
      </w:r>
    </w:p>
    <w:p w14:paraId="701DED4C">
      <w:pPr>
        <w:rPr>
          <w:rFonts w:hint="eastAsia" w:ascii="仿宋" w:hAnsi="仿宋" w:eastAsia="仿宋" w:cs="仿宋"/>
          <w:highlight w:val="none"/>
        </w:rPr>
      </w:pPr>
      <w:r>
        <w:rPr>
          <w:rFonts w:hint="eastAsia" w:ascii="仿宋" w:hAnsi="仿宋" w:eastAsia="仿宋" w:cs="仿宋"/>
          <w:highlight w:val="none"/>
        </w:rPr>
        <w:t xml:space="preserve">          2、审查结论填写“通过”或“不通过”</w:t>
      </w:r>
    </w:p>
    <w:p w14:paraId="472567C2">
      <w:pPr>
        <w:rPr>
          <w:rFonts w:hint="eastAsia" w:ascii="仿宋" w:hAnsi="仿宋" w:eastAsia="仿宋" w:cs="仿宋"/>
          <w:highlight w:val="none"/>
        </w:rPr>
      </w:pPr>
    </w:p>
    <w:p w14:paraId="010A4DBB">
      <w:pPr>
        <w:rPr>
          <w:rFonts w:hint="eastAsia" w:ascii="仿宋" w:hAnsi="仿宋" w:eastAsia="仿宋" w:cs="仿宋"/>
          <w:highlight w:val="none"/>
        </w:rPr>
      </w:pPr>
    </w:p>
    <w:p w14:paraId="0354A0A8">
      <w:pPr>
        <w:spacing w:line="360" w:lineRule="auto"/>
        <w:rPr>
          <w:rFonts w:hint="eastAsia" w:ascii="仿宋" w:hAnsi="仿宋" w:eastAsia="仿宋" w:cs="仿宋"/>
          <w:highlight w:val="none"/>
        </w:rPr>
      </w:pPr>
      <w:r>
        <w:rPr>
          <w:rFonts w:hint="eastAsia" w:ascii="仿宋" w:hAnsi="仿宋" w:eastAsia="仿宋" w:cs="仿宋"/>
          <w:highlight w:val="none"/>
        </w:rPr>
        <w:t>审查人签字：</w:t>
      </w:r>
    </w:p>
    <w:p w14:paraId="60A3F677">
      <w:pPr>
        <w:spacing w:line="360" w:lineRule="auto"/>
        <w:rPr>
          <w:rFonts w:hint="eastAsia" w:ascii="仿宋" w:hAnsi="仿宋" w:eastAsia="仿宋" w:cs="仿宋"/>
          <w:highlight w:val="none"/>
        </w:rPr>
      </w:pPr>
      <w:r>
        <w:rPr>
          <w:rFonts w:hint="eastAsia" w:ascii="仿宋" w:hAnsi="仿宋" w:eastAsia="仿宋" w:cs="仿宋"/>
          <w:highlight w:val="none"/>
        </w:rPr>
        <w:t xml:space="preserve">日      期： </w:t>
      </w:r>
    </w:p>
    <w:p w14:paraId="0D3329BB">
      <w:pPr>
        <w:widowControl/>
        <w:jc w:val="left"/>
        <w:rPr>
          <w:rFonts w:hint="eastAsia" w:ascii="仿宋" w:hAnsi="仿宋" w:eastAsia="仿宋" w:cs="仿宋"/>
          <w:highlight w:val="none"/>
        </w:rPr>
      </w:pPr>
    </w:p>
    <w:p w14:paraId="7ED4A4C6">
      <w:pPr>
        <w:pStyle w:val="3"/>
        <w:keepNext w:val="0"/>
        <w:pageBreakBefore/>
        <w:adjustRightInd w:val="0"/>
        <w:snapToGrid w:val="0"/>
        <w:spacing w:before="0" w:after="0" w:line="240" w:lineRule="auto"/>
        <w:jc w:val="left"/>
        <w:rPr>
          <w:rFonts w:hint="eastAsia" w:ascii="仿宋" w:hAnsi="仿宋" w:eastAsia="仿宋" w:cs="仿宋"/>
          <w:szCs w:val="32"/>
          <w:highlight w:val="none"/>
        </w:rPr>
      </w:pPr>
      <w:bookmarkStart w:id="172" w:name="_Toc17433_WPSOffice_Level2"/>
      <w:r>
        <w:rPr>
          <w:rFonts w:hint="eastAsia" w:ascii="仿宋" w:hAnsi="仿宋" w:eastAsia="仿宋" w:cs="仿宋"/>
          <w:szCs w:val="28"/>
          <w:highlight w:val="none"/>
        </w:rPr>
        <w:t xml:space="preserve">附件3                   </w:t>
      </w:r>
      <w:r>
        <w:rPr>
          <w:rFonts w:hint="eastAsia" w:ascii="仿宋" w:hAnsi="仿宋" w:eastAsia="仿宋" w:cs="仿宋"/>
          <w:szCs w:val="32"/>
          <w:highlight w:val="none"/>
        </w:rPr>
        <w:t xml:space="preserve"> </w:t>
      </w:r>
    </w:p>
    <w:p w14:paraId="3EC248D3">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评分细则</w:t>
      </w:r>
      <w:bookmarkEnd w:id="172"/>
    </w:p>
    <w:p w14:paraId="3E709B19">
      <w:pPr>
        <w:numPr>
          <w:ilvl w:val="0"/>
          <w:numId w:val="5"/>
        </w:numPr>
        <w:jc w:val="left"/>
        <w:rPr>
          <w:rFonts w:hint="eastAsia" w:ascii="仿宋" w:hAnsi="仿宋" w:eastAsia="仿宋" w:cs="仿宋"/>
          <w:b/>
          <w:szCs w:val="21"/>
          <w:highlight w:val="none"/>
        </w:rPr>
      </w:pPr>
      <w:r>
        <w:rPr>
          <w:rFonts w:hint="eastAsia" w:ascii="仿宋" w:hAnsi="仿宋" w:eastAsia="仿宋" w:cs="仿宋"/>
          <w:b/>
          <w:szCs w:val="21"/>
          <w:highlight w:val="none"/>
        </w:rPr>
        <w:t>基本评分标准</w:t>
      </w:r>
    </w:p>
    <w:p w14:paraId="00FADCC3">
      <w:pPr>
        <w:jc w:val="left"/>
        <w:rPr>
          <w:rFonts w:hint="eastAsia" w:ascii="仿宋" w:hAnsi="仿宋" w:eastAsia="仿宋" w:cs="仿宋"/>
          <w:b/>
          <w:szCs w:val="21"/>
          <w:highlight w:val="none"/>
        </w:rPr>
      </w:pPr>
    </w:p>
    <w:tbl>
      <w:tblPr>
        <w:tblStyle w:val="20"/>
        <w:tblW w:w="4998" w:type="pct"/>
        <w:tblInd w:w="0" w:type="dxa"/>
        <w:tblLayout w:type="autofit"/>
        <w:tblCellMar>
          <w:top w:w="0" w:type="dxa"/>
          <w:left w:w="108" w:type="dxa"/>
          <w:bottom w:w="0" w:type="dxa"/>
          <w:right w:w="108" w:type="dxa"/>
        </w:tblCellMar>
      </w:tblPr>
      <w:tblGrid>
        <w:gridCol w:w="1149"/>
        <w:gridCol w:w="1246"/>
        <w:gridCol w:w="5237"/>
        <w:gridCol w:w="881"/>
      </w:tblGrid>
      <w:tr w14:paraId="2C5D8080">
        <w:tblPrEx>
          <w:tblCellMar>
            <w:top w:w="0" w:type="dxa"/>
            <w:left w:w="108" w:type="dxa"/>
            <w:bottom w:w="0" w:type="dxa"/>
            <w:right w:w="108" w:type="dxa"/>
          </w:tblCellMar>
        </w:tblPrEx>
        <w:trPr>
          <w:trHeight w:val="375" w:hRule="atLeast"/>
        </w:trPr>
        <w:tc>
          <w:tcPr>
            <w:tcW w:w="675" w:type="pct"/>
            <w:tcBorders>
              <w:top w:val="single" w:color="000000" w:sz="4" w:space="0"/>
              <w:left w:val="single" w:color="000000" w:sz="4" w:space="0"/>
              <w:bottom w:val="single" w:color="000000" w:sz="4" w:space="0"/>
              <w:right w:val="single" w:color="000000" w:sz="4" w:space="0"/>
            </w:tcBorders>
            <w:vAlign w:val="center"/>
          </w:tcPr>
          <w:p w14:paraId="32F3CDAD">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 xml:space="preserve"> 包号</w:t>
            </w:r>
          </w:p>
        </w:tc>
        <w:tc>
          <w:tcPr>
            <w:tcW w:w="4325" w:type="pct"/>
            <w:gridSpan w:val="3"/>
            <w:tcBorders>
              <w:top w:val="single" w:color="000000" w:sz="4" w:space="0"/>
              <w:left w:val="single" w:color="000000" w:sz="4" w:space="0"/>
              <w:bottom w:val="single" w:color="000000" w:sz="4" w:space="0"/>
              <w:right w:val="single" w:color="000000" w:sz="4" w:space="0"/>
            </w:tcBorders>
            <w:vAlign w:val="center"/>
          </w:tcPr>
          <w:p w14:paraId="4E263F76">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001</w:t>
            </w:r>
          </w:p>
        </w:tc>
      </w:tr>
      <w:tr w14:paraId="332189DE">
        <w:tblPrEx>
          <w:tblCellMar>
            <w:top w:w="0" w:type="dxa"/>
            <w:left w:w="108" w:type="dxa"/>
            <w:bottom w:w="0" w:type="dxa"/>
            <w:right w:w="108" w:type="dxa"/>
          </w:tblCellMar>
        </w:tblPrEx>
        <w:trPr>
          <w:trHeight w:val="375" w:hRule="atLeast"/>
        </w:trPr>
        <w:tc>
          <w:tcPr>
            <w:tcW w:w="675" w:type="pct"/>
            <w:tcBorders>
              <w:top w:val="single" w:color="000000" w:sz="4" w:space="0"/>
              <w:left w:val="single" w:color="000000" w:sz="4" w:space="0"/>
              <w:bottom w:val="single" w:color="000000" w:sz="4" w:space="0"/>
              <w:right w:val="single" w:color="000000" w:sz="4" w:space="0"/>
            </w:tcBorders>
            <w:vAlign w:val="center"/>
          </w:tcPr>
          <w:p w14:paraId="1A177C94">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项目</w:t>
            </w:r>
          </w:p>
        </w:tc>
        <w:tc>
          <w:tcPr>
            <w:tcW w:w="732" w:type="pct"/>
            <w:tcBorders>
              <w:top w:val="single" w:color="000000" w:sz="4" w:space="0"/>
              <w:left w:val="single" w:color="000000" w:sz="4" w:space="0"/>
              <w:bottom w:val="single" w:color="000000" w:sz="4" w:space="0"/>
              <w:right w:val="single" w:color="000000" w:sz="4" w:space="0"/>
            </w:tcBorders>
            <w:vAlign w:val="center"/>
          </w:tcPr>
          <w:p w14:paraId="1212F796">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分项名称</w:t>
            </w:r>
          </w:p>
        </w:tc>
        <w:tc>
          <w:tcPr>
            <w:tcW w:w="3076" w:type="pct"/>
            <w:tcBorders>
              <w:top w:val="single" w:color="000000" w:sz="4" w:space="0"/>
              <w:left w:val="single" w:color="000000" w:sz="4" w:space="0"/>
              <w:bottom w:val="single" w:color="000000" w:sz="4" w:space="0"/>
              <w:right w:val="single" w:color="000000" w:sz="4" w:space="0"/>
            </w:tcBorders>
            <w:vAlign w:val="center"/>
          </w:tcPr>
          <w:p w14:paraId="7CB0E358">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评分标准</w:t>
            </w:r>
          </w:p>
        </w:tc>
        <w:tc>
          <w:tcPr>
            <w:tcW w:w="517" w:type="pct"/>
            <w:tcBorders>
              <w:top w:val="single" w:color="000000" w:sz="4" w:space="0"/>
              <w:left w:val="single" w:color="000000" w:sz="4" w:space="0"/>
              <w:bottom w:val="single" w:color="000000" w:sz="4" w:space="0"/>
              <w:right w:val="single" w:color="000000" w:sz="4" w:space="0"/>
            </w:tcBorders>
            <w:vAlign w:val="center"/>
          </w:tcPr>
          <w:p w14:paraId="290EAD77">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满分</w:t>
            </w:r>
          </w:p>
        </w:tc>
      </w:tr>
      <w:tr w14:paraId="2B266B6D">
        <w:tblPrEx>
          <w:tblCellMar>
            <w:top w:w="0" w:type="dxa"/>
            <w:left w:w="108" w:type="dxa"/>
            <w:bottom w:w="0" w:type="dxa"/>
            <w:right w:w="108" w:type="dxa"/>
          </w:tblCellMar>
        </w:tblPrEx>
        <w:trPr>
          <w:trHeight w:val="980" w:hRule="atLeast"/>
        </w:trPr>
        <w:tc>
          <w:tcPr>
            <w:tcW w:w="675" w:type="pct"/>
            <w:tcBorders>
              <w:top w:val="single" w:color="000000" w:sz="4" w:space="0"/>
              <w:left w:val="single" w:color="000000" w:sz="4" w:space="0"/>
              <w:bottom w:val="single" w:color="000000" w:sz="4" w:space="0"/>
              <w:right w:val="single" w:color="000000" w:sz="4" w:space="0"/>
            </w:tcBorders>
            <w:vAlign w:val="center"/>
          </w:tcPr>
          <w:p w14:paraId="28B2E91C">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价格部分（10分）</w:t>
            </w:r>
          </w:p>
        </w:tc>
        <w:tc>
          <w:tcPr>
            <w:tcW w:w="732" w:type="pct"/>
            <w:tcBorders>
              <w:top w:val="single" w:color="000000" w:sz="4" w:space="0"/>
              <w:left w:val="single" w:color="000000" w:sz="4" w:space="0"/>
              <w:bottom w:val="single" w:color="000000" w:sz="4" w:space="0"/>
              <w:right w:val="single" w:color="000000" w:sz="4" w:space="0"/>
            </w:tcBorders>
            <w:vAlign w:val="center"/>
          </w:tcPr>
          <w:p w14:paraId="72A59A61">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报价</w:t>
            </w:r>
          </w:p>
        </w:tc>
        <w:tc>
          <w:tcPr>
            <w:tcW w:w="3076" w:type="pct"/>
            <w:tcBorders>
              <w:top w:val="single" w:color="000000" w:sz="4" w:space="0"/>
              <w:left w:val="single" w:color="000000" w:sz="4" w:space="0"/>
              <w:bottom w:val="single" w:color="000000" w:sz="4" w:space="0"/>
              <w:right w:val="single" w:color="000000" w:sz="4" w:space="0"/>
            </w:tcBorders>
            <w:vAlign w:val="center"/>
          </w:tcPr>
          <w:p w14:paraId="562078D1">
            <w:pPr>
              <w:widowControl/>
              <w:jc w:val="left"/>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1、计算公式为：(Cmin/C)*价格满分。其中，Cmin为所有有效供应商中的最低报价，C为供应商的报价。</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2、得分保留至小数点后两位，第三位四舍五入。</w:t>
            </w:r>
          </w:p>
        </w:tc>
        <w:tc>
          <w:tcPr>
            <w:tcW w:w="517" w:type="pct"/>
            <w:tcBorders>
              <w:top w:val="single" w:color="000000" w:sz="4" w:space="0"/>
              <w:left w:val="single" w:color="000000" w:sz="4" w:space="0"/>
              <w:bottom w:val="single" w:color="000000" w:sz="4" w:space="0"/>
              <w:right w:val="single" w:color="000000" w:sz="4" w:space="0"/>
            </w:tcBorders>
            <w:vAlign w:val="center"/>
          </w:tcPr>
          <w:p w14:paraId="36C7D440">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10</w:t>
            </w:r>
          </w:p>
        </w:tc>
      </w:tr>
      <w:tr w14:paraId="45355391">
        <w:tblPrEx>
          <w:tblCellMar>
            <w:top w:w="0" w:type="dxa"/>
            <w:left w:w="108" w:type="dxa"/>
            <w:bottom w:w="0" w:type="dxa"/>
            <w:right w:w="108" w:type="dxa"/>
          </w:tblCellMar>
        </w:tblPrEx>
        <w:trPr>
          <w:trHeight w:val="3300" w:hRule="atLeast"/>
        </w:trPr>
        <w:tc>
          <w:tcPr>
            <w:tcW w:w="675" w:type="pct"/>
            <w:vMerge w:val="restart"/>
            <w:tcBorders>
              <w:top w:val="single" w:color="000000" w:sz="4" w:space="0"/>
              <w:left w:val="single" w:color="000000" w:sz="4" w:space="0"/>
              <w:bottom w:val="nil"/>
              <w:right w:val="single" w:color="000000" w:sz="4" w:space="0"/>
            </w:tcBorders>
            <w:vAlign w:val="center"/>
          </w:tcPr>
          <w:p w14:paraId="7BF3F5B5">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技术部分（82分）</w:t>
            </w:r>
          </w:p>
        </w:tc>
        <w:tc>
          <w:tcPr>
            <w:tcW w:w="732" w:type="pct"/>
            <w:tcBorders>
              <w:top w:val="single" w:color="000000" w:sz="4" w:space="0"/>
              <w:left w:val="single" w:color="000000" w:sz="4" w:space="0"/>
              <w:bottom w:val="single" w:color="000000" w:sz="4" w:space="0"/>
              <w:right w:val="single" w:color="000000" w:sz="4" w:space="0"/>
            </w:tcBorders>
            <w:vAlign w:val="center"/>
          </w:tcPr>
          <w:p w14:paraId="59261B09">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总体服务方案</w:t>
            </w:r>
          </w:p>
        </w:tc>
        <w:tc>
          <w:tcPr>
            <w:tcW w:w="3076" w:type="pct"/>
            <w:tcBorders>
              <w:top w:val="single" w:color="000000" w:sz="4" w:space="0"/>
              <w:left w:val="single" w:color="000000" w:sz="4" w:space="0"/>
              <w:bottom w:val="single" w:color="000000" w:sz="4" w:space="0"/>
              <w:right w:val="single" w:color="000000" w:sz="4" w:space="0"/>
            </w:tcBorders>
            <w:vAlign w:val="center"/>
          </w:tcPr>
          <w:p w14:paraId="25E812E5">
            <w:pPr>
              <w:widowControl/>
              <w:jc w:val="left"/>
              <w:textAlignment w:val="center"/>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投标人需结合项目“多系统协同、多源数据整合”核心特点，提供总体服务方案，包含但不限于：① 方案整体思路：契合财政预测、治税、审计、智慧财政四大系统协同需求，明确建设目标与实施路径；② 整体工作流程：覆盖需求对接、系统开发、数据整合、部署测试、验收交付全生命周期，节点清晰可落地；③ 合理化建议：针对数据安全、系统兼容、操作便捷性提出优化建议。</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每提供一项描述详尽合理、符合实际无缺陷得2分；每项内容存在缺陷或不完全符合项目需求得1分；没有描述得0分，最多得6分。</w:t>
            </w:r>
          </w:p>
          <w:p w14:paraId="5329A0E0">
            <w:pPr>
              <w:widowControl/>
              <w:jc w:val="left"/>
              <w:textAlignment w:val="center"/>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注：缺陷指对项目需求理解存在偏差、存在相互矛盾内容、未针对本项目编写等任一情形，不完全符合项目需求指存在与本项目执行无关的内容、存在相关内容在实际操作中不能运用、使用的工作方法、标准、依据、流程有错误影响方案有效性等任一情形。）</w:t>
            </w:r>
          </w:p>
        </w:tc>
        <w:tc>
          <w:tcPr>
            <w:tcW w:w="517" w:type="pct"/>
            <w:tcBorders>
              <w:top w:val="single" w:color="000000" w:sz="4" w:space="0"/>
              <w:left w:val="single" w:color="000000" w:sz="4" w:space="0"/>
              <w:bottom w:val="single" w:color="000000" w:sz="4" w:space="0"/>
              <w:right w:val="single" w:color="000000" w:sz="4" w:space="0"/>
            </w:tcBorders>
            <w:vAlign w:val="center"/>
          </w:tcPr>
          <w:p w14:paraId="7F0D885D">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6</w:t>
            </w:r>
          </w:p>
        </w:tc>
      </w:tr>
      <w:tr w14:paraId="345A9DD9">
        <w:tblPrEx>
          <w:tblCellMar>
            <w:top w:w="0" w:type="dxa"/>
            <w:left w:w="108" w:type="dxa"/>
            <w:bottom w:w="0" w:type="dxa"/>
            <w:right w:w="108" w:type="dxa"/>
          </w:tblCellMar>
        </w:tblPrEx>
        <w:trPr>
          <w:trHeight w:val="3000" w:hRule="atLeast"/>
        </w:trPr>
        <w:tc>
          <w:tcPr>
            <w:tcW w:w="675" w:type="pct"/>
            <w:vMerge w:val="continue"/>
            <w:tcBorders>
              <w:top w:val="single" w:color="000000" w:sz="4" w:space="0"/>
              <w:left w:val="single" w:color="000000" w:sz="4" w:space="0"/>
              <w:bottom w:val="nil"/>
              <w:right w:val="single" w:color="000000" w:sz="4" w:space="0"/>
            </w:tcBorders>
            <w:vAlign w:val="center"/>
          </w:tcPr>
          <w:p w14:paraId="29D3BE37">
            <w:pPr>
              <w:jc w:val="center"/>
              <w:rPr>
                <w:rFonts w:hint="eastAsia" w:ascii="仿宋" w:hAnsi="仿宋" w:eastAsia="仿宋" w:cs="仿宋"/>
                <w:color w:val="000000"/>
                <w:szCs w:val="21"/>
                <w:highlight w:val="none"/>
              </w:rPr>
            </w:pPr>
          </w:p>
        </w:tc>
        <w:tc>
          <w:tcPr>
            <w:tcW w:w="732" w:type="pct"/>
            <w:tcBorders>
              <w:top w:val="single" w:color="000000" w:sz="4" w:space="0"/>
              <w:left w:val="single" w:color="000000" w:sz="4" w:space="0"/>
              <w:bottom w:val="single" w:color="000000" w:sz="4" w:space="0"/>
              <w:right w:val="single" w:color="000000" w:sz="4" w:space="0"/>
            </w:tcBorders>
            <w:vAlign w:val="center"/>
          </w:tcPr>
          <w:p w14:paraId="3B3503F8">
            <w:pPr>
              <w:jc w:val="center"/>
              <w:rPr>
                <w:rFonts w:hint="eastAsia" w:ascii="仿宋" w:hAnsi="仿宋" w:eastAsia="仿宋" w:cs="仿宋"/>
                <w:color w:val="000000"/>
                <w:szCs w:val="21"/>
                <w:highlight w:val="none"/>
              </w:rPr>
            </w:pPr>
            <w:r>
              <w:rPr>
                <w:rFonts w:hint="eastAsia" w:ascii="仿宋" w:hAnsi="仿宋" w:eastAsia="仿宋" w:cs="仿宋"/>
                <w:kern w:val="0"/>
                <w:szCs w:val="21"/>
                <w:highlight w:val="none"/>
              </w:rPr>
              <w:t>质量保障方案</w:t>
            </w:r>
          </w:p>
        </w:tc>
        <w:tc>
          <w:tcPr>
            <w:tcW w:w="3076" w:type="pct"/>
            <w:tcBorders>
              <w:top w:val="single" w:color="000000" w:sz="4" w:space="0"/>
              <w:left w:val="single" w:color="000000" w:sz="4" w:space="0"/>
              <w:bottom w:val="single" w:color="000000" w:sz="4" w:space="0"/>
              <w:right w:val="single" w:color="000000" w:sz="4" w:space="0"/>
            </w:tcBorders>
            <w:vAlign w:val="center"/>
          </w:tcPr>
          <w:p w14:paraId="7BE61F93">
            <w:pPr>
              <w:widowControl/>
              <w:jc w:val="left"/>
              <w:textAlignment w:val="center"/>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投标人需结合项目实际，提供质量保障方案，包含但不限于：</w:t>
            </w:r>
            <w:r>
              <w:rPr>
                <w:rFonts w:hint="eastAsia" w:ascii="仿宋" w:hAnsi="仿宋" w:eastAsia="仿宋" w:cs="仿宋"/>
                <w:kern w:val="0"/>
                <w:szCs w:val="21"/>
                <w:highlight w:val="none"/>
                <w:lang w:bidi="ar"/>
              </w:rPr>
              <w:t>① 质量目标与制度：明确系统稳定性、数据准确性、功能完整性等核心指标，建立责任分工、过程管控、考核评估制度；② 质量保证措施与体系：覆盖代码开发、数据校验、系统测试、上线验收关键环节，形成全流程管控体系；③ 风险控制措施：识别技术开发、数据交换、运维环节质量风险，制定预防与应对措施。</w:t>
            </w:r>
          </w:p>
          <w:p w14:paraId="46564C7A">
            <w:pPr>
              <w:widowControl/>
              <w:jc w:val="left"/>
              <w:textAlignment w:val="center"/>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每提供一项描述详尽合理、符合实际无缺陷得2分；每项内容存在缺陷或不完全符合项目需求得1分；没有描述得0分，最多得6分。</w:t>
            </w:r>
          </w:p>
          <w:p w14:paraId="77C0CABF">
            <w:pPr>
              <w:widowControl/>
              <w:jc w:val="left"/>
              <w:textAlignment w:val="center"/>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注：缺陷指对项目需求理解存在偏差、存在相互矛盾内容、未针对本项目编写等任一情形，不完全符合项目需求指存在与本项目执行无关的内容、存在相关内容在实际操作中不能运用、使用的工作方法、标准、依据、流程有错误影响方案有效性等任一情形。）</w:t>
            </w:r>
          </w:p>
        </w:tc>
        <w:tc>
          <w:tcPr>
            <w:tcW w:w="517" w:type="pct"/>
            <w:tcBorders>
              <w:top w:val="single" w:color="000000" w:sz="4" w:space="0"/>
              <w:left w:val="single" w:color="000000" w:sz="4" w:space="0"/>
              <w:bottom w:val="single" w:color="000000" w:sz="4" w:space="0"/>
              <w:right w:val="single" w:color="000000" w:sz="4" w:space="0"/>
            </w:tcBorders>
            <w:vAlign w:val="center"/>
          </w:tcPr>
          <w:p w14:paraId="3A2EE6D7">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6</w:t>
            </w:r>
          </w:p>
        </w:tc>
      </w:tr>
      <w:tr w14:paraId="104A7A4E">
        <w:tblPrEx>
          <w:tblCellMar>
            <w:top w:w="0" w:type="dxa"/>
            <w:left w:w="108" w:type="dxa"/>
            <w:bottom w:w="0" w:type="dxa"/>
            <w:right w:w="108" w:type="dxa"/>
          </w:tblCellMar>
        </w:tblPrEx>
        <w:trPr>
          <w:trHeight w:val="2087" w:hRule="atLeast"/>
        </w:trPr>
        <w:tc>
          <w:tcPr>
            <w:tcW w:w="675" w:type="pct"/>
            <w:vMerge w:val="continue"/>
            <w:tcBorders>
              <w:top w:val="single" w:color="000000" w:sz="4" w:space="0"/>
              <w:left w:val="single" w:color="000000" w:sz="4" w:space="0"/>
              <w:bottom w:val="nil"/>
              <w:right w:val="single" w:color="000000" w:sz="4" w:space="0"/>
            </w:tcBorders>
            <w:vAlign w:val="center"/>
          </w:tcPr>
          <w:p w14:paraId="13665C36">
            <w:pPr>
              <w:jc w:val="center"/>
              <w:rPr>
                <w:rFonts w:hint="eastAsia" w:ascii="仿宋" w:hAnsi="仿宋" w:eastAsia="仿宋" w:cs="仿宋"/>
                <w:color w:val="000000"/>
                <w:szCs w:val="21"/>
                <w:highlight w:val="none"/>
              </w:rPr>
            </w:pPr>
          </w:p>
        </w:tc>
        <w:tc>
          <w:tcPr>
            <w:tcW w:w="732" w:type="pct"/>
            <w:tcBorders>
              <w:top w:val="single" w:color="000000" w:sz="4" w:space="0"/>
              <w:left w:val="single" w:color="000000" w:sz="4" w:space="0"/>
              <w:bottom w:val="single" w:color="000000" w:sz="4" w:space="0"/>
              <w:right w:val="single" w:color="000000" w:sz="4" w:space="0"/>
            </w:tcBorders>
            <w:vAlign w:val="center"/>
          </w:tcPr>
          <w:p w14:paraId="58EC36F1">
            <w:pPr>
              <w:widowControl/>
              <w:jc w:val="center"/>
              <w:textAlignment w:val="center"/>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功能响应</w:t>
            </w:r>
          </w:p>
        </w:tc>
        <w:tc>
          <w:tcPr>
            <w:tcW w:w="3076" w:type="pct"/>
            <w:tcBorders>
              <w:top w:val="single" w:color="000000" w:sz="4" w:space="0"/>
              <w:left w:val="single" w:color="000000" w:sz="4" w:space="0"/>
              <w:bottom w:val="single" w:color="000000" w:sz="4" w:space="0"/>
              <w:right w:val="single" w:color="000000" w:sz="4" w:space="0"/>
            </w:tcBorders>
            <w:vAlign w:val="center"/>
          </w:tcPr>
          <w:p w14:paraId="7904A5A5">
            <w:pPr>
              <w:widowControl/>
              <w:jc w:val="left"/>
              <w:textAlignment w:val="center"/>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投标人需根据服务需求，对统一系统管理、多源数据整合、财政预测、综合治税、数智审计和智慧财政6个系统所有功能内容提供具体方案。每提供一项方案详尽合理、符合实际无缺陷得2分；每项内容存在缺陷或不完全符合项目需求得1分；没有描述得0分，最多得6分。</w:t>
            </w:r>
          </w:p>
          <w:p w14:paraId="4253B2F0">
            <w:pPr>
              <w:widowControl/>
              <w:jc w:val="left"/>
              <w:textAlignment w:val="center"/>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w:t>
            </w:r>
          </w:p>
          <w:p w14:paraId="20046EBE">
            <w:pPr>
              <w:widowControl/>
              <w:jc w:val="left"/>
              <w:textAlignment w:val="center"/>
              <w:rPr>
                <w:rFonts w:hint="eastAsia"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注：缺陷指对项目需求理解存在偏差、存在相互矛盾内容、未针对本项目编写等任一情形，不完全符合项目需求指存在与本项目执行无关的内容、存在相关内容在实际操作中不能运用、使用的工作方法、标准、依据、流程有错误影响方案有效性等任一情形。）</w:t>
            </w:r>
          </w:p>
        </w:tc>
        <w:tc>
          <w:tcPr>
            <w:tcW w:w="517" w:type="pct"/>
            <w:tcBorders>
              <w:top w:val="single" w:color="000000" w:sz="4" w:space="0"/>
              <w:left w:val="single" w:color="000000" w:sz="4" w:space="0"/>
              <w:bottom w:val="single" w:color="000000" w:sz="4" w:space="0"/>
              <w:right w:val="single" w:color="000000" w:sz="4" w:space="0"/>
            </w:tcBorders>
            <w:vAlign w:val="center"/>
          </w:tcPr>
          <w:p w14:paraId="6519226C">
            <w:pPr>
              <w:widowControl/>
              <w:jc w:val="center"/>
              <w:textAlignment w:val="center"/>
              <w:rPr>
                <w:rFonts w:hint="eastAsia" w:ascii="仿宋" w:hAnsi="仿宋" w:eastAsia="仿宋" w:cs="仿宋"/>
                <w:color w:val="FF0000"/>
                <w:kern w:val="0"/>
                <w:szCs w:val="21"/>
                <w:highlight w:val="none"/>
                <w:lang w:bidi="ar"/>
              </w:rPr>
            </w:pPr>
            <w:r>
              <w:rPr>
                <w:rFonts w:hint="eastAsia" w:ascii="仿宋" w:hAnsi="仿宋" w:eastAsia="仿宋" w:cs="仿宋"/>
                <w:kern w:val="0"/>
                <w:szCs w:val="21"/>
                <w:highlight w:val="none"/>
                <w:lang w:bidi="ar"/>
              </w:rPr>
              <w:t>12</w:t>
            </w:r>
          </w:p>
        </w:tc>
      </w:tr>
      <w:tr w14:paraId="07A6BE8A">
        <w:tblPrEx>
          <w:tblCellMar>
            <w:top w:w="0" w:type="dxa"/>
            <w:left w:w="108" w:type="dxa"/>
            <w:bottom w:w="0" w:type="dxa"/>
            <w:right w:w="108" w:type="dxa"/>
          </w:tblCellMar>
        </w:tblPrEx>
        <w:trPr>
          <w:trHeight w:val="1198" w:hRule="atLeast"/>
        </w:trPr>
        <w:tc>
          <w:tcPr>
            <w:tcW w:w="675" w:type="pct"/>
            <w:vMerge w:val="continue"/>
            <w:tcBorders>
              <w:top w:val="single" w:color="000000" w:sz="4" w:space="0"/>
              <w:left w:val="single" w:color="000000" w:sz="4" w:space="0"/>
              <w:bottom w:val="nil"/>
              <w:right w:val="single" w:color="000000" w:sz="4" w:space="0"/>
            </w:tcBorders>
            <w:vAlign w:val="center"/>
          </w:tcPr>
          <w:p w14:paraId="1442B97C">
            <w:pPr>
              <w:jc w:val="center"/>
              <w:rPr>
                <w:rFonts w:hint="eastAsia" w:ascii="仿宋" w:hAnsi="仿宋" w:eastAsia="仿宋" w:cs="仿宋"/>
                <w:color w:val="000000"/>
                <w:szCs w:val="21"/>
                <w:highlight w:val="none"/>
              </w:rPr>
            </w:pPr>
          </w:p>
        </w:tc>
        <w:tc>
          <w:tcPr>
            <w:tcW w:w="732" w:type="pct"/>
            <w:tcBorders>
              <w:top w:val="single" w:color="000000" w:sz="4" w:space="0"/>
              <w:left w:val="single" w:color="000000" w:sz="4" w:space="0"/>
              <w:bottom w:val="single" w:color="000000" w:sz="4" w:space="0"/>
              <w:right w:val="single" w:color="000000" w:sz="4" w:space="0"/>
            </w:tcBorders>
            <w:vAlign w:val="center"/>
          </w:tcPr>
          <w:p w14:paraId="5ED297E5">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视频演示</w:t>
            </w:r>
          </w:p>
        </w:tc>
        <w:tc>
          <w:tcPr>
            <w:tcW w:w="3076" w:type="pct"/>
            <w:tcBorders>
              <w:top w:val="single" w:color="000000" w:sz="4" w:space="0"/>
              <w:left w:val="single" w:color="000000" w:sz="4" w:space="0"/>
              <w:bottom w:val="single" w:color="000000" w:sz="4" w:space="0"/>
              <w:right w:val="single" w:color="000000" w:sz="4" w:space="0"/>
            </w:tcBorders>
            <w:vAlign w:val="center"/>
          </w:tcPr>
          <w:p w14:paraId="501A21D4">
            <w:pPr>
              <w:widowControl/>
              <w:numPr>
                <w:ilvl w:val="0"/>
                <w:numId w:val="6"/>
              </w:numPr>
              <w:jc w:val="left"/>
              <w:textAlignment w:val="center"/>
              <w:rPr>
                <w:rFonts w:hint="eastAsia" w:ascii="仿宋" w:hAnsi="仿宋" w:eastAsia="仿宋" w:cs="仿宋"/>
                <w:kern w:val="0"/>
                <w:szCs w:val="21"/>
                <w:highlight w:val="none"/>
                <w:lang w:bidi="ar"/>
              </w:rPr>
            </w:pPr>
            <w:r>
              <w:rPr>
                <w:rFonts w:hint="eastAsia" w:ascii="仿宋" w:hAnsi="仿宋" w:eastAsia="仿宋" w:cs="仿宋"/>
                <w:kern w:val="0"/>
                <w:szCs w:val="21"/>
                <w:highlight w:val="none"/>
                <w:lang w:bidi="ar"/>
              </w:rPr>
              <w:t>多源数据整合模块：</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1.创建数据交换任务</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①须演示至少3次创建数据交换任务，创建任务时可选择对应系统、行业、模型/分类进行创建任务；创建任务后，系统自动根据规则为不同委办局建立相应待办任务。</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2.数据交换模式演示</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②演示至少2种不同的数据交换方式，包含自动交换和手动交换：自动交换须演示审核页面，审核通过后自动进行数据接口交换；手动交换须演示下载指定模板和模板数据上传。数据交换演示结束后，须在系统任务列表中展示所有演示过的任务（至少3个）均已处于“已完成”或“数据就绪”状态，为【行业模型计算】调用做好准备。</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二、财政预测系统模块：</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3.创建预测任务</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③须演示创建任务时可选择任务分类、使用模型（可多选）和任务名称进行创建任务。创建任务后，页面显示任务名称、所使用模型、任务状态和所需基础数据的解释。</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4.大数据预测</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④须演示在任务页面中一键跳转至大数据预测系统，可以二次选择确认模型。确认模型后上传所需基础数据，然后一键进行大数据预测。</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5.预测结果展示</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⑤须演示至少3次根据不同基础数据预测得到对应合理的预测结果（以证明各模型真实有效），并展示行业税收预测或财政收入预测的预测结果展示页面，如使用多个模型则需要进行多模型结果对比展示。</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三、综合治税系统模块：</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6.行业和计算模型展示</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⑥清晰展示系统所拥有的所有行业（至少80个）的列表总览界面，然后从第一个行业开始，按照固定的、清晰的流程演示出每一个行业下的以下内容：</w:t>
            </w:r>
          </w:p>
          <w:p w14:paraId="1590A29A">
            <w:pPr>
              <w:widowControl/>
              <w:jc w:val="left"/>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⑦每个行业至少拥有2个计算模型。</w:t>
            </w:r>
          </w:p>
          <w:p w14:paraId="5B95D4FB">
            <w:pPr>
              <w:widowControl/>
              <w:jc w:val="left"/>
              <w:textAlignment w:val="center"/>
              <w:rPr>
                <w:rFonts w:hint="eastAsia" w:ascii="仿宋" w:hAnsi="仿宋" w:eastAsia="仿宋" w:cs="仿宋"/>
                <w:kern w:val="0"/>
                <w:szCs w:val="21"/>
                <w:highlight w:val="none"/>
                <w:lang w:bidi="ar"/>
              </w:rPr>
            </w:pPr>
            <w:r>
              <w:rPr>
                <w:rFonts w:hint="eastAsia" w:ascii="仿宋" w:hAnsi="仿宋" w:eastAsia="仿宋" w:cs="仿宋"/>
                <w:color w:val="auto"/>
                <w:kern w:val="0"/>
                <w:szCs w:val="21"/>
                <w:highlight w:val="none"/>
                <w:lang w:bidi="ar"/>
              </w:rPr>
              <w:t>⑧每个模型所要求的数据需求列表。</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 xml:space="preserve">7.计算流程和结果展示： </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⑨须演示至少5个基于已完成数据交换任务进行模型计算，一键触发"数据汇总-计算-结果生成"的计算全流程</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⑩须演示至少5个相对应的合理结果展示</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注：不合理的结果为与已完成数据交换任务的数据无关联：例如任务数据中该纳税人的医保收入与模型计算的结果中该项不符。</w:t>
            </w:r>
          </w:p>
          <w:p w14:paraId="2F8460B4">
            <w:pPr>
              <w:widowControl/>
              <w:jc w:val="left"/>
              <w:textAlignment w:val="center"/>
              <w:rPr>
                <w:rFonts w:hint="eastAsia" w:ascii="仿宋" w:hAnsi="仿宋" w:eastAsia="仿宋" w:cs="仿宋"/>
                <w:kern w:val="0"/>
                <w:szCs w:val="21"/>
                <w:highlight w:val="none"/>
                <w:lang w:bidi="ar"/>
              </w:rPr>
            </w:pPr>
            <w:r>
              <w:rPr>
                <w:rFonts w:hint="eastAsia" w:ascii="仿宋" w:hAnsi="仿宋" w:eastAsia="仿宋" w:cs="仿宋"/>
                <w:kern w:val="0"/>
                <w:szCs w:val="21"/>
                <w:highlight w:val="none"/>
                <w:lang w:bidi="ar"/>
              </w:rPr>
              <w:t>以上10项演示要素，每满足1项得2分，共计20分。</w:t>
            </w:r>
          </w:p>
        </w:tc>
        <w:tc>
          <w:tcPr>
            <w:tcW w:w="517" w:type="pct"/>
            <w:tcBorders>
              <w:top w:val="single" w:color="000000" w:sz="4" w:space="0"/>
              <w:left w:val="single" w:color="000000" w:sz="4" w:space="0"/>
              <w:bottom w:val="single" w:color="000000" w:sz="4" w:space="0"/>
              <w:right w:val="single" w:color="000000" w:sz="4" w:space="0"/>
            </w:tcBorders>
            <w:vAlign w:val="center"/>
          </w:tcPr>
          <w:p w14:paraId="047E9856">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FF0000"/>
                <w:kern w:val="0"/>
                <w:szCs w:val="21"/>
                <w:highlight w:val="none"/>
                <w:lang w:bidi="ar"/>
              </w:rPr>
              <w:t>20</w:t>
            </w:r>
          </w:p>
        </w:tc>
      </w:tr>
      <w:tr w14:paraId="1F2896DB">
        <w:tblPrEx>
          <w:tblCellMar>
            <w:top w:w="0" w:type="dxa"/>
            <w:left w:w="108" w:type="dxa"/>
            <w:bottom w:w="0" w:type="dxa"/>
            <w:right w:w="108" w:type="dxa"/>
          </w:tblCellMar>
        </w:tblPrEx>
        <w:trPr>
          <w:trHeight w:val="644" w:hRule="atLeast"/>
        </w:trPr>
        <w:tc>
          <w:tcPr>
            <w:tcW w:w="675" w:type="pct"/>
            <w:vMerge w:val="continue"/>
            <w:tcBorders>
              <w:top w:val="single" w:color="000000" w:sz="4" w:space="0"/>
              <w:left w:val="single" w:color="000000" w:sz="4" w:space="0"/>
              <w:bottom w:val="nil"/>
              <w:right w:val="single" w:color="000000" w:sz="4" w:space="0"/>
            </w:tcBorders>
            <w:vAlign w:val="center"/>
          </w:tcPr>
          <w:p w14:paraId="22E85674">
            <w:pPr>
              <w:jc w:val="center"/>
              <w:rPr>
                <w:rFonts w:hint="eastAsia" w:ascii="仿宋" w:hAnsi="仿宋" w:eastAsia="仿宋" w:cs="仿宋"/>
                <w:color w:val="000000"/>
                <w:szCs w:val="21"/>
                <w:highlight w:val="none"/>
              </w:rPr>
            </w:pPr>
          </w:p>
        </w:tc>
        <w:tc>
          <w:tcPr>
            <w:tcW w:w="732" w:type="pct"/>
            <w:tcBorders>
              <w:top w:val="single" w:color="000000" w:sz="4" w:space="0"/>
              <w:left w:val="single" w:color="000000" w:sz="4" w:space="0"/>
              <w:bottom w:val="nil"/>
              <w:right w:val="single" w:color="000000" w:sz="4" w:space="0"/>
            </w:tcBorders>
            <w:vAlign w:val="center"/>
          </w:tcPr>
          <w:p w14:paraId="46495AF6">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重点功能图文介绍</w:t>
            </w:r>
          </w:p>
        </w:tc>
        <w:tc>
          <w:tcPr>
            <w:tcW w:w="3076" w:type="pct"/>
            <w:tcBorders>
              <w:top w:val="single" w:color="000000" w:sz="4" w:space="0"/>
              <w:left w:val="single" w:color="000000" w:sz="4" w:space="0"/>
              <w:bottom w:val="single" w:color="000000" w:sz="4" w:space="0"/>
              <w:right w:val="single" w:color="000000" w:sz="4" w:space="0"/>
            </w:tcBorders>
            <w:vAlign w:val="center"/>
          </w:tcPr>
          <w:p w14:paraId="07335966">
            <w:pPr>
              <w:widowControl/>
              <w:jc w:val="left"/>
              <w:textAlignment w:val="center"/>
              <w:rPr>
                <w:rFonts w:hint="eastAsia" w:ascii="仿宋" w:hAnsi="仿宋" w:eastAsia="仿宋" w:cs="仿宋"/>
                <w:kern w:val="0"/>
                <w:szCs w:val="21"/>
                <w:highlight w:val="none"/>
                <w:lang w:bidi="ar"/>
              </w:rPr>
            </w:pPr>
            <w:r>
              <w:rPr>
                <w:rFonts w:hint="eastAsia" w:ascii="仿宋" w:hAnsi="仿宋" w:eastAsia="仿宋" w:cs="仿宋"/>
                <w:kern w:val="0"/>
                <w:szCs w:val="21"/>
                <w:highlight w:val="none"/>
                <w:lang w:bidi="ar"/>
              </w:rPr>
              <w:t>一、多源数据整合模块：</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1.数据处理与安全</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提供核心数据处理与加密、中央数据枢纽2个功能模块的文字方案和界面截图：需说明数据清洗/加密/存储流程，展示解密双重验证机制。</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二、财政预测系统模块：</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2.预测展示功能</w:t>
            </w:r>
          </w:p>
          <w:p w14:paraId="57F96336">
            <w:pPr>
              <w:widowControl/>
              <w:jc w:val="left"/>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提供财政收入预测、税收收入预测、行业选取建议三项功能模块的文字方案和界面截图：需展示多模型对比分析、行业推荐清单等界面。</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三、综合治税系统模块：</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3.风险反馈机制</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提供风险反馈机制的文字方案和界面截图：需包含线上和线下反馈机制，线上反馈机制须展示系统查看风险详情页面和在线填写补税信息，线下反馈机制须展示系统可以一键生成并下载与线上数据一致的报告，相关税务部门填写后，可反馈上传系统生成补税信息。</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四、数智审计系统模块：</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4.大数据审计分析</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提供大数据审计分析的报表真实性核验和审计收入计算两项功能模块的文字方案和界面截图：需展示从多维度核验报表真实性，运用至少2种分析模型，并展示审计收入计算与风险对比。</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5.模型审计分析</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提供模型审计分析功能模块的文字方案和界面截图：清晰展示内置至少4种模型方法（列明具体方法），并说明数据来源。</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五、智慧财政系统模块：</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6.多终端支持</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提供WEB端和APP端同一核心功能对比截图：清晰展示多维度报表和企业入口信息，排名在双端正常使用。</w:t>
            </w:r>
            <w:r>
              <w:rPr>
                <w:rFonts w:hint="eastAsia" w:ascii="仿宋" w:hAnsi="仿宋" w:eastAsia="仿宋" w:cs="仿宋"/>
                <w:kern w:val="0"/>
                <w:szCs w:val="21"/>
                <w:highlight w:val="none"/>
                <w:lang w:bidi="ar"/>
              </w:rPr>
              <w:br w:type="textWrapping"/>
            </w:r>
            <w:r>
              <w:rPr>
                <w:rFonts w:hint="eastAsia" w:ascii="仿宋" w:hAnsi="仿宋" w:eastAsia="仿宋" w:cs="仿宋"/>
                <w:kern w:val="0"/>
                <w:szCs w:val="21"/>
                <w:highlight w:val="none"/>
                <w:lang w:bidi="ar"/>
              </w:rPr>
              <w:t>以上6项需要提供系统截图在投标文件对应服务响应内，每满足1项得2分，共计12分。</w:t>
            </w:r>
          </w:p>
        </w:tc>
        <w:tc>
          <w:tcPr>
            <w:tcW w:w="517" w:type="pct"/>
            <w:tcBorders>
              <w:top w:val="single" w:color="000000" w:sz="4" w:space="0"/>
              <w:left w:val="single" w:color="000000" w:sz="4" w:space="0"/>
              <w:bottom w:val="nil"/>
              <w:right w:val="single" w:color="000000" w:sz="4" w:space="0"/>
            </w:tcBorders>
            <w:vAlign w:val="center"/>
          </w:tcPr>
          <w:p w14:paraId="1560018F">
            <w:pPr>
              <w:widowControl/>
              <w:jc w:val="center"/>
              <w:textAlignment w:val="center"/>
              <w:rPr>
                <w:rFonts w:hint="eastAsia" w:ascii="仿宋" w:hAnsi="仿宋" w:eastAsia="仿宋" w:cs="仿宋"/>
                <w:szCs w:val="21"/>
                <w:highlight w:val="none"/>
              </w:rPr>
            </w:pPr>
            <w:r>
              <w:rPr>
                <w:rFonts w:hint="eastAsia" w:ascii="仿宋" w:hAnsi="仿宋" w:eastAsia="仿宋" w:cs="仿宋"/>
                <w:kern w:val="0"/>
                <w:szCs w:val="21"/>
                <w:highlight w:val="none"/>
                <w:lang w:bidi="ar"/>
              </w:rPr>
              <w:t>12</w:t>
            </w:r>
          </w:p>
        </w:tc>
      </w:tr>
      <w:tr w14:paraId="67D9F372">
        <w:tblPrEx>
          <w:tblCellMar>
            <w:top w:w="0" w:type="dxa"/>
            <w:left w:w="108" w:type="dxa"/>
            <w:bottom w:w="0" w:type="dxa"/>
            <w:right w:w="108" w:type="dxa"/>
          </w:tblCellMar>
        </w:tblPrEx>
        <w:trPr>
          <w:trHeight w:val="90" w:hRule="atLeast"/>
        </w:trPr>
        <w:tc>
          <w:tcPr>
            <w:tcW w:w="675" w:type="pct"/>
            <w:vMerge w:val="continue"/>
            <w:tcBorders>
              <w:top w:val="single" w:color="000000" w:sz="4" w:space="0"/>
              <w:left w:val="single" w:color="000000" w:sz="4" w:space="0"/>
              <w:bottom w:val="nil"/>
              <w:right w:val="single" w:color="000000" w:sz="4" w:space="0"/>
            </w:tcBorders>
            <w:vAlign w:val="center"/>
          </w:tcPr>
          <w:p w14:paraId="7330031B">
            <w:pPr>
              <w:jc w:val="center"/>
              <w:rPr>
                <w:rFonts w:hint="eastAsia" w:ascii="仿宋" w:hAnsi="仿宋" w:eastAsia="仿宋" w:cs="仿宋"/>
                <w:color w:val="000000"/>
                <w:szCs w:val="21"/>
                <w:highlight w:val="none"/>
              </w:rPr>
            </w:pPr>
          </w:p>
        </w:tc>
        <w:tc>
          <w:tcPr>
            <w:tcW w:w="732" w:type="pct"/>
            <w:tcBorders>
              <w:top w:val="single" w:color="000000" w:sz="4" w:space="0"/>
              <w:left w:val="single" w:color="000000" w:sz="4" w:space="0"/>
              <w:bottom w:val="single" w:color="000000" w:sz="4" w:space="0"/>
              <w:right w:val="single" w:color="000000" w:sz="4" w:space="0"/>
            </w:tcBorders>
            <w:vAlign w:val="center"/>
          </w:tcPr>
          <w:p w14:paraId="13F421D1">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部署与运维方案</w:t>
            </w:r>
          </w:p>
        </w:tc>
        <w:tc>
          <w:tcPr>
            <w:tcW w:w="3076" w:type="pct"/>
            <w:tcBorders>
              <w:top w:val="single" w:color="000000" w:sz="4" w:space="0"/>
              <w:left w:val="single" w:color="000000" w:sz="4" w:space="0"/>
              <w:bottom w:val="single" w:color="000000" w:sz="4" w:space="0"/>
              <w:right w:val="single" w:color="000000" w:sz="4" w:space="0"/>
            </w:tcBorders>
            <w:vAlign w:val="center"/>
          </w:tcPr>
          <w:p w14:paraId="17C1FDE9">
            <w:pPr>
              <w:pStyle w:val="9"/>
              <w:adjustRightInd w:val="0"/>
              <w:snapToGrid w:val="0"/>
              <w:spacing w:before="0" w:beforeAutospacing="0" w:after="0" w:afterAutospacing="0"/>
              <w:rPr>
                <w:rFonts w:hint="eastAsia" w:ascii="仿宋_GB2312" w:hAnsi="仿宋_GB2312" w:eastAsia="仿宋_GB2312" w:cs="仿宋_GB2312"/>
                <w:kern w:val="2"/>
                <w:sz w:val="21"/>
                <w:szCs w:val="21"/>
                <w:highlight w:val="none"/>
              </w:rPr>
            </w:pPr>
            <w:r>
              <w:rPr>
                <w:rFonts w:hint="eastAsia" w:ascii="仿宋" w:hAnsi="仿宋" w:eastAsia="仿宋" w:cs="仿宋"/>
                <w:color w:val="000000"/>
                <w:sz w:val="21"/>
                <w:szCs w:val="21"/>
                <w:highlight w:val="none"/>
                <w:lang w:bidi="ar"/>
              </w:rPr>
              <w:t>投标人应根据项目需求，结合项目实际提供项目部署与运维方案，方案应包括但不限于以下内容：①部署架构设计（含双终端适配部署、数据枢纽存储架构）；②环境适配与搭建（含软硬件环境配置、系统兼容性测试）；③日常运维管理（含定期巡检流程、故障快速响应预案）；④系统优化升级（含功能扩展适配、版本更新流程）。</w:t>
            </w:r>
            <w:r>
              <w:rPr>
                <w:rFonts w:hint="eastAsia" w:ascii="仿宋_GB2312" w:hAnsi="仿宋_GB2312" w:eastAsia="仿宋_GB2312" w:cs="仿宋_GB2312"/>
                <w:kern w:val="2"/>
                <w:sz w:val="21"/>
                <w:szCs w:val="21"/>
                <w:highlight w:val="none"/>
              </w:rPr>
              <w:t>每提供一项描述详尽合理、符合实际无缺陷得1分；每项内容存在缺陷或不完全符合项目需求得0.5分；没有描述得0分，最多得4分。</w:t>
            </w:r>
          </w:p>
          <w:p w14:paraId="083682DA">
            <w:pPr>
              <w:widowControl/>
              <w:jc w:val="left"/>
              <w:textAlignment w:val="center"/>
              <w:rPr>
                <w:rFonts w:hint="eastAsia" w:ascii="仿宋" w:hAnsi="仿宋" w:eastAsia="仿宋" w:cs="仿宋"/>
                <w:color w:val="000000"/>
                <w:kern w:val="0"/>
                <w:szCs w:val="21"/>
                <w:highlight w:val="none"/>
                <w:lang w:bidi="ar"/>
              </w:rPr>
            </w:pPr>
            <w:r>
              <w:rPr>
                <w:rFonts w:hint="eastAsia" w:ascii="仿宋_GB2312" w:hAnsi="仿宋_GB2312" w:eastAsia="仿宋_GB2312" w:cs="仿宋_GB2312"/>
                <w:szCs w:val="21"/>
                <w:highlight w:val="none"/>
              </w:rPr>
              <w:t>（注：缺陷指对项目需求理解存在偏差、存在相互矛盾内容、未针对本项目编写等任一情形，不完全符合项目需求指存在与本项目执行无关的内容、存在相关内容在实际操作中不能运用、使用的工作方法、标准、依据、流程有错误影响方案有效性等任一情形。）</w:t>
            </w:r>
          </w:p>
        </w:tc>
        <w:tc>
          <w:tcPr>
            <w:tcW w:w="517" w:type="pct"/>
            <w:tcBorders>
              <w:top w:val="single" w:color="000000" w:sz="4" w:space="0"/>
              <w:left w:val="single" w:color="000000" w:sz="4" w:space="0"/>
              <w:bottom w:val="single" w:color="000000" w:sz="4" w:space="0"/>
              <w:right w:val="single" w:color="000000" w:sz="4" w:space="0"/>
            </w:tcBorders>
            <w:vAlign w:val="center"/>
          </w:tcPr>
          <w:p w14:paraId="2E46A94E">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4</w:t>
            </w:r>
          </w:p>
        </w:tc>
      </w:tr>
      <w:tr w14:paraId="686FBC71">
        <w:tblPrEx>
          <w:tblCellMar>
            <w:top w:w="0" w:type="dxa"/>
            <w:left w:w="108" w:type="dxa"/>
            <w:bottom w:w="0" w:type="dxa"/>
            <w:right w:w="108" w:type="dxa"/>
          </w:tblCellMar>
        </w:tblPrEx>
        <w:trPr>
          <w:trHeight w:val="2250" w:hRule="atLeast"/>
        </w:trPr>
        <w:tc>
          <w:tcPr>
            <w:tcW w:w="675" w:type="pct"/>
            <w:vMerge w:val="continue"/>
            <w:tcBorders>
              <w:top w:val="single" w:color="000000" w:sz="4" w:space="0"/>
              <w:left w:val="single" w:color="000000" w:sz="4" w:space="0"/>
              <w:bottom w:val="nil"/>
              <w:right w:val="single" w:color="000000" w:sz="4" w:space="0"/>
            </w:tcBorders>
            <w:vAlign w:val="center"/>
          </w:tcPr>
          <w:p w14:paraId="2F5D3BA6">
            <w:pPr>
              <w:jc w:val="center"/>
              <w:rPr>
                <w:rFonts w:hint="eastAsia" w:ascii="仿宋" w:hAnsi="仿宋" w:eastAsia="仿宋" w:cs="仿宋"/>
                <w:color w:val="000000"/>
                <w:szCs w:val="21"/>
                <w:highlight w:val="none"/>
              </w:rPr>
            </w:pPr>
          </w:p>
        </w:tc>
        <w:tc>
          <w:tcPr>
            <w:tcW w:w="732" w:type="pct"/>
            <w:tcBorders>
              <w:top w:val="single" w:color="000000" w:sz="4" w:space="0"/>
              <w:left w:val="single" w:color="000000" w:sz="4" w:space="0"/>
              <w:bottom w:val="single" w:color="000000" w:sz="4" w:space="0"/>
              <w:right w:val="single" w:color="000000" w:sz="4" w:space="0"/>
            </w:tcBorders>
            <w:vAlign w:val="center"/>
          </w:tcPr>
          <w:p w14:paraId="26C623FA">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应急预案</w:t>
            </w:r>
          </w:p>
        </w:tc>
        <w:tc>
          <w:tcPr>
            <w:tcW w:w="3076" w:type="pct"/>
            <w:tcBorders>
              <w:top w:val="single" w:color="000000" w:sz="4" w:space="0"/>
              <w:left w:val="single" w:color="000000" w:sz="4" w:space="0"/>
              <w:bottom w:val="single" w:color="000000" w:sz="4" w:space="0"/>
              <w:right w:val="single" w:color="000000" w:sz="4" w:space="0"/>
            </w:tcBorders>
            <w:vAlign w:val="center"/>
          </w:tcPr>
          <w:p w14:paraId="1A5EEB0A">
            <w:pPr>
              <w:pStyle w:val="9"/>
              <w:adjustRightInd w:val="0"/>
              <w:snapToGrid w:val="0"/>
              <w:spacing w:before="0" w:beforeAutospacing="0" w:after="0" w:afterAutospacing="0"/>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投标人需结合项目实际，提供应急预案，包含但不限于：① 应急保障预案：明确应急组织架构、人员职责、资源保障（技术团队/备件/数据备份）；② 突发事件处理：覆盖系统宕机、数据泄露、网络攻击、硬件故障，明确故障分级、响应时限、处理流程（排查-处置-恢复）、事后复盘优化。</w:t>
            </w:r>
            <w:r>
              <w:rPr>
                <w:rFonts w:hint="eastAsia" w:ascii="仿宋" w:hAnsi="仿宋" w:eastAsia="仿宋" w:cs="仿宋"/>
                <w:color w:val="000000"/>
                <w:sz w:val="21"/>
                <w:szCs w:val="21"/>
                <w:highlight w:val="none"/>
                <w:lang w:bidi="ar"/>
              </w:rPr>
              <w:br w:type="textWrapping"/>
            </w:r>
            <w:r>
              <w:rPr>
                <w:rFonts w:hint="eastAsia" w:ascii="仿宋" w:hAnsi="仿宋" w:eastAsia="仿宋" w:cs="仿宋"/>
                <w:color w:val="000000"/>
                <w:sz w:val="21"/>
                <w:szCs w:val="21"/>
                <w:highlight w:val="none"/>
                <w:lang w:bidi="ar"/>
              </w:rPr>
              <w:t>每提供一项描述详尽合理、符合实际无缺陷得2分；每项内容存在缺陷或不完全符合项目需求得1分；没有描述得0分，最多得4分。</w:t>
            </w:r>
          </w:p>
          <w:p w14:paraId="466BA178">
            <w:pPr>
              <w:pStyle w:val="9"/>
              <w:adjustRightInd w:val="0"/>
              <w:snapToGrid w:val="0"/>
              <w:spacing w:before="0" w:beforeAutospacing="0" w:after="0" w:afterAutospacing="0"/>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注：缺陷指对项目需求理解存在偏差、存在相互矛盾内容、未针对本项目编写等任一情形，不完全符合项目需求指存在与本项目执行无关的内容、存在相关内容在实际操作中不能运用、使用的工作方法、标准、依据、流程有错误影响方案有效性等任一情形。）</w:t>
            </w:r>
          </w:p>
        </w:tc>
        <w:tc>
          <w:tcPr>
            <w:tcW w:w="517" w:type="pct"/>
            <w:tcBorders>
              <w:top w:val="single" w:color="000000" w:sz="4" w:space="0"/>
              <w:left w:val="single" w:color="000000" w:sz="4" w:space="0"/>
              <w:bottom w:val="single" w:color="000000" w:sz="4" w:space="0"/>
              <w:right w:val="single" w:color="000000" w:sz="4" w:space="0"/>
            </w:tcBorders>
            <w:vAlign w:val="center"/>
          </w:tcPr>
          <w:p w14:paraId="2A1E5355">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kern w:val="0"/>
                <w:szCs w:val="21"/>
                <w:highlight w:val="none"/>
                <w:lang w:bidi="ar"/>
              </w:rPr>
              <w:t>4</w:t>
            </w:r>
          </w:p>
        </w:tc>
      </w:tr>
      <w:tr w14:paraId="2D1F0C55">
        <w:tblPrEx>
          <w:tblCellMar>
            <w:top w:w="0" w:type="dxa"/>
            <w:left w:w="108" w:type="dxa"/>
            <w:bottom w:w="0" w:type="dxa"/>
            <w:right w:w="108" w:type="dxa"/>
          </w:tblCellMar>
        </w:tblPrEx>
        <w:trPr>
          <w:trHeight w:val="3000" w:hRule="atLeast"/>
        </w:trPr>
        <w:tc>
          <w:tcPr>
            <w:tcW w:w="675" w:type="pct"/>
            <w:vMerge w:val="continue"/>
            <w:tcBorders>
              <w:top w:val="single" w:color="000000" w:sz="4" w:space="0"/>
              <w:left w:val="single" w:color="000000" w:sz="4" w:space="0"/>
              <w:bottom w:val="nil"/>
              <w:right w:val="single" w:color="000000" w:sz="4" w:space="0"/>
            </w:tcBorders>
            <w:vAlign w:val="center"/>
          </w:tcPr>
          <w:p w14:paraId="219D2FB7">
            <w:pPr>
              <w:jc w:val="center"/>
              <w:rPr>
                <w:rFonts w:hint="eastAsia" w:ascii="仿宋" w:hAnsi="仿宋" w:eastAsia="仿宋" w:cs="仿宋"/>
                <w:color w:val="000000"/>
                <w:szCs w:val="21"/>
                <w:highlight w:val="none"/>
              </w:rPr>
            </w:pPr>
          </w:p>
        </w:tc>
        <w:tc>
          <w:tcPr>
            <w:tcW w:w="732" w:type="pct"/>
            <w:tcBorders>
              <w:top w:val="single" w:color="000000" w:sz="4" w:space="0"/>
              <w:left w:val="single" w:color="000000" w:sz="4" w:space="0"/>
              <w:bottom w:val="single" w:color="000000" w:sz="4" w:space="0"/>
              <w:right w:val="single" w:color="000000" w:sz="4" w:space="0"/>
            </w:tcBorders>
            <w:vAlign w:val="center"/>
          </w:tcPr>
          <w:p w14:paraId="263C5234">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售后服务方案</w:t>
            </w:r>
          </w:p>
        </w:tc>
        <w:tc>
          <w:tcPr>
            <w:tcW w:w="3076" w:type="pct"/>
            <w:tcBorders>
              <w:top w:val="single" w:color="000000" w:sz="4" w:space="0"/>
              <w:left w:val="single" w:color="000000" w:sz="4" w:space="0"/>
              <w:bottom w:val="single" w:color="000000" w:sz="4" w:space="0"/>
              <w:right w:val="single" w:color="000000" w:sz="4" w:space="0"/>
            </w:tcBorders>
            <w:vAlign w:val="center"/>
          </w:tcPr>
          <w:p w14:paraId="732A5CBE">
            <w:pPr>
              <w:pStyle w:val="9"/>
              <w:adjustRightInd w:val="0"/>
              <w:snapToGrid w:val="0"/>
              <w:spacing w:before="0" w:beforeAutospacing="0" w:after="0" w:afterAutospacing="0"/>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投标人需结合项目实际，提供售后服务方案，包含但不限于：① 服务体系及流程：建立7×24小时热线响应机制，明确故障分级（一般/严重/重大）对应的响应时限、处理流程、服务闭环；② 售后培训方案：针对管理员/普通用户制定差异化培训内容，明确培训方式（线上/线下/一对一）、时长、资料（手册/视频）；③ 托管服务方案：包含日常工作、定期备份恢复、数据对接、数据手动交换、模型计算等。</w:t>
            </w:r>
            <w:r>
              <w:rPr>
                <w:rFonts w:hint="eastAsia" w:ascii="仿宋" w:hAnsi="仿宋" w:eastAsia="仿宋" w:cs="仿宋"/>
                <w:color w:val="000000"/>
                <w:sz w:val="21"/>
                <w:szCs w:val="21"/>
                <w:highlight w:val="none"/>
                <w:lang w:bidi="ar"/>
              </w:rPr>
              <w:br w:type="textWrapping"/>
            </w:r>
            <w:r>
              <w:rPr>
                <w:rFonts w:hint="eastAsia" w:ascii="仿宋" w:hAnsi="仿宋" w:eastAsia="仿宋" w:cs="仿宋"/>
                <w:color w:val="000000"/>
                <w:sz w:val="21"/>
                <w:szCs w:val="21"/>
                <w:highlight w:val="none"/>
                <w:lang w:bidi="ar"/>
              </w:rPr>
              <w:t>每提供一项描述详尽合理、符合实际无缺陷得2分；每项内容存在缺陷或不完全符合项目需求得1分；没有描述得0分，最多得6分。</w:t>
            </w:r>
          </w:p>
          <w:p w14:paraId="3B34ECA5">
            <w:pPr>
              <w:pStyle w:val="9"/>
              <w:adjustRightInd w:val="0"/>
              <w:snapToGrid w:val="0"/>
              <w:spacing w:before="0" w:beforeAutospacing="0" w:after="0" w:afterAutospacing="0"/>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注：缺陷指对项目需求理解存在偏差、存在相互矛盾内容、未针对本项目编写等任一情形，不完全符合项目需求指存在与本项目执行无关的内容、存在相关内容在实际操作中不能运用、使用的工作方法、标准、依据、流程有错误影响方案有效性等任一情形。）</w:t>
            </w:r>
          </w:p>
        </w:tc>
        <w:tc>
          <w:tcPr>
            <w:tcW w:w="517" w:type="pct"/>
            <w:tcBorders>
              <w:top w:val="single" w:color="000000" w:sz="4" w:space="0"/>
              <w:left w:val="single" w:color="000000" w:sz="4" w:space="0"/>
              <w:bottom w:val="single" w:color="000000" w:sz="4" w:space="0"/>
              <w:right w:val="single" w:color="000000" w:sz="4" w:space="0"/>
            </w:tcBorders>
            <w:vAlign w:val="center"/>
          </w:tcPr>
          <w:p w14:paraId="78674716">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6</w:t>
            </w:r>
          </w:p>
        </w:tc>
      </w:tr>
      <w:tr w14:paraId="32F0F0EA">
        <w:tblPrEx>
          <w:tblCellMar>
            <w:top w:w="0" w:type="dxa"/>
            <w:left w:w="108" w:type="dxa"/>
            <w:bottom w:w="0" w:type="dxa"/>
            <w:right w:w="108" w:type="dxa"/>
          </w:tblCellMar>
        </w:tblPrEx>
        <w:trPr>
          <w:trHeight w:val="310" w:hRule="atLeast"/>
        </w:trPr>
        <w:tc>
          <w:tcPr>
            <w:tcW w:w="675" w:type="pct"/>
            <w:vMerge w:val="continue"/>
            <w:tcBorders>
              <w:top w:val="single" w:color="000000" w:sz="4" w:space="0"/>
              <w:left w:val="single" w:color="000000" w:sz="4" w:space="0"/>
              <w:bottom w:val="nil"/>
              <w:right w:val="single" w:color="000000" w:sz="4" w:space="0"/>
            </w:tcBorders>
            <w:vAlign w:val="center"/>
          </w:tcPr>
          <w:p w14:paraId="1B28DDBE">
            <w:pPr>
              <w:jc w:val="center"/>
              <w:rPr>
                <w:rFonts w:hint="eastAsia" w:ascii="仿宋" w:hAnsi="仿宋" w:eastAsia="仿宋" w:cs="仿宋"/>
                <w:color w:val="000000"/>
                <w:szCs w:val="21"/>
                <w:highlight w:val="none"/>
              </w:rPr>
            </w:pPr>
          </w:p>
        </w:tc>
        <w:tc>
          <w:tcPr>
            <w:tcW w:w="732" w:type="pct"/>
            <w:tcBorders>
              <w:top w:val="single" w:color="000000" w:sz="4" w:space="0"/>
              <w:left w:val="single" w:color="000000" w:sz="4" w:space="0"/>
              <w:bottom w:val="nil"/>
              <w:right w:val="single" w:color="000000" w:sz="4" w:space="0"/>
            </w:tcBorders>
            <w:vAlign w:val="center"/>
          </w:tcPr>
          <w:p w14:paraId="09CF72BB">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工作重点、难点及其解决措施</w:t>
            </w:r>
          </w:p>
        </w:tc>
        <w:tc>
          <w:tcPr>
            <w:tcW w:w="3076" w:type="pct"/>
            <w:tcBorders>
              <w:top w:val="single" w:color="000000" w:sz="4" w:space="0"/>
              <w:left w:val="single" w:color="000000" w:sz="4" w:space="0"/>
              <w:bottom w:val="single" w:color="000000" w:sz="4" w:space="0"/>
              <w:right w:val="single" w:color="000000" w:sz="4" w:space="0"/>
            </w:tcBorders>
            <w:vAlign w:val="center"/>
          </w:tcPr>
          <w:p w14:paraId="767125F4">
            <w:pPr>
              <w:pStyle w:val="9"/>
              <w:adjustRightInd w:val="0"/>
              <w:snapToGrid w:val="0"/>
              <w:spacing w:before="0" w:beforeAutospacing="0" w:after="0" w:afterAutospacing="0"/>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投标人应结合本项目多系统协同、多源数据整合的核心特点，明确项目重点、难点并给出针对性解决措施，重点难点应包括但不限于以下核心方向：①重点1：多源数据整合的效率与安全性（涉及跨部门海量数据交换、敏感数据加密存储）；②重点2：多系统协同运行的稳定性（含财政预测、治税、审计等系统数据互通）；③重点3：双终端功能一致性与响应效率（WEB端与APP端数据同步、操作流畅度）；④难点1：跨部门数据交换的协同壁垒；⑤难点2：数据预测的准确性（不同模型结果差异调和、与实际数据的偏差修正）；⑥难点3：风险模型多计算的准确性（多模型相互佐证，大数据审计做最终验证）。</w:t>
            </w:r>
          </w:p>
          <w:p w14:paraId="6DCA006B">
            <w:pPr>
              <w:pStyle w:val="9"/>
              <w:adjustRightInd w:val="0"/>
              <w:snapToGrid w:val="0"/>
              <w:spacing w:before="0" w:beforeAutospacing="0" w:after="0" w:afterAutospacing="0"/>
              <w:rPr>
                <w:rFonts w:hint="eastAsia" w:ascii="仿宋_GB2312" w:hAnsi="仿宋_GB2312" w:eastAsia="仿宋_GB2312" w:cs="仿宋_GB2312"/>
                <w:kern w:val="2"/>
                <w:sz w:val="21"/>
                <w:szCs w:val="21"/>
                <w:highlight w:val="none"/>
              </w:rPr>
            </w:pPr>
            <w:r>
              <w:rPr>
                <w:rFonts w:hint="eastAsia" w:ascii="仿宋_GB2312" w:hAnsi="仿宋_GB2312" w:eastAsia="仿宋_GB2312" w:cs="仿宋_GB2312"/>
                <w:kern w:val="2"/>
                <w:sz w:val="21"/>
                <w:szCs w:val="21"/>
                <w:highlight w:val="none"/>
              </w:rPr>
              <w:t>每提供一项描述详尽合理、符合实际无缺陷得2分；每项内容存在缺陷或不完全符合项目需求得1分；没有描述得0分，最多得12分。</w:t>
            </w:r>
          </w:p>
          <w:p w14:paraId="797EEF98">
            <w:pPr>
              <w:widowControl/>
              <w:jc w:val="left"/>
              <w:textAlignment w:val="center"/>
              <w:rPr>
                <w:rFonts w:hint="eastAsia" w:ascii="仿宋" w:hAnsi="仿宋" w:eastAsia="仿宋" w:cs="仿宋"/>
                <w:color w:val="000000"/>
                <w:kern w:val="0"/>
                <w:szCs w:val="21"/>
                <w:highlight w:val="none"/>
                <w:lang w:bidi="ar"/>
              </w:rPr>
            </w:pPr>
            <w:r>
              <w:rPr>
                <w:rFonts w:hint="eastAsia" w:ascii="仿宋_GB2312" w:hAnsi="仿宋_GB2312" w:eastAsia="仿宋_GB2312" w:cs="仿宋_GB2312"/>
                <w:szCs w:val="21"/>
                <w:highlight w:val="none"/>
              </w:rPr>
              <w:t>（注：缺陷指对项目需求理解存在偏差、存在相互矛盾内容、未针对本项目编写等任一情形，不完全符合项目需求指存在与本项目执行无关的内容、存在相关内容在实际操作中不能运用、使用的工作方法、标准、依据、流程有错误影响方案有效性等任一情形。）</w:t>
            </w:r>
          </w:p>
        </w:tc>
        <w:tc>
          <w:tcPr>
            <w:tcW w:w="517" w:type="pct"/>
            <w:tcBorders>
              <w:top w:val="single" w:color="000000" w:sz="4" w:space="0"/>
              <w:left w:val="single" w:color="000000" w:sz="4" w:space="0"/>
              <w:bottom w:val="nil"/>
              <w:right w:val="single" w:color="000000" w:sz="4" w:space="0"/>
            </w:tcBorders>
            <w:vAlign w:val="center"/>
          </w:tcPr>
          <w:p w14:paraId="15BA9B9F">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12</w:t>
            </w:r>
          </w:p>
        </w:tc>
      </w:tr>
      <w:tr w14:paraId="2C52222D">
        <w:tblPrEx>
          <w:tblCellMar>
            <w:top w:w="0" w:type="dxa"/>
            <w:left w:w="108" w:type="dxa"/>
            <w:bottom w:w="0" w:type="dxa"/>
            <w:right w:w="108" w:type="dxa"/>
          </w:tblCellMar>
        </w:tblPrEx>
        <w:trPr>
          <w:trHeight w:val="1125" w:hRule="atLeast"/>
        </w:trPr>
        <w:tc>
          <w:tcPr>
            <w:tcW w:w="675" w:type="pct"/>
            <w:tcBorders>
              <w:top w:val="single" w:color="000000" w:sz="4" w:space="0"/>
              <w:left w:val="single" w:color="000000" w:sz="4" w:space="0"/>
              <w:bottom w:val="single" w:color="000000" w:sz="4" w:space="0"/>
              <w:right w:val="single" w:color="000000" w:sz="4" w:space="0"/>
            </w:tcBorders>
            <w:vAlign w:val="center"/>
          </w:tcPr>
          <w:p w14:paraId="605705CA">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商务部分（8分）</w:t>
            </w:r>
          </w:p>
        </w:tc>
        <w:tc>
          <w:tcPr>
            <w:tcW w:w="732" w:type="pct"/>
            <w:tcBorders>
              <w:top w:val="single" w:color="000000" w:sz="4" w:space="0"/>
              <w:left w:val="single" w:color="000000" w:sz="4" w:space="0"/>
              <w:bottom w:val="single" w:color="000000" w:sz="4" w:space="0"/>
              <w:right w:val="single" w:color="000000" w:sz="4" w:space="0"/>
            </w:tcBorders>
            <w:vAlign w:val="center"/>
          </w:tcPr>
          <w:p w14:paraId="05860CD9">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企业业绩</w:t>
            </w:r>
          </w:p>
        </w:tc>
        <w:tc>
          <w:tcPr>
            <w:tcW w:w="3076" w:type="pct"/>
            <w:tcBorders>
              <w:top w:val="single" w:color="000000" w:sz="4" w:space="0"/>
              <w:left w:val="single" w:color="000000" w:sz="4" w:space="0"/>
              <w:bottom w:val="single" w:color="000000" w:sz="4" w:space="0"/>
              <w:right w:val="single" w:color="000000" w:sz="4" w:space="0"/>
            </w:tcBorders>
            <w:vAlign w:val="center"/>
          </w:tcPr>
          <w:p w14:paraId="02A79AFB">
            <w:pPr>
              <w:pStyle w:val="9"/>
              <w:adjustRightInd w:val="0"/>
              <w:snapToGrid w:val="0"/>
              <w:spacing w:before="0" w:beforeAutospacing="0" w:after="0" w:afterAutospacing="0"/>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2023年1月1日至开标前，投标人完成的类似项目业绩，每提供一份业绩得4分，最多得8分，不提供不得分。</w:t>
            </w:r>
            <w:r>
              <w:rPr>
                <w:rFonts w:hint="eastAsia" w:ascii="仿宋" w:hAnsi="仿宋" w:eastAsia="仿宋" w:cs="仿宋"/>
                <w:color w:val="000000"/>
                <w:sz w:val="21"/>
                <w:szCs w:val="21"/>
                <w:highlight w:val="none"/>
                <w:lang w:bidi="ar"/>
              </w:rPr>
              <w:br w:type="textWrapping"/>
            </w:r>
            <w:r>
              <w:rPr>
                <w:rFonts w:hint="eastAsia" w:ascii="仿宋" w:hAnsi="仿宋" w:eastAsia="仿宋" w:cs="仿宋"/>
                <w:color w:val="000000"/>
                <w:sz w:val="21"/>
                <w:szCs w:val="21"/>
                <w:highlight w:val="none"/>
                <w:lang w:bidi="ar"/>
              </w:rPr>
              <w:t>（注：需提供合同扫描件，清晰展示项目名称、服务内容、签订日期、双方签章；无扫描件或关键信息模糊的，视为无效业绩；日期以合同签订日期为准，需加盖投标人公章。）</w:t>
            </w:r>
          </w:p>
        </w:tc>
        <w:tc>
          <w:tcPr>
            <w:tcW w:w="517" w:type="pct"/>
            <w:tcBorders>
              <w:top w:val="single" w:color="000000" w:sz="4" w:space="0"/>
              <w:left w:val="single" w:color="000000" w:sz="4" w:space="0"/>
              <w:bottom w:val="single" w:color="000000" w:sz="4" w:space="0"/>
              <w:right w:val="single" w:color="000000" w:sz="4" w:space="0"/>
            </w:tcBorders>
            <w:vAlign w:val="center"/>
          </w:tcPr>
          <w:p w14:paraId="72F140DC">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8</w:t>
            </w:r>
          </w:p>
        </w:tc>
      </w:tr>
      <w:tr w14:paraId="2E2A9FF4">
        <w:tblPrEx>
          <w:tblCellMar>
            <w:top w:w="0" w:type="dxa"/>
            <w:left w:w="108" w:type="dxa"/>
            <w:bottom w:w="0" w:type="dxa"/>
            <w:right w:w="108" w:type="dxa"/>
          </w:tblCellMar>
        </w:tblPrEx>
        <w:trPr>
          <w:trHeight w:val="600" w:hRule="atLeast"/>
        </w:trPr>
        <w:tc>
          <w:tcPr>
            <w:tcW w:w="675" w:type="pct"/>
            <w:tcBorders>
              <w:top w:val="single" w:color="000000" w:sz="4" w:space="0"/>
              <w:left w:val="single" w:color="000000" w:sz="4" w:space="0"/>
              <w:bottom w:val="single" w:color="000000" w:sz="4" w:space="0"/>
              <w:right w:val="single" w:color="000000" w:sz="4" w:space="0"/>
            </w:tcBorders>
            <w:vAlign w:val="center"/>
          </w:tcPr>
          <w:p w14:paraId="0477F3C8">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合  计</w:t>
            </w:r>
          </w:p>
        </w:tc>
        <w:tc>
          <w:tcPr>
            <w:tcW w:w="4325" w:type="pct"/>
            <w:gridSpan w:val="3"/>
            <w:tcBorders>
              <w:top w:val="single" w:color="000000" w:sz="4" w:space="0"/>
              <w:left w:val="single" w:color="000000" w:sz="4" w:space="0"/>
              <w:bottom w:val="single" w:color="000000" w:sz="4" w:space="0"/>
              <w:right w:val="single" w:color="000000" w:sz="4" w:space="0"/>
            </w:tcBorders>
            <w:vAlign w:val="center"/>
          </w:tcPr>
          <w:p w14:paraId="08CFFD07">
            <w:pPr>
              <w:widowControl/>
              <w:jc w:val="center"/>
              <w:textAlignment w:val="center"/>
              <w:rPr>
                <w:rFonts w:hint="eastAsia"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100</w:t>
            </w:r>
          </w:p>
        </w:tc>
      </w:tr>
    </w:tbl>
    <w:p w14:paraId="34472623">
      <w:pPr>
        <w:widowControl/>
        <w:jc w:val="left"/>
        <w:rPr>
          <w:rFonts w:hint="eastAsia" w:ascii="仿宋" w:hAnsi="仿宋" w:eastAsia="仿宋" w:cs="仿宋"/>
          <w:highlight w:val="none"/>
        </w:rPr>
      </w:pPr>
    </w:p>
    <w:p w14:paraId="288EE608">
      <w:pPr>
        <w:pStyle w:val="2"/>
        <w:keepNext w:val="0"/>
        <w:pageBreakBefore/>
        <w:spacing w:before="319" w:beforeLines="100" w:after="319" w:afterLines="100" w:line="360" w:lineRule="auto"/>
        <w:jc w:val="center"/>
        <w:rPr>
          <w:rFonts w:hint="eastAsia" w:ascii="仿宋" w:hAnsi="仿宋" w:eastAsia="仿宋" w:cs="仿宋"/>
          <w:highlight w:val="none"/>
        </w:rPr>
      </w:pPr>
      <w:bookmarkStart w:id="173" w:name="_Toc4485696"/>
      <w:bookmarkStart w:id="174" w:name="_Toc5214"/>
      <w:r>
        <w:rPr>
          <w:rFonts w:hint="eastAsia" w:ascii="仿宋" w:hAnsi="仿宋" w:eastAsia="仿宋" w:cs="仿宋"/>
          <w:highlight w:val="none"/>
        </w:rPr>
        <w:t xml:space="preserve">第六章 </w:t>
      </w:r>
      <w:bookmarkEnd w:id="173"/>
      <w:r>
        <w:rPr>
          <w:rFonts w:hint="eastAsia" w:ascii="仿宋" w:hAnsi="仿宋" w:eastAsia="仿宋" w:cs="仿宋"/>
          <w:highlight w:val="none"/>
        </w:rPr>
        <w:t xml:space="preserve"> 政府采购合同条款及格式</w:t>
      </w:r>
      <w:bookmarkEnd w:id="174"/>
    </w:p>
    <w:p w14:paraId="0D1B882B">
      <w:pPr>
        <w:rPr>
          <w:rFonts w:hint="eastAsia" w:ascii="仿宋" w:hAnsi="仿宋" w:eastAsia="仿宋" w:cs="仿宋"/>
          <w:highlight w:val="none"/>
        </w:rPr>
      </w:pPr>
    </w:p>
    <w:p w14:paraId="74438321">
      <w:pPr>
        <w:rPr>
          <w:rFonts w:hint="eastAsia" w:ascii="仿宋" w:hAnsi="仿宋" w:eastAsia="仿宋" w:cs="仿宋"/>
          <w:highlight w:val="none"/>
        </w:rPr>
      </w:pPr>
    </w:p>
    <w:p w14:paraId="5D0A7AF4">
      <w:pPr>
        <w:widowControl/>
        <w:jc w:val="left"/>
        <w:outlineLvl w:val="1"/>
        <w:rPr>
          <w:rFonts w:hint="eastAsia" w:ascii="仿宋" w:hAnsi="仿宋" w:eastAsia="仿宋" w:cs="仿宋"/>
          <w:b/>
          <w:sz w:val="28"/>
          <w:szCs w:val="28"/>
          <w:highlight w:val="none"/>
        </w:rPr>
      </w:pPr>
      <w:r>
        <w:rPr>
          <w:rFonts w:hint="eastAsia" w:ascii="仿宋" w:hAnsi="仿宋" w:eastAsia="仿宋" w:cs="仿宋"/>
          <w:highlight w:val="none"/>
        </w:rPr>
        <w:br w:type="page"/>
      </w:r>
      <w:r>
        <w:rPr>
          <w:rFonts w:hint="eastAsia" w:ascii="仿宋" w:hAnsi="仿宋" w:eastAsia="仿宋" w:cs="仿宋"/>
          <w:b/>
          <w:sz w:val="28"/>
          <w:szCs w:val="28"/>
          <w:highlight w:val="none"/>
        </w:rPr>
        <w:t>合同条款</w:t>
      </w:r>
    </w:p>
    <w:p w14:paraId="761BC71E">
      <w:pPr>
        <w:adjustRightInd w:val="0"/>
        <w:snapToGrid w:val="0"/>
        <w:spacing w:line="360" w:lineRule="auto"/>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t>政府采购合同条款</w:t>
      </w:r>
    </w:p>
    <w:p w14:paraId="22B2B9FE">
      <w:pPr>
        <w:numPr>
          <w:ilvl w:val="0"/>
          <w:numId w:val="7"/>
        </w:numPr>
        <w:adjustRightInd w:val="0"/>
        <w:snapToGrid w:val="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术语定义</w:t>
      </w:r>
    </w:p>
    <w:p w14:paraId="3D9614EC">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本政府采购合同下列术语应解释为：</w:t>
      </w:r>
    </w:p>
    <w:p w14:paraId="41AD7EC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b/>
          <w:szCs w:val="21"/>
          <w:highlight w:val="none"/>
        </w:rPr>
        <w:t>.</w:t>
      </w:r>
      <w:r>
        <w:rPr>
          <w:rFonts w:hint="eastAsia" w:ascii="仿宋" w:hAnsi="仿宋" w:eastAsia="仿宋" w:cs="仿宋"/>
          <w:szCs w:val="21"/>
          <w:highlight w:val="none"/>
        </w:rPr>
        <w:t>1“政府采购合同”指供需双方依照政府采购程序、按照采购文件、响应文件确定的事项所达成的协议，包括附件、附录和上述文件所提到的构成政府采购合同的所有文件。</w:t>
      </w:r>
    </w:p>
    <w:p w14:paraId="37E6228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b/>
          <w:szCs w:val="21"/>
          <w:highlight w:val="none"/>
        </w:rPr>
        <w:t>.</w:t>
      </w:r>
      <w:r>
        <w:rPr>
          <w:rFonts w:hint="eastAsia" w:ascii="仿宋" w:hAnsi="仿宋" w:eastAsia="仿宋" w:cs="仿宋"/>
          <w:szCs w:val="21"/>
          <w:highlight w:val="none"/>
        </w:rPr>
        <w:t>2 “政府采购合同价”指根据合同约定供方在正确地完全履行政府采购合同义务后需方应支付给供方的价格。</w:t>
      </w:r>
    </w:p>
    <w:p w14:paraId="12C6E398">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b/>
          <w:szCs w:val="21"/>
          <w:highlight w:val="none"/>
        </w:rPr>
        <w:t>.</w:t>
      </w:r>
      <w:r>
        <w:rPr>
          <w:rFonts w:hint="eastAsia" w:ascii="仿宋" w:hAnsi="仿宋" w:eastAsia="仿宋" w:cs="仿宋"/>
          <w:szCs w:val="21"/>
          <w:highlight w:val="none"/>
        </w:rPr>
        <w:t>3 “服务”指政府采购合同服务清单（同响应文件中报价一览表及其附表，下同）所约定的服务内容。</w:t>
      </w:r>
    </w:p>
    <w:p w14:paraId="7315F630">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b/>
          <w:szCs w:val="21"/>
          <w:highlight w:val="none"/>
        </w:rPr>
        <w:t>.</w:t>
      </w:r>
      <w:r>
        <w:rPr>
          <w:rFonts w:hint="eastAsia" w:ascii="仿宋" w:hAnsi="仿宋" w:eastAsia="仿宋" w:cs="仿宋"/>
          <w:szCs w:val="21"/>
          <w:highlight w:val="none"/>
        </w:rPr>
        <w:t>5 “需方”指项目基本内容及要求中所述取得产品和服务的采购单位。</w:t>
      </w:r>
    </w:p>
    <w:p w14:paraId="2C92839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b/>
          <w:szCs w:val="21"/>
          <w:highlight w:val="none"/>
        </w:rPr>
        <w:t>.</w:t>
      </w:r>
      <w:r>
        <w:rPr>
          <w:rFonts w:hint="eastAsia" w:ascii="仿宋" w:hAnsi="仿宋" w:eastAsia="仿宋" w:cs="仿宋"/>
          <w:szCs w:val="21"/>
          <w:highlight w:val="none"/>
        </w:rPr>
        <w:t>6 “供方”指项目基本内容及要求中所述提供产品和服务的中标供应商。</w:t>
      </w:r>
    </w:p>
    <w:p w14:paraId="0BCE8D3A">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b/>
          <w:szCs w:val="21"/>
          <w:highlight w:val="none"/>
        </w:rPr>
        <w:t>.</w:t>
      </w:r>
      <w:r>
        <w:rPr>
          <w:rFonts w:hint="eastAsia" w:ascii="仿宋" w:hAnsi="仿宋" w:eastAsia="仿宋" w:cs="仿宋"/>
          <w:szCs w:val="21"/>
          <w:highlight w:val="none"/>
        </w:rPr>
        <w:t>7 “检验”指需方按照政府采购合同约定的标准对供方所提供服务进行的检测和查验。</w:t>
      </w:r>
    </w:p>
    <w:p w14:paraId="0E0C8FFD">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b/>
          <w:szCs w:val="21"/>
          <w:highlight w:val="none"/>
        </w:rPr>
        <w:t>.</w:t>
      </w:r>
      <w:r>
        <w:rPr>
          <w:rFonts w:hint="eastAsia" w:ascii="仿宋" w:hAnsi="仿宋" w:eastAsia="仿宋" w:cs="仿宋"/>
          <w:szCs w:val="21"/>
          <w:highlight w:val="none"/>
        </w:rPr>
        <w:t>8 “验收书”指采购单位或采购代理机构根据合同履约验收意见书形成反映采购单位和组织验收机构意见的文件。</w:t>
      </w:r>
    </w:p>
    <w:p w14:paraId="12FC8CF1">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1.9“天”指日历天数（如无特别说明）。</w:t>
      </w:r>
    </w:p>
    <w:p w14:paraId="7DB7BD95">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b/>
          <w:szCs w:val="21"/>
          <w:highlight w:val="none"/>
        </w:rPr>
        <w:t>.</w:t>
      </w:r>
      <w:r>
        <w:rPr>
          <w:rFonts w:hint="eastAsia" w:ascii="仿宋" w:hAnsi="仿宋" w:eastAsia="仿宋" w:cs="仿宋"/>
          <w:szCs w:val="21"/>
          <w:highlight w:val="none"/>
        </w:rPr>
        <w:t>10“第三人”是指本政府采购合同双方以外的任何中国境内外的自然人、法人或其它经济组织。</w:t>
      </w:r>
    </w:p>
    <w:p w14:paraId="0CF0FAA3">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b/>
          <w:szCs w:val="21"/>
          <w:highlight w:val="none"/>
        </w:rPr>
        <w:t>.</w:t>
      </w:r>
      <w:r>
        <w:rPr>
          <w:rFonts w:hint="eastAsia" w:ascii="仿宋" w:hAnsi="仿宋" w:eastAsia="仿宋" w:cs="仿宋"/>
          <w:szCs w:val="21"/>
          <w:highlight w:val="none"/>
        </w:rPr>
        <w:t>11“法律、法规”是指由中国各级政府及有关部门制定的法律、行政法规、地方性法规、规章及其它规范性文件的有关规定。</w:t>
      </w:r>
    </w:p>
    <w:p w14:paraId="13CBFC49">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b/>
          <w:szCs w:val="21"/>
          <w:highlight w:val="none"/>
        </w:rPr>
        <w:t>.</w:t>
      </w:r>
      <w:r>
        <w:rPr>
          <w:rFonts w:hint="eastAsia" w:ascii="仿宋" w:hAnsi="仿宋" w:eastAsia="仿宋" w:cs="仿宋"/>
          <w:szCs w:val="21"/>
          <w:highlight w:val="none"/>
        </w:rPr>
        <w:t>12“采购文件”指采购人或采购代理机构发布的采购文件。</w:t>
      </w:r>
    </w:p>
    <w:p w14:paraId="139A316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b/>
          <w:szCs w:val="21"/>
          <w:highlight w:val="none"/>
        </w:rPr>
        <w:t>.</w:t>
      </w:r>
      <w:r>
        <w:rPr>
          <w:rFonts w:hint="eastAsia" w:ascii="仿宋" w:hAnsi="仿宋" w:eastAsia="仿宋" w:cs="仿宋"/>
          <w:szCs w:val="21"/>
          <w:highlight w:val="none"/>
        </w:rPr>
        <w:t>13“响应文件”指供方按照采购代理机构采购文件的要求编制和递交，并最终被评标委员会接受的响应文件。</w:t>
      </w:r>
    </w:p>
    <w:p w14:paraId="1D66B8DB">
      <w:pPr>
        <w:adjustRightInd w:val="0"/>
        <w:snapToGrid w:val="0"/>
        <w:spacing w:line="360" w:lineRule="auto"/>
        <w:ind w:firstLine="420" w:firstLineChars="199"/>
        <w:rPr>
          <w:rFonts w:hint="eastAsia" w:ascii="仿宋" w:hAnsi="仿宋" w:eastAsia="仿宋" w:cs="仿宋"/>
          <w:b/>
          <w:szCs w:val="21"/>
          <w:highlight w:val="none"/>
        </w:rPr>
      </w:pPr>
      <w:r>
        <w:rPr>
          <w:rFonts w:hint="eastAsia" w:ascii="仿宋" w:hAnsi="仿宋" w:eastAsia="仿宋" w:cs="仿宋"/>
          <w:b/>
          <w:szCs w:val="21"/>
          <w:highlight w:val="none"/>
        </w:rPr>
        <w:t>2.技术规范与服务内容</w:t>
      </w:r>
    </w:p>
    <w:p w14:paraId="08CE5B04">
      <w:pPr>
        <w:adjustRightInd w:val="0"/>
        <w:snapToGrid w:val="0"/>
        <w:spacing w:line="360" w:lineRule="auto"/>
        <w:ind w:firstLine="417" w:firstLineChars="199"/>
        <w:rPr>
          <w:rFonts w:hint="eastAsia" w:ascii="仿宋" w:hAnsi="仿宋" w:eastAsia="仿宋" w:cs="仿宋"/>
          <w:szCs w:val="21"/>
          <w:highlight w:val="none"/>
        </w:rPr>
      </w:pPr>
      <w:r>
        <w:rPr>
          <w:rFonts w:hint="eastAsia" w:ascii="仿宋" w:hAnsi="仿宋" w:eastAsia="仿宋" w:cs="仿宋"/>
          <w:szCs w:val="21"/>
          <w:highlight w:val="none"/>
        </w:rPr>
        <w:t>2.1所响应服务的技术规范应与采购文件规定的技术规范（如果有的话）相一致。若无相应说明，则以国家有关部门最新颁布的相应标准及规范为准。</w:t>
      </w:r>
    </w:p>
    <w:p w14:paraId="6F86576E">
      <w:pPr>
        <w:adjustRightInd w:val="0"/>
        <w:snapToGrid w:val="0"/>
        <w:spacing w:line="360" w:lineRule="auto"/>
        <w:ind w:firstLine="417" w:firstLineChars="199"/>
        <w:rPr>
          <w:rFonts w:hint="eastAsia" w:ascii="仿宋" w:hAnsi="仿宋" w:eastAsia="仿宋" w:cs="仿宋"/>
          <w:szCs w:val="21"/>
          <w:highlight w:val="none"/>
        </w:rPr>
      </w:pPr>
      <w:r>
        <w:rPr>
          <w:rFonts w:hint="eastAsia" w:ascii="仿宋" w:hAnsi="仿宋" w:eastAsia="仿宋" w:cs="仿宋"/>
          <w:szCs w:val="21"/>
          <w:highlight w:val="none"/>
        </w:rPr>
        <w:t>2.2 所响应服务的服务内容应与采购文件规定服务内容及响应文件中的项目要求及投标响应表一致。</w:t>
      </w:r>
    </w:p>
    <w:p w14:paraId="0FD512E5">
      <w:pPr>
        <w:adjustRightInd w:val="0"/>
        <w:snapToGrid w:val="0"/>
        <w:spacing w:line="360" w:lineRule="auto"/>
        <w:ind w:firstLine="420" w:firstLineChars="199"/>
        <w:rPr>
          <w:rFonts w:hint="eastAsia" w:ascii="仿宋" w:hAnsi="仿宋" w:eastAsia="仿宋" w:cs="仿宋"/>
          <w:b/>
          <w:szCs w:val="21"/>
          <w:highlight w:val="none"/>
        </w:rPr>
      </w:pPr>
      <w:r>
        <w:rPr>
          <w:rFonts w:hint="eastAsia" w:ascii="仿宋" w:hAnsi="仿宋" w:eastAsia="仿宋" w:cs="仿宋"/>
          <w:b/>
          <w:szCs w:val="21"/>
          <w:highlight w:val="none"/>
        </w:rPr>
        <w:t>3.知识产权</w:t>
      </w:r>
    </w:p>
    <w:p w14:paraId="7C429F73">
      <w:pPr>
        <w:adjustRightInd w:val="0"/>
        <w:snapToGrid w:val="0"/>
        <w:spacing w:line="360" w:lineRule="auto"/>
        <w:ind w:firstLine="411" w:firstLineChars="196"/>
        <w:jc w:val="left"/>
        <w:rPr>
          <w:rFonts w:hint="eastAsia" w:ascii="仿宋" w:hAnsi="仿宋" w:eastAsia="仿宋" w:cs="仿宋"/>
          <w:szCs w:val="21"/>
          <w:highlight w:val="none"/>
        </w:rPr>
      </w:pPr>
      <w:r>
        <w:rPr>
          <w:rFonts w:hint="eastAsia" w:ascii="仿宋" w:hAnsi="仿宋" w:eastAsia="仿宋" w:cs="仿宋"/>
          <w:szCs w:val="21"/>
          <w:highlight w:val="none"/>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22EBEAD3">
      <w:pPr>
        <w:adjustRightInd w:val="0"/>
        <w:snapToGrid w:val="0"/>
        <w:spacing w:line="360" w:lineRule="auto"/>
        <w:ind w:firstLine="411" w:firstLineChars="196"/>
        <w:jc w:val="left"/>
        <w:rPr>
          <w:rFonts w:hint="eastAsia" w:ascii="仿宋" w:hAnsi="仿宋" w:eastAsia="仿宋" w:cs="仿宋"/>
          <w:szCs w:val="21"/>
          <w:highlight w:val="none"/>
        </w:rPr>
      </w:pPr>
      <w:r>
        <w:rPr>
          <w:rFonts w:hint="eastAsia" w:ascii="仿宋" w:hAnsi="仿宋" w:eastAsia="仿宋" w:cs="仿宋"/>
          <w:szCs w:val="21"/>
          <w:highlight w:val="none"/>
        </w:rPr>
        <w:t>3.2供方应保证所供服务符合国家的有关规定。</w:t>
      </w:r>
    </w:p>
    <w:p w14:paraId="4F9C77CB">
      <w:pPr>
        <w:tabs>
          <w:tab w:val="left" w:pos="360"/>
        </w:tabs>
        <w:adjustRightInd w:val="0"/>
        <w:snapToGrid w:val="0"/>
        <w:spacing w:line="360" w:lineRule="auto"/>
        <w:ind w:firstLine="417" w:firstLineChars="199"/>
        <w:rPr>
          <w:rFonts w:hint="eastAsia" w:ascii="仿宋" w:hAnsi="仿宋" w:eastAsia="仿宋" w:cs="仿宋"/>
          <w:szCs w:val="21"/>
          <w:highlight w:val="none"/>
        </w:rPr>
      </w:pPr>
      <w:r>
        <w:rPr>
          <w:rFonts w:hint="eastAsia" w:ascii="仿宋" w:hAnsi="仿宋" w:eastAsia="仿宋" w:cs="仿宋"/>
          <w:szCs w:val="21"/>
          <w:highlight w:val="none"/>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40AC8A1A">
      <w:pPr>
        <w:adjustRightInd w:val="0"/>
        <w:snapToGrid w:val="0"/>
        <w:spacing w:line="360" w:lineRule="auto"/>
        <w:ind w:firstLine="420" w:firstLineChars="199"/>
        <w:rPr>
          <w:rFonts w:hint="eastAsia" w:ascii="仿宋" w:hAnsi="仿宋" w:eastAsia="仿宋" w:cs="仿宋"/>
          <w:b/>
          <w:szCs w:val="21"/>
          <w:highlight w:val="none"/>
        </w:rPr>
      </w:pPr>
      <w:r>
        <w:rPr>
          <w:rFonts w:hint="eastAsia" w:ascii="仿宋" w:hAnsi="仿宋" w:eastAsia="仿宋" w:cs="仿宋"/>
          <w:b/>
          <w:szCs w:val="21"/>
          <w:highlight w:val="none"/>
        </w:rPr>
        <w:t>4.完成方式</w:t>
      </w:r>
    </w:p>
    <w:p w14:paraId="363ADBBE">
      <w:pPr>
        <w:adjustRightInd w:val="0"/>
        <w:snapToGrid w:val="0"/>
        <w:spacing w:line="360" w:lineRule="auto"/>
        <w:ind w:firstLine="417" w:firstLineChars="199"/>
        <w:rPr>
          <w:rFonts w:hint="eastAsia" w:ascii="仿宋" w:hAnsi="仿宋" w:eastAsia="仿宋" w:cs="仿宋"/>
          <w:szCs w:val="21"/>
          <w:highlight w:val="none"/>
        </w:rPr>
      </w:pPr>
      <w:r>
        <w:rPr>
          <w:rFonts w:hint="eastAsia" w:ascii="仿宋" w:hAnsi="仿宋" w:eastAsia="仿宋" w:cs="仿宋"/>
          <w:szCs w:val="21"/>
          <w:highlight w:val="none"/>
        </w:rPr>
        <w:t>供方按照合同约定的时间、地点完成服务。</w:t>
      </w:r>
    </w:p>
    <w:p w14:paraId="0B0CC8C4">
      <w:pPr>
        <w:adjustRightInd w:val="0"/>
        <w:snapToGrid w:val="0"/>
        <w:spacing w:line="360" w:lineRule="auto"/>
        <w:ind w:firstLine="420" w:firstLineChars="199"/>
        <w:rPr>
          <w:rFonts w:hint="eastAsia" w:ascii="仿宋" w:hAnsi="仿宋" w:eastAsia="仿宋" w:cs="仿宋"/>
          <w:b/>
          <w:szCs w:val="21"/>
          <w:highlight w:val="none"/>
        </w:rPr>
      </w:pPr>
      <w:r>
        <w:rPr>
          <w:rFonts w:hint="eastAsia" w:ascii="仿宋" w:hAnsi="仿宋" w:eastAsia="仿宋" w:cs="仿宋"/>
          <w:b/>
          <w:szCs w:val="21"/>
          <w:highlight w:val="none"/>
        </w:rPr>
        <w:t>5.付款</w:t>
      </w:r>
    </w:p>
    <w:p w14:paraId="047EB849">
      <w:pPr>
        <w:adjustRightInd w:val="0"/>
        <w:snapToGrid w:val="0"/>
        <w:spacing w:line="360" w:lineRule="auto"/>
        <w:ind w:firstLine="417" w:firstLineChars="199"/>
        <w:rPr>
          <w:rFonts w:hint="eastAsia" w:ascii="仿宋" w:hAnsi="仿宋" w:eastAsia="仿宋" w:cs="仿宋"/>
          <w:szCs w:val="21"/>
          <w:highlight w:val="none"/>
        </w:rPr>
      </w:pPr>
      <w:r>
        <w:rPr>
          <w:rFonts w:hint="eastAsia" w:ascii="仿宋" w:hAnsi="仿宋" w:eastAsia="仿宋" w:cs="仿宋"/>
          <w:szCs w:val="21"/>
          <w:highlight w:val="none"/>
        </w:rPr>
        <w:t>5.1政府采购合同以人民币付款。</w:t>
      </w:r>
    </w:p>
    <w:p w14:paraId="0C707B06">
      <w:pPr>
        <w:adjustRightInd w:val="0"/>
        <w:snapToGrid w:val="0"/>
        <w:spacing w:line="360" w:lineRule="auto"/>
        <w:ind w:firstLine="417" w:firstLineChars="199"/>
        <w:rPr>
          <w:rFonts w:hint="eastAsia" w:ascii="仿宋" w:hAnsi="仿宋" w:eastAsia="仿宋" w:cs="仿宋"/>
          <w:szCs w:val="21"/>
          <w:highlight w:val="none"/>
        </w:rPr>
      </w:pPr>
      <w:r>
        <w:rPr>
          <w:rFonts w:hint="eastAsia" w:ascii="仿宋" w:hAnsi="仿宋" w:eastAsia="仿宋" w:cs="仿宋"/>
          <w:szCs w:val="21"/>
          <w:highlight w:val="none"/>
        </w:rPr>
        <w:t>5.2在供方按照政府采购合同的规定履行服务后，需方按照合同约定的方式和条件付款。</w:t>
      </w:r>
    </w:p>
    <w:p w14:paraId="522C58FD">
      <w:pPr>
        <w:adjustRightInd w:val="0"/>
        <w:snapToGrid w:val="0"/>
        <w:spacing w:line="360" w:lineRule="auto"/>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6.服务质量</w:t>
      </w:r>
    </w:p>
    <w:p w14:paraId="0A5ECA83">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6.1供方应保证政府采购合同项下所供服务是由供方提供的，并完全符合强制性的国家技术质量规范和政府采购合同规定的质量、性能和技术规范等要求。</w:t>
      </w:r>
    </w:p>
    <w:p w14:paraId="718BCCF1">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6.2供方提供的服务质量应满足行业一般标准，符合合同约定。</w:t>
      </w:r>
    </w:p>
    <w:p w14:paraId="1B423316">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6.3需方有权对供方的服务质量进行监督，发现服务存在不符合合同标准的情形的，可以要求供方改正服务方式、替换服务人员等补救方式，供方应按需方要求改正，并赔偿需方实际损失。</w:t>
      </w:r>
    </w:p>
    <w:p w14:paraId="55AE9E7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6.4对于委托开发等最终以产品形式交付需方使用的服务，供方需按照采购文件要求对产品提供售后服务及质量保证，供方响应文件承诺的售后服务及质量保证优于采购文件要求的，以响应文件承诺的售后服务及质量保证为准。</w:t>
      </w:r>
    </w:p>
    <w:p w14:paraId="270151E2">
      <w:pPr>
        <w:adjustRightInd w:val="0"/>
        <w:snapToGrid w:val="0"/>
        <w:spacing w:line="360" w:lineRule="auto"/>
        <w:ind w:firstLine="413" w:firstLineChars="196"/>
        <w:rPr>
          <w:rFonts w:hint="eastAsia" w:ascii="仿宋" w:hAnsi="仿宋" w:eastAsia="仿宋" w:cs="仿宋"/>
          <w:b/>
          <w:szCs w:val="21"/>
          <w:highlight w:val="none"/>
        </w:rPr>
      </w:pPr>
      <w:r>
        <w:rPr>
          <w:rFonts w:hint="eastAsia" w:ascii="仿宋" w:hAnsi="仿宋" w:eastAsia="仿宋" w:cs="仿宋"/>
          <w:b/>
          <w:szCs w:val="21"/>
          <w:highlight w:val="none"/>
        </w:rPr>
        <w:t>7.技术服务和保修责任</w:t>
      </w:r>
    </w:p>
    <w:p w14:paraId="78AF161A">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7.1本条适用于委托开发等最终以产品形式交付需方使用的服务。</w:t>
      </w:r>
    </w:p>
    <w:p w14:paraId="6FEFDCD4">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7.2供方对交付的产品的保修期，以采购文件中的规定为准，如果响应文件中的承诺优于采购文件规定，则以响应文件为准。</w:t>
      </w:r>
    </w:p>
    <w:p w14:paraId="5FF794BE">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7.3供方应按如下内容提供售后服务：</w:t>
      </w:r>
    </w:p>
    <w:p w14:paraId="3812343C">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7.3.1产品经过试运行期，所有性能指标达到技术规范书的要求时，可按采购文件、响应文件内容进行初验。在试运行期间，由于产品质量等造成某些指标达不到要求，供方须更换或进行修复，试运行期重新计算。</w:t>
      </w:r>
    </w:p>
    <w:p w14:paraId="2D6ABB43">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7.3.2初验后，设备再次经过试运行期，所有性能指标达到技术规范书的要求时，可按合同采购文件、响应文件内容进行下一步验收工作，进行终验。全部达到要求时，有关方按财政部和省财政厅关于履约验收规定签署最终验收文件。</w:t>
      </w:r>
    </w:p>
    <w:p w14:paraId="729ECE88">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7.3.3保修期间供方要保修除消耗品以外的所有产品。如果系统、设备等发生故障，供方要调查故障原因并修复直至满足最终验收指标和性能的要求，或者修理、更换整个或部分有缺陷的材料。</w:t>
      </w:r>
    </w:p>
    <w:p w14:paraId="51662566">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7.3.4保修期内，供方提供电话、电子邮件、Web、现场服务等方式的技术支持，对用户的现场服务要求，供方必须按响应文件做出的承诺进行响应。</w:t>
      </w:r>
    </w:p>
    <w:p w14:paraId="56B5ACC5">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7.3.5保修期内，供方应对出现故障无法修复的产品或无法正常运行的系统，提供替代产品以保证系统的正常工作。</w:t>
      </w:r>
    </w:p>
    <w:p w14:paraId="12B1DEEE">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7.3.6保修期内，供方应投标时的承诺提供相关服务。</w:t>
      </w:r>
    </w:p>
    <w:p w14:paraId="4CC21060">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4BFB0A64">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7.3.8在保修期结束后，产品寿命期内供方必须继续提供对产品备件、故障处理、软件升级等的服务，不得以任何借口拖延或中断对产品的售后服务，响应时间、取费标准按采购文件、响应文件规定或本合同约定的保修期内的相关标准执行。</w:t>
      </w:r>
    </w:p>
    <w:p w14:paraId="78CA7E29">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0B56D0F3">
      <w:pPr>
        <w:adjustRightInd w:val="0"/>
        <w:snapToGrid w:val="0"/>
        <w:spacing w:line="360" w:lineRule="auto"/>
        <w:ind w:firstLine="417" w:firstLineChars="199"/>
        <w:rPr>
          <w:rFonts w:hint="eastAsia" w:ascii="仿宋" w:hAnsi="仿宋" w:eastAsia="仿宋" w:cs="仿宋"/>
          <w:szCs w:val="21"/>
          <w:highlight w:val="none"/>
        </w:rPr>
      </w:pPr>
      <w:r>
        <w:rPr>
          <w:rFonts w:hint="eastAsia" w:ascii="仿宋" w:hAnsi="仿宋" w:eastAsia="仿宋" w:cs="仿宋"/>
          <w:szCs w:val="21"/>
          <w:highlight w:val="none"/>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1C9ABD0A">
      <w:pPr>
        <w:adjustRightInd w:val="0"/>
        <w:snapToGrid w:val="0"/>
        <w:spacing w:line="360" w:lineRule="auto"/>
        <w:ind w:firstLine="420" w:firstLineChars="199"/>
        <w:rPr>
          <w:rFonts w:hint="eastAsia" w:ascii="仿宋" w:hAnsi="仿宋" w:eastAsia="仿宋" w:cs="仿宋"/>
          <w:b/>
          <w:szCs w:val="21"/>
          <w:highlight w:val="none"/>
        </w:rPr>
      </w:pPr>
      <w:r>
        <w:rPr>
          <w:rFonts w:hint="eastAsia" w:ascii="仿宋" w:hAnsi="仿宋" w:eastAsia="仿宋" w:cs="仿宋"/>
          <w:b/>
          <w:szCs w:val="21"/>
          <w:highlight w:val="none"/>
        </w:rPr>
        <w:t>8.检验和验收</w:t>
      </w:r>
    </w:p>
    <w:p w14:paraId="7752FC66">
      <w:pPr>
        <w:adjustRightInd w:val="0"/>
        <w:snapToGrid w:val="0"/>
        <w:spacing w:line="360" w:lineRule="auto"/>
        <w:ind w:firstLine="417" w:firstLineChars="199"/>
        <w:rPr>
          <w:rFonts w:hint="eastAsia" w:ascii="仿宋" w:hAnsi="仿宋" w:eastAsia="仿宋" w:cs="仿宋"/>
          <w:szCs w:val="21"/>
          <w:highlight w:val="none"/>
        </w:rPr>
      </w:pPr>
      <w:r>
        <w:rPr>
          <w:rFonts w:hint="eastAsia" w:ascii="仿宋" w:hAnsi="仿宋" w:eastAsia="仿宋" w:cs="仿宋"/>
          <w:szCs w:val="21"/>
          <w:highlight w:val="none"/>
        </w:rPr>
        <w:t>8.1完成服务后，需方或采购代理机构（由具体项目决定）应在政府采购合同规定的时间内组织验收，并在“验收书”上签字。“验收书”将作为申请付款文件的一部分。</w:t>
      </w:r>
    </w:p>
    <w:p w14:paraId="45A9D81B">
      <w:pPr>
        <w:adjustRightInd w:val="0"/>
        <w:snapToGrid w:val="0"/>
        <w:spacing w:line="360" w:lineRule="auto"/>
        <w:ind w:firstLine="417" w:firstLineChars="199"/>
        <w:rPr>
          <w:rFonts w:hint="eastAsia" w:ascii="仿宋" w:hAnsi="仿宋" w:eastAsia="仿宋" w:cs="仿宋"/>
          <w:szCs w:val="21"/>
          <w:highlight w:val="none"/>
        </w:rPr>
      </w:pPr>
      <w:r>
        <w:rPr>
          <w:rFonts w:hint="eastAsia" w:ascii="仿宋" w:hAnsi="仿宋" w:eastAsia="仿宋" w:cs="仿宋"/>
          <w:szCs w:val="21"/>
          <w:highlight w:val="none"/>
        </w:rPr>
        <w:t>8.2对于委托开发等最终以产品形式交付需方使用的服务，保修期自验收书签署之日起计算。</w:t>
      </w:r>
    </w:p>
    <w:p w14:paraId="1FD451D0">
      <w:pPr>
        <w:tabs>
          <w:tab w:val="left" w:pos="360"/>
        </w:tabs>
        <w:adjustRightInd w:val="0"/>
        <w:snapToGrid w:val="0"/>
        <w:spacing w:line="360" w:lineRule="auto"/>
        <w:ind w:firstLine="460" w:firstLineChars="218"/>
        <w:rPr>
          <w:rFonts w:hint="eastAsia" w:ascii="仿宋" w:hAnsi="仿宋" w:eastAsia="仿宋" w:cs="仿宋"/>
          <w:b/>
          <w:szCs w:val="21"/>
          <w:highlight w:val="none"/>
        </w:rPr>
      </w:pPr>
      <w:r>
        <w:rPr>
          <w:rFonts w:hint="eastAsia" w:ascii="仿宋" w:hAnsi="仿宋" w:eastAsia="仿宋" w:cs="仿宋"/>
          <w:b/>
          <w:szCs w:val="21"/>
          <w:highlight w:val="none"/>
        </w:rPr>
        <w:t>9.违约责任</w:t>
      </w:r>
    </w:p>
    <w:p w14:paraId="2F534F69">
      <w:pPr>
        <w:adjustRightInd w:val="0"/>
        <w:snapToGrid w:val="0"/>
        <w:spacing w:line="360" w:lineRule="auto"/>
        <w:ind w:firstLine="457" w:firstLineChars="218"/>
        <w:rPr>
          <w:rFonts w:hint="eastAsia" w:ascii="仿宋" w:hAnsi="仿宋" w:eastAsia="仿宋" w:cs="仿宋"/>
          <w:szCs w:val="21"/>
          <w:highlight w:val="none"/>
        </w:rPr>
      </w:pPr>
      <w:r>
        <w:rPr>
          <w:rFonts w:hint="eastAsia" w:ascii="仿宋" w:hAnsi="仿宋" w:eastAsia="仿宋" w:cs="仿宋"/>
          <w:szCs w:val="21"/>
          <w:highlight w:val="none"/>
        </w:rPr>
        <w:t>9.1如果供方未按照政府采购合同规定的要求提供服务；或供方未能履行政府采购合同规定的任何其它义务时，需方有权向供方发出违约通知书，供方应按照需方选择的下列一种或多种方式承担赔偿责任：</w:t>
      </w:r>
    </w:p>
    <w:p w14:paraId="2A1A477D">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9.1.1在需方同意延长的期限内提供服务并承担由此给需方造成的一切损失；</w:t>
      </w:r>
    </w:p>
    <w:p w14:paraId="4D353FCE">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9.1.2在需方规定的时间内，用符合政府采购合同规定的服务以达到政府采购合同规定的要求，供方应承担由此发生的一切费用和风险。此时，相关服务的期限也应相应延长；</w:t>
      </w:r>
    </w:p>
    <w:p w14:paraId="0EDDA0E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9.1.3需方有权部分或全部解除政府采购合同并要求供方赔偿由此造成的损失。此时需方可采取必要的补救措施，相关费用由供方承担。</w:t>
      </w:r>
    </w:p>
    <w:p w14:paraId="67734477">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4C16750D">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9.3延期服务的违约责任</w:t>
      </w:r>
    </w:p>
    <w:p w14:paraId="14955C2D">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40FDE5C4">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9.4以上各项交付的违约金并不影响违约方履行政府采购合同的各项义务。</w:t>
      </w:r>
    </w:p>
    <w:p w14:paraId="67646B9D">
      <w:pPr>
        <w:adjustRightInd w:val="0"/>
        <w:snapToGrid w:val="0"/>
        <w:spacing w:line="360" w:lineRule="auto"/>
        <w:ind w:left="420"/>
        <w:rPr>
          <w:rFonts w:hint="eastAsia" w:ascii="仿宋" w:hAnsi="仿宋" w:eastAsia="仿宋" w:cs="仿宋"/>
          <w:b/>
          <w:szCs w:val="21"/>
          <w:highlight w:val="none"/>
        </w:rPr>
      </w:pPr>
      <w:r>
        <w:rPr>
          <w:rFonts w:hint="eastAsia" w:ascii="仿宋" w:hAnsi="仿宋" w:eastAsia="仿宋" w:cs="仿宋"/>
          <w:b/>
          <w:szCs w:val="21"/>
          <w:highlight w:val="none"/>
        </w:rPr>
        <w:t>10.不可抗力</w:t>
      </w:r>
    </w:p>
    <w:p w14:paraId="128156F5">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06F19E38">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10.2本条所述的“不可抗力”系指那些双方无法控制，不可预见的事件，但不包括双方的违约或疏忽。这些事件包括但不限于：战争、严重火灾、洪水、台风、地震。</w:t>
      </w:r>
    </w:p>
    <w:p w14:paraId="7E4F7A12">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4A0AF96D">
      <w:pPr>
        <w:adjustRightInd w:val="0"/>
        <w:snapToGrid w:val="0"/>
        <w:spacing w:line="360" w:lineRule="auto"/>
        <w:ind w:firstLine="413" w:firstLineChars="196"/>
        <w:rPr>
          <w:rFonts w:hint="eastAsia" w:ascii="仿宋" w:hAnsi="仿宋" w:eastAsia="仿宋" w:cs="仿宋"/>
          <w:b/>
          <w:szCs w:val="21"/>
          <w:highlight w:val="none"/>
        </w:rPr>
      </w:pPr>
      <w:r>
        <w:rPr>
          <w:rFonts w:hint="eastAsia" w:ascii="仿宋" w:hAnsi="仿宋" w:eastAsia="仿宋" w:cs="仿宋"/>
          <w:b/>
          <w:szCs w:val="21"/>
          <w:highlight w:val="none"/>
        </w:rPr>
        <w:t>11.争端的解决</w:t>
      </w:r>
    </w:p>
    <w:p w14:paraId="220FB23A">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11.1需方和供方应通过友好协商，解决在执行本政府采购合同过程中所发生的或与本政府采购合同有关的一切争端。</w:t>
      </w:r>
    </w:p>
    <w:p w14:paraId="4F351690">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11.2如果协商不成，双方中的任何一方可向需方所在地的人民法院提起诉讼。</w:t>
      </w:r>
    </w:p>
    <w:p w14:paraId="42AF74B2">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11.3因政府采购合同部分履行引发诉讼的，在诉讼期间，除正在进行诉讼的部分外，本政府采购合同的其它部分应继续执行。</w:t>
      </w:r>
    </w:p>
    <w:p w14:paraId="601C9718">
      <w:pPr>
        <w:adjustRightInd w:val="0"/>
        <w:snapToGrid w:val="0"/>
        <w:spacing w:line="360" w:lineRule="auto"/>
        <w:ind w:firstLine="413" w:firstLineChars="196"/>
        <w:rPr>
          <w:rFonts w:hint="eastAsia" w:ascii="仿宋" w:hAnsi="仿宋" w:eastAsia="仿宋" w:cs="仿宋"/>
          <w:b/>
          <w:szCs w:val="21"/>
          <w:highlight w:val="none"/>
        </w:rPr>
      </w:pPr>
      <w:r>
        <w:rPr>
          <w:rFonts w:hint="eastAsia" w:ascii="仿宋" w:hAnsi="仿宋" w:eastAsia="仿宋" w:cs="仿宋"/>
          <w:b/>
          <w:szCs w:val="21"/>
          <w:highlight w:val="none"/>
        </w:rPr>
        <w:t>12.违约终止政府采购合同</w:t>
      </w:r>
    </w:p>
    <w:p w14:paraId="43DD6A08">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12.1在需方因供方违约而按政府采购合同约定采取的任何补救措施不起作用的情况下，需方可在下列情况下向供方发出书面通知，提出终止部分或全部政府采购合同。</w:t>
      </w:r>
    </w:p>
    <w:p w14:paraId="2039877B">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12.1.1如果供方未能在政府采购合同规定的限期或需方同意延长的限期内提供部分或全部服务；</w:t>
      </w:r>
    </w:p>
    <w:p w14:paraId="5A0F339A">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12.1.2如果供方未能履行政府采购合同规定的其它任何义务。</w:t>
      </w:r>
    </w:p>
    <w:p w14:paraId="143B8473">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12.1.3未经需方事先书面同意，供方部分转让和分包或全部转让和分包其应履行的政府采购合同义务。</w:t>
      </w:r>
    </w:p>
    <w:p w14:paraId="4A54D9A9">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342F16D7">
      <w:pPr>
        <w:adjustRightInd w:val="0"/>
        <w:snapToGrid w:val="0"/>
        <w:spacing w:line="360" w:lineRule="auto"/>
        <w:ind w:firstLine="413" w:firstLineChars="196"/>
        <w:rPr>
          <w:rFonts w:hint="eastAsia" w:ascii="仿宋" w:hAnsi="仿宋" w:eastAsia="仿宋" w:cs="仿宋"/>
          <w:b/>
          <w:szCs w:val="21"/>
          <w:highlight w:val="none"/>
        </w:rPr>
      </w:pPr>
      <w:r>
        <w:rPr>
          <w:rFonts w:hint="eastAsia" w:ascii="仿宋" w:hAnsi="仿宋" w:eastAsia="仿宋" w:cs="仿宋"/>
          <w:b/>
          <w:szCs w:val="21"/>
          <w:highlight w:val="none"/>
        </w:rPr>
        <w:t>13.政府采购法对政府采购合同变更终止的规定</w:t>
      </w:r>
    </w:p>
    <w:p w14:paraId="0D8C05E8">
      <w:pPr>
        <w:adjustRightInd w:val="0"/>
        <w:snapToGrid w:val="0"/>
        <w:spacing w:line="360" w:lineRule="auto"/>
        <w:ind w:firstLine="411" w:firstLineChars="196"/>
        <w:rPr>
          <w:rFonts w:hint="eastAsia" w:ascii="仿宋" w:hAnsi="仿宋" w:eastAsia="仿宋" w:cs="仿宋"/>
          <w:b/>
          <w:szCs w:val="21"/>
          <w:highlight w:val="none"/>
        </w:rPr>
      </w:pPr>
      <w:r>
        <w:rPr>
          <w:rFonts w:hint="eastAsia" w:ascii="仿宋" w:hAnsi="仿宋" w:eastAsia="仿宋" w:cs="仿宋"/>
          <w:szCs w:val="21"/>
          <w:highlight w:val="none"/>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4FCB59EA">
      <w:pPr>
        <w:adjustRightInd w:val="0"/>
        <w:snapToGrid w:val="0"/>
        <w:spacing w:line="360" w:lineRule="auto"/>
        <w:ind w:firstLine="413" w:firstLineChars="196"/>
        <w:rPr>
          <w:rFonts w:hint="eastAsia" w:ascii="仿宋" w:hAnsi="仿宋" w:eastAsia="仿宋" w:cs="仿宋"/>
          <w:b/>
          <w:szCs w:val="21"/>
          <w:highlight w:val="none"/>
        </w:rPr>
      </w:pPr>
      <w:r>
        <w:rPr>
          <w:rFonts w:hint="eastAsia" w:ascii="仿宋" w:hAnsi="仿宋" w:eastAsia="仿宋" w:cs="仿宋"/>
          <w:b/>
          <w:szCs w:val="21"/>
          <w:highlight w:val="none"/>
        </w:rPr>
        <w:t>14.政府采购合同转让和分包</w:t>
      </w:r>
    </w:p>
    <w:p w14:paraId="47454E88">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除采购文件规定,并经需方事先书面同意外，供方不得部分转让和分包或全部转让和分包其应履行的政府采购合同义务。</w:t>
      </w:r>
    </w:p>
    <w:p w14:paraId="48E2A028">
      <w:pPr>
        <w:adjustRightInd w:val="0"/>
        <w:snapToGrid w:val="0"/>
        <w:spacing w:line="360" w:lineRule="auto"/>
        <w:ind w:firstLine="413" w:firstLineChars="196"/>
        <w:rPr>
          <w:rFonts w:hint="eastAsia" w:ascii="仿宋" w:hAnsi="仿宋" w:eastAsia="仿宋" w:cs="仿宋"/>
          <w:szCs w:val="21"/>
          <w:highlight w:val="none"/>
        </w:rPr>
      </w:pPr>
      <w:r>
        <w:rPr>
          <w:rFonts w:hint="eastAsia" w:ascii="仿宋" w:hAnsi="仿宋" w:eastAsia="仿宋" w:cs="仿宋"/>
          <w:b/>
          <w:szCs w:val="21"/>
          <w:highlight w:val="none"/>
        </w:rPr>
        <w:t>15.适用法律：</w:t>
      </w:r>
      <w:r>
        <w:rPr>
          <w:rFonts w:hint="eastAsia" w:ascii="仿宋" w:hAnsi="仿宋" w:eastAsia="仿宋" w:cs="仿宋"/>
          <w:szCs w:val="21"/>
          <w:highlight w:val="none"/>
        </w:rPr>
        <w:t>本政府采购合同按照中华人民共和国的现行法律进行解释。</w:t>
      </w:r>
    </w:p>
    <w:p w14:paraId="3926F5D3">
      <w:pPr>
        <w:adjustRightInd w:val="0"/>
        <w:snapToGrid w:val="0"/>
        <w:spacing w:line="360" w:lineRule="auto"/>
        <w:ind w:firstLine="413" w:firstLineChars="196"/>
        <w:rPr>
          <w:rFonts w:hint="eastAsia" w:ascii="仿宋" w:hAnsi="仿宋" w:eastAsia="仿宋" w:cs="仿宋"/>
          <w:b/>
          <w:szCs w:val="21"/>
          <w:highlight w:val="none"/>
        </w:rPr>
      </w:pPr>
      <w:r>
        <w:rPr>
          <w:rFonts w:hint="eastAsia" w:ascii="仿宋" w:hAnsi="仿宋" w:eastAsia="仿宋" w:cs="仿宋"/>
          <w:b/>
          <w:szCs w:val="21"/>
          <w:highlight w:val="none"/>
        </w:rPr>
        <w:t>16.政府采购合同生效</w:t>
      </w:r>
    </w:p>
    <w:p w14:paraId="26B16A95">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16.1本政府采购合同在供需双方法定代表人或其授权代理人签字和加盖公章后生效。</w:t>
      </w:r>
    </w:p>
    <w:p w14:paraId="7F52A22D">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 xml:space="preserve">16.2本政府采购合同一式五份，需方执二份，供方、采购代理机构、财政部门各执一份。 </w:t>
      </w:r>
    </w:p>
    <w:p w14:paraId="2024A690">
      <w:pPr>
        <w:adjustRightInd w:val="0"/>
        <w:snapToGrid w:val="0"/>
        <w:spacing w:line="360" w:lineRule="auto"/>
        <w:ind w:firstLine="413" w:firstLineChars="196"/>
        <w:rPr>
          <w:rFonts w:hint="eastAsia" w:ascii="仿宋" w:hAnsi="仿宋" w:eastAsia="仿宋" w:cs="仿宋"/>
          <w:b/>
          <w:szCs w:val="21"/>
          <w:highlight w:val="none"/>
        </w:rPr>
      </w:pPr>
      <w:r>
        <w:rPr>
          <w:rFonts w:hint="eastAsia" w:ascii="仿宋" w:hAnsi="仿宋" w:eastAsia="仿宋" w:cs="仿宋"/>
          <w:b/>
          <w:szCs w:val="21"/>
          <w:highlight w:val="none"/>
        </w:rPr>
        <w:t>17.政府采购合同附件</w:t>
      </w:r>
    </w:p>
    <w:p w14:paraId="3916B2DC">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下列文件构成本政府采购合同不可分割的组成部分，与本政府采购合同具有同等法律效力：</w:t>
      </w:r>
    </w:p>
    <w:p w14:paraId="36D885E1">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17.1采购文件；</w:t>
      </w:r>
    </w:p>
    <w:p w14:paraId="2B94C80E">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17.2采购文件的更正公告、变更公告；</w:t>
      </w:r>
    </w:p>
    <w:p w14:paraId="05CB8739">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 xml:space="preserve">17.3成交供应商提交的响应文件；        </w:t>
      </w:r>
    </w:p>
    <w:p w14:paraId="6C0F49C8">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17.4政府采购合同条款；</w:t>
      </w:r>
    </w:p>
    <w:p w14:paraId="218E60B7">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17.5成交通知书；</w:t>
      </w:r>
    </w:p>
    <w:p w14:paraId="6E21050D">
      <w:pPr>
        <w:adjustRightInd w:val="0"/>
        <w:snapToGrid w:val="0"/>
        <w:spacing w:line="360" w:lineRule="auto"/>
        <w:ind w:firstLine="411" w:firstLineChars="196"/>
        <w:rPr>
          <w:rFonts w:hint="eastAsia" w:ascii="仿宋" w:hAnsi="仿宋" w:eastAsia="仿宋" w:cs="仿宋"/>
          <w:szCs w:val="21"/>
          <w:highlight w:val="none"/>
        </w:rPr>
      </w:pPr>
      <w:r>
        <w:rPr>
          <w:rFonts w:hint="eastAsia" w:ascii="仿宋" w:hAnsi="仿宋" w:eastAsia="仿宋" w:cs="仿宋"/>
          <w:szCs w:val="21"/>
          <w:highlight w:val="none"/>
        </w:rPr>
        <w:t>17.6政府采购合同的其它附件。</w:t>
      </w:r>
    </w:p>
    <w:p w14:paraId="03CBA2E3">
      <w:pPr>
        <w:ind w:firstLine="470" w:firstLineChars="196"/>
        <w:rPr>
          <w:rFonts w:hint="eastAsia" w:ascii="仿宋" w:hAnsi="仿宋" w:eastAsia="仿宋" w:cs="仿宋"/>
          <w:sz w:val="24"/>
          <w:highlight w:val="none"/>
        </w:rPr>
      </w:pPr>
    </w:p>
    <w:p w14:paraId="363485F4">
      <w:pPr>
        <w:ind w:firstLine="470" w:firstLineChars="196"/>
        <w:rPr>
          <w:rFonts w:hint="eastAsia" w:ascii="仿宋" w:hAnsi="仿宋" w:eastAsia="仿宋" w:cs="仿宋"/>
          <w:sz w:val="24"/>
          <w:highlight w:val="none"/>
        </w:rPr>
      </w:pPr>
    </w:p>
    <w:p w14:paraId="1803B0EB">
      <w:pPr>
        <w:rPr>
          <w:rFonts w:hint="eastAsia" w:ascii="仿宋" w:hAnsi="仿宋" w:eastAsia="仿宋" w:cs="仿宋"/>
          <w:sz w:val="24"/>
          <w:highlight w:val="none"/>
        </w:rPr>
      </w:pPr>
      <w:r>
        <w:rPr>
          <w:rFonts w:hint="eastAsia" w:ascii="仿宋" w:hAnsi="仿宋" w:eastAsia="仿宋" w:cs="仿宋"/>
          <w:sz w:val="24"/>
          <w:highlight w:val="none"/>
        </w:rPr>
        <w:br w:type="page"/>
      </w:r>
    </w:p>
    <w:p w14:paraId="60A6E197">
      <w:pPr>
        <w:pStyle w:val="3"/>
        <w:adjustRightInd w:val="0"/>
        <w:snapToGrid w:val="0"/>
        <w:spacing w:line="240" w:lineRule="auto"/>
        <w:jc w:val="left"/>
        <w:rPr>
          <w:rFonts w:hint="eastAsia" w:ascii="仿宋" w:hAnsi="仿宋" w:eastAsia="仿宋" w:cs="仿宋"/>
          <w:sz w:val="28"/>
          <w:szCs w:val="28"/>
          <w:highlight w:val="none"/>
        </w:rPr>
      </w:pPr>
      <w:bookmarkStart w:id="175" w:name="_Toc533340224"/>
      <w:bookmarkStart w:id="176" w:name="_Toc4485697"/>
      <w:r>
        <w:rPr>
          <w:rFonts w:hint="eastAsia" w:ascii="仿宋" w:hAnsi="仿宋" w:eastAsia="仿宋" w:cs="仿宋"/>
          <w:sz w:val="28"/>
          <w:szCs w:val="28"/>
          <w:highlight w:val="none"/>
        </w:rPr>
        <w:t>合同格式</w:t>
      </w:r>
      <w:bookmarkEnd w:id="175"/>
      <w:bookmarkEnd w:id="176"/>
      <w:r>
        <w:rPr>
          <w:rFonts w:hint="eastAsia" w:ascii="仿宋" w:hAnsi="仿宋" w:eastAsia="仿宋" w:cs="仿宋"/>
          <w:sz w:val="28"/>
          <w:szCs w:val="28"/>
          <w:highlight w:val="none"/>
        </w:rPr>
        <w:t xml:space="preserve">                    </w:t>
      </w:r>
    </w:p>
    <w:p w14:paraId="7D293CDC">
      <w:pPr>
        <w:spacing w:before="319" w:beforeLines="100" w:after="319" w:afterLines="100" w:line="480" w:lineRule="exact"/>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t>政府采购合同格式</w:t>
      </w:r>
    </w:p>
    <w:p w14:paraId="3210D06A">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政府采购合同编号：</w:t>
      </w:r>
    </w:p>
    <w:p w14:paraId="4A183C29">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签订地点：</w:t>
      </w:r>
    </w:p>
    <w:p w14:paraId="1EC8DFF1">
      <w:pPr>
        <w:adjustRightInd w:val="0"/>
        <w:snapToGrid w:val="0"/>
        <w:spacing w:line="360" w:lineRule="auto"/>
        <w:ind w:firstLine="640"/>
        <w:jc w:val="left"/>
        <w:rPr>
          <w:rFonts w:hint="eastAsia" w:ascii="仿宋" w:hAnsi="仿宋" w:eastAsia="仿宋" w:cs="仿宋"/>
          <w:szCs w:val="21"/>
          <w:highlight w:val="none"/>
        </w:rPr>
      </w:pPr>
      <w:r>
        <w:rPr>
          <w:rFonts w:hint="eastAsia" w:ascii="仿宋" w:hAnsi="仿宋" w:eastAsia="仿宋" w:cs="仿宋"/>
          <w:szCs w:val="21"/>
          <w:highlight w:val="none"/>
          <w:u w:val="single"/>
        </w:rPr>
        <w:t xml:space="preserve">    (需方名称</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（以下简称需方）和</w:t>
      </w:r>
      <w:r>
        <w:rPr>
          <w:rFonts w:hint="eastAsia" w:ascii="仿宋" w:hAnsi="仿宋" w:eastAsia="仿宋" w:cs="仿宋"/>
          <w:szCs w:val="21"/>
          <w:highlight w:val="none"/>
          <w:u w:val="single"/>
        </w:rPr>
        <w:t xml:space="preserve">   (供方名称)    </w:t>
      </w:r>
      <w:r>
        <w:rPr>
          <w:rFonts w:hint="eastAsia" w:ascii="仿宋" w:hAnsi="仿宋" w:eastAsia="仿宋" w:cs="仿宋"/>
          <w:szCs w:val="21"/>
          <w:highlight w:val="none"/>
        </w:rPr>
        <w:t xml:space="preserve"> （以下简称供方）根据《中华人民共和国民法典》和有关法律法规，遵循平等、自愿、公平和诚实信用原则，同意按照下面的条款和条件订立本政府采购合同，共同信守。</w:t>
      </w:r>
    </w:p>
    <w:p w14:paraId="1B43DB5F">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　　一、政府采购合同文件</w:t>
      </w:r>
    </w:p>
    <w:p w14:paraId="1543958B">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本政府采购合同所附下列文件是构成本政府采购合同不可分割的部分：</w:t>
      </w:r>
    </w:p>
    <w:p w14:paraId="5CCCBAA7">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1.采购文件（采购文件编号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5218B9C">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2.采购文件的更正公告、变更公告；</w:t>
      </w:r>
    </w:p>
    <w:p w14:paraId="62F5AB93">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3.成交供应商提交的响应文件；</w:t>
      </w:r>
    </w:p>
    <w:p w14:paraId="05C40052">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4.政府采购合同条款；</w:t>
      </w:r>
    </w:p>
    <w:p w14:paraId="4B4CFC11">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5.成交通知书；</w:t>
      </w:r>
    </w:p>
    <w:p w14:paraId="636EED71">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6.政府采购合同的其它附件。</w:t>
      </w:r>
    </w:p>
    <w:p w14:paraId="3197FD04">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　　二、政府采购合同范围和条件</w:t>
      </w:r>
    </w:p>
    <w:p w14:paraId="2ED24AAF">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本政府采购合同的范围和条件与上述政府采购合同文件的规定相一致。</w:t>
      </w:r>
    </w:p>
    <w:p w14:paraId="5487F94F">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　　三、政府采购合同标的</w:t>
      </w:r>
    </w:p>
    <w:p w14:paraId="7F742E73">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本政府采购合同的标的为采购文件中所列相关服务。</w:t>
      </w:r>
    </w:p>
    <w:p w14:paraId="2727016B">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　　四、政府采购合同金额</w:t>
      </w:r>
    </w:p>
    <w:p w14:paraId="1E6E214B">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根据上述政府采购合同文件要求，政府采购合同的总金额为人民币</w:t>
      </w:r>
      <w:r>
        <w:rPr>
          <w:rFonts w:hint="eastAsia" w:ascii="仿宋" w:hAnsi="仿宋" w:eastAsia="仿宋" w:cs="仿宋"/>
          <w:szCs w:val="21"/>
          <w:highlight w:val="none"/>
          <w:u w:val="single"/>
        </w:rPr>
        <w:t xml:space="preserve">  （大写）                </w:t>
      </w:r>
      <w:r>
        <w:rPr>
          <w:rFonts w:hint="eastAsia" w:ascii="仿宋" w:hAnsi="仿宋" w:eastAsia="仿宋" w:cs="仿宋"/>
          <w:szCs w:val="21"/>
          <w:highlight w:val="none"/>
        </w:rPr>
        <w:t xml:space="preserve"> 元。</w:t>
      </w:r>
    </w:p>
    <w:p w14:paraId="01FFEF4D">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　  五、付款方式及条件</w:t>
      </w:r>
    </w:p>
    <w:p w14:paraId="528C012A">
      <w:pPr>
        <w:adjustRightInd w:val="0"/>
        <w:snapToGrid w:val="0"/>
        <w:spacing w:line="360" w:lineRule="auto"/>
        <w:jc w:val="left"/>
        <w:rPr>
          <w:rFonts w:hint="eastAsia" w:ascii="仿宋" w:hAnsi="仿宋" w:eastAsia="仿宋" w:cs="仿宋"/>
          <w:b/>
          <w:szCs w:val="21"/>
          <w:highlight w:val="none"/>
        </w:rPr>
      </w:pPr>
    </w:p>
    <w:p w14:paraId="601577D5">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b/>
          <w:szCs w:val="21"/>
          <w:highlight w:val="none"/>
        </w:rPr>
        <w:t>　　六、服务时间和服务地点</w:t>
      </w:r>
      <w:r>
        <w:rPr>
          <w:rFonts w:hint="eastAsia" w:ascii="仿宋" w:hAnsi="仿宋" w:eastAsia="仿宋" w:cs="仿宋"/>
          <w:szCs w:val="21"/>
          <w:highlight w:val="none"/>
        </w:rPr>
        <w:t xml:space="preserve">   </w:t>
      </w:r>
    </w:p>
    <w:p w14:paraId="32A3137A">
      <w:pPr>
        <w:adjustRightInd w:val="0"/>
        <w:snapToGrid w:val="0"/>
        <w:spacing w:line="360" w:lineRule="auto"/>
        <w:jc w:val="left"/>
        <w:rPr>
          <w:rFonts w:hint="eastAsia" w:ascii="仿宋" w:hAnsi="仿宋" w:eastAsia="仿宋" w:cs="仿宋"/>
          <w:szCs w:val="21"/>
          <w:highlight w:val="none"/>
          <w:u w:val="single"/>
        </w:rPr>
      </w:pPr>
      <w:r>
        <w:rPr>
          <w:rFonts w:hint="eastAsia" w:ascii="仿宋" w:hAnsi="仿宋" w:eastAsia="仿宋" w:cs="仿宋"/>
          <w:szCs w:val="21"/>
          <w:highlight w:val="none"/>
        </w:rPr>
        <w:t xml:space="preserve">    1.服务时间：</w:t>
      </w:r>
      <w:r>
        <w:rPr>
          <w:rFonts w:hint="eastAsia" w:ascii="仿宋" w:hAnsi="仿宋" w:eastAsia="仿宋" w:cs="仿宋"/>
          <w:szCs w:val="21"/>
          <w:highlight w:val="none"/>
          <w:u w:val="single"/>
        </w:rPr>
        <w:t xml:space="preserve">        </w:t>
      </w:r>
    </w:p>
    <w:p w14:paraId="352EF4C8">
      <w:pPr>
        <w:adjustRightInd w:val="0"/>
        <w:snapToGrid w:val="0"/>
        <w:spacing w:line="360" w:lineRule="auto"/>
        <w:jc w:val="left"/>
        <w:rPr>
          <w:rFonts w:hint="eastAsia" w:ascii="仿宋" w:hAnsi="仿宋" w:eastAsia="仿宋" w:cs="仿宋"/>
          <w:szCs w:val="21"/>
          <w:highlight w:val="none"/>
          <w:u w:val="single"/>
        </w:rPr>
      </w:pPr>
      <w:r>
        <w:rPr>
          <w:rFonts w:hint="eastAsia" w:ascii="仿宋" w:hAnsi="仿宋" w:eastAsia="仿宋" w:cs="仿宋"/>
          <w:szCs w:val="21"/>
          <w:highlight w:val="none"/>
        </w:rPr>
        <w:t xml:space="preserve">    2.服务地点：</w:t>
      </w:r>
      <w:r>
        <w:rPr>
          <w:rFonts w:hint="eastAsia" w:ascii="仿宋" w:hAnsi="仿宋" w:eastAsia="仿宋" w:cs="仿宋"/>
          <w:szCs w:val="21"/>
          <w:highlight w:val="none"/>
          <w:u w:val="single"/>
        </w:rPr>
        <w:t xml:space="preserve">        </w:t>
      </w:r>
    </w:p>
    <w:p w14:paraId="65715EBE">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　　七、验收要求</w:t>
      </w:r>
    </w:p>
    <w:p w14:paraId="494C80CE">
      <w:pPr>
        <w:adjustRightInd w:val="0"/>
        <w:snapToGrid w:val="0"/>
        <w:spacing w:line="360" w:lineRule="auto"/>
        <w:jc w:val="left"/>
        <w:rPr>
          <w:rFonts w:hint="eastAsia" w:ascii="仿宋" w:hAnsi="仿宋" w:eastAsia="仿宋" w:cs="仿宋"/>
          <w:szCs w:val="21"/>
          <w:highlight w:val="none"/>
          <w:u w:val="single"/>
        </w:rPr>
      </w:pPr>
      <w:r>
        <w:rPr>
          <w:rFonts w:hint="eastAsia" w:ascii="仿宋" w:hAnsi="仿宋" w:eastAsia="仿宋" w:cs="仿宋"/>
          <w:b/>
          <w:szCs w:val="21"/>
          <w:highlight w:val="none"/>
        </w:rPr>
        <w:t xml:space="preserve">    </w:t>
      </w:r>
      <w:r>
        <w:rPr>
          <w:rFonts w:hint="eastAsia" w:ascii="仿宋" w:hAnsi="仿宋" w:eastAsia="仿宋" w:cs="仿宋"/>
          <w:szCs w:val="21"/>
          <w:highlight w:val="none"/>
        </w:rPr>
        <w:t>供方完全履行合同义务后，需方或需方的最终用户按照上述政府采购合同文件列明的标准进行验收，验收不合格的，供方需按照第八条的约定承担相应违约责任。</w:t>
      </w:r>
    </w:p>
    <w:p w14:paraId="16F63A40">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 xml:space="preserve">    八、违约责任</w:t>
      </w:r>
    </w:p>
    <w:p w14:paraId="7F2573CD">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1.供方逾期提供服务的，每逾期一天向需方支付合同金额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%的违约金，逾期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日的，需方有权单方面解除本协议。</w:t>
      </w:r>
    </w:p>
    <w:p w14:paraId="5AD87569">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2.供方提供的服务不符合约定的，需方有权向供方书面提出整改意见，供方需无条件整改至符合约定，自需方向供方提出书面意见之日起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日内，供方仍未整改或整改后服务仍不符合约定的，需方有权单方面解除本协议。</w:t>
      </w:r>
    </w:p>
    <w:p w14:paraId="3D1D1363">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3.需方逾期付款的，每逾期一天向供方支付逾期金额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%的违约金，逾期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日的，供方有权单方面解除本协议。</w:t>
      </w:r>
    </w:p>
    <w:p w14:paraId="1F7D996E">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 xml:space="preserve">    九、争议解决</w:t>
      </w:r>
    </w:p>
    <w:p w14:paraId="3073C9FC">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双方因履行本协议而产生的争议，应友好协商解决，协商不成的，任何一方可向需方所在地的人民法院提起诉讼。</w:t>
      </w:r>
    </w:p>
    <w:p w14:paraId="651884CA">
      <w:pPr>
        <w:adjustRightInd w:val="0"/>
        <w:snapToGrid w:val="0"/>
        <w:spacing w:line="360" w:lineRule="auto"/>
        <w:jc w:val="left"/>
        <w:rPr>
          <w:rFonts w:hint="eastAsia" w:ascii="仿宋" w:hAnsi="仿宋" w:eastAsia="仿宋" w:cs="仿宋"/>
          <w:b/>
          <w:szCs w:val="21"/>
          <w:highlight w:val="none"/>
        </w:rPr>
      </w:pPr>
      <w:r>
        <w:rPr>
          <w:rFonts w:hint="eastAsia" w:ascii="仿宋" w:hAnsi="仿宋" w:eastAsia="仿宋" w:cs="仿宋"/>
          <w:b/>
          <w:szCs w:val="21"/>
          <w:highlight w:val="none"/>
        </w:rPr>
        <w:t xml:space="preserve">    十、合同生效</w:t>
      </w:r>
    </w:p>
    <w:p w14:paraId="78AB14B8">
      <w:pPr>
        <w:adjustRightInd w:val="0"/>
        <w:snapToGrid w:val="0"/>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    本政府采购合同经双方授权代表签字盖章后生效。</w:t>
      </w:r>
    </w:p>
    <w:p w14:paraId="5646C0CB">
      <w:pPr>
        <w:adjustRightInd w:val="0"/>
        <w:snapToGrid w:val="0"/>
        <w:spacing w:line="360" w:lineRule="auto"/>
        <w:ind w:firstLine="420" w:firstLineChars="200"/>
        <w:jc w:val="left"/>
        <w:rPr>
          <w:rFonts w:hint="eastAsia" w:ascii="仿宋" w:hAnsi="仿宋" w:eastAsia="仿宋" w:cs="仿宋"/>
          <w:szCs w:val="21"/>
          <w:highlight w:val="none"/>
        </w:rPr>
      </w:pPr>
    </w:p>
    <w:p w14:paraId="735EFF97">
      <w:pPr>
        <w:adjustRightInd w:val="0"/>
        <w:snapToGrid w:val="0"/>
        <w:spacing w:line="360" w:lineRule="auto"/>
        <w:ind w:firstLine="420" w:firstLineChars="200"/>
        <w:jc w:val="left"/>
        <w:rPr>
          <w:rFonts w:hint="eastAsia" w:ascii="仿宋" w:hAnsi="仿宋" w:eastAsia="仿宋" w:cs="仿宋"/>
          <w:szCs w:val="21"/>
          <w:highlight w:val="none"/>
        </w:rPr>
      </w:pPr>
    </w:p>
    <w:p w14:paraId="1E802783">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需方（公章）:                       供方(公章):</w:t>
      </w:r>
    </w:p>
    <w:p w14:paraId="3578968C">
      <w:pPr>
        <w:adjustRightInd w:val="0"/>
        <w:snapToGrid w:val="0"/>
        <w:spacing w:line="360" w:lineRule="auto"/>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法定代表人或授权代表人(签字):         法定代表人或授权代表人(签字):</w:t>
      </w:r>
    </w:p>
    <w:p w14:paraId="6E34370C">
      <w:pPr>
        <w:adjustRightInd w:val="0"/>
        <w:snapToGrid w:val="0"/>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地址：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地址：</w:t>
      </w:r>
      <w:r>
        <w:rPr>
          <w:rFonts w:hint="eastAsia" w:ascii="仿宋" w:hAnsi="仿宋" w:eastAsia="仿宋" w:cs="仿宋"/>
          <w:szCs w:val="21"/>
          <w:highlight w:val="none"/>
          <w:u w:val="single"/>
        </w:rPr>
        <w:t xml:space="preserve">                          </w:t>
      </w:r>
    </w:p>
    <w:p w14:paraId="6430BE6B">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联系人：</w:t>
      </w:r>
      <w:r>
        <w:rPr>
          <w:rFonts w:hint="eastAsia" w:ascii="仿宋" w:hAnsi="仿宋" w:eastAsia="仿宋" w:cs="仿宋"/>
          <w:szCs w:val="21"/>
          <w:highlight w:val="none"/>
          <w:u w:val="single"/>
        </w:rPr>
        <w:t xml:space="preserve">                        </w:t>
      </w:r>
    </w:p>
    <w:p w14:paraId="3D0600D6">
      <w:pPr>
        <w:adjustRightInd w:val="0"/>
        <w:snapToGrid w:val="0"/>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电话：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电话：</w:t>
      </w:r>
      <w:r>
        <w:rPr>
          <w:rFonts w:hint="eastAsia" w:ascii="仿宋" w:hAnsi="仿宋" w:eastAsia="仿宋" w:cs="仿宋"/>
          <w:szCs w:val="21"/>
          <w:highlight w:val="none"/>
          <w:u w:val="single"/>
        </w:rPr>
        <w:t xml:space="preserve">                          </w:t>
      </w:r>
    </w:p>
    <w:p w14:paraId="2A5AF626">
      <w:pPr>
        <w:adjustRightInd w:val="0"/>
        <w:snapToGrid w:val="0"/>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传真：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传真：</w:t>
      </w:r>
      <w:r>
        <w:rPr>
          <w:rFonts w:hint="eastAsia" w:ascii="仿宋" w:hAnsi="仿宋" w:eastAsia="仿宋" w:cs="仿宋"/>
          <w:szCs w:val="21"/>
          <w:highlight w:val="none"/>
          <w:u w:val="single"/>
        </w:rPr>
        <w:t xml:space="preserve">                          </w:t>
      </w:r>
    </w:p>
    <w:p w14:paraId="7EA1D290">
      <w:pPr>
        <w:adjustRightInd w:val="0"/>
        <w:snapToGrid w:val="0"/>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邮编：</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邮编：</w:t>
      </w:r>
      <w:r>
        <w:rPr>
          <w:rFonts w:hint="eastAsia" w:ascii="仿宋" w:hAnsi="仿宋" w:eastAsia="仿宋" w:cs="仿宋"/>
          <w:szCs w:val="21"/>
          <w:highlight w:val="none"/>
          <w:u w:val="single"/>
        </w:rPr>
        <w:t xml:space="preserve">                          </w:t>
      </w:r>
    </w:p>
    <w:p w14:paraId="2117D873">
      <w:pPr>
        <w:adjustRightInd w:val="0"/>
        <w:snapToGrid w:val="0"/>
        <w:spacing w:line="360" w:lineRule="auto"/>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日期：</w:t>
      </w:r>
      <w:r>
        <w:rPr>
          <w:rFonts w:hint="eastAsia" w:ascii="仿宋" w:hAnsi="仿宋" w:eastAsia="仿宋" w:cs="仿宋"/>
          <w:szCs w:val="21"/>
          <w:highlight w:val="none"/>
          <w:u w:val="single"/>
        </w:rPr>
        <w:t xml:space="preserve">      年      月      日</w:t>
      </w:r>
      <w:r>
        <w:rPr>
          <w:rFonts w:hint="eastAsia" w:ascii="仿宋" w:hAnsi="仿宋" w:eastAsia="仿宋" w:cs="仿宋"/>
          <w:szCs w:val="21"/>
          <w:highlight w:val="none"/>
        </w:rPr>
        <w:t xml:space="preserve">      日期：</w:t>
      </w:r>
      <w:r>
        <w:rPr>
          <w:rFonts w:hint="eastAsia" w:ascii="仿宋" w:hAnsi="仿宋" w:eastAsia="仿宋" w:cs="仿宋"/>
          <w:szCs w:val="21"/>
          <w:highlight w:val="none"/>
          <w:u w:val="single"/>
        </w:rPr>
        <w:t xml:space="preserve">       年      月     日</w:t>
      </w:r>
    </w:p>
    <w:p w14:paraId="2AD76A40">
      <w:pPr>
        <w:adjustRightInd w:val="0"/>
        <w:snapToGrid w:val="0"/>
        <w:spacing w:line="360" w:lineRule="auto"/>
        <w:ind w:firstLine="420" w:firstLineChars="200"/>
        <w:rPr>
          <w:rFonts w:hint="eastAsia" w:ascii="仿宋" w:hAnsi="仿宋" w:eastAsia="仿宋" w:cs="仿宋"/>
          <w:szCs w:val="21"/>
          <w:highlight w:val="none"/>
          <w:u w:val="single"/>
        </w:rPr>
      </w:pPr>
    </w:p>
    <w:p w14:paraId="2513F51D">
      <w:pPr>
        <w:adjustRightInd w:val="0"/>
        <w:snapToGrid w:val="0"/>
        <w:spacing w:line="360" w:lineRule="auto"/>
        <w:rPr>
          <w:rFonts w:hint="eastAsia" w:ascii="仿宋" w:hAnsi="仿宋" w:eastAsia="仿宋" w:cs="仿宋"/>
          <w:szCs w:val="21"/>
          <w:highlight w:val="none"/>
          <w:u w:val="single"/>
        </w:rPr>
      </w:pPr>
    </w:p>
    <w:p w14:paraId="09AF278A">
      <w:pPr>
        <w:adjustRightInd w:val="0"/>
        <w:snapToGrid w:val="0"/>
        <w:spacing w:line="360" w:lineRule="auto"/>
        <w:jc w:val="right"/>
        <w:rPr>
          <w:rFonts w:hint="eastAsia" w:ascii="仿宋" w:hAnsi="仿宋" w:eastAsia="仿宋" w:cs="仿宋"/>
          <w:szCs w:val="21"/>
          <w:highlight w:val="none"/>
        </w:rPr>
      </w:pPr>
    </w:p>
    <w:p w14:paraId="1F8C8FFC">
      <w:pPr>
        <w:wordWrap w:val="0"/>
        <w:adjustRightInd w:val="0"/>
        <w:snapToGrid w:val="0"/>
        <w:spacing w:line="360" w:lineRule="auto"/>
        <w:jc w:val="right"/>
        <w:rPr>
          <w:rFonts w:hint="eastAsia" w:ascii="仿宋" w:hAnsi="仿宋" w:eastAsia="仿宋" w:cs="仿宋"/>
          <w:szCs w:val="21"/>
          <w:highlight w:val="none"/>
        </w:rPr>
      </w:pPr>
    </w:p>
    <w:p w14:paraId="6E7C6886">
      <w:pPr>
        <w:wordWrap w:val="0"/>
        <w:adjustRightInd w:val="0"/>
        <w:snapToGrid w:val="0"/>
        <w:spacing w:line="360" w:lineRule="auto"/>
        <w:jc w:val="left"/>
        <w:rPr>
          <w:rFonts w:hint="eastAsia" w:ascii="仿宋" w:hAnsi="仿宋" w:eastAsia="仿宋" w:cs="仿宋"/>
          <w:szCs w:val="21"/>
          <w:highlight w:val="none"/>
        </w:rPr>
      </w:pPr>
    </w:p>
    <w:sectPr>
      <w:footerReference r:id="rId4" w:type="default"/>
      <w:pgSz w:w="11906" w:h="16838"/>
      <w:pgMar w:top="1440" w:right="1803" w:bottom="1440" w:left="1803"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仿宋_GB2312">
    <w:altName w:val="仿宋"/>
    <w:panose1 w:val="00000000000000000000"/>
    <w:charset w:val="86"/>
    <w:family w:val="modern"/>
    <w:pitch w:val="default"/>
    <w:sig w:usb0="00000000" w:usb1="00000000" w:usb2="00000000" w:usb3="00000000" w:csb0="00040000" w:csb1="0000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FangSong_GB2312">
    <w:altName w:val="仿宋"/>
    <w:panose1 w:val="02010609060101010101"/>
    <w:charset w:val="86"/>
    <w:family w:val="modern"/>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D2F9A">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5E5E04">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35E5E04">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3CA3E">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5A1D24">
                          <w:pPr>
                            <w:pStyle w:val="14"/>
                          </w:pPr>
                          <w:r>
                            <w:fldChar w:fldCharType="begin"/>
                          </w:r>
                          <w:r>
                            <w:instrText xml:space="preserve"> PAGE  \* MERGEFORMAT </w:instrText>
                          </w:r>
                          <w:r>
                            <w:fldChar w:fldCharType="separate"/>
                          </w:r>
                          <w:r>
                            <w:t>3</w:t>
                          </w:r>
                          <w:r>
                            <w:fldChar w:fldCharType="end"/>
                          </w:r>
                        </w:p>
                      </w:txbxContent>
                    </wps:txbx>
                    <wps:bodyPr vert="horz" wrap="none" lIns="0" tIns="0" rIns="0" bIns="0" anchor="t" anchorCtr="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Oxb8sfXAQAAsgMAAA4AAAAAAAAAAQAgAAAA&#10;HgEAAGRycy9lMm9Eb2MueG1sUEsFBgAAAAAGAAYAWQEAAGcFAAAAAA==&#10;">
              <v:fill on="f" focussize="0,0"/>
              <v:stroke on="f"/>
              <v:imagedata o:title=""/>
              <o:lock v:ext="edit" aspectratio="f"/>
              <v:textbox inset="0mm,0mm,0mm,0mm" style="mso-fit-shape-to-text:t;">
                <w:txbxContent>
                  <w:p w14:paraId="0E5A1D24">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982A8C"/>
    <w:multiLevelType w:val="singleLevel"/>
    <w:tmpl w:val="C4982A8C"/>
    <w:lvl w:ilvl="0" w:tentative="0">
      <w:start w:val="2"/>
      <w:numFmt w:val="decimal"/>
      <w:suff w:val="nothing"/>
      <w:lvlText w:val="%1、"/>
      <w:lvlJc w:val="left"/>
    </w:lvl>
  </w:abstractNum>
  <w:abstractNum w:abstractNumId="1">
    <w:nsid w:val="EC8A383C"/>
    <w:multiLevelType w:val="singleLevel"/>
    <w:tmpl w:val="EC8A383C"/>
    <w:lvl w:ilvl="0" w:tentative="0">
      <w:start w:val="1"/>
      <w:numFmt w:val="chineseCounting"/>
      <w:suff w:val="nothing"/>
      <w:lvlText w:val="%1、"/>
      <w:lvlJc w:val="left"/>
      <w:rPr>
        <w:rFonts w:hint="eastAsia"/>
        <w:color w:val="auto"/>
      </w:rPr>
    </w:lvl>
  </w:abstractNum>
  <w:abstractNum w:abstractNumId="2">
    <w:nsid w:val="F77C3188"/>
    <w:multiLevelType w:val="singleLevel"/>
    <w:tmpl w:val="F77C3188"/>
    <w:lvl w:ilvl="0" w:tentative="0">
      <w:start w:val="2"/>
      <w:numFmt w:val="decimal"/>
      <w:suff w:val="nothing"/>
      <w:lvlText w:val="%1、"/>
      <w:lvlJc w:val="left"/>
    </w:lvl>
  </w:abstractNum>
  <w:abstractNum w:abstractNumId="3">
    <w:nsid w:val="420C153B"/>
    <w:multiLevelType w:val="multilevel"/>
    <w:tmpl w:val="420C153B"/>
    <w:lvl w:ilvl="0" w:tentative="0">
      <w:start w:val="1"/>
      <w:numFmt w:val="decimal"/>
      <w:pStyle w:val="3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5">
    <w:nsid w:val="6C7FA029"/>
    <w:multiLevelType w:val="singleLevel"/>
    <w:tmpl w:val="6C7FA029"/>
    <w:lvl w:ilvl="0" w:tentative="0">
      <w:start w:val="9"/>
      <w:numFmt w:val="chineseCounting"/>
      <w:suff w:val="nothing"/>
      <w:lvlText w:val="%1、"/>
      <w:lvlJc w:val="left"/>
      <w:rPr>
        <w:rFonts w:hint="eastAsia"/>
      </w:rPr>
    </w:lvl>
  </w:abstractNum>
  <w:abstractNum w:abstractNumId="6">
    <w:nsid w:val="7E2DE3A4"/>
    <w:multiLevelType w:val="singleLevel"/>
    <w:tmpl w:val="7E2DE3A4"/>
    <w:lvl w:ilvl="0" w:tentative="0">
      <w:start w:val="1"/>
      <w:numFmt w:val="chineseCounting"/>
      <w:suff w:val="nothing"/>
      <w:lvlText w:val="（%1）"/>
      <w:lvlJc w:val="left"/>
      <w:rPr>
        <w:rFonts w:hint="eastAsia"/>
      </w:rPr>
    </w:lvl>
  </w:abstractNum>
  <w:num w:numId="1">
    <w:abstractNumId w:val="3"/>
  </w:num>
  <w:num w:numId="2">
    <w:abstractNumId w:val="5"/>
  </w:num>
  <w:num w:numId="3">
    <w:abstractNumId w:val="0"/>
  </w:num>
  <w:num w:numId="4">
    <w:abstractNumId w:val="2"/>
  </w:num>
  <w:num w:numId="5">
    <w:abstractNumId w:val="6"/>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BlNzIxNTUwNzk1MTY4YTNlYjM4Y2NlOTQ1M2IwYmYifQ=="/>
  </w:docVars>
  <w:rsids>
    <w:rsidRoot w:val="35AB3B2B"/>
    <w:rsid w:val="000073CE"/>
    <w:rsid w:val="00007BCB"/>
    <w:rsid w:val="00010ACC"/>
    <w:rsid w:val="00011C8C"/>
    <w:rsid w:val="00011D0D"/>
    <w:rsid w:val="00017861"/>
    <w:rsid w:val="00020305"/>
    <w:rsid w:val="00020B39"/>
    <w:rsid w:val="0002450C"/>
    <w:rsid w:val="00030667"/>
    <w:rsid w:val="0003153D"/>
    <w:rsid w:val="00035830"/>
    <w:rsid w:val="000366EB"/>
    <w:rsid w:val="0003776A"/>
    <w:rsid w:val="000406B4"/>
    <w:rsid w:val="00040886"/>
    <w:rsid w:val="00040B5B"/>
    <w:rsid w:val="00051759"/>
    <w:rsid w:val="0005548C"/>
    <w:rsid w:val="0006626C"/>
    <w:rsid w:val="00083219"/>
    <w:rsid w:val="00087626"/>
    <w:rsid w:val="000909D3"/>
    <w:rsid w:val="000922FC"/>
    <w:rsid w:val="00096194"/>
    <w:rsid w:val="000A3122"/>
    <w:rsid w:val="000B05A5"/>
    <w:rsid w:val="000B1E2F"/>
    <w:rsid w:val="000B69EC"/>
    <w:rsid w:val="000B78F5"/>
    <w:rsid w:val="000C28F9"/>
    <w:rsid w:val="000C66F6"/>
    <w:rsid w:val="000C6DD2"/>
    <w:rsid w:val="000C6F0E"/>
    <w:rsid w:val="000D1545"/>
    <w:rsid w:val="000D2960"/>
    <w:rsid w:val="000D2C1D"/>
    <w:rsid w:val="000E4BB4"/>
    <w:rsid w:val="000E6A7B"/>
    <w:rsid w:val="000F17B2"/>
    <w:rsid w:val="000F4130"/>
    <w:rsid w:val="000F5D16"/>
    <w:rsid w:val="00102355"/>
    <w:rsid w:val="00112309"/>
    <w:rsid w:val="0011683B"/>
    <w:rsid w:val="001203EC"/>
    <w:rsid w:val="001249DD"/>
    <w:rsid w:val="00124A13"/>
    <w:rsid w:val="0013083C"/>
    <w:rsid w:val="00130CA0"/>
    <w:rsid w:val="0013158F"/>
    <w:rsid w:val="00132068"/>
    <w:rsid w:val="0013776E"/>
    <w:rsid w:val="0015390E"/>
    <w:rsid w:val="00154CCD"/>
    <w:rsid w:val="00167297"/>
    <w:rsid w:val="001712A2"/>
    <w:rsid w:val="00185BFC"/>
    <w:rsid w:val="00185D8B"/>
    <w:rsid w:val="00187BB0"/>
    <w:rsid w:val="00191F4C"/>
    <w:rsid w:val="00193136"/>
    <w:rsid w:val="00196EA1"/>
    <w:rsid w:val="001A326D"/>
    <w:rsid w:val="001B0330"/>
    <w:rsid w:val="001B2FBA"/>
    <w:rsid w:val="001B3BA4"/>
    <w:rsid w:val="001B7FCB"/>
    <w:rsid w:val="001E4670"/>
    <w:rsid w:val="001E776C"/>
    <w:rsid w:val="001F423E"/>
    <w:rsid w:val="001F567E"/>
    <w:rsid w:val="001F70A6"/>
    <w:rsid w:val="002000D6"/>
    <w:rsid w:val="002005AF"/>
    <w:rsid w:val="0020261D"/>
    <w:rsid w:val="00202A79"/>
    <w:rsid w:val="0021042D"/>
    <w:rsid w:val="00213462"/>
    <w:rsid w:val="0021427F"/>
    <w:rsid w:val="00227FDA"/>
    <w:rsid w:val="00232AA3"/>
    <w:rsid w:val="002367F7"/>
    <w:rsid w:val="00237E6D"/>
    <w:rsid w:val="002440B1"/>
    <w:rsid w:val="00264193"/>
    <w:rsid w:val="002706E5"/>
    <w:rsid w:val="00270A5C"/>
    <w:rsid w:val="002742E6"/>
    <w:rsid w:val="002743E6"/>
    <w:rsid w:val="0027524C"/>
    <w:rsid w:val="002908AE"/>
    <w:rsid w:val="002A41DE"/>
    <w:rsid w:val="002B03B5"/>
    <w:rsid w:val="002B08BA"/>
    <w:rsid w:val="002C582E"/>
    <w:rsid w:val="002C58D5"/>
    <w:rsid w:val="002D5694"/>
    <w:rsid w:val="002E5846"/>
    <w:rsid w:val="002F0866"/>
    <w:rsid w:val="002F5921"/>
    <w:rsid w:val="002F6CF7"/>
    <w:rsid w:val="003013EB"/>
    <w:rsid w:val="00302761"/>
    <w:rsid w:val="00324252"/>
    <w:rsid w:val="0032558B"/>
    <w:rsid w:val="00332350"/>
    <w:rsid w:val="0033768B"/>
    <w:rsid w:val="003532A1"/>
    <w:rsid w:val="003577B2"/>
    <w:rsid w:val="003615B4"/>
    <w:rsid w:val="003636CC"/>
    <w:rsid w:val="00365518"/>
    <w:rsid w:val="0037130E"/>
    <w:rsid w:val="003735E7"/>
    <w:rsid w:val="00374B84"/>
    <w:rsid w:val="00381164"/>
    <w:rsid w:val="0038216F"/>
    <w:rsid w:val="00383A37"/>
    <w:rsid w:val="003A3FBB"/>
    <w:rsid w:val="003A4369"/>
    <w:rsid w:val="003A43C7"/>
    <w:rsid w:val="003D1064"/>
    <w:rsid w:val="003D5AD5"/>
    <w:rsid w:val="003D5E53"/>
    <w:rsid w:val="003E562B"/>
    <w:rsid w:val="003F1BE6"/>
    <w:rsid w:val="003F346A"/>
    <w:rsid w:val="003F6E87"/>
    <w:rsid w:val="004053E3"/>
    <w:rsid w:val="00415B97"/>
    <w:rsid w:val="00420DC3"/>
    <w:rsid w:val="00424004"/>
    <w:rsid w:val="0042796F"/>
    <w:rsid w:val="00432E48"/>
    <w:rsid w:val="00436CEC"/>
    <w:rsid w:val="00441C13"/>
    <w:rsid w:val="0044288A"/>
    <w:rsid w:val="00443EF4"/>
    <w:rsid w:val="004468DD"/>
    <w:rsid w:val="00450710"/>
    <w:rsid w:val="00453190"/>
    <w:rsid w:val="00454E85"/>
    <w:rsid w:val="0046016B"/>
    <w:rsid w:val="0046167F"/>
    <w:rsid w:val="004628E9"/>
    <w:rsid w:val="00462C35"/>
    <w:rsid w:val="00463F1C"/>
    <w:rsid w:val="00466697"/>
    <w:rsid w:val="0047535F"/>
    <w:rsid w:val="0048085C"/>
    <w:rsid w:val="00480B5C"/>
    <w:rsid w:val="00480CFA"/>
    <w:rsid w:val="00482059"/>
    <w:rsid w:val="0048675D"/>
    <w:rsid w:val="00493F6F"/>
    <w:rsid w:val="00495BA7"/>
    <w:rsid w:val="0049755B"/>
    <w:rsid w:val="004A2961"/>
    <w:rsid w:val="004A4274"/>
    <w:rsid w:val="004A58A0"/>
    <w:rsid w:val="004A59F5"/>
    <w:rsid w:val="004B05DF"/>
    <w:rsid w:val="004B31C2"/>
    <w:rsid w:val="004B66AB"/>
    <w:rsid w:val="004C2470"/>
    <w:rsid w:val="004E460D"/>
    <w:rsid w:val="004E5365"/>
    <w:rsid w:val="004E690F"/>
    <w:rsid w:val="004F0D04"/>
    <w:rsid w:val="004F1259"/>
    <w:rsid w:val="004F1FB5"/>
    <w:rsid w:val="00503D81"/>
    <w:rsid w:val="00506175"/>
    <w:rsid w:val="0050625F"/>
    <w:rsid w:val="00511899"/>
    <w:rsid w:val="00512824"/>
    <w:rsid w:val="00512F22"/>
    <w:rsid w:val="00521EE3"/>
    <w:rsid w:val="00523EE1"/>
    <w:rsid w:val="00526A9D"/>
    <w:rsid w:val="00533776"/>
    <w:rsid w:val="00541B72"/>
    <w:rsid w:val="005429BA"/>
    <w:rsid w:val="00542C90"/>
    <w:rsid w:val="00546DC1"/>
    <w:rsid w:val="00547460"/>
    <w:rsid w:val="00550C50"/>
    <w:rsid w:val="00551407"/>
    <w:rsid w:val="005535F8"/>
    <w:rsid w:val="00556D0D"/>
    <w:rsid w:val="00557F0B"/>
    <w:rsid w:val="005605ED"/>
    <w:rsid w:val="005636FD"/>
    <w:rsid w:val="00564D0F"/>
    <w:rsid w:val="005659BD"/>
    <w:rsid w:val="0057148B"/>
    <w:rsid w:val="00585B8B"/>
    <w:rsid w:val="005863BC"/>
    <w:rsid w:val="005A38DE"/>
    <w:rsid w:val="005A5A53"/>
    <w:rsid w:val="005B2D03"/>
    <w:rsid w:val="005B587A"/>
    <w:rsid w:val="005C4242"/>
    <w:rsid w:val="005C4E89"/>
    <w:rsid w:val="005C78DA"/>
    <w:rsid w:val="005E2ABC"/>
    <w:rsid w:val="005E3ED4"/>
    <w:rsid w:val="005E5F17"/>
    <w:rsid w:val="005E61EE"/>
    <w:rsid w:val="005E6927"/>
    <w:rsid w:val="005F281B"/>
    <w:rsid w:val="005F7EF8"/>
    <w:rsid w:val="006056FD"/>
    <w:rsid w:val="00607CA9"/>
    <w:rsid w:val="0062409A"/>
    <w:rsid w:val="006314DE"/>
    <w:rsid w:val="00633F4D"/>
    <w:rsid w:val="00652313"/>
    <w:rsid w:val="00666732"/>
    <w:rsid w:val="00673701"/>
    <w:rsid w:val="00674519"/>
    <w:rsid w:val="00676449"/>
    <w:rsid w:val="00677DB3"/>
    <w:rsid w:val="006800BB"/>
    <w:rsid w:val="006814F3"/>
    <w:rsid w:val="00682A1A"/>
    <w:rsid w:val="006873D0"/>
    <w:rsid w:val="00687966"/>
    <w:rsid w:val="00691878"/>
    <w:rsid w:val="006950F5"/>
    <w:rsid w:val="006977FB"/>
    <w:rsid w:val="006A7EF3"/>
    <w:rsid w:val="006B0FE1"/>
    <w:rsid w:val="006C57FF"/>
    <w:rsid w:val="006C617D"/>
    <w:rsid w:val="006C6B21"/>
    <w:rsid w:val="006D7F80"/>
    <w:rsid w:val="006E0811"/>
    <w:rsid w:val="006E0BBE"/>
    <w:rsid w:val="006E50EE"/>
    <w:rsid w:val="006E5B1C"/>
    <w:rsid w:val="006E63CA"/>
    <w:rsid w:val="006F19E3"/>
    <w:rsid w:val="006F266B"/>
    <w:rsid w:val="006F28CA"/>
    <w:rsid w:val="006F2AD7"/>
    <w:rsid w:val="006F48FA"/>
    <w:rsid w:val="006F5BB1"/>
    <w:rsid w:val="006F61B6"/>
    <w:rsid w:val="006F696A"/>
    <w:rsid w:val="0070149A"/>
    <w:rsid w:val="00703AF0"/>
    <w:rsid w:val="00713C88"/>
    <w:rsid w:val="00716810"/>
    <w:rsid w:val="00724D2F"/>
    <w:rsid w:val="007260AF"/>
    <w:rsid w:val="00763DAC"/>
    <w:rsid w:val="00775171"/>
    <w:rsid w:val="00781DB0"/>
    <w:rsid w:val="007846B3"/>
    <w:rsid w:val="00786720"/>
    <w:rsid w:val="00793A93"/>
    <w:rsid w:val="007A2BB9"/>
    <w:rsid w:val="007A2E17"/>
    <w:rsid w:val="007B248A"/>
    <w:rsid w:val="007B6E36"/>
    <w:rsid w:val="007C0486"/>
    <w:rsid w:val="007C4E10"/>
    <w:rsid w:val="007C5F25"/>
    <w:rsid w:val="007D6551"/>
    <w:rsid w:val="007E5631"/>
    <w:rsid w:val="007E5FCE"/>
    <w:rsid w:val="007F321C"/>
    <w:rsid w:val="00801392"/>
    <w:rsid w:val="00801886"/>
    <w:rsid w:val="00802FF5"/>
    <w:rsid w:val="00807274"/>
    <w:rsid w:val="00807717"/>
    <w:rsid w:val="00811577"/>
    <w:rsid w:val="00813006"/>
    <w:rsid w:val="0081353A"/>
    <w:rsid w:val="008136E9"/>
    <w:rsid w:val="00813C21"/>
    <w:rsid w:val="00820C29"/>
    <w:rsid w:val="00820F82"/>
    <w:rsid w:val="00821256"/>
    <w:rsid w:val="008218BD"/>
    <w:rsid w:val="00823F9E"/>
    <w:rsid w:val="00844AC6"/>
    <w:rsid w:val="00846134"/>
    <w:rsid w:val="00857B53"/>
    <w:rsid w:val="008623AC"/>
    <w:rsid w:val="0087266C"/>
    <w:rsid w:val="0087275E"/>
    <w:rsid w:val="00874685"/>
    <w:rsid w:val="00883007"/>
    <w:rsid w:val="00890434"/>
    <w:rsid w:val="008932A6"/>
    <w:rsid w:val="00896983"/>
    <w:rsid w:val="008A6258"/>
    <w:rsid w:val="008B3079"/>
    <w:rsid w:val="008B5895"/>
    <w:rsid w:val="008C1681"/>
    <w:rsid w:val="008C5191"/>
    <w:rsid w:val="008C6C43"/>
    <w:rsid w:val="008D1C7E"/>
    <w:rsid w:val="008D63CA"/>
    <w:rsid w:val="008E472C"/>
    <w:rsid w:val="0090119B"/>
    <w:rsid w:val="00916453"/>
    <w:rsid w:val="009174AF"/>
    <w:rsid w:val="00921D88"/>
    <w:rsid w:val="00927284"/>
    <w:rsid w:val="00935AB5"/>
    <w:rsid w:val="00935B3A"/>
    <w:rsid w:val="00936E4D"/>
    <w:rsid w:val="00937D8B"/>
    <w:rsid w:val="00941239"/>
    <w:rsid w:val="00945196"/>
    <w:rsid w:val="00945810"/>
    <w:rsid w:val="009517C2"/>
    <w:rsid w:val="0096214D"/>
    <w:rsid w:val="00962617"/>
    <w:rsid w:val="009656DA"/>
    <w:rsid w:val="0097457D"/>
    <w:rsid w:val="00977D07"/>
    <w:rsid w:val="00985042"/>
    <w:rsid w:val="009852DE"/>
    <w:rsid w:val="009A097B"/>
    <w:rsid w:val="009A6377"/>
    <w:rsid w:val="009A7A23"/>
    <w:rsid w:val="009B3544"/>
    <w:rsid w:val="009B4C4E"/>
    <w:rsid w:val="009C0378"/>
    <w:rsid w:val="009C2B50"/>
    <w:rsid w:val="009C3EE3"/>
    <w:rsid w:val="009C4A28"/>
    <w:rsid w:val="009C7AA3"/>
    <w:rsid w:val="009C7CDB"/>
    <w:rsid w:val="009F1A84"/>
    <w:rsid w:val="009F6F96"/>
    <w:rsid w:val="009F7113"/>
    <w:rsid w:val="00A00449"/>
    <w:rsid w:val="00A0382C"/>
    <w:rsid w:val="00A05EFA"/>
    <w:rsid w:val="00A14CB8"/>
    <w:rsid w:val="00A20034"/>
    <w:rsid w:val="00A23717"/>
    <w:rsid w:val="00A27C65"/>
    <w:rsid w:val="00A34297"/>
    <w:rsid w:val="00A36DF1"/>
    <w:rsid w:val="00A40C92"/>
    <w:rsid w:val="00A4363D"/>
    <w:rsid w:val="00A44AA0"/>
    <w:rsid w:val="00A60CBA"/>
    <w:rsid w:val="00A60D10"/>
    <w:rsid w:val="00A61331"/>
    <w:rsid w:val="00A67ABF"/>
    <w:rsid w:val="00A73727"/>
    <w:rsid w:val="00A73DB3"/>
    <w:rsid w:val="00A7544E"/>
    <w:rsid w:val="00A759B5"/>
    <w:rsid w:val="00A80E10"/>
    <w:rsid w:val="00A81824"/>
    <w:rsid w:val="00A915D5"/>
    <w:rsid w:val="00A91E1D"/>
    <w:rsid w:val="00A945FE"/>
    <w:rsid w:val="00A96232"/>
    <w:rsid w:val="00AA4B91"/>
    <w:rsid w:val="00AA7CAE"/>
    <w:rsid w:val="00AB20CE"/>
    <w:rsid w:val="00AB21D1"/>
    <w:rsid w:val="00AB516E"/>
    <w:rsid w:val="00AC5D2C"/>
    <w:rsid w:val="00AD167D"/>
    <w:rsid w:val="00AD7A85"/>
    <w:rsid w:val="00AE181B"/>
    <w:rsid w:val="00AE32DA"/>
    <w:rsid w:val="00AF33EA"/>
    <w:rsid w:val="00B01524"/>
    <w:rsid w:val="00B05620"/>
    <w:rsid w:val="00B12B71"/>
    <w:rsid w:val="00B14143"/>
    <w:rsid w:val="00B151FA"/>
    <w:rsid w:val="00B164FA"/>
    <w:rsid w:val="00B17A91"/>
    <w:rsid w:val="00B214F2"/>
    <w:rsid w:val="00B21859"/>
    <w:rsid w:val="00B24DEC"/>
    <w:rsid w:val="00B26F29"/>
    <w:rsid w:val="00B35102"/>
    <w:rsid w:val="00B412C7"/>
    <w:rsid w:val="00B4204C"/>
    <w:rsid w:val="00B42957"/>
    <w:rsid w:val="00B42EF1"/>
    <w:rsid w:val="00B45835"/>
    <w:rsid w:val="00B4593D"/>
    <w:rsid w:val="00B45A91"/>
    <w:rsid w:val="00B46895"/>
    <w:rsid w:val="00B5234B"/>
    <w:rsid w:val="00B67877"/>
    <w:rsid w:val="00B71CFA"/>
    <w:rsid w:val="00B7290F"/>
    <w:rsid w:val="00B73698"/>
    <w:rsid w:val="00B9169C"/>
    <w:rsid w:val="00B93189"/>
    <w:rsid w:val="00B944E9"/>
    <w:rsid w:val="00B9681B"/>
    <w:rsid w:val="00B96AE5"/>
    <w:rsid w:val="00B96C1C"/>
    <w:rsid w:val="00BA4313"/>
    <w:rsid w:val="00BA483E"/>
    <w:rsid w:val="00BA54C9"/>
    <w:rsid w:val="00BA7C61"/>
    <w:rsid w:val="00BB3D9F"/>
    <w:rsid w:val="00BC4F02"/>
    <w:rsid w:val="00BC5A18"/>
    <w:rsid w:val="00BD4456"/>
    <w:rsid w:val="00BD4A11"/>
    <w:rsid w:val="00BD6D48"/>
    <w:rsid w:val="00BE189E"/>
    <w:rsid w:val="00BE63EE"/>
    <w:rsid w:val="00BF0415"/>
    <w:rsid w:val="00BF1844"/>
    <w:rsid w:val="00BF2D5F"/>
    <w:rsid w:val="00C007B0"/>
    <w:rsid w:val="00C119E2"/>
    <w:rsid w:val="00C12EE2"/>
    <w:rsid w:val="00C1695F"/>
    <w:rsid w:val="00C26147"/>
    <w:rsid w:val="00C42477"/>
    <w:rsid w:val="00C430E2"/>
    <w:rsid w:val="00C44335"/>
    <w:rsid w:val="00C51672"/>
    <w:rsid w:val="00C608B4"/>
    <w:rsid w:val="00C61085"/>
    <w:rsid w:val="00C62CC9"/>
    <w:rsid w:val="00C63B72"/>
    <w:rsid w:val="00C646B5"/>
    <w:rsid w:val="00C707F2"/>
    <w:rsid w:val="00C73630"/>
    <w:rsid w:val="00C73855"/>
    <w:rsid w:val="00C75905"/>
    <w:rsid w:val="00C7798C"/>
    <w:rsid w:val="00C8406F"/>
    <w:rsid w:val="00C873A5"/>
    <w:rsid w:val="00C94AC1"/>
    <w:rsid w:val="00CA011F"/>
    <w:rsid w:val="00CA754E"/>
    <w:rsid w:val="00CB2481"/>
    <w:rsid w:val="00CB2A73"/>
    <w:rsid w:val="00CB5BDB"/>
    <w:rsid w:val="00CC52A5"/>
    <w:rsid w:val="00CD3570"/>
    <w:rsid w:val="00CD41FB"/>
    <w:rsid w:val="00CE18D7"/>
    <w:rsid w:val="00CE2A7C"/>
    <w:rsid w:val="00CE4031"/>
    <w:rsid w:val="00CF5612"/>
    <w:rsid w:val="00D03771"/>
    <w:rsid w:val="00D12A29"/>
    <w:rsid w:val="00D12A77"/>
    <w:rsid w:val="00D1310D"/>
    <w:rsid w:val="00D1435C"/>
    <w:rsid w:val="00D15EB3"/>
    <w:rsid w:val="00D16C8E"/>
    <w:rsid w:val="00D20E66"/>
    <w:rsid w:val="00D23683"/>
    <w:rsid w:val="00D2600E"/>
    <w:rsid w:val="00D270B9"/>
    <w:rsid w:val="00D37BB8"/>
    <w:rsid w:val="00D43E5E"/>
    <w:rsid w:val="00D57015"/>
    <w:rsid w:val="00D63F92"/>
    <w:rsid w:val="00D81D78"/>
    <w:rsid w:val="00D83E9F"/>
    <w:rsid w:val="00D86E39"/>
    <w:rsid w:val="00D906D4"/>
    <w:rsid w:val="00D93A7F"/>
    <w:rsid w:val="00D94C88"/>
    <w:rsid w:val="00DA26C6"/>
    <w:rsid w:val="00DA38A9"/>
    <w:rsid w:val="00DA4D1C"/>
    <w:rsid w:val="00DB10A5"/>
    <w:rsid w:val="00DB41F3"/>
    <w:rsid w:val="00DB56FE"/>
    <w:rsid w:val="00DB72A1"/>
    <w:rsid w:val="00DC1547"/>
    <w:rsid w:val="00DC1AA9"/>
    <w:rsid w:val="00DC3333"/>
    <w:rsid w:val="00DC7AD3"/>
    <w:rsid w:val="00DD1DC8"/>
    <w:rsid w:val="00DE39C0"/>
    <w:rsid w:val="00DE61CE"/>
    <w:rsid w:val="00DE6CF7"/>
    <w:rsid w:val="00DF6E76"/>
    <w:rsid w:val="00E00A18"/>
    <w:rsid w:val="00E02CC5"/>
    <w:rsid w:val="00E03D40"/>
    <w:rsid w:val="00E120A5"/>
    <w:rsid w:val="00E1259B"/>
    <w:rsid w:val="00E157A0"/>
    <w:rsid w:val="00E318D6"/>
    <w:rsid w:val="00E33686"/>
    <w:rsid w:val="00E34F59"/>
    <w:rsid w:val="00E46E2C"/>
    <w:rsid w:val="00E47803"/>
    <w:rsid w:val="00E51EAC"/>
    <w:rsid w:val="00E51EEE"/>
    <w:rsid w:val="00E527B6"/>
    <w:rsid w:val="00E532F7"/>
    <w:rsid w:val="00E57717"/>
    <w:rsid w:val="00E763E3"/>
    <w:rsid w:val="00E904B4"/>
    <w:rsid w:val="00EA1D3F"/>
    <w:rsid w:val="00EA20C9"/>
    <w:rsid w:val="00EA6938"/>
    <w:rsid w:val="00EB68F2"/>
    <w:rsid w:val="00ED1893"/>
    <w:rsid w:val="00ED2AD0"/>
    <w:rsid w:val="00ED60F0"/>
    <w:rsid w:val="00ED7B94"/>
    <w:rsid w:val="00EE4B7A"/>
    <w:rsid w:val="00EE696B"/>
    <w:rsid w:val="00EE758F"/>
    <w:rsid w:val="00EF5158"/>
    <w:rsid w:val="00F03D34"/>
    <w:rsid w:val="00F05031"/>
    <w:rsid w:val="00F12143"/>
    <w:rsid w:val="00F12D67"/>
    <w:rsid w:val="00F15778"/>
    <w:rsid w:val="00F17C4C"/>
    <w:rsid w:val="00F26065"/>
    <w:rsid w:val="00F26878"/>
    <w:rsid w:val="00F310E3"/>
    <w:rsid w:val="00F32FB8"/>
    <w:rsid w:val="00F33126"/>
    <w:rsid w:val="00F40B88"/>
    <w:rsid w:val="00F471F5"/>
    <w:rsid w:val="00F47970"/>
    <w:rsid w:val="00F5029F"/>
    <w:rsid w:val="00F56C87"/>
    <w:rsid w:val="00F6408D"/>
    <w:rsid w:val="00F64CB3"/>
    <w:rsid w:val="00F67E67"/>
    <w:rsid w:val="00F727CC"/>
    <w:rsid w:val="00F737C5"/>
    <w:rsid w:val="00F81FBE"/>
    <w:rsid w:val="00F84B22"/>
    <w:rsid w:val="00F86ABE"/>
    <w:rsid w:val="00F944CD"/>
    <w:rsid w:val="00F95804"/>
    <w:rsid w:val="00F979BF"/>
    <w:rsid w:val="00FB1CD8"/>
    <w:rsid w:val="00FB20EB"/>
    <w:rsid w:val="00FB4BB5"/>
    <w:rsid w:val="00FC3673"/>
    <w:rsid w:val="00FD2D5A"/>
    <w:rsid w:val="00FD55CA"/>
    <w:rsid w:val="00FE0C55"/>
    <w:rsid w:val="00FE6CA1"/>
    <w:rsid w:val="00FE7360"/>
    <w:rsid w:val="00FF62E0"/>
    <w:rsid w:val="00FF76FC"/>
    <w:rsid w:val="01520AA4"/>
    <w:rsid w:val="01633786"/>
    <w:rsid w:val="017734C4"/>
    <w:rsid w:val="019A5532"/>
    <w:rsid w:val="01CF1530"/>
    <w:rsid w:val="01E82BE5"/>
    <w:rsid w:val="01EB5EF8"/>
    <w:rsid w:val="0207002B"/>
    <w:rsid w:val="02450450"/>
    <w:rsid w:val="02686A03"/>
    <w:rsid w:val="02987D19"/>
    <w:rsid w:val="0299720E"/>
    <w:rsid w:val="02B91F96"/>
    <w:rsid w:val="02DE7FB0"/>
    <w:rsid w:val="02E755A0"/>
    <w:rsid w:val="02FA30D3"/>
    <w:rsid w:val="034616C7"/>
    <w:rsid w:val="036710FD"/>
    <w:rsid w:val="042F7701"/>
    <w:rsid w:val="047E231D"/>
    <w:rsid w:val="048C542A"/>
    <w:rsid w:val="04AC72EC"/>
    <w:rsid w:val="05190704"/>
    <w:rsid w:val="05270DB5"/>
    <w:rsid w:val="052817BB"/>
    <w:rsid w:val="05595C56"/>
    <w:rsid w:val="0580226C"/>
    <w:rsid w:val="05917C5F"/>
    <w:rsid w:val="05DA7AA4"/>
    <w:rsid w:val="05EC0116"/>
    <w:rsid w:val="06750C66"/>
    <w:rsid w:val="06A7319D"/>
    <w:rsid w:val="06D346D6"/>
    <w:rsid w:val="07107252"/>
    <w:rsid w:val="07116147"/>
    <w:rsid w:val="0712691E"/>
    <w:rsid w:val="0714742B"/>
    <w:rsid w:val="072C6AB1"/>
    <w:rsid w:val="07520836"/>
    <w:rsid w:val="075E76FE"/>
    <w:rsid w:val="077D7634"/>
    <w:rsid w:val="084362F9"/>
    <w:rsid w:val="08524FDB"/>
    <w:rsid w:val="0855720F"/>
    <w:rsid w:val="088D5F5C"/>
    <w:rsid w:val="08B71729"/>
    <w:rsid w:val="08F73DBB"/>
    <w:rsid w:val="093C026C"/>
    <w:rsid w:val="09705641"/>
    <w:rsid w:val="0997077C"/>
    <w:rsid w:val="09EA406A"/>
    <w:rsid w:val="0A231A27"/>
    <w:rsid w:val="0A260FC3"/>
    <w:rsid w:val="0A4E254C"/>
    <w:rsid w:val="0A8C009B"/>
    <w:rsid w:val="0A8E562B"/>
    <w:rsid w:val="0ACA4546"/>
    <w:rsid w:val="0ACC4AB7"/>
    <w:rsid w:val="0B290A93"/>
    <w:rsid w:val="0B966F45"/>
    <w:rsid w:val="0BA525D8"/>
    <w:rsid w:val="0BD50CE3"/>
    <w:rsid w:val="0BEE2901"/>
    <w:rsid w:val="0C2E29A6"/>
    <w:rsid w:val="0C2F6006"/>
    <w:rsid w:val="0C5B37C6"/>
    <w:rsid w:val="0C76246E"/>
    <w:rsid w:val="0C8352C9"/>
    <w:rsid w:val="0C88726E"/>
    <w:rsid w:val="0C98437D"/>
    <w:rsid w:val="0D12601B"/>
    <w:rsid w:val="0D455427"/>
    <w:rsid w:val="0D5616A6"/>
    <w:rsid w:val="0D5E5DCC"/>
    <w:rsid w:val="0D7E5707"/>
    <w:rsid w:val="0DC72578"/>
    <w:rsid w:val="0DF94501"/>
    <w:rsid w:val="0E32720B"/>
    <w:rsid w:val="0E473521"/>
    <w:rsid w:val="0E7864B7"/>
    <w:rsid w:val="0EBC7032"/>
    <w:rsid w:val="0EDA4061"/>
    <w:rsid w:val="0F465E03"/>
    <w:rsid w:val="0F5951D3"/>
    <w:rsid w:val="0F673144"/>
    <w:rsid w:val="0F681E22"/>
    <w:rsid w:val="0F9262E5"/>
    <w:rsid w:val="0FD005A4"/>
    <w:rsid w:val="10390CED"/>
    <w:rsid w:val="10680058"/>
    <w:rsid w:val="10752CF3"/>
    <w:rsid w:val="108D7FEC"/>
    <w:rsid w:val="10973028"/>
    <w:rsid w:val="10B70ADD"/>
    <w:rsid w:val="10EB0A61"/>
    <w:rsid w:val="10F96CD3"/>
    <w:rsid w:val="11230728"/>
    <w:rsid w:val="112B1DC1"/>
    <w:rsid w:val="11606976"/>
    <w:rsid w:val="11714A01"/>
    <w:rsid w:val="117E3EBF"/>
    <w:rsid w:val="11A63895"/>
    <w:rsid w:val="11AA0E33"/>
    <w:rsid w:val="11D465DE"/>
    <w:rsid w:val="11D54941"/>
    <w:rsid w:val="12356713"/>
    <w:rsid w:val="124E6914"/>
    <w:rsid w:val="12AA6CF7"/>
    <w:rsid w:val="12BC0338"/>
    <w:rsid w:val="12DE4113"/>
    <w:rsid w:val="12F51579"/>
    <w:rsid w:val="13042B7A"/>
    <w:rsid w:val="1338631F"/>
    <w:rsid w:val="13B124D5"/>
    <w:rsid w:val="13F9694A"/>
    <w:rsid w:val="140712E6"/>
    <w:rsid w:val="14333776"/>
    <w:rsid w:val="144F6715"/>
    <w:rsid w:val="146805A8"/>
    <w:rsid w:val="14742001"/>
    <w:rsid w:val="14AA5797"/>
    <w:rsid w:val="14B71172"/>
    <w:rsid w:val="14D15CCE"/>
    <w:rsid w:val="15667555"/>
    <w:rsid w:val="15C01D2D"/>
    <w:rsid w:val="16150220"/>
    <w:rsid w:val="1618628E"/>
    <w:rsid w:val="161F09ED"/>
    <w:rsid w:val="164342FA"/>
    <w:rsid w:val="164E497A"/>
    <w:rsid w:val="165D035E"/>
    <w:rsid w:val="16A22BEB"/>
    <w:rsid w:val="16B966B9"/>
    <w:rsid w:val="16CB645F"/>
    <w:rsid w:val="16F86A08"/>
    <w:rsid w:val="171820A2"/>
    <w:rsid w:val="171B1048"/>
    <w:rsid w:val="17571001"/>
    <w:rsid w:val="17F972C4"/>
    <w:rsid w:val="181270D8"/>
    <w:rsid w:val="183A7AB3"/>
    <w:rsid w:val="184335AA"/>
    <w:rsid w:val="185C4B83"/>
    <w:rsid w:val="18DC1263"/>
    <w:rsid w:val="18E757E1"/>
    <w:rsid w:val="19875E05"/>
    <w:rsid w:val="19A71B6C"/>
    <w:rsid w:val="19C458E7"/>
    <w:rsid w:val="1A26730A"/>
    <w:rsid w:val="1A58707C"/>
    <w:rsid w:val="1ADD1051"/>
    <w:rsid w:val="1B170F6C"/>
    <w:rsid w:val="1B200CF6"/>
    <w:rsid w:val="1B2E05FE"/>
    <w:rsid w:val="1B305EF0"/>
    <w:rsid w:val="1B804CE5"/>
    <w:rsid w:val="1B8448B7"/>
    <w:rsid w:val="1C69716C"/>
    <w:rsid w:val="1CA7647F"/>
    <w:rsid w:val="1CB1569A"/>
    <w:rsid w:val="1CB313F6"/>
    <w:rsid w:val="1CD30593"/>
    <w:rsid w:val="1CEC75C1"/>
    <w:rsid w:val="1D320622"/>
    <w:rsid w:val="1D344347"/>
    <w:rsid w:val="1D503F50"/>
    <w:rsid w:val="1D6C4B3B"/>
    <w:rsid w:val="1D825650"/>
    <w:rsid w:val="1DBD2F06"/>
    <w:rsid w:val="1DF719E4"/>
    <w:rsid w:val="1E1C5E73"/>
    <w:rsid w:val="1E3D5BFF"/>
    <w:rsid w:val="1E5B585E"/>
    <w:rsid w:val="1E824829"/>
    <w:rsid w:val="1E8563ED"/>
    <w:rsid w:val="1EA0459D"/>
    <w:rsid w:val="1EB21D4C"/>
    <w:rsid w:val="1ED42809"/>
    <w:rsid w:val="1F2B6DFB"/>
    <w:rsid w:val="1F492E83"/>
    <w:rsid w:val="1F6A2CF4"/>
    <w:rsid w:val="1F715EA6"/>
    <w:rsid w:val="1F756459"/>
    <w:rsid w:val="1FFD6FC8"/>
    <w:rsid w:val="202279CC"/>
    <w:rsid w:val="20441B19"/>
    <w:rsid w:val="20663493"/>
    <w:rsid w:val="20A6481A"/>
    <w:rsid w:val="20B87A68"/>
    <w:rsid w:val="20BF45FE"/>
    <w:rsid w:val="20C70459"/>
    <w:rsid w:val="20F327F1"/>
    <w:rsid w:val="2102069D"/>
    <w:rsid w:val="211D5C24"/>
    <w:rsid w:val="215F78EC"/>
    <w:rsid w:val="21F11A78"/>
    <w:rsid w:val="22160B82"/>
    <w:rsid w:val="222E4ADC"/>
    <w:rsid w:val="22596F3A"/>
    <w:rsid w:val="22633CAD"/>
    <w:rsid w:val="22643E0F"/>
    <w:rsid w:val="229F23A9"/>
    <w:rsid w:val="22D26F9A"/>
    <w:rsid w:val="22F234E2"/>
    <w:rsid w:val="230F44D7"/>
    <w:rsid w:val="231678A1"/>
    <w:rsid w:val="233733AC"/>
    <w:rsid w:val="23B12896"/>
    <w:rsid w:val="23C00A75"/>
    <w:rsid w:val="23F316BB"/>
    <w:rsid w:val="241A11AE"/>
    <w:rsid w:val="248A7D5E"/>
    <w:rsid w:val="24963225"/>
    <w:rsid w:val="24994A73"/>
    <w:rsid w:val="24D352DF"/>
    <w:rsid w:val="24EC4414"/>
    <w:rsid w:val="24F25805"/>
    <w:rsid w:val="25377C12"/>
    <w:rsid w:val="25A008DD"/>
    <w:rsid w:val="25B0273C"/>
    <w:rsid w:val="25B86354"/>
    <w:rsid w:val="25D45C3E"/>
    <w:rsid w:val="25DB33D1"/>
    <w:rsid w:val="25DD61F7"/>
    <w:rsid w:val="263F56EE"/>
    <w:rsid w:val="264F6C0E"/>
    <w:rsid w:val="26AC4400"/>
    <w:rsid w:val="271F3084"/>
    <w:rsid w:val="275D0EE5"/>
    <w:rsid w:val="276E7580"/>
    <w:rsid w:val="277070EA"/>
    <w:rsid w:val="278D7F5C"/>
    <w:rsid w:val="279E1806"/>
    <w:rsid w:val="279F27E3"/>
    <w:rsid w:val="281E11E4"/>
    <w:rsid w:val="285D4024"/>
    <w:rsid w:val="288C5A63"/>
    <w:rsid w:val="28B92147"/>
    <w:rsid w:val="293407FF"/>
    <w:rsid w:val="29D26BE3"/>
    <w:rsid w:val="2A19597B"/>
    <w:rsid w:val="2A4F4A98"/>
    <w:rsid w:val="2A6C2D68"/>
    <w:rsid w:val="2A7439F6"/>
    <w:rsid w:val="2A8A5EE4"/>
    <w:rsid w:val="2AEA69C9"/>
    <w:rsid w:val="2AFF1738"/>
    <w:rsid w:val="2B371124"/>
    <w:rsid w:val="2B376F2C"/>
    <w:rsid w:val="2B417276"/>
    <w:rsid w:val="2B51291E"/>
    <w:rsid w:val="2B5A5895"/>
    <w:rsid w:val="2B790107"/>
    <w:rsid w:val="2BA702B7"/>
    <w:rsid w:val="2BAF326F"/>
    <w:rsid w:val="2BBE765A"/>
    <w:rsid w:val="2C245A81"/>
    <w:rsid w:val="2C486007"/>
    <w:rsid w:val="2C4F787A"/>
    <w:rsid w:val="2C764B59"/>
    <w:rsid w:val="2C852F06"/>
    <w:rsid w:val="2C9214D0"/>
    <w:rsid w:val="2C9A44E5"/>
    <w:rsid w:val="2C9F53AF"/>
    <w:rsid w:val="2CBA641B"/>
    <w:rsid w:val="2CFB4920"/>
    <w:rsid w:val="2D982E0B"/>
    <w:rsid w:val="2DA20924"/>
    <w:rsid w:val="2DEE5C16"/>
    <w:rsid w:val="2E072654"/>
    <w:rsid w:val="2EAC24EC"/>
    <w:rsid w:val="2EB6719F"/>
    <w:rsid w:val="2F0D3659"/>
    <w:rsid w:val="2F2E122B"/>
    <w:rsid w:val="2F6333F4"/>
    <w:rsid w:val="2F9075F6"/>
    <w:rsid w:val="2FB860F9"/>
    <w:rsid w:val="2FEC4779"/>
    <w:rsid w:val="304F32F8"/>
    <w:rsid w:val="307B4A76"/>
    <w:rsid w:val="31011E8B"/>
    <w:rsid w:val="31587869"/>
    <w:rsid w:val="317F3D7D"/>
    <w:rsid w:val="31B60DCF"/>
    <w:rsid w:val="31BC0D04"/>
    <w:rsid w:val="31CD0C24"/>
    <w:rsid w:val="31F0559B"/>
    <w:rsid w:val="322963D4"/>
    <w:rsid w:val="32A01606"/>
    <w:rsid w:val="32C94A9C"/>
    <w:rsid w:val="32DA4848"/>
    <w:rsid w:val="32EF7972"/>
    <w:rsid w:val="332D454F"/>
    <w:rsid w:val="334E1463"/>
    <w:rsid w:val="33573F06"/>
    <w:rsid w:val="339B7340"/>
    <w:rsid w:val="33D231F8"/>
    <w:rsid w:val="33F85559"/>
    <w:rsid w:val="34157A58"/>
    <w:rsid w:val="344920A7"/>
    <w:rsid w:val="34954276"/>
    <w:rsid w:val="34983E85"/>
    <w:rsid w:val="34A07D70"/>
    <w:rsid w:val="34B5590B"/>
    <w:rsid w:val="34F03F21"/>
    <w:rsid w:val="35171D00"/>
    <w:rsid w:val="353E331F"/>
    <w:rsid w:val="354C1DF6"/>
    <w:rsid w:val="3577140D"/>
    <w:rsid w:val="357925FF"/>
    <w:rsid w:val="3591737C"/>
    <w:rsid w:val="35A63D95"/>
    <w:rsid w:val="35AB3B2B"/>
    <w:rsid w:val="35B11597"/>
    <w:rsid w:val="360B3E62"/>
    <w:rsid w:val="362E479C"/>
    <w:rsid w:val="367F29FE"/>
    <w:rsid w:val="36CD31A6"/>
    <w:rsid w:val="36D01C1A"/>
    <w:rsid w:val="36D72917"/>
    <w:rsid w:val="36E41E01"/>
    <w:rsid w:val="370E4390"/>
    <w:rsid w:val="373A697A"/>
    <w:rsid w:val="3744619F"/>
    <w:rsid w:val="375724D3"/>
    <w:rsid w:val="376F2B4C"/>
    <w:rsid w:val="37797AAB"/>
    <w:rsid w:val="37965565"/>
    <w:rsid w:val="379A7963"/>
    <w:rsid w:val="37B70A92"/>
    <w:rsid w:val="38195423"/>
    <w:rsid w:val="38331AD4"/>
    <w:rsid w:val="38C56C0D"/>
    <w:rsid w:val="3917195A"/>
    <w:rsid w:val="39192682"/>
    <w:rsid w:val="3971655D"/>
    <w:rsid w:val="397A5637"/>
    <w:rsid w:val="397B07A1"/>
    <w:rsid w:val="3A2705DA"/>
    <w:rsid w:val="3A496DD4"/>
    <w:rsid w:val="3A5971A0"/>
    <w:rsid w:val="3A8525FC"/>
    <w:rsid w:val="3AAC1548"/>
    <w:rsid w:val="3AC91B59"/>
    <w:rsid w:val="3AD4225A"/>
    <w:rsid w:val="3AFE0553"/>
    <w:rsid w:val="3B0E6A79"/>
    <w:rsid w:val="3B265EE6"/>
    <w:rsid w:val="3B2958E9"/>
    <w:rsid w:val="3B4330B3"/>
    <w:rsid w:val="3B8371A7"/>
    <w:rsid w:val="3B9153A8"/>
    <w:rsid w:val="3BB450D2"/>
    <w:rsid w:val="3BE81CD4"/>
    <w:rsid w:val="3C016259"/>
    <w:rsid w:val="3C0C648C"/>
    <w:rsid w:val="3C412EAA"/>
    <w:rsid w:val="3C806348"/>
    <w:rsid w:val="3C8C1D3C"/>
    <w:rsid w:val="3D11205B"/>
    <w:rsid w:val="3D3D55B3"/>
    <w:rsid w:val="3D3F29A4"/>
    <w:rsid w:val="3DAC5982"/>
    <w:rsid w:val="3DF57717"/>
    <w:rsid w:val="3E2A2B34"/>
    <w:rsid w:val="3E5527E2"/>
    <w:rsid w:val="3E87586E"/>
    <w:rsid w:val="3F12480E"/>
    <w:rsid w:val="3F416DEB"/>
    <w:rsid w:val="3F50722A"/>
    <w:rsid w:val="3F547CFB"/>
    <w:rsid w:val="3F645D9C"/>
    <w:rsid w:val="3FB341CD"/>
    <w:rsid w:val="3FDD54B1"/>
    <w:rsid w:val="3FE168EF"/>
    <w:rsid w:val="400B7D6B"/>
    <w:rsid w:val="4017102C"/>
    <w:rsid w:val="40566491"/>
    <w:rsid w:val="405A34BE"/>
    <w:rsid w:val="40681E08"/>
    <w:rsid w:val="40B251CA"/>
    <w:rsid w:val="40D12F9B"/>
    <w:rsid w:val="40D50F73"/>
    <w:rsid w:val="40E765BD"/>
    <w:rsid w:val="40F577A9"/>
    <w:rsid w:val="414E6719"/>
    <w:rsid w:val="417A46D4"/>
    <w:rsid w:val="419345E1"/>
    <w:rsid w:val="41940CDA"/>
    <w:rsid w:val="41BB7F90"/>
    <w:rsid w:val="41CF0BCF"/>
    <w:rsid w:val="41D427C4"/>
    <w:rsid w:val="41E04248"/>
    <w:rsid w:val="42042CCA"/>
    <w:rsid w:val="42EA1278"/>
    <w:rsid w:val="430E2E86"/>
    <w:rsid w:val="431437FB"/>
    <w:rsid w:val="432253F9"/>
    <w:rsid w:val="432969BD"/>
    <w:rsid w:val="433C6D75"/>
    <w:rsid w:val="43482809"/>
    <w:rsid w:val="43727FC7"/>
    <w:rsid w:val="43794BD1"/>
    <w:rsid w:val="43962EE7"/>
    <w:rsid w:val="43F11169"/>
    <w:rsid w:val="44716743"/>
    <w:rsid w:val="44781099"/>
    <w:rsid w:val="448D3228"/>
    <w:rsid w:val="44D70159"/>
    <w:rsid w:val="44F8685E"/>
    <w:rsid w:val="454318B1"/>
    <w:rsid w:val="4553238D"/>
    <w:rsid w:val="458F25CF"/>
    <w:rsid w:val="461A78A6"/>
    <w:rsid w:val="46750922"/>
    <w:rsid w:val="469C0D40"/>
    <w:rsid w:val="46A301C2"/>
    <w:rsid w:val="46B215A3"/>
    <w:rsid w:val="46C36755"/>
    <w:rsid w:val="46D027AA"/>
    <w:rsid w:val="46D16AA8"/>
    <w:rsid w:val="47440ED2"/>
    <w:rsid w:val="47723768"/>
    <w:rsid w:val="479D6455"/>
    <w:rsid w:val="47D14699"/>
    <w:rsid w:val="47D9353C"/>
    <w:rsid w:val="47FB70B2"/>
    <w:rsid w:val="483219A8"/>
    <w:rsid w:val="485F0E48"/>
    <w:rsid w:val="48875C49"/>
    <w:rsid w:val="48B42737"/>
    <w:rsid w:val="48B5112D"/>
    <w:rsid w:val="48BA1ECA"/>
    <w:rsid w:val="48DD2962"/>
    <w:rsid w:val="48F75EF7"/>
    <w:rsid w:val="49340CA0"/>
    <w:rsid w:val="49413270"/>
    <w:rsid w:val="4942032F"/>
    <w:rsid w:val="49490BB1"/>
    <w:rsid w:val="49692915"/>
    <w:rsid w:val="49EF1F42"/>
    <w:rsid w:val="49F54794"/>
    <w:rsid w:val="4A0355CE"/>
    <w:rsid w:val="4A3847B0"/>
    <w:rsid w:val="4A3F772C"/>
    <w:rsid w:val="4A6603DD"/>
    <w:rsid w:val="4A6E7668"/>
    <w:rsid w:val="4AAE2EEE"/>
    <w:rsid w:val="4AE81E2D"/>
    <w:rsid w:val="4B976D28"/>
    <w:rsid w:val="4B992729"/>
    <w:rsid w:val="4BAB7C29"/>
    <w:rsid w:val="4BF14E5C"/>
    <w:rsid w:val="4C1916D1"/>
    <w:rsid w:val="4C3A3D0D"/>
    <w:rsid w:val="4CE21286"/>
    <w:rsid w:val="4D2301A6"/>
    <w:rsid w:val="4D397E04"/>
    <w:rsid w:val="4D750D7E"/>
    <w:rsid w:val="4DA237EC"/>
    <w:rsid w:val="4DD1007C"/>
    <w:rsid w:val="4DD80FF0"/>
    <w:rsid w:val="4DF37665"/>
    <w:rsid w:val="4EBC4081"/>
    <w:rsid w:val="4F706460"/>
    <w:rsid w:val="4F766BA7"/>
    <w:rsid w:val="4F96706C"/>
    <w:rsid w:val="4FA060F5"/>
    <w:rsid w:val="4FC915F8"/>
    <w:rsid w:val="4FCA77BD"/>
    <w:rsid w:val="50026152"/>
    <w:rsid w:val="50227DCE"/>
    <w:rsid w:val="504E4277"/>
    <w:rsid w:val="506F3038"/>
    <w:rsid w:val="50F07683"/>
    <w:rsid w:val="5141571D"/>
    <w:rsid w:val="51650159"/>
    <w:rsid w:val="516C70A1"/>
    <w:rsid w:val="51767005"/>
    <w:rsid w:val="519C25A2"/>
    <w:rsid w:val="51BD49A9"/>
    <w:rsid w:val="51F81FB4"/>
    <w:rsid w:val="52002EB5"/>
    <w:rsid w:val="525C4143"/>
    <w:rsid w:val="52907286"/>
    <w:rsid w:val="52B85D86"/>
    <w:rsid w:val="53084074"/>
    <w:rsid w:val="53217231"/>
    <w:rsid w:val="5325507F"/>
    <w:rsid w:val="53296229"/>
    <w:rsid w:val="532A04C8"/>
    <w:rsid w:val="534B0C47"/>
    <w:rsid w:val="5360776D"/>
    <w:rsid w:val="537261AA"/>
    <w:rsid w:val="53E411F3"/>
    <w:rsid w:val="53E7314D"/>
    <w:rsid w:val="54103240"/>
    <w:rsid w:val="54205240"/>
    <w:rsid w:val="542A7B8D"/>
    <w:rsid w:val="543E0321"/>
    <w:rsid w:val="545D5AF4"/>
    <w:rsid w:val="551032A1"/>
    <w:rsid w:val="55326A62"/>
    <w:rsid w:val="558B0EF2"/>
    <w:rsid w:val="56195DC5"/>
    <w:rsid w:val="562D782B"/>
    <w:rsid w:val="564473AD"/>
    <w:rsid w:val="5671771B"/>
    <w:rsid w:val="56B26734"/>
    <w:rsid w:val="56CF42A3"/>
    <w:rsid w:val="56D21446"/>
    <w:rsid w:val="56D25E29"/>
    <w:rsid w:val="56D4166D"/>
    <w:rsid w:val="56EB71CB"/>
    <w:rsid w:val="572A056F"/>
    <w:rsid w:val="572F2122"/>
    <w:rsid w:val="57513E3C"/>
    <w:rsid w:val="575E71D1"/>
    <w:rsid w:val="577379DD"/>
    <w:rsid w:val="57780285"/>
    <w:rsid w:val="579272E0"/>
    <w:rsid w:val="57CB7122"/>
    <w:rsid w:val="57DE0364"/>
    <w:rsid w:val="57EC63B3"/>
    <w:rsid w:val="58705983"/>
    <w:rsid w:val="58B51E2F"/>
    <w:rsid w:val="58C67724"/>
    <w:rsid w:val="58D2007B"/>
    <w:rsid w:val="58EF2AD7"/>
    <w:rsid w:val="58F74373"/>
    <w:rsid w:val="592B2BC8"/>
    <w:rsid w:val="5945570A"/>
    <w:rsid w:val="598A1022"/>
    <w:rsid w:val="5A03634B"/>
    <w:rsid w:val="5A5538A1"/>
    <w:rsid w:val="5AA20FEB"/>
    <w:rsid w:val="5AE570C3"/>
    <w:rsid w:val="5B1D7095"/>
    <w:rsid w:val="5B5267B9"/>
    <w:rsid w:val="5B5F034D"/>
    <w:rsid w:val="5B64318C"/>
    <w:rsid w:val="5B696965"/>
    <w:rsid w:val="5B717B33"/>
    <w:rsid w:val="5BC05588"/>
    <w:rsid w:val="5BC237E2"/>
    <w:rsid w:val="5BE21F66"/>
    <w:rsid w:val="5BFB37A6"/>
    <w:rsid w:val="5C240C7B"/>
    <w:rsid w:val="5C483AC9"/>
    <w:rsid w:val="5CA52AF5"/>
    <w:rsid w:val="5CCE1A7B"/>
    <w:rsid w:val="5CFE68E7"/>
    <w:rsid w:val="5D42415C"/>
    <w:rsid w:val="5D73146B"/>
    <w:rsid w:val="5DA35F0B"/>
    <w:rsid w:val="5DDE2965"/>
    <w:rsid w:val="5DFF13CA"/>
    <w:rsid w:val="5E0B635A"/>
    <w:rsid w:val="5EA11D24"/>
    <w:rsid w:val="5ED92AEC"/>
    <w:rsid w:val="5EED5509"/>
    <w:rsid w:val="5F081D11"/>
    <w:rsid w:val="5F372A1F"/>
    <w:rsid w:val="5F450AC7"/>
    <w:rsid w:val="5F460C39"/>
    <w:rsid w:val="5F8B191C"/>
    <w:rsid w:val="5FED30E0"/>
    <w:rsid w:val="60210B27"/>
    <w:rsid w:val="605B7E8A"/>
    <w:rsid w:val="606A2517"/>
    <w:rsid w:val="607B06DD"/>
    <w:rsid w:val="609E675C"/>
    <w:rsid w:val="60B00C54"/>
    <w:rsid w:val="60BC7A45"/>
    <w:rsid w:val="610B3038"/>
    <w:rsid w:val="613B6F0D"/>
    <w:rsid w:val="615156EA"/>
    <w:rsid w:val="6157463B"/>
    <w:rsid w:val="6194649D"/>
    <w:rsid w:val="61BA3C54"/>
    <w:rsid w:val="61D95E93"/>
    <w:rsid w:val="61E84DE5"/>
    <w:rsid w:val="61E91867"/>
    <w:rsid w:val="6200172D"/>
    <w:rsid w:val="62012E19"/>
    <w:rsid w:val="620C4DF8"/>
    <w:rsid w:val="62396880"/>
    <w:rsid w:val="6261756F"/>
    <w:rsid w:val="628166FA"/>
    <w:rsid w:val="62946B22"/>
    <w:rsid w:val="62B11F77"/>
    <w:rsid w:val="62D2414E"/>
    <w:rsid w:val="62FE72D8"/>
    <w:rsid w:val="634D2D5C"/>
    <w:rsid w:val="63686109"/>
    <w:rsid w:val="63856413"/>
    <w:rsid w:val="639120F3"/>
    <w:rsid w:val="63D201A3"/>
    <w:rsid w:val="63D83E90"/>
    <w:rsid w:val="64003D27"/>
    <w:rsid w:val="640F08FE"/>
    <w:rsid w:val="646E04C5"/>
    <w:rsid w:val="64A13996"/>
    <w:rsid w:val="64AD388C"/>
    <w:rsid w:val="64B60830"/>
    <w:rsid w:val="64EB60D2"/>
    <w:rsid w:val="653122C2"/>
    <w:rsid w:val="65734859"/>
    <w:rsid w:val="657E6542"/>
    <w:rsid w:val="66291EF4"/>
    <w:rsid w:val="6655487D"/>
    <w:rsid w:val="668F231C"/>
    <w:rsid w:val="66C66E69"/>
    <w:rsid w:val="66D962DA"/>
    <w:rsid w:val="67115471"/>
    <w:rsid w:val="673E3563"/>
    <w:rsid w:val="67660B91"/>
    <w:rsid w:val="67834728"/>
    <w:rsid w:val="67972079"/>
    <w:rsid w:val="67E623F7"/>
    <w:rsid w:val="681253D0"/>
    <w:rsid w:val="685A6D95"/>
    <w:rsid w:val="68AF10F7"/>
    <w:rsid w:val="68E15E4A"/>
    <w:rsid w:val="68F2680E"/>
    <w:rsid w:val="69271690"/>
    <w:rsid w:val="69BA03A8"/>
    <w:rsid w:val="69C55233"/>
    <w:rsid w:val="69CD78F2"/>
    <w:rsid w:val="69DC3927"/>
    <w:rsid w:val="69DE7098"/>
    <w:rsid w:val="69EB0D20"/>
    <w:rsid w:val="69F71B66"/>
    <w:rsid w:val="69FB5F53"/>
    <w:rsid w:val="6A1C22CC"/>
    <w:rsid w:val="6A436251"/>
    <w:rsid w:val="6A477C6E"/>
    <w:rsid w:val="6A5935AC"/>
    <w:rsid w:val="6ADC50AC"/>
    <w:rsid w:val="6AE866A8"/>
    <w:rsid w:val="6AF619D0"/>
    <w:rsid w:val="6B051D29"/>
    <w:rsid w:val="6B106310"/>
    <w:rsid w:val="6B2E1248"/>
    <w:rsid w:val="6B703D33"/>
    <w:rsid w:val="6B711B7A"/>
    <w:rsid w:val="6B7C07EC"/>
    <w:rsid w:val="6BE8725E"/>
    <w:rsid w:val="6BEB7D83"/>
    <w:rsid w:val="6C152647"/>
    <w:rsid w:val="6C231EE1"/>
    <w:rsid w:val="6C2F6077"/>
    <w:rsid w:val="6C6608D6"/>
    <w:rsid w:val="6CA64834"/>
    <w:rsid w:val="6CF665AA"/>
    <w:rsid w:val="6D722C89"/>
    <w:rsid w:val="6D7633B3"/>
    <w:rsid w:val="6D8D7A35"/>
    <w:rsid w:val="6DDB69F4"/>
    <w:rsid w:val="6E4F523E"/>
    <w:rsid w:val="6E5729A2"/>
    <w:rsid w:val="6E583A1F"/>
    <w:rsid w:val="6E797201"/>
    <w:rsid w:val="6E904C77"/>
    <w:rsid w:val="6EAB742B"/>
    <w:rsid w:val="6EB0558D"/>
    <w:rsid w:val="6EC6113E"/>
    <w:rsid w:val="6EF814C0"/>
    <w:rsid w:val="6F170E2C"/>
    <w:rsid w:val="6F525975"/>
    <w:rsid w:val="70103DD3"/>
    <w:rsid w:val="70531535"/>
    <w:rsid w:val="70672A43"/>
    <w:rsid w:val="70695E17"/>
    <w:rsid w:val="70715556"/>
    <w:rsid w:val="70BF0D6E"/>
    <w:rsid w:val="70E01DD1"/>
    <w:rsid w:val="71027CA7"/>
    <w:rsid w:val="71597165"/>
    <w:rsid w:val="717D26FC"/>
    <w:rsid w:val="718544F1"/>
    <w:rsid w:val="71976AED"/>
    <w:rsid w:val="71B56BEA"/>
    <w:rsid w:val="71F60334"/>
    <w:rsid w:val="721F1D01"/>
    <w:rsid w:val="725D4C71"/>
    <w:rsid w:val="727C3FA9"/>
    <w:rsid w:val="72830348"/>
    <w:rsid w:val="72BB09E0"/>
    <w:rsid w:val="72C2124A"/>
    <w:rsid w:val="72C62EAF"/>
    <w:rsid w:val="730A3594"/>
    <w:rsid w:val="7341102A"/>
    <w:rsid w:val="73A17E6A"/>
    <w:rsid w:val="73D46903"/>
    <w:rsid w:val="73E16D57"/>
    <w:rsid w:val="744043D7"/>
    <w:rsid w:val="745C3615"/>
    <w:rsid w:val="746049BA"/>
    <w:rsid w:val="74874E5A"/>
    <w:rsid w:val="74A2568B"/>
    <w:rsid w:val="74BB1708"/>
    <w:rsid w:val="74D142ED"/>
    <w:rsid w:val="75AF3595"/>
    <w:rsid w:val="75C34EDD"/>
    <w:rsid w:val="76021882"/>
    <w:rsid w:val="762B6181"/>
    <w:rsid w:val="763F4C3E"/>
    <w:rsid w:val="766574D1"/>
    <w:rsid w:val="767C3DB4"/>
    <w:rsid w:val="76C20010"/>
    <w:rsid w:val="76C51974"/>
    <w:rsid w:val="76D0390B"/>
    <w:rsid w:val="76DE1045"/>
    <w:rsid w:val="774D3D2B"/>
    <w:rsid w:val="77AF2483"/>
    <w:rsid w:val="77D40866"/>
    <w:rsid w:val="77D64484"/>
    <w:rsid w:val="77E92124"/>
    <w:rsid w:val="77E922B4"/>
    <w:rsid w:val="78091FDD"/>
    <w:rsid w:val="78237AE9"/>
    <w:rsid w:val="786258A4"/>
    <w:rsid w:val="78D731DC"/>
    <w:rsid w:val="78E63711"/>
    <w:rsid w:val="78F0082E"/>
    <w:rsid w:val="7928350F"/>
    <w:rsid w:val="79330AE4"/>
    <w:rsid w:val="7969405B"/>
    <w:rsid w:val="798B1783"/>
    <w:rsid w:val="79B2108A"/>
    <w:rsid w:val="7A417E6A"/>
    <w:rsid w:val="7A7F6D5D"/>
    <w:rsid w:val="7A98347A"/>
    <w:rsid w:val="7AA222D1"/>
    <w:rsid w:val="7B2C0F71"/>
    <w:rsid w:val="7B647A4A"/>
    <w:rsid w:val="7B6C692E"/>
    <w:rsid w:val="7B8B77FD"/>
    <w:rsid w:val="7BBD0AA3"/>
    <w:rsid w:val="7BC71689"/>
    <w:rsid w:val="7BE20360"/>
    <w:rsid w:val="7C274813"/>
    <w:rsid w:val="7C7411F0"/>
    <w:rsid w:val="7C78688F"/>
    <w:rsid w:val="7C982D50"/>
    <w:rsid w:val="7D21376C"/>
    <w:rsid w:val="7D3943CC"/>
    <w:rsid w:val="7D7C4A81"/>
    <w:rsid w:val="7D8B198E"/>
    <w:rsid w:val="7DFC7E2B"/>
    <w:rsid w:val="7E955D77"/>
    <w:rsid w:val="7EB34175"/>
    <w:rsid w:val="7ED72C8B"/>
    <w:rsid w:val="7F183048"/>
    <w:rsid w:val="7F8B1A78"/>
    <w:rsid w:val="7FA418D8"/>
    <w:rsid w:val="7FA92784"/>
    <w:rsid w:val="7FA966C6"/>
    <w:rsid w:val="7FDD570F"/>
    <w:rsid w:val="7FE858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99"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link w:val="26"/>
    <w:qFormat/>
    <w:uiPriority w:val="0"/>
    <w:pPr>
      <w:keepNext/>
      <w:keepLines/>
      <w:spacing w:before="260" w:after="260" w:line="413" w:lineRule="auto"/>
      <w:outlineLvl w:val="1"/>
    </w:pPr>
    <w:rPr>
      <w:rFonts w:ascii="Arial" w:hAnsi="Arial" w:eastAsia="黑体"/>
      <w:b/>
      <w:sz w:val="32"/>
    </w:rPr>
  </w:style>
  <w:style w:type="paragraph" w:styleId="4">
    <w:name w:val="heading 4"/>
    <w:basedOn w:val="1"/>
    <w:next w:val="1"/>
    <w:qFormat/>
    <w:uiPriority w:val="0"/>
    <w:pPr>
      <w:keepNext/>
      <w:keepLines/>
      <w:outlineLvl w:val="3"/>
    </w:pPr>
    <w:rPr>
      <w:rFonts w:ascii="Arial" w:hAnsi="Arial" w:eastAsia="黑体"/>
      <w:bCs/>
      <w:kern w:val="0"/>
      <w:sz w:val="24"/>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7"/>
    <w:unhideWhenUsed/>
    <w:qFormat/>
    <w:uiPriority w:val="99"/>
    <w:pPr>
      <w:jc w:val="left"/>
    </w:pPr>
  </w:style>
  <w:style w:type="paragraph" w:styleId="6">
    <w:name w:val="Body Text"/>
    <w:basedOn w:val="1"/>
    <w:next w:val="1"/>
    <w:unhideWhenUsed/>
    <w:qFormat/>
    <w:uiPriority w:val="0"/>
    <w:pPr>
      <w:spacing w:after="120"/>
    </w:pPr>
  </w:style>
  <w:style w:type="paragraph" w:styleId="7">
    <w:name w:val="Body Text Indent"/>
    <w:basedOn w:val="1"/>
    <w:next w:val="8"/>
    <w:qFormat/>
    <w:uiPriority w:val="0"/>
    <w:pPr>
      <w:spacing w:after="120"/>
      <w:ind w:left="420"/>
    </w:pPr>
  </w:style>
  <w:style w:type="paragraph" w:styleId="8">
    <w:name w:val="Body Text First Indent 2"/>
    <w:basedOn w:val="7"/>
    <w:next w:val="9"/>
    <w:unhideWhenUsed/>
    <w:qFormat/>
    <w:uiPriority w:val="99"/>
    <w:pPr>
      <w:ind w:left="200" w:leftChars="200" w:firstLine="420"/>
    </w:pPr>
  </w:style>
  <w:style w:type="paragraph" w:styleId="9">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0">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1">
    <w:name w:val="Plain Text"/>
    <w:basedOn w:val="1"/>
    <w:link w:val="28"/>
    <w:qFormat/>
    <w:uiPriority w:val="99"/>
    <w:rPr>
      <w:rFonts w:ascii="宋体" w:hAnsi="Courier New" w:cs="Courier New"/>
      <w:szCs w:val="21"/>
    </w:rPr>
  </w:style>
  <w:style w:type="paragraph" w:styleId="12">
    <w:name w:val="Date"/>
    <w:basedOn w:val="1"/>
    <w:next w:val="1"/>
    <w:link w:val="29"/>
    <w:qFormat/>
    <w:uiPriority w:val="0"/>
    <w:pPr>
      <w:ind w:left="100" w:leftChars="2500"/>
    </w:pPr>
  </w:style>
  <w:style w:type="paragraph" w:styleId="13">
    <w:name w:val="Balloon Text"/>
    <w:basedOn w:val="1"/>
    <w:link w:val="30"/>
    <w:qFormat/>
    <w:uiPriority w:val="0"/>
    <w:rPr>
      <w:sz w:val="18"/>
      <w:szCs w:val="18"/>
    </w:rPr>
  </w:style>
  <w:style w:type="paragraph" w:styleId="14">
    <w:name w:val="footer"/>
    <w:basedOn w:val="1"/>
    <w:link w:val="31"/>
    <w:qFormat/>
    <w:uiPriority w:val="99"/>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qFormat/>
    <w:uiPriority w:val="39"/>
  </w:style>
  <w:style w:type="paragraph" w:styleId="17">
    <w:name w:val="toc 2"/>
    <w:basedOn w:val="1"/>
    <w:next w:val="1"/>
    <w:qFormat/>
    <w:uiPriority w:val="39"/>
    <w:pPr>
      <w:ind w:left="420" w:leftChars="200"/>
    </w:pPr>
  </w:style>
  <w:style w:type="paragraph" w:styleId="18">
    <w:name w:val="annotation subject"/>
    <w:basedOn w:val="5"/>
    <w:next w:val="5"/>
    <w:link w:val="32"/>
    <w:qFormat/>
    <w:uiPriority w:val="0"/>
    <w:rPr>
      <w:b/>
      <w:bCs/>
    </w:rPr>
  </w:style>
  <w:style w:type="paragraph" w:styleId="19">
    <w:name w:val="Body Text First Indent"/>
    <w:basedOn w:val="6"/>
    <w:next w:val="1"/>
    <w:qFormat/>
    <w:uiPriority w:val="0"/>
    <w:pPr>
      <w:ind w:firstLine="420"/>
    </w:pPr>
    <w:rPr>
      <w:szCs w:val="20"/>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qFormat/>
    <w:uiPriority w:val="0"/>
    <w:rPr>
      <w:b/>
    </w:rPr>
  </w:style>
  <w:style w:type="character" w:styleId="24">
    <w:name w:val="Hyperlink"/>
    <w:qFormat/>
    <w:uiPriority w:val="99"/>
    <w:rPr>
      <w:color w:val="0000FF"/>
      <w:u w:val="single"/>
    </w:rPr>
  </w:style>
  <w:style w:type="character" w:styleId="25">
    <w:name w:val="annotation reference"/>
    <w:unhideWhenUsed/>
    <w:qFormat/>
    <w:uiPriority w:val="99"/>
    <w:rPr>
      <w:sz w:val="21"/>
      <w:szCs w:val="21"/>
    </w:rPr>
  </w:style>
  <w:style w:type="character" w:customStyle="1" w:styleId="26">
    <w:name w:val="标题 2 字符"/>
    <w:link w:val="3"/>
    <w:qFormat/>
    <w:uiPriority w:val="0"/>
    <w:rPr>
      <w:rFonts w:ascii="Arial" w:hAnsi="Arial" w:eastAsia="黑体"/>
      <w:b/>
      <w:kern w:val="2"/>
      <w:sz w:val="32"/>
      <w:szCs w:val="24"/>
    </w:rPr>
  </w:style>
  <w:style w:type="character" w:customStyle="1" w:styleId="27">
    <w:name w:val="批注文字 字符"/>
    <w:link w:val="5"/>
    <w:qFormat/>
    <w:uiPriority w:val="99"/>
    <w:rPr>
      <w:rFonts w:ascii="Calibri" w:hAnsi="Calibri" w:eastAsia="宋体" w:cs="Times New Roman"/>
      <w:kern w:val="2"/>
      <w:sz w:val="21"/>
      <w:szCs w:val="24"/>
    </w:rPr>
  </w:style>
  <w:style w:type="character" w:customStyle="1" w:styleId="28">
    <w:name w:val="纯文本 字符"/>
    <w:link w:val="11"/>
    <w:qFormat/>
    <w:uiPriority w:val="99"/>
    <w:rPr>
      <w:rFonts w:ascii="宋体" w:hAnsi="Courier New" w:eastAsia="宋体" w:cs="Courier New"/>
      <w:kern w:val="2"/>
      <w:sz w:val="21"/>
      <w:szCs w:val="21"/>
    </w:rPr>
  </w:style>
  <w:style w:type="character" w:customStyle="1" w:styleId="29">
    <w:name w:val="日期 字符"/>
    <w:link w:val="12"/>
    <w:qFormat/>
    <w:uiPriority w:val="0"/>
    <w:rPr>
      <w:rFonts w:ascii="Calibri" w:hAnsi="Calibri" w:eastAsia="宋体" w:cs="Times New Roman"/>
      <w:kern w:val="2"/>
      <w:sz w:val="21"/>
      <w:szCs w:val="24"/>
    </w:rPr>
  </w:style>
  <w:style w:type="character" w:customStyle="1" w:styleId="30">
    <w:name w:val="批注框文本 字符"/>
    <w:link w:val="13"/>
    <w:qFormat/>
    <w:uiPriority w:val="0"/>
    <w:rPr>
      <w:rFonts w:ascii="Calibri" w:hAnsi="Calibri" w:eastAsia="宋体" w:cs="Times New Roman"/>
      <w:kern w:val="2"/>
      <w:sz w:val="18"/>
      <w:szCs w:val="18"/>
    </w:rPr>
  </w:style>
  <w:style w:type="character" w:customStyle="1" w:styleId="31">
    <w:name w:val="页脚 字符"/>
    <w:link w:val="14"/>
    <w:qFormat/>
    <w:uiPriority w:val="99"/>
    <w:rPr>
      <w:kern w:val="2"/>
      <w:sz w:val="18"/>
      <w:szCs w:val="24"/>
    </w:rPr>
  </w:style>
  <w:style w:type="character" w:customStyle="1" w:styleId="32">
    <w:name w:val="批注主题 字符"/>
    <w:link w:val="18"/>
    <w:qFormat/>
    <w:uiPriority w:val="0"/>
    <w:rPr>
      <w:rFonts w:ascii="Calibri" w:hAnsi="Calibri" w:eastAsia="宋体" w:cs="Times New Roman"/>
      <w:b/>
      <w:bCs/>
      <w:kern w:val="2"/>
      <w:sz w:val="21"/>
      <w:szCs w:val="24"/>
    </w:rPr>
  </w:style>
  <w:style w:type="paragraph" w:styleId="33">
    <w:name w:val="List Paragraph"/>
    <w:basedOn w:val="1"/>
    <w:qFormat/>
    <w:uiPriority w:val="34"/>
    <w:pPr>
      <w:ind w:firstLine="420" w:firstLineChars="200"/>
    </w:pPr>
  </w:style>
  <w:style w:type="paragraph" w:customStyle="1" w:styleId="34">
    <w:name w:val="_Style 32"/>
    <w:basedOn w:val="2"/>
    <w:next w:val="1"/>
    <w:qFormat/>
    <w:uiPriority w:val="39"/>
    <w:pPr>
      <w:widowControl/>
      <w:spacing w:before="480" w:after="0" w:line="276" w:lineRule="auto"/>
      <w:jc w:val="left"/>
      <w:outlineLvl w:val="9"/>
    </w:pPr>
    <w:rPr>
      <w:rFonts w:ascii="Calibri Light" w:hAnsi="Calibri Light"/>
      <w:bCs/>
      <w:color w:val="2E74B5"/>
      <w:kern w:val="0"/>
      <w:sz w:val="28"/>
      <w:szCs w:val="28"/>
    </w:rPr>
  </w:style>
  <w:style w:type="paragraph" w:customStyle="1" w:styleId="35">
    <w:name w:val="_Style 33"/>
    <w:unhideWhenUsed/>
    <w:qFormat/>
    <w:uiPriority w:val="99"/>
    <w:rPr>
      <w:rFonts w:ascii="Times New Roman" w:hAnsi="Times New Roman" w:eastAsia="宋体" w:cs="Times New Roman"/>
      <w:kern w:val="2"/>
      <w:sz w:val="21"/>
      <w:szCs w:val="24"/>
      <w:lang w:val="en-US" w:eastAsia="zh-CN" w:bidi="ar-SA"/>
    </w:rPr>
  </w:style>
  <w:style w:type="paragraph" w:customStyle="1" w:styleId="36">
    <w:name w:val="列出段落11"/>
    <w:basedOn w:val="1"/>
    <w:qFormat/>
    <w:uiPriority w:val="34"/>
    <w:pPr>
      <w:ind w:firstLine="420" w:firstLineChars="200"/>
    </w:pPr>
    <w:rPr>
      <w:rFonts w:ascii="Calibri" w:hAnsi="Calibri"/>
      <w:szCs w:val="22"/>
      <w:lang w:val="zh-CN"/>
    </w:rPr>
  </w:style>
  <w:style w:type="paragraph" w:customStyle="1" w:styleId="3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8">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39">
    <w:name w:val="WPSOffice手动目录 1"/>
    <w:qFormat/>
    <w:uiPriority w:val="0"/>
    <w:rPr>
      <w:rFonts w:ascii="Times New Roman" w:hAnsi="Times New Roman" w:eastAsia="宋体" w:cs="Times New Roman"/>
      <w:lang w:val="en-US" w:eastAsia="zh-CN" w:bidi="ar-SA"/>
    </w:rPr>
  </w:style>
  <w:style w:type="paragraph" w:customStyle="1" w:styleId="40">
    <w:name w:val="正文文本首行缩进1"/>
    <w:basedOn w:val="6"/>
    <w:qFormat/>
    <w:uiPriority w:val="0"/>
    <w:pPr>
      <w:ind w:firstLine="420" w:firstLineChars="100"/>
    </w:pPr>
  </w:style>
  <w:style w:type="paragraph" w:customStyle="1" w:styleId="41">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42">
    <w:name w:val="_Style 3"/>
    <w:basedOn w:val="1"/>
    <w:next w:val="1"/>
    <w:qFormat/>
    <w:uiPriority w:val="0"/>
    <w:pPr>
      <w:pBdr>
        <w:top w:val="single" w:color="auto" w:sz="6" w:space="1"/>
      </w:pBdr>
      <w:jc w:val="center"/>
    </w:pPr>
    <w:rPr>
      <w:rFonts w:ascii="Arial"/>
      <w:vanish/>
      <w:sz w:val="16"/>
    </w:rPr>
  </w:style>
  <w:style w:type="paragraph" w:customStyle="1" w:styleId="43">
    <w:name w:val="Body text|1"/>
    <w:autoRedefine/>
    <w:qFormat/>
    <w:uiPriority w:val="0"/>
    <w:pPr>
      <w:widowControl w:val="0"/>
      <w:spacing w:line="401" w:lineRule="auto"/>
      <w:ind w:firstLine="400"/>
      <w:jc w:val="both"/>
    </w:pPr>
    <w:rPr>
      <w:rFonts w:ascii="宋体" w:hAnsi="宋体" w:eastAsia="宋体" w:cs="宋体"/>
      <w:kern w:val="2"/>
      <w:sz w:val="30"/>
      <w:szCs w:val="30"/>
      <w:lang w:val="zh-TW" w:eastAsia="zh-TW" w:bidi="zh-TW"/>
    </w:rPr>
  </w:style>
  <w:style w:type="paragraph" w:customStyle="1" w:styleId="44">
    <w:name w:val="正文 New New New New New New New New New New New New New New New"/>
    <w:next w:val="1"/>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19380</Words>
  <Characters>20531</Characters>
  <Lines>1416</Lines>
  <Paragraphs>1349</Paragraphs>
  <TotalTime>1</TotalTime>
  <ScaleCrop>false</ScaleCrop>
  <LinksUpToDate>false</LinksUpToDate>
  <CharactersWithSpaces>21632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2025-12-02T02:16:00Z</dcterms:created>
  <dc:creator>meimei</dc:creator>
  <cp:lastModifiedBy>北方招标</cp:lastModifiedBy>
  <cp:lastPrinted>2019-12-27T06:13:00Z</cp:lastPrinted>
  <dcterms:modified xsi:type="dcterms:W3CDTF">2025-12-03T06:15:46Z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67A28745938C42EFB54D53955D73A438_13</vt:lpwstr>
  </property>
  <property fmtid="{D5CDD505-2E9C-101B-9397-08002B2CF9AE}" pid="4" name="KSOTemplateDocerSaveRecord">
    <vt:lpwstr>eyJoZGlkIjoiNTcwNGNlNjdiY2ZjOTdmMzM1MWZlM2EwMTQ3NWNmOWEiLCJ1c2VySWQiOiI5NDIyMDk1MjIifQ==</vt:lpwstr>
  </property>
</Properties>
</file>