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8BC59">
      <w:pPr>
        <w:jc w:val="center"/>
        <w:rPr>
          <w:rFonts w:hint="eastAsia" w:eastAsia="宋体"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智慧可视化分析决策平台运营服务项目验收方案</w:t>
      </w:r>
    </w:p>
    <w:p w14:paraId="4076894D"/>
    <w:p w14:paraId="5486EFB4"/>
    <w:p w14:paraId="213C9FF9"/>
    <w:p w14:paraId="07209420"/>
    <w:tbl>
      <w:tblPr>
        <w:tblStyle w:val="3"/>
        <w:tblW w:w="8484" w:type="dxa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834"/>
        <w:gridCol w:w="1663"/>
        <w:gridCol w:w="4237"/>
      </w:tblGrid>
      <w:tr w14:paraId="702A6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0A0F31A6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序号</w:t>
            </w:r>
          </w:p>
        </w:tc>
        <w:tc>
          <w:tcPr>
            <w:tcW w:w="1834" w:type="dxa"/>
            <w:noWrap w:val="0"/>
            <w:vAlign w:val="center"/>
          </w:tcPr>
          <w:p w14:paraId="7693CA68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验收内容</w:t>
            </w:r>
          </w:p>
        </w:tc>
        <w:tc>
          <w:tcPr>
            <w:tcW w:w="1663" w:type="dxa"/>
            <w:noWrap w:val="0"/>
            <w:vAlign w:val="center"/>
          </w:tcPr>
          <w:p w14:paraId="5623C98E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验收方法</w:t>
            </w:r>
          </w:p>
        </w:tc>
        <w:tc>
          <w:tcPr>
            <w:tcW w:w="4237" w:type="dxa"/>
            <w:noWrap w:val="0"/>
            <w:vAlign w:val="center"/>
          </w:tcPr>
          <w:p w14:paraId="22808080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验收标准</w:t>
            </w:r>
          </w:p>
        </w:tc>
      </w:tr>
      <w:tr w14:paraId="179D53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1C4EFFCD">
            <w:pPr>
              <w:spacing w:line="240" w:lineRule="exact"/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1</w:t>
            </w:r>
          </w:p>
        </w:tc>
        <w:tc>
          <w:tcPr>
            <w:tcW w:w="1834" w:type="dxa"/>
            <w:noWrap w:val="0"/>
            <w:vAlign w:val="center"/>
          </w:tcPr>
          <w:p w14:paraId="1F0F353F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智慧体彩可视化系统功能</w:t>
            </w:r>
          </w:p>
        </w:tc>
        <w:tc>
          <w:tcPr>
            <w:tcW w:w="1663" w:type="dxa"/>
            <w:noWrap w:val="0"/>
            <w:vAlign w:val="center"/>
          </w:tcPr>
          <w:p w14:paraId="016B9A25">
            <w:pPr>
              <w:spacing w:line="460" w:lineRule="exact"/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文件（照片）</w:t>
            </w:r>
          </w:p>
          <w:p w14:paraId="7341C35B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验收</w:t>
            </w:r>
          </w:p>
        </w:tc>
        <w:tc>
          <w:tcPr>
            <w:tcW w:w="4237" w:type="dxa"/>
            <w:noWrap w:val="0"/>
            <w:vAlign w:val="center"/>
          </w:tcPr>
          <w:p w14:paraId="7C13CD04">
            <w:pPr>
              <w:jc w:val="left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系统功能：合规监管、数据分析、业务促销、综合预警、网络监控、机房监控、巡检管理等全部功能正常使用。</w:t>
            </w:r>
          </w:p>
        </w:tc>
      </w:tr>
      <w:tr w14:paraId="733EE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24590857">
            <w:pPr>
              <w:spacing w:line="240" w:lineRule="exact"/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2</w:t>
            </w:r>
          </w:p>
        </w:tc>
        <w:tc>
          <w:tcPr>
            <w:tcW w:w="1834" w:type="dxa"/>
            <w:noWrap w:val="0"/>
            <w:vAlign w:val="center"/>
          </w:tcPr>
          <w:p w14:paraId="19D13C02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服务报告</w:t>
            </w:r>
          </w:p>
        </w:tc>
        <w:tc>
          <w:tcPr>
            <w:tcW w:w="1663" w:type="dxa"/>
            <w:noWrap w:val="0"/>
            <w:vAlign w:val="center"/>
          </w:tcPr>
          <w:p w14:paraId="59ED0931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文件验收</w:t>
            </w:r>
          </w:p>
        </w:tc>
        <w:tc>
          <w:tcPr>
            <w:tcW w:w="4237" w:type="dxa"/>
            <w:noWrap w:val="0"/>
            <w:vAlign w:val="center"/>
          </w:tcPr>
          <w:p w14:paraId="22CBF436">
            <w:pPr>
              <w:spacing w:line="460" w:lineRule="exact"/>
              <w:jc w:val="left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提供服务期内的系统运营报告</w:t>
            </w:r>
          </w:p>
        </w:tc>
      </w:tr>
      <w:tr w14:paraId="2A193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7CDD99BF">
            <w:pPr>
              <w:spacing w:line="240" w:lineRule="exact"/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3</w:t>
            </w:r>
          </w:p>
        </w:tc>
        <w:tc>
          <w:tcPr>
            <w:tcW w:w="1834" w:type="dxa"/>
            <w:noWrap w:val="0"/>
            <w:vAlign w:val="center"/>
          </w:tcPr>
          <w:p w14:paraId="10FBB433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智慧体彩可视化系统功能可用性</w:t>
            </w:r>
          </w:p>
        </w:tc>
        <w:tc>
          <w:tcPr>
            <w:tcW w:w="1663" w:type="dxa"/>
            <w:noWrap w:val="0"/>
            <w:vAlign w:val="center"/>
          </w:tcPr>
          <w:p w14:paraId="0481AB3B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文件验收</w:t>
            </w:r>
          </w:p>
        </w:tc>
        <w:tc>
          <w:tcPr>
            <w:tcW w:w="4237" w:type="dxa"/>
            <w:noWrap w:val="0"/>
            <w:vAlign w:val="center"/>
          </w:tcPr>
          <w:p w14:paraId="64B0283B">
            <w:pPr>
              <w:spacing w:line="460" w:lineRule="exact"/>
              <w:jc w:val="left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保障服务期内系统功能系统功能可用性达到99.9%。</w:t>
            </w:r>
          </w:p>
        </w:tc>
      </w:tr>
      <w:tr w14:paraId="36811C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43DD7DE2">
            <w:pPr>
              <w:spacing w:line="240" w:lineRule="exact"/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4</w:t>
            </w:r>
          </w:p>
        </w:tc>
        <w:tc>
          <w:tcPr>
            <w:tcW w:w="1834" w:type="dxa"/>
            <w:noWrap w:val="0"/>
            <w:vAlign w:val="center"/>
          </w:tcPr>
          <w:p w14:paraId="465D8FDD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巡检报告</w:t>
            </w:r>
          </w:p>
        </w:tc>
        <w:tc>
          <w:tcPr>
            <w:tcW w:w="1663" w:type="dxa"/>
            <w:noWrap w:val="0"/>
            <w:vAlign w:val="center"/>
          </w:tcPr>
          <w:p w14:paraId="074CDF11">
            <w:pPr>
              <w:jc w:val="center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文件验收</w:t>
            </w:r>
          </w:p>
        </w:tc>
        <w:tc>
          <w:tcPr>
            <w:tcW w:w="4237" w:type="dxa"/>
            <w:noWrap w:val="0"/>
            <w:vAlign w:val="center"/>
          </w:tcPr>
          <w:p w14:paraId="57D67A24">
            <w:pPr>
              <w:spacing w:line="460" w:lineRule="exact"/>
              <w:jc w:val="left"/>
              <w:rPr>
                <w:rFonts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每季度提供一次系统巡检报告</w:t>
            </w:r>
          </w:p>
        </w:tc>
      </w:tr>
      <w:tr w14:paraId="6C170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50" w:type="dxa"/>
            <w:noWrap w:val="0"/>
            <w:vAlign w:val="center"/>
          </w:tcPr>
          <w:p w14:paraId="7767093B">
            <w:pPr>
              <w:spacing w:line="240" w:lineRule="exact"/>
              <w:jc w:val="center"/>
              <w:rPr>
                <w:rFonts w:hint="eastAsia"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5</w:t>
            </w:r>
          </w:p>
        </w:tc>
        <w:tc>
          <w:tcPr>
            <w:tcW w:w="1834" w:type="dxa"/>
            <w:noWrap w:val="0"/>
            <w:vAlign w:val="center"/>
          </w:tcPr>
          <w:p w14:paraId="53C1A5F8">
            <w:pPr>
              <w:jc w:val="center"/>
              <w:rPr>
                <w:rFonts w:hint="eastAsia"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故障响应时间</w:t>
            </w:r>
          </w:p>
        </w:tc>
        <w:tc>
          <w:tcPr>
            <w:tcW w:w="1663" w:type="dxa"/>
            <w:noWrap w:val="0"/>
            <w:vAlign w:val="center"/>
          </w:tcPr>
          <w:p w14:paraId="20402FC0">
            <w:pPr>
              <w:jc w:val="center"/>
              <w:rPr>
                <w:rFonts w:hint="eastAsia"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文件验收</w:t>
            </w:r>
          </w:p>
        </w:tc>
        <w:tc>
          <w:tcPr>
            <w:tcW w:w="4237" w:type="dxa"/>
            <w:noWrap w:val="0"/>
            <w:vAlign w:val="center"/>
          </w:tcPr>
          <w:p w14:paraId="20A69332">
            <w:pPr>
              <w:spacing w:line="460" w:lineRule="exact"/>
              <w:jc w:val="left"/>
              <w:rPr>
                <w:rFonts w:hint="eastAsia" w:ascii="仿宋" w:hAnsi="仿宋" w:eastAsia="仿宋" w:cs="仿宋"/>
                <w:color w:val="auto"/>
                <w:sz w:val="22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</w:rPr>
              <w:t>发生故障10分钟内响应，半小时内出解决方案，2小时内解决。</w:t>
            </w:r>
          </w:p>
        </w:tc>
      </w:tr>
    </w:tbl>
    <w:p w14:paraId="38DBCAB4">
      <w:pPr>
        <w:ind w:firstLine="320" w:firstLineChars="100"/>
        <w:rPr>
          <w:rFonts w:ascii="黑体" w:hAnsi="黑体" w:eastAsia="黑体" w:cs="黑体"/>
          <w:color w:val="auto"/>
          <w:sz w:val="32"/>
          <w:szCs w:val="32"/>
        </w:rPr>
      </w:pPr>
      <w:r>
        <w:rPr>
          <w:rFonts w:ascii="黑体" w:hAnsi="黑体" w:eastAsia="黑体" w:cs="黑体"/>
          <w:color w:val="auto"/>
          <w:sz w:val="32"/>
          <w:szCs w:val="32"/>
        </w:rPr>
        <w:t>违约责任</w:t>
      </w:r>
    </w:p>
    <w:p w14:paraId="444BBF31">
      <w:pPr>
        <w:pStyle w:val="5"/>
        <w:rPr>
          <w:rFonts w:hint="default" w:ascii="仿宋" w:hAnsi="仿宋" w:eastAsia="仿宋" w:cs="仿宋"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="仿宋"/>
          <w:color w:val="auto"/>
          <w:kern w:val="2"/>
          <w:sz w:val="32"/>
          <w:szCs w:val="32"/>
          <w:lang w:eastAsia="zh-CN"/>
        </w:rPr>
        <w:t>（1）供应商逾期履行服务的，供应商应按逾期交付总额每日3‰向采购人支付违约金，由采购人从待付货款中扣除。供应商无正当理由逾期超过约定日期15日仍不能交付的，视为“供应商不按合同约定履约”；</w:t>
      </w:r>
      <w:bookmarkStart w:id="0" w:name="_GoBack"/>
      <w:bookmarkEnd w:id="0"/>
    </w:p>
    <w:p w14:paraId="069DFDC8">
      <w:pPr>
        <w:pStyle w:val="5"/>
        <w:rPr>
          <w:rFonts w:hint="default" w:ascii="仿宋" w:hAnsi="仿宋" w:eastAsia="仿宋" w:cs="仿宋"/>
          <w:color w:val="auto"/>
          <w:kern w:val="2"/>
          <w:sz w:val="32"/>
          <w:szCs w:val="32"/>
          <w:lang w:eastAsia="zh-CN"/>
        </w:rPr>
      </w:pPr>
      <w:r>
        <w:rPr>
          <w:rFonts w:ascii="仿宋" w:hAnsi="仿宋" w:eastAsia="仿宋" w:cs="仿宋"/>
          <w:color w:val="auto"/>
          <w:kern w:val="2"/>
          <w:sz w:val="32"/>
          <w:szCs w:val="32"/>
          <w:lang w:eastAsia="zh-CN"/>
        </w:rPr>
        <w:t>（2）供应商所履行的服务未通过验收的，采购人有权拒绝，供应商愿意整改但逾期履行的，按供应商逾期履行处理。供应商拒绝整改的，视为“供应商不按合同约定履约”</w:t>
      </w:r>
    </w:p>
    <w:p w14:paraId="33D10335">
      <w:pPr>
        <w:pStyle w:val="5"/>
        <w:rPr>
          <w:rFonts w:hint="default" w:ascii="楷体" w:hAnsi="楷体" w:eastAsia="楷体" w:cs="楷体"/>
          <w:color w:val="auto"/>
          <w:sz w:val="32"/>
          <w:szCs w:val="32"/>
          <w:lang w:val="en-US" w:eastAsia="zh-CN" w:bidi="ar"/>
        </w:rPr>
      </w:pPr>
      <w:r>
        <w:rPr>
          <w:rFonts w:ascii="仿宋" w:hAnsi="仿宋" w:eastAsia="仿宋" w:cs="仿宋"/>
          <w:color w:val="auto"/>
          <w:kern w:val="2"/>
          <w:sz w:val="32"/>
          <w:szCs w:val="32"/>
          <w:lang w:eastAsia="zh-CN"/>
        </w:rPr>
        <w:t>（3）供应商不按合同约定履约的，采购人可以解除采购合同，供应商须向采购人支付合同金额20%的违约金。</w:t>
      </w:r>
    </w:p>
    <w:p w14:paraId="4936AB8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D92B99"/>
    <w:rsid w:val="51FE7088"/>
    <w:rsid w:val="75D9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162</Words>
  <Characters>162</Characters>
  <Lines>0</Lines>
  <Paragraphs>0</Paragraphs>
  <TotalTime>0</TotalTime>
  <ScaleCrop>false</ScaleCrop>
  <LinksUpToDate>false</LinksUpToDate>
  <CharactersWithSpaces>162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2025-07-23T02:08:00Z</dcterms:created>
  <dc:creator>鸡毛蒜皮</dc:creator>
  <cp:lastModifiedBy>鸡毛蒜皮</cp:lastModifiedBy>
  <dcterms:modified xsi:type="dcterms:W3CDTF">2025-08-11T06:11:28Z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A178FD55D4044221A941FAE577BC9EDA_11</vt:lpwstr>
  </property>
  <property fmtid="{D5CDD505-2E9C-101B-9397-08002B2CF9AE}" pid="4" name="KSOTemplateDocerSaveRecord">
    <vt:lpwstr>eyJoZGlkIjoiYjBjZmQ3NzVmYTRkNzFjMDYxMTM0MWNhMzdlN2NkMTUiLCJ1c2VySWQiOiIzMjk0Njk4MDAifQ==</vt:lpwstr>
  </property>
</Properties>
</file>