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770AA1">
      <w:pPr>
        <w:pStyle w:val="5"/>
        <w:spacing w:line="360" w:lineRule="auto"/>
        <w:rPr>
          <w:rFonts w:hint="eastAsia"/>
          <w:b w:val="0"/>
          <w:bCs/>
          <w:sz w:val="24"/>
          <w:szCs w:val="24"/>
          <w:highlight w:val="none"/>
          <w:lang w:eastAsia="zh-CN"/>
        </w:rPr>
      </w:pPr>
      <w:r>
        <w:rPr>
          <w:b/>
          <w:sz w:val="28"/>
          <w:highlight w:val="none"/>
        </w:rPr>
        <w:t>格式二十</w:t>
      </w:r>
      <w:r>
        <w:rPr>
          <w:rFonts w:hint="eastAsia"/>
          <w:b/>
          <w:sz w:val="28"/>
          <w:highlight w:val="none"/>
          <w:lang w:val="en-US" w:eastAsia="zh-CN"/>
        </w:rPr>
        <w:t>六</w:t>
      </w:r>
      <w:r>
        <w:rPr>
          <w:rFonts w:hint="eastAsia"/>
          <w:b/>
          <w:sz w:val="28"/>
          <w:highlight w:val="none"/>
          <w:lang w:eastAsia="zh-CN"/>
        </w:rPr>
        <w:t>：</w:t>
      </w:r>
      <w:r>
        <w:rPr>
          <w:rFonts w:hint="eastAsia"/>
          <w:b w:val="0"/>
          <w:bCs/>
          <w:sz w:val="24"/>
          <w:szCs w:val="24"/>
          <w:highlight w:val="none"/>
          <w:lang w:eastAsia="zh-CN"/>
        </w:rPr>
        <w:t>因竞争性磋商文件前文中的格式为自动生成格式，与实际报价需求不符。为保证投标报价清晰合理，现对招标文件“格式三：《分项报价表》”进行澄清说明，各投标单位《分项报价表》以此格式为准</w:t>
      </w:r>
    </w:p>
    <w:p w14:paraId="6E747AFC">
      <w:pPr>
        <w:pStyle w:val="5"/>
        <w:spacing w:line="360" w:lineRule="auto"/>
        <w:jc w:val="center"/>
        <w:rPr>
          <w:rFonts w:hint="eastAsia"/>
          <w:b/>
          <w:bCs w:val="0"/>
          <w:sz w:val="40"/>
          <w:szCs w:val="40"/>
          <w:highlight w:val="none"/>
          <w:lang w:eastAsia="zh-CN"/>
        </w:rPr>
      </w:pPr>
      <w:bookmarkStart w:id="0" w:name="_GoBack"/>
      <w:r>
        <w:rPr>
          <w:rFonts w:hint="eastAsia"/>
          <w:b/>
          <w:bCs w:val="0"/>
          <w:sz w:val="40"/>
          <w:szCs w:val="40"/>
          <w:highlight w:val="none"/>
          <w:lang w:eastAsia="zh-CN"/>
        </w:rPr>
        <w:t>分项报价表</w:t>
      </w:r>
      <w:bookmarkEnd w:id="0"/>
    </w:p>
    <w:p w14:paraId="79CCA932">
      <w:pPr>
        <w:pStyle w:val="5"/>
        <w:spacing w:line="360" w:lineRule="auto"/>
        <w:jc w:val="both"/>
        <w:rPr>
          <w:rFonts w:hint="default"/>
          <w:b w:val="0"/>
          <w:bCs/>
          <w:sz w:val="24"/>
          <w:szCs w:val="24"/>
          <w:highlight w:val="none"/>
          <w:lang w:val="en-US" w:eastAsia="zh-CN"/>
        </w:rPr>
      </w:pPr>
      <w:r>
        <w:rPr>
          <w:rFonts w:hint="eastAsia"/>
          <w:b w:val="0"/>
          <w:bCs/>
          <w:sz w:val="24"/>
          <w:szCs w:val="24"/>
          <w:highlight w:val="none"/>
          <w:lang w:val="en-US" w:eastAsia="zh-CN"/>
        </w:rPr>
        <w:t>项目名称：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2026年榄核镇河涌治水辅助服务项目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3"/>
        <w:gridCol w:w="1044"/>
        <w:gridCol w:w="4451"/>
        <w:gridCol w:w="1296"/>
        <w:gridCol w:w="1597"/>
      </w:tblGrid>
      <w:tr w14:paraId="01F23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3" w:type="dxa"/>
            <w:shd w:val="clear" w:color="auto" w:fill="BEBEBE" w:themeFill="background1" w:themeFillShade="BF"/>
            <w:vAlign w:val="center"/>
          </w:tcPr>
          <w:p w14:paraId="4B2B36E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44" w:type="dxa"/>
            <w:shd w:val="clear" w:color="auto" w:fill="BEBEBE" w:themeFill="background1" w:themeFillShade="BF"/>
            <w:vAlign w:val="center"/>
          </w:tcPr>
          <w:p w14:paraId="0F65DE7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内容</w:t>
            </w:r>
          </w:p>
        </w:tc>
        <w:tc>
          <w:tcPr>
            <w:tcW w:w="4451" w:type="dxa"/>
            <w:shd w:val="clear" w:color="auto" w:fill="BEBEBE" w:themeFill="background1" w:themeFillShade="BF"/>
            <w:vAlign w:val="center"/>
          </w:tcPr>
          <w:p w14:paraId="59882C3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明细</w:t>
            </w:r>
          </w:p>
        </w:tc>
        <w:tc>
          <w:tcPr>
            <w:tcW w:w="1296" w:type="dxa"/>
            <w:shd w:val="clear" w:color="auto" w:fill="BEBEBE" w:themeFill="background1" w:themeFillShade="BF"/>
            <w:vAlign w:val="center"/>
          </w:tcPr>
          <w:p w14:paraId="5693057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投标限价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（元）</w:t>
            </w:r>
          </w:p>
        </w:tc>
        <w:tc>
          <w:tcPr>
            <w:tcW w:w="1597" w:type="dxa"/>
            <w:shd w:val="clear" w:color="auto" w:fill="BEBEBE" w:themeFill="background1" w:themeFillShade="BF"/>
            <w:vAlign w:val="center"/>
          </w:tcPr>
          <w:p w14:paraId="0D3ACAED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投标报价（元）</w:t>
            </w:r>
          </w:p>
        </w:tc>
      </w:tr>
      <w:tr w14:paraId="06555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3" w:type="dxa"/>
            <w:vAlign w:val="center"/>
          </w:tcPr>
          <w:p w14:paraId="522AD8E5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一</w:t>
            </w:r>
          </w:p>
        </w:tc>
        <w:tc>
          <w:tcPr>
            <w:tcW w:w="1044" w:type="dxa"/>
            <w:vAlign w:val="center"/>
          </w:tcPr>
          <w:p w14:paraId="4EE75B0F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协助开展河涌堤防管理工作</w:t>
            </w:r>
          </w:p>
          <w:p w14:paraId="48FCBCCE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451" w:type="dxa"/>
            <w:vAlign w:val="center"/>
          </w:tcPr>
          <w:p w14:paraId="33CE5100">
            <w:pPr>
              <w:spacing w:line="360" w:lineRule="auto"/>
              <w:ind w:firstLine="480" w:firstLineChars="20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1.协助管理堤身及堤岸防护工程，包括两岸堤身及浆砌石挡墙、混凝土挡墙有无破裂、损坏、沉降、掏空、塌方，堤身有无生活垃圾及建筑垃圾、淤泥。</w:t>
            </w:r>
          </w:p>
          <w:p w14:paraId="793BAFD8">
            <w:pPr>
              <w:spacing w:line="360" w:lineRule="auto"/>
              <w:ind w:firstLine="480" w:firstLineChars="20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2.协助管理防渗及排水设施，包括堤防防渗及排水设施有无堵塞、破损。</w:t>
            </w:r>
          </w:p>
          <w:p w14:paraId="125E5F0C">
            <w:pPr>
              <w:spacing w:line="360" w:lineRule="auto"/>
              <w:ind w:firstLine="480" w:firstLineChars="20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3.协助管理穿、跨堤建筑物，包括穿、跨建筑物有无破损，与堤防结合部位有无开裂。</w:t>
            </w:r>
          </w:p>
          <w:p w14:paraId="1E07E4CC">
            <w:pPr>
              <w:spacing w:line="360" w:lineRule="auto"/>
              <w:ind w:firstLine="480" w:firstLineChars="20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4.协助其他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管理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工作，包括两岸堤顶人行道是否整洁、平整，路面有无开裂、沉降现象。两岸河涌护栏、亲水平台是否完好。两岸堤顶照明设施、监控设施是否完好。河道警示牌、河涌责任牌、宣传牌有无缺损、变形、歪斜、污损、掉色，界桩有无破损等情况。有无红火蚁、白蚁危害，有无鼠洞、獾穴。绿化植被有无杂草、枯死及缺损。涌底是否裸露，河床有无淤积情况。</w:t>
            </w:r>
          </w:p>
        </w:tc>
        <w:tc>
          <w:tcPr>
            <w:tcW w:w="1296" w:type="dxa"/>
            <w:vAlign w:val="center"/>
          </w:tcPr>
          <w:p w14:paraId="36A18E6F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954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000.00</w:t>
            </w:r>
          </w:p>
        </w:tc>
        <w:tc>
          <w:tcPr>
            <w:tcW w:w="1597" w:type="dxa"/>
            <w:vAlign w:val="center"/>
          </w:tcPr>
          <w:p w14:paraId="5135751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1BAA8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3" w:type="dxa"/>
            <w:vAlign w:val="center"/>
          </w:tcPr>
          <w:p w14:paraId="40FC3C46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二</w:t>
            </w:r>
          </w:p>
        </w:tc>
        <w:tc>
          <w:tcPr>
            <w:tcW w:w="1044" w:type="dxa"/>
            <w:vAlign w:val="center"/>
          </w:tcPr>
          <w:p w14:paraId="3A7CF8A4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协助开展河道水质巡查工作</w:t>
            </w:r>
          </w:p>
          <w:p w14:paraId="30378F43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451" w:type="dxa"/>
            <w:vAlign w:val="center"/>
          </w:tcPr>
          <w:p w14:paraId="3DB1CAEA">
            <w:pPr>
              <w:spacing w:line="360" w:lineRule="auto"/>
              <w:ind w:firstLine="480" w:firstLineChars="20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协助做好河道水质巡查工作，包括检查水质外观性状是否异常，即水体是否黑臭，颜色是否异常，水生生物是否异常死亡，协助排查有无工业废水及泥浆养殖场，养殖场废水、生活污水是否直排河道。水体是否有大面积水浮莲、垃圾等漂浮物。沿涌截污管、拍门、截污闸有无溢污、堵塞，雨水排放口有无排污。</w:t>
            </w:r>
          </w:p>
        </w:tc>
        <w:tc>
          <w:tcPr>
            <w:tcW w:w="1296" w:type="dxa"/>
            <w:vAlign w:val="center"/>
          </w:tcPr>
          <w:p w14:paraId="7BE313C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954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000.00</w:t>
            </w:r>
          </w:p>
        </w:tc>
        <w:tc>
          <w:tcPr>
            <w:tcW w:w="1597" w:type="dxa"/>
            <w:vAlign w:val="center"/>
          </w:tcPr>
          <w:p w14:paraId="72F76FC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1F3D8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3" w:type="dxa"/>
            <w:vAlign w:val="center"/>
          </w:tcPr>
          <w:p w14:paraId="10CB8A06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三</w:t>
            </w:r>
          </w:p>
        </w:tc>
        <w:tc>
          <w:tcPr>
            <w:tcW w:w="1044" w:type="dxa"/>
            <w:vAlign w:val="center"/>
          </w:tcPr>
          <w:p w14:paraId="017437CE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协助河道管理范围违法行为处理</w:t>
            </w:r>
          </w:p>
        </w:tc>
        <w:tc>
          <w:tcPr>
            <w:tcW w:w="4451" w:type="dxa"/>
            <w:vAlign w:val="center"/>
          </w:tcPr>
          <w:p w14:paraId="5B5E8A4A">
            <w:pPr>
              <w:spacing w:line="360" w:lineRule="auto"/>
              <w:ind w:firstLine="480" w:firstLineChars="20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协助做好河道管理范围内违法行为遏制工作，包括倾倒建筑废弃物，乱搭、乱建情况，有无开挖、堆载等影响水利工程安全的行为，有无堆放沙、石等物料的情况报告。</w:t>
            </w:r>
          </w:p>
        </w:tc>
        <w:tc>
          <w:tcPr>
            <w:tcW w:w="1296" w:type="dxa"/>
            <w:vAlign w:val="center"/>
          </w:tcPr>
          <w:p w14:paraId="6A71BADD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318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000.00</w:t>
            </w:r>
          </w:p>
        </w:tc>
        <w:tc>
          <w:tcPr>
            <w:tcW w:w="1597" w:type="dxa"/>
            <w:vAlign w:val="center"/>
          </w:tcPr>
          <w:p w14:paraId="4F1C0B8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3D5F4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3" w:type="dxa"/>
            <w:vAlign w:val="center"/>
          </w:tcPr>
          <w:p w14:paraId="59704932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四</w:t>
            </w:r>
          </w:p>
        </w:tc>
        <w:tc>
          <w:tcPr>
            <w:tcW w:w="1044" w:type="dxa"/>
            <w:vAlign w:val="center"/>
          </w:tcPr>
          <w:p w14:paraId="0AF24317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协助河涌考核工作开展</w:t>
            </w:r>
          </w:p>
        </w:tc>
        <w:tc>
          <w:tcPr>
            <w:tcW w:w="4451" w:type="dxa"/>
            <w:vAlign w:val="center"/>
          </w:tcPr>
          <w:p w14:paraId="5A3AE7D6">
            <w:pPr>
              <w:spacing w:line="360" w:lineRule="auto"/>
              <w:ind w:firstLine="480" w:firstLineChars="20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协助做好河涌考核工作，包括但不限于水利设施考核、河长APP问题处理、河长信息化管理系统、碧道建设、小微水体整治等工作。</w:t>
            </w:r>
          </w:p>
        </w:tc>
        <w:tc>
          <w:tcPr>
            <w:tcW w:w="1296" w:type="dxa"/>
            <w:vAlign w:val="center"/>
          </w:tcPr>
          <w:p w14:paraId="64481FFD">
            <w:pPr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318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000.00</w:t>
            </w:r>
          </w:p>
        </w:tc>
        <w:tc>
          <w:tcPr>
            <w:tcW w:w="1597" w:type="dxa"/>
            <w:vAlign w:val="center"/>
          </w:tcPr>
          <w:p w14:paraId="4E043D20">
            <w:pPr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5FE84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23" w:type="dxa"/>
            <w:vAlign w:val="center"/>
          </w:tcPr>
          <w:p w14:paraId="09D3EDA3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五</w:t>
            </w:r>
          </w:p>
        </w:tc>
        <w:tc>
          <w:tcPr>
            <w:tcW w:w="1044" w:type="dxa"/>
            <w:vAlign w:val="center"/>
          </w:tcPr>
          <w:p w14:paraId="69D2C9F9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协助开展广州河长APP系统工作</w:t>
            </w:r>
          </w:p>
        </w:tc>
        <w:tc>
          <w:tcPr>
            <w:tcW w:w="4451" w:type="dxa"/>
            <w:vAlign w:val="center"/>
          </w:tcPr>
          <w:p w14:paraId="4E6C1502">
            <w:pPr>
              <w:spacing w:line="360" w:lineRule="auto"/>
              <w:ind w:firstLine="480" w:firstLineChars="20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协助做好广州河长APP系统信息录入，信息更新，按照路径进行河涌巡查工作，实时反映巡查工作中所出现的各类问题。</w:t>
            </w:r>
          </w:p>
        </w:tc>
        <w:tc>
          <w:tcPr>
            <w:tcW w:w="1296" w:type="dxa"/>
            <w:vAlign w:val="center"/>
          </w:tcPr>
          <w:p w14:paraId="72CD9393">
            <w:pPr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318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000.00</w:t>
            </w:r>
          </w:p>
        </w:tc>
        <w:tc>
          <w:tcPr>
            <w:tcW w:w="1597" w:type="dxa"/>
            <w:vAlign w:val="center"/>
          </w:tcPr>
          <w:p w14:paraId="4A387251">
            <w:pPr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3EF84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14" w:type="dxa"/>
            <w:gridSpan w:val="4"/>
            <w:vAlign w:val="center"/>
          </w:tcPr>
          <w:p w14:paraId="74B3372A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合计（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元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）</w:t>
            </w:r>
          </w:p>
        </w:tc>
        <w:tc>
          <w:tcPr>
            <w:tcW w:w="1597" w:type="dxa"/>
            <w:vAlign w:val="center"/>
          </w:tcPr>
          <w:p w14:paraId="44CE5CF7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</w:tbl>
    <w:p w14:paraId="15E38004">
      <w:pPr>
        <w:spacing w:line="360" w:lineRule="auto"/>
        <w:jc w:val="both"/>
        <w:rPr>
          <w:rFonts w:hint="default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注：上述报价已包含税费。</w:t>
      </w:r>
    </w:p>
    <w:p w14:paraId="03F3545E">
      <w:pPr>
        <w:spacing w:line="360" w:lineRule="auto"/>
        <w:jc w:val="both"/>
        <w:rPr>
          <w:rFonts w:hint="default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</w:p>
    <w:p w14:paraId="33E021B0">
      <w:pPr>
        <w:spacing w:line="360" w:lineRule="auto"/>
        <w:ind w:left="4620" w:firstLine="420" w:firstLineChars="0"/>
        <w:jc w:val="right"/>
        <w:rPr>
          <w:rFonts w:hint="default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投标人签章：__________________</w:t>
      </w:r>
    </w:p>
    <w:p w14:paraId="74617269">
      <w:r>
        <w:rPr>
          <w:rFonts w:hint="default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日期：   年  月  日</w:t>
      </w: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873EFE"/>
    <w:rsid w:val="5387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2026-10-09T09:11:00Z</dcterms:created>
  <dc:creator>sǎowá</dc:creator>
  <cp:lastModifiedBy>sǎowá</cp:lastModifiedBy>
  <dcterms:modified xsi:type="dcterms:W3CDTF">2026-10-09T09:11:48Z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A78888463EF24622BFEA575EB6D4A893_11</vt:lpwstr>
  </property>
  <property fmtid="{D5CDD505-2E9C-101B-9397-08002B2CF9AE}" pid="4" name="KSOTemplateDocerSaveRecord">
    <vt:lpwstr>eyJoZGlkIjoiYTc0NDczZTg5ZTk3YjdhN2JiYjQ1NTQzYzFkYTc1MGUiLCJ1c2VySWQiOiI5ODE0MDU3MTIifQ==</vt:lpwstr>
  </property>
</Properties>
</file>