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版本号：N511025202500012320250903001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资中县2025年“视听四川”广电惠民服务应急广播村级前、终端设备升级（设备采购）及集联项目(二次)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N5110252025000123</w:t>
      </w:r>
    </w:p>
    <w:p>
      <w:pPr>
        <w:pStyle w:val="null3"/>
        <w:jc w:val="center"/>
        <w:outlineLvl w:val="2"/>
      </w:pPr>
      <w:r>
        <w:rPr>
          <w:rFonts w:ascii="仿宋_GB2312" w:hAnsi="仿宋_GB2312" w:cs="仿宋_GB2312" w:eastAsia="仿宋_GB2312"/>
          <w:sz w:val="28"/>
          <w:b/>
        </w:rPr>
        <w:t>资中县文化广播电视和旅游局</w:t>
      </w:r>
    </w:p>
    <w:p>
      <w:pPr>
        <w:pStyle w:val="null3"/>
        <w:jc w:val="center"/>
        <w:outlineLvl w:val="2"/>
      </w:pPr>
      <w:r>
        <w:rPr>
          <w:rFonts w:ascii="仿宋_GB2312" w:hAnsi="仿宋_GB2312" w:cs="仿宋_GB2312" w:eastAsia="仿宋_GB2312"/>
          <w:sz w:val="28"/>
          <w:b/>
        </w:rPr>
        <w:t>四川众益致远建设项目管理有限公司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四川众益致远建设项目管理有限公司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资中县文化广播电视和旅游局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资中县2025年“视听四川”广电惠民服务应急广播村级前、终端设备升级（设备采购）及集联项目(二次)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内江市资中县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N5110252025000123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资中县2025年“视听四川”广电惠民服务应急广播村级前、终端设备升级（设备采购）及集联项目(二次)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应急广播体系建设作为应急管理体系建设和公共服务体系的重要组成部分，统筹利用广播电视资源，建设形成国家、省、市、县、乡、村六级贯通、可管可控、便捷高效、综合覆盖和适应新媒体传播需求的应急广播体系，增强各级党委政府现代治理能力，向城乡居民提供灾害及突发公共事件预警应急广播和政务信息发布、政策宣讲服务，资中县拟实施应急广播前端设备升级及集联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资中县文化广播电视和旅游局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四川省内江市资中县大东街35号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08325106996</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四川众益致远建设项目管理有限公司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四川省成都市武侯区武科东一路15号3栋1单元610号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19196920983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采购包1：980,910.00元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服务费根据《四川省政府采购营商环境指标提升专项行动工作方案》的通知(川财采[2020]74号)规定、按照拟代理采购项目的成本支出加合理利润的原则进行计费。金额：14800元（大写壹万肆仟捌佰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资中县文化广播电视和旅游局</w:t>
      </w:r>
      <w:r>
        <w:rPr>
          <w:rFonts w:ascii="仿宋_GB2312" w:hAnsi="仿宋_GB2312" w:cs="仿宋_GB2312" w:eastAsia="仿宋_GB2312"/>
        </w:rPr>
        <w:t xml:space="preserve"> 和 </w:t>
      </w:r>
      <w:r>
        <w:rPr>
          <w:rFonts w:ascii="仿宋_GB2312" w:hAnsi="仿宋_GB2312" w:cs="仿宋_GB2312" w:eastAsia="仿宋_GB2312"/>
        </w:rPr>
        <w:t>四川众益致远建设项目管理有限公司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资中县文化广播电视和旅游局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四川众益致远建设项目管理有限公司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设备安装合格后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有关技术服务要求、供应商响应内容及合同约定的所有条款。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有关商务要求、供应商响应内容及合同约定的所有条款。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设备质量应满足采购文件技术及质量要求、供应商响应文件内容及有关承诺，其他条款严格按有关国家标准、行业标准及合同约定条款进行验收，且不得违反财政部《关于进一步加强政府采购需求和履约验收管理的指导意见》财库〔2016〕205号的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资中县文化广播电视和旅游局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四川众益致远建设项目管理有限公司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四川众益致远建设项目管理有限公司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联系电话：19196920983</w:t>
      </w:r>
    </w:p>
    <w:p>
      <w:pPr>
        <w:pStyle w:val="null3"/>
        <w:jc w:val="left"/>
      </w:pPr>
      <w:r>
        <w:rPr>
          <w:rFonts w:ascii="仿宋_GB2312" w:hAnsi="仿宋_GB2312" w:cs="仿宋_GB2312" w:eastAsia="仿宋_GB2312"/>
        </w:rPr>
        <w:t>地址：四川省成都市武侯区武科东一路15号3栋1单元610号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980,910.00</w:t>
      </w:r>
    </w:p>
    <w:p>
      <w:pPr>
        <w:pStyle w:val="null3"/>
        <w:jc w:val="left"/>
      </w:pPr>
      <w:r>
        <w:rPr>
          <w:rFonts w:ascii="仿宋_GB2312" w:hAnsi="仿宋_GB2312" w:cs="仿宋_GB2312" w:eastAsia="仿宋_GB2312"/>
        </w:rPr>
        <w:t>采购包最高限价（元）: 980,910.00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IP话筒</w:t>
            </w:r>
          </w:p>
        </w:tc>
        <w:tc>
          <w:tcPr>
            <w:tcW w:type="dxa" w:w="821"/>
          </w:tcPr>
          <w:p>
            <w:pPr>
              <w:pStyle w:val="null3"/>
              <w:jc w:val="right"/>
            </w:pPr>
            <w:r>
              <w:rPr>
                <w:rFonts w:ascii="仿宋_GB2312" w:hAnsi="仿宋_GB2312" w:cs="仿宋_GB2312" w:eastAsia="仿宋_GB2312"/>
              </w:rPr>
              <w:t>63.00（台）</w:t>
            </w:r>
          </w:p>
        </w:tc>
        <w:tc>
          <w:tcPr>
            <w:tcW w:type="dxa" w:w="821"/>
          </w:tcPr>
          <w:p>
            <w:pPr>
              <w:pStyle w:val="null3"/>
              <w:jc w:val="right"/>
            </w:pPr>
            <w:r>
              <w:rPr>
                <w:rFonts w:ascii="仿宋_GB2312" w:hAnsi="仿宋_GB2312" w:cs="仿宋_GB2312" w:eastAsia="仿宋_GB2312"/>
              </w:rPr>
              <w:t>189,000.00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63.00（台）</w:t>
            </w:r>
          </w:p>
        </w:tc>
        <w:tc>
          <w:tcPr>
            <w:tcW w:type="dxa" w:w="821"/>
          </w:tcPr>
          <w:p>
            <w:pPr>
              <w:pStyle w:val="null3"/>
              <w:jc w:val="right"/>
            </w:pPr>
            <w:r>
              <w:rPr>
                <w:rFonts w:ascii="仿宋_GB2312" w:hAnsi="仿宋_GB2312" w:cs="仿宋_GB2312" w:eastAsia="仿宋_GB2312"/>
              </w:rPr>
              <w:t>25,200.00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应急广播制度牌</w:t>
            </w:r>
          </w:p>
        </w:tc>
        <w:tc>
          <w:tcPr>
            <w:tcW w:type="dxa" w:w="821"/>
          </w:tcPr>
          <w:p>
            <w:pPr>
              <w:pStyle w:val="null3"/>
              <w:jc w:val="right"/>
            </w:pPr>
            <w:r>
              <w:rPr>
                <w:rFonts w:ascii="仿宋_GB2312" w:hAnsi="仿宋_GB2312" w:cs="仿宋_GB2312" w:eastAsia="仿宋_GB2312"/>
              </w:rPr>
              <w:t>63.00（套）</w:t>
            </w:r>
          </w:p>
        </w:tc>
        <w:tc>
          <w:tcPr>
            <w:tcW w:type="dxa" w:w="821"/>
          </w:tcPr>
          <w:p>
            <w:pPr>
              <w:pStyle w:val="null3"/>
              <w:jc w:val="right"/>
            </w:pPr>
            <w:r>
              <w:rPr>
                <w:rFonts w:ascii="仿宋_GB2312" w:hAnsi="仿宋_GB2312" w:cs="仿宋_GB2312" w:eastAsia="仿宋_GB2312"/>
              </w:rPr>
              <w:t>9,450.00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多模收扩机</w:t>
            </w:r>
          </w:p>
        </w:tc>
        <w:tc>
          <w:tcPr>
            <w:tcW w:type="dxa" w:w="821"/>
          </w:tcPr>
          <w:p>
            <w:pPr>
              <w:pStyle w:val="null3"/>
              <w:jc w:val="right"/>
            </w:pPr>
            <w:r>
              <w:rPr>
                <w:rFonts w:ascii="仿宋_GB2312" w:hAnsi="仿宋_GB2312" w:cs="仿宋_GB2312" w:eastAsia="仿宋_GB2312"/>
              </w:rPr>
              <w:t>189.00（套）</w:t>
            </w:r>
          </w:p>
        </w:tc>
        <w:tc>
          <w:tcPr>
            <w:tcW w:type="dxa" w:w="821"/>
          </w:tcPr>
          <w:p>
            <w:pPr>
              <w:pStyle w:val="null3"/>
              <w:jc w:val="right"/>
            </w:pPr>
            <w:r>
              <w:rPr>
                <w:rFonts w:ascii="仿宋_GB2312" w:hAnsi="仿宋_GB2312" w:cs="仿宋_GB2312" w:eastAsia="仿宋_GB2312"/>
              </w:rPr>
              <w:t>321,300.00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高音喇叭</w:t>
            </w:r>
          </w:p>
        </w:tc>
        <w:tc>
          <w:tcPr>
            <w:tcW w:type="dxa" w:w="821"/>
          </w:tcPr>
          <w:p>
            <w:pPr>
              <w:pStyle w:val="null3"/>
              <w:jc w:val="right"/>
            </w:pPr>
            <w:r>
              <w:rPr>
                <w:rFonts w:ascii="仿宋_GB2312" w:hAnsi="仿宋_GB2312" w:cs="仿宋_GB2312" w:eastAsia="仿宋_GB2312"/>
              </w:rPr>
              <w:t>378.00（个）</w:t>
            </w:r>
          </w:p>
        </w:tc>
        <w:tc>
          <w:tcPr>
            <w:tcW w:type="dxa" w:w="821"/>
          </w:tcPr>
          <w:p>
            <w:pPr>
              <w:pStyle w:val="null3"/>
              <w:jc w:val="right"/>
            </w:pPr>
            <w:r>
              <w:rPr>
                <w:rFonts w:ascii="仿宋_GB2312" w:hAnsi="仿宋_GB2312" w:cs="仿宋_GB2312" w:eastAsia="仿宋_GB2312"/>
              </w:rPr>
              <w:t>45,360.00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电力接入</w:t>
            </w:r>
          </w:p>
        </w:tc>
        <w:tc>
          <w:tcPr>
            <w:tcW w:type="dxa" w:w="821"/>
          </w:tcPr>
          <w:p>
            <w:pPr>
              <w:pStyle w:val="null3"/>
              <w:jc w:val="right"/>
            </w:pPr>
            <w:r>
              <w:rPr>
                <w:rFonts w:ascii="仿宋_GB2312" w:hAnsi="仿宋_GB2312" w:cs="仿宋_GB2312" w:eastAsia="仿宋_GB2312"/>
              </w:rPr>
              <w:t>189.00（项）</w:t>
            </w:r>
          </w:p>
        </w:tc>
        <w:tc>
          <w:tcPr>
            <w:tcW w:type="dxa" w:w="821"/>
          </w:tcPr>
          <w:p>
            <w:pPr>
              <w:pStyle w:val="null3"/>
              <w:jc w:val="right"/>
            </w:pPr>
            <w:r>
              <w:rPr>
                <w:rFonts w:ascii="仿宋_GB2312" w:hAnsi="仿宋_GB2312" w:cs="仿宋_GB2312" w:eastAsia="仿宋_GB2312"/>
              </w:rPr>
              <w:t>56,700.00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7米水泥杆</w:t>
            </w:r>
          </w:p>
        </w:tc>
        <w:tc>
          <w:tcPr>
            <w:tcW w:type="dxa" w:w="821"/>
          </w:tcPr>
          <w:p>
            <w:pPr>
              <w:pStyle w:val="null3"/>
              <w:jc w:val="right"/>
            </w:pPr>
            <w:r>
              <w:rPr>
                <w:rFonts w:ascii="仿宋_GB2312" w:hAnsi="仿宋_GB2312" w:cs="仿宋_GB2312" w:eastAsia="仿宋_GB2312"/>
              </w:rPr>
              <w:t>189.00（支）</w:t>
            </w:r>
          </w:p>
        </w:tc>
        <w:tc>
          <w:tcPr>
            <w:tcW w:type="dxa" w:w="821"/>
          </w:tcPr>
          <w:p>
            <w:pPr>
              <w:pStyle w:val="null3"/>
              <w:jc w:val="right"/>
            </w:pPr>
            <w:r>
              <w:rPr>
                <w:rFonts w:ascii="仿宋_GB2312" w:hAnsi="仿宋_GB2312" w:cs="仿宋_GB2312" w:eastAsia="仿宋_GB2312"/>
              </w:rPr>
              <w:t>189,000.00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物联网卡</w:t>
            </w:r>
          </w:p>
        </w:tc>
        <w:tc>
          <w:tcPr>
            <w:tcW w:type="dxa" w:w="821"/>
          </w:tcPr>
          <w:p>
            <w:pPr>
              <w:pStyle w:val="null3"/>
              <w:jc w:val="right"/>
            </w:pPr>
            <w:r>
              <w:rPr>
                <w:rFonts w:ascii="仿宋_GB2312" w:hAnsi="仿宋_GB2312" w:cs="仿宋_GB2312" w:eastAsia="仿宋_GB2312"/>
              </w:rPr>
              <w:t>189.00（张）</w:t>
            </w:r>
          </w:p>
        </w:tc>
        <w:tc>
          <w:tcPr>
            <w:tcW w:type="dxa" w:w="821"/>
          </w:tcPr>
          <w:p>
            <w:pPr>
              <w:pStyle w:val="null3"/>
              <w:jc w:val="right"/>
            </w:pPr>
            <w:r>
              <w:rPr>
                <w:rFonts w:ascii="仿宋_GB2312" w:hAnsi="仿宋_GB2312" w:cs="仿宋_GB2312" w:eastAsia="仿宋_GB2312"/>
              </w:rPr>
              <w:t>56,700.00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A02090406 播控设备</w:t>
            </w:r>
          </w:p>
        </w:tc>
        <w:tc>
          <w:tcPr>
            <w:tcW w:type="dxa" w:w="821"/>
          </w:tcPr>
          <w:p>
            <w:pPr>
              <w:pStyle w:val="null3"/>
              <w:jc w:val="left"/>
            </w:pPr>
            <w:r>
              <w:rPr>
                <w:rFonts w:ascii="仿宋_GB2312" w:hAnsi="仿宋_GB2312" w:cs="仿宋_GB2312" w:eastAsia="仿宋_GB2312"/>
              </w:rPr>
              <w:t>安装辅材及集联服务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88,200.00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IP话筒</w:t>
            </w:r>
          </w:p>
        </w:tc>
        <w:tc>
          <w:tcPr>
            <w:tcW w:type="dxa" w:w="1138"/>
          </w:tcPr>
          <w:p>
            <w:pPr>
              <w:pStyle w:val="null3"/>
              <w:jc w:val="center"/>
            </w:pPr>
            <w:r>
              <w:rPr>
                <w:rFonts w:ascii="仿宋_GB2312" w:hAnsi="仿宋_GB2312" w:cs="仿宋_GB2312" w:eastAsia="仿宋_GB2312"/>
              </w:rPr>
              <w:t>63.00（台）</w:t>
            </w:r>
          </w:p>
        </w:tc>
        <w:tc>
          <w:tcPr>
            <w:tcW w:type="dxa" w:w="1365"/>
          </w:tcPr>
          <w:p>
            <w:pPr>
              <w:pStyle w:val="null3"/>
              <w:jc w:val="center"/>
            </w:pPr>
            <w:r>
              <w:rPr>
                <w:rFonts w:ascii="仿宋_GB2312" w:hAnsi="仿宋_GB2312" w:cs="仿宋_GB2312" w:eastAsia="仿宋_GB2312"/>
              </w:rPr>
              <w:t>189,000.00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该报价应当结合《分项报价明细表》进行填写，所报价格应当均衡考虑分项报价明细表中所列设备费及其他有关运输、机械、税金、招标代理服务、质保期预备费等费用。</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63.00（台）</w:t>
            </w:r>
          </w:p>
        </w:tc>
        <w:tc>
          <w:tcPr>
            <w:tcW w:type="dxa" w:w="1365"/>
          </w:tcPr>
          <w:p>
            <w:pPr>
              <w:pStyle w:val="null3"/>
              <w:jc w:val="center"/>
            </w:pPr>
            <w:r>
              <w:rPr>
                <w:rFonts w:ascii="仿宋_GB2312" w:hAnsi="仿宋_GB2312" w:cs="仿宋_GB2312" w:eastAsia="仿宋_GB2312"/>
              </w:rPr>
              <w:t>25,200.00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该报价应当结合《分项报价明细表》进行填写，所报价格应当均衡考虑分项报价明细表中所列设备费及其他有关运输、机械、税金、招标代理服务、质保期预备费等费用。</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应急广播制度牌</w:t>
            </w:r>
          </w:p>
        </w:tc>
        <w:tc>
          <w:tcPr>
            <w:tcW w:type="dxa" w:w="1138"/>
          </w:tcPr>
          <w:p>
            <w:pPr>
              <w:pStyle w:val="null3"/>
              <w:jc w:val="center"/>
            </w:pPr>
            <w:r>
              <w:rPr>
                <w:rFonts w:ascii="仿宋_GB2312" w:hAnsi="仿宋_GB2312" w:cs="仿宋_GB2312" w:eastAsia="仿宋_GB2312"/>
              </w:rPr>
              <w:t>63.00（套）</w:t>
            </w:r>
          </w:p>
        </w:tc>
        <w:tc>
          <w:tcPr>
            <w:tcW w:type="dxa" w:w="1365"/>
          </w:tcPr>
          <w:p>
            <w:pPr>
              <w:pStyle w:val="null3"/>
              <w:jc w:val="center"/>
            </w:pPr>
            <w:r>
              <w:rPr>
                <w:rFonts w:ascii="仿宋_GB2312" w:hAnsi="仿宋_GB2312" w:cs="仿宋_GB2312" w:eastAsia="仿宋_GB2312"/>
              </w:rPr>
              <w:t>9,450.00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该报价应当结合《分项报价明细表》进行填写，所报价格应当均衡考虑分项报价明细表中所列设备费及其他有关运输、机械、税金、招标代理服务、质保期预备费等费用。</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多模收扩机</w:t>
            </w:r>
          </w:p>
        </w:tc>
        <w:tc>
          <w:tcPr>
            <w:tcW w:type="dxa" w:w="1138"/>
          </w:tcPr>
          <w:p>
            <w:pPr>
              <w:pStyle w:val="null3"/>
              <w:jc w:val="center"/>
            </w:pPr>
            <w:r>
              <w:rPr>
                <w:rFonts w:ascii="仿宋_GB2312" w:hAnsi="仿宋_GB2312" w:cs="仿宋_GB2312" w:eastAsia="仿宋_GB2312"/>
              </w:rPr>
              <w:t>189.00（套）</w:t>
            </w:r>
          </w:p>
        </w:tc>
        <w:tc>
          <w:tcPr>
            <w:tcW w:type="dxa" w:w="1365"/>
          </w:tcPr>
          <w:p>
            <w:pPr>
              <w:pStyle w:val="null3"/>
              <w:jc w:val="center"/>
            </w:pPr>
            <w:r>
              <w:rPr>
                <w:rFonts w:ascii="仿宋_GB2312" w:hAnsi="仿宋_GB2312" w:cs="仿宋_GB2312" w:eastAsia="仿宋_GB2312"/>
              </w:rPr>
              <w:t>321,300.00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该报价应当结合《分项报价明细表》进行填写，所报价格应当均衡考虑分项报价明细表中所列设备费及其他有关运输、机械、税金、招标代理服务、质保期预备费等费用。</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高音喇叭</w:t>
            </w:r>
          </w:p>
        </w:tc>
        <w:tc>
          <w:tcPr>
            <w:tcW w:type="dxa" w:w="1138"/>
          </w:tcPr>
          <w:p>
            <w:pPr>
              <w:pStyle w:val="null3"/>
              <w:jc w:val="center"/>
            </w:pPr>
            <w:r>
              <w:rPr>
                <w:rFonts w:ascii="仿宋_GB2312" w:hAnsi="仿宋_GB2312" w:cs="仿宋_GB2312" w:eastAsia="仿宋_GB2312"/>
              </w:rPr>
              <w:t>378.00（个）</w:t>
            </w:r>
          </w:p>
        </w:tc>
        <w:tc>
          <w:tcPr>
            <w:tcW w:type="dxa" w:w="1365"/>
          </w:tcPr>
          <w:p>
            <w:pPr>
              <w:pStyle w:val="null3"/>
              <w:jc w:val="center"/>
            </w:pPr>
            <w:r>
              <w:rPr>
                <w:rFonts w:ascii="仿宋_GB2312" w:hAnsi="仿宋_GB2312" w:cs="仿宋_GB2312" w:eastAsia="仿宋_GB2312"/>
              </w:rPr>
              <w:t>45,360.00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该报价应当结合《分项报价明细表》进行填写，所报价格应当均衡考虑分项报价明细表中所列设备费及其他有关运输、机械、税金、招标代理服务、质保期预备费等费用。</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电力接入</w:t>
            </w:r>
          </w:p>
        </w:tc>
        <w:tc>
          <w:tcPr>
            <w:tcW w:type="dxa" w:w="1138"/>
          </w:tcPr>
          <w:p>
            <w:pPr>
              <w:pStyle w:val="null3"/>
              <w:jc w:val="center"/>
            </w:pPr>
            <w:r>
              <w:rPr>
                <w:rFonts w:ascii="仿宋_GB2312" w:hAnsi="仿宋_GB2312" w:cs="仿宋_GB2312" w:eastAsia="仿宋_GB2312"/>
              </w:rPr>
              <w:t>189.00（项）</w:t>
            </w:r>
          </w:p>
        </w:tc>
        <w:tc>
          <w:tcPr>
            <w:tcW w:type="dxa" w:w="1365"/>
          </w:tcPr>
          <w:p>
            <w:pPr>
              <w:pStyle w:val="null3"/>
              <w:jc w:val="center"/>
            </w:pPr>
            <w:r>
              <w:rPr>
                <w:rFonts w:ascii="仿宋_GB2312" w:hAnsi="仿宋_GB2312" w:cs="仿宋_GB2312" w:eastAsia="仿宋_GB2312"/>
              </w:rPr>
              <w:t>56,700.00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项不涉及“规格型号”及“品牌”，在报价时可以填写为“规格型号：按实际要求提供”、“品牌：电力接入”。该报价应当结合《分项报价明细表》进行填写，所报价格应当与《分项报价明细表》中填写“电力接入”报价的金额一致。</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7米水泥杆</w:t>
            </w:r>
          </w:p>
        </w:tc>
        <w:tc>
          <w:tcPr>
            <w:tcW w:type="dxa" w:w="1138"/>
          </w:tcPr>
          <w:p>
            <w:pPr>
              <w:pStyle w:val="null3"/>
              <w:jc w:val="center"/>
            </w:pPr>
            <w:r>
              <w:rPr>
                <w:rFonts w:ascii="仿宋_GB2312" w:hAnsi="仿宋_GB2312" w:cs="仿宋_GB2312" w:eastAsia="仿宋_GB2312"/>
              </w:rPr>
              <w:t>189.00（支）</w:t>
            </w:r>
          </w:p>
        </w:tc>
        <w:tc>
          <w:tcPr>
            <w:tcW w:type="dxa" w:w="1365"/>
          </w:tcPr>
          <w:p>
            <w:pPr>
              <w:pStyle w:val="null3"/>
              <w:jc w:val="center"/>
            </w:pPr>
            <w:r>
              <w:rPr>
                <w:rFonts w:ascii="仿宋_GB2312" w:hAnsi="仿宋_GB2312" w:cs="仿宋_GB2312" w:eastAsia="仿宋_GB2312"/>
              </w:rPr>
              <w:t>189,000.00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该报价应当结合《分项报价明细表》进行填写，所报价格应当均衡考虑分项报价明细表中所列设备费及其他有关运输、机械、税金、招标代理服务、质保期预备费等费用。</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物联网卡</w:t>
            </w:r>
          </w:p>
        </w:tc>
        <w:tc>
          <w:tcPr>
            <w:tcW w:type="dxa" w:w="1138"/>
          </w:tcPr>
          <w:p>
            <w:pPr>
              <w:pStyle w:val="null3"/>
              <w:jc w:val="center"/>
            </w:pPr>
            <w:r>
              <w:rPr>
                <w:rFonts w:ascii="仿宋_GB2312" w:hAnsi="仿宋_GB2312" w:cs="仿宋_GB2312" w:eastAsia="仿宋_GB2312"/>
              </w:rPr>
              <w:t>189.00（张）</w:t>
            </w:r>
          </w:p>
        </w:tc>
        <w:tc>
          <w:tcPr>
            <w:tcW w:type="dxa" w:w="1365"/>
          </w:tcPr>
          <w:p>
            <w:pPr>
              <w:pStyle w:val="null3"/>
              <w:jc w:val="center"/>
            </w:pPr>
            <w:r>
              <w:rPr>
                <w:rFonts w:ascii="仿宋_GB2312" w:hAnsi="仿宋_GB2312" w:cs="仿宋_GB2312" w:eastAsia="仿宋_GB2312"/>
              </w:rPr>
              <w:t>56,700.00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该报价应当结合分项报价明细表进行填写，所报价格应当包含分项报价明细表中所列设备费及其他费用。</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安装辅材及集联服务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88,200.00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该项属于服务，不涉及“规格型号”及“品牌”，在报价时可以填写为“规格型号：按实际要求提供”、“品牌：安装辅材及集联服务”。该报价应当结合《分项报价明细表》进行填写，所报价格应当与《分项报价明细表》中填写“集联服务费”报价的金额一致。</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A02090406 播控设备</w:t>
            </w:r>
          </w:p>
        </w:tc>
        <w:tc>
          <w:tcPr>
            <w:tcW w:type="dxa" w:w="2492"/>
          </w:tcPr>
          <w:p>
            <w:pPr>
              <w:pStyle w:val="null3"/>
              <w:jc w:val="left"/>
            </w:pPr>
            <w:r>
              <w:rPr>
                <w:rFonts w:ascii="仿宋_GB2312" w:hAnsi="仿宋_GB2312" w:cs="仿宋_GB2312" w:eastAsia="仿宋_GB2312"/>
              </w:rPr>
              <w:t>IP话筒</w:t>
            </w:r>
          </w:p>
        </w:tc>
        <w:tc>
          <w:tcPr>
            <w:tcW w:type="dxa" w:w="2492"/>
          </w:tcPr>
          <w:p>
            <w:pPr>
              <w:pStyle w:val="null3"/>
              <w:jc w:val="left"/>
            </w:pPr>
            <w:r>
              <w:rPr>
                <w:rFonts w:ascii="仿宋_GB2312" w:hAnsi="仿宋_GB2312" w:cs="仿宋_GB2312" w:eastAsia="仿宋_GB2312"/>
              </w:rPr>
              <w:t>IP话筒</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A02090406 播控设备</w:t>
            </w:r>
          </w:p>
        </w:tc>
        <w:tc>
          <w:tcPr>
            <w:tcW w:type="dxa" w:w="2492"/>
          </w:tcPr>
          <w:p>
            <w:pPr>
              <w:pStyle w:val="null3"/>
              <w:jc w:val="left"/>
            </w:pPr>
            <w:r>
              <w:rPr>
                <w:rFonts w:ascii="仿宋_GB2312" w:hAnsi="仿宋_GB2312" w:cs="仿宋_GB2312" w:eastAsia="仿宋_GB2312"/>
              </w:rPr>
              <w:t>多模收扩机</w:t>
            </w:r>
          </w:p>
        </w:tc>
        <w:tc>
          <w:tcPr>
            <w:tcW w:type="dxa" w:w="2492"/>
          </w:tcPr>
          <w:p>
            <w:pPr>
              <w:pStyle w:val="null3"/>
              <w:jc w:val="left"/>
            </w:pPr>
            <w:r>
              <w:rPr>
                <w:rFonts w:ascii="仿宋_GB2312" w:hAnsi="仿宋_GB2312" w:cs="仿宋_GB2312" w:eastAsia="仿宋_GB2312"/>
              </w:rPr>
              <w:t>多模收扩机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标的名称：IP话筒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1.1总体要求  </w:t>
            </w:r>
          </w:p>
        </w:tc>
        <w:tc>
          <w:tcPr>
            <w:tcW w:type="dxa" w:w="5814"/>
          </w:tcPr>
          <w:p>
            <w:pPr>
              <w:pStyle w:val="null3"/>
              <w:ind w:firstLine="560"/>
              <w:jc w:val="left"/>
            </w:pPr>
            <w:r>
              <w:rPr>
                <w:rFonts w:ascii="仿宋_GB2312" w:hAnsi="仿宋_GB2312" w:cs="仿宋_GB2312" w:eastAsia="仿宋_GB2312"/>
                <w:sz w:val="28"/>
              </w:rPr>
              <w:t>具备向县级应急广播调度控制系统发送广播申请的功能，通过县级应急广播调度控制机控制本辖区内的应急广播终端播放。</w:t>
            </w:r>
          </w:p>
          <w:p>
            <w:pPr>
              <w:pStyle w:val="null3"/>
              <w:ind w:firstLine="560"/>
              <w:jc w:val="left"/>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1.2功能要求</w:t>
            </w:r>
          </w:p>
        </w:tc>
        <w:tc>
          <w:tcPr>
            <w:tcW w:type="dxa" w:w="5814"/>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1）具备向县级应急广播调度控制系统发送广播申请的功能，通过县级应急广播调度控制机控制本辖区内的应急广播终端播放。具备资源自动申请及释放请求功能，支持与应急广播平台保持实时通信，通过网络实现插播通道申请和安全验证；具备向县级应急广播调度控制系统发送请求，获取本区域管辖的IP接收终端信息；具备向县级应急广播调度控制系统发请求,获取本区域行政区域名称；具备本区域管辖的应急广播终端设备分组功能，分组不少于32组；具备日常广播功能，根据IP话筒的权限，选择某几个分组、或者某几个设备，发起喊话；</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2）具备设备信息和状态信息回传功能，包括设备</w:t>
            </w:r>
            <w:r>
              <w:rPr>
                <w:rFonts w:ascii="仿宋_GB2312" w:hAnsi="仿宋_GB2312" w:cs="仿宋_GB2312" w:eastAsia="仿宋_GB2312"/>
                <w:sz w:val="28"/>
              </w:rPr>
              <w:t>物理码、资源编码</w:t>
            </w:r>
            <w:r>
              <w:rPr>
                <w:rFonts w:ascii="仿宋_GB2312" w:hAnsi="仿宋_GB2312" w:cs="仿宋_GB2312" w:eastAsia="仿宋_GB2312"/>
                <w:sz w:val="28"/>
              </w:rPr>
              <w:t>、安装位置、经纬度、设备在线</w:t>
            </w:r>
            <w:r>
              <w:rPr>
                <w:rFonts w:ascii="仿宋_GB2312" w:hAnsi="仿宋_GB2312" w:cs="仿宋_GB2312" w:eastAsia="仿宋_GB2312"/>
                <w:sz w:val="28"/>
              </w:rPr>
              <w:t>\离线\播发\故障等状态信息回传到县级应急广播平台；</w:t>
            </w:r>
          </w:p>
          <w:p>
            <w:pPr>
              <w:pStyle w:val="null3"/>
              <w:jc w:val="left"/>
            </w:pPr>
            <w:r>
              <w:rPr>
                <w:rFonts w:ascii="仿宋_GB2312" w:hAnsi="仿宋_GB2312" w:cs="仿宋_GB2312" w:eastAsia="仿宋_GB2312"/>
                <w:sz w:val="28"/>
              </w:rPr>
              <w:t>▲（3）支持一键式开启正常/应急广播，广播音源可预设为U盘、话筒、线路输入；</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4）支持实时应急播出，应急广播优先级可自定义选择，紧急广播优先播出；</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5）具有音频采样及编码功能，码率可根据实际带宽设置，根据系统任务，将模拟音频流实时编码上传至服务器；音频编码位率：8Kbps~320Kbps，音频延时(从话筒接收到流媒体输出)：≤500ms;IP广播时延：≤3S；</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6）具有彩色LCD中文显示屏、物理按键（包含0~9数字键、一键应急按键、音源切换按键、监听开关按键、音量加减按键、电话广播按键），方便村级用户使用；（提供实物照片佐证）</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7）具备U盾接口，秘匙配对，广播操作时需要验证密匙；（提供实物照片佐证）</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8）具有面板按键锁定功能，只有通过密码(6位)授权才能进行机器操作；采用数字签名验证，具有防干扰和插播功能，支持国密SM2非对称算法；</w:t>
            </w:r>
          </w:p>
          <w:p>
            <w:pPr>
              <w:pStyle w:val="null3"/>
              <w:jc w:val="left"/>
            </w:pPr>
            <w:r>
              <w:rPr>
                <w:rFonts w:ascii="仿宋_GB2312" w:hAnsi="仿宋_GB2312" w:cs="仿宋_GB2312" w:eastAsia="仿宋_GB2312"/>
                <w:sz w:val="28"/>
              </w:rPr>
              <w:t>▲（9）支持TCP/IP协议栈，支持静态IP和DHCP两种方式，可跨网段、跨路由工作；</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10）具有监听功能，内置≥3W全频监听扬声器，声音清晰、洪亮，监听音量可调；</w:t>
            </w:r>
          </w:p>
          <w:p>
            <w:pPr>
              <w:pStyle w:val="null3"/>
              <w:jc w:val="left"/>
            </w:pPr>
            <w:r>
              <w:rPr>
                <w:rFonts w:ascii="仿宋_GB2312" w:hAnsi="仿宋_GB2312" w:cs="仿宋_GB2312" w:eastAsia="仿宋_GB2312"/>
                <w:sz w:val="28"/>
              </w:rPr>
              <w:t>▲（11）支持OTA远程在线升级，具备修改失败、升级失败后的还原功能；</w:t>
            </w:r>
          </w:p>
          <w:p>
            <w:pPr>
              <w:pStyle w:val="null3"/>
              <w:jc w:val="left"/>
            </w:pPr>
            <w:r>
              <w:rPr>
                <w:rFonts w:ascii="仿宋_GB2312" w:hAnsi="仿宋_GB2312" w:cs="仿宋_GB2312" w:eastAsia="仿宋_GB2312"/>
                <w:sz w:val="28"/>
              </w:rPr>
              <w:t>▲（12）内置WEB服务，可查看设备状态、参数，可进行参数配置；</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13）具备WEB升级程序功能；（提供界面截图佐证）</w:t>
            </w:r>
          </w:p>
          <w:p>
            <w:pPr>
              <w:pStyle w:val="null3"/>
              <w:jc w:val="left"/>
            </w:pPr>
            <w:r>
              <w:rPr>
                <w:rFonts w:ascii="仿宋_GB2312" w:hAnsi="仿宋_GB2312" w:cs="仿宋_GB2312" w:eastAsia="仿宋_GB2312"/>
                <w:sz w:val="28"/>
              </w:rPr>
              <w:t>▲（14）具备WEB实时监听正在播出音频功能，具备WEB实时打印输出日志进行运维调试功能；（提供界面截图佐证）</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15）具备在液晶屏上对当前音量大小实时图形化指示。（提供实物照片佐证）</w:t>
            </w:r>
          </w:p>
          <w:p>
            <w:pPr>
              <w:pStyle w:val="null3"/>
              <w:jc w:val="left"/>
            </w:pPr>
            <w:r>
              <w:rPr>
                <w:rFonts w:ascii="仿宋_GB2312" w:hAnsi="仿宋_GB2312" w:cs="仿宋_GB2312" w:eastAsia="仿宋_GB2312"/>
                <w:sz w:val="28"/>
              </w:rPr>
              <w:t>注：针对以上技术参数要求中标注</w:t>
            </w:r>
            <w:r>
              <w:rPr>
                <w:rFonts w:ascii="仿宋_GB2312" w:hAnsi="仿宋_GB2312" w:cs="仿宋_GB2312" w:eastAsia="仿宋_GB2312"/>
                <w:sz w:val="28"/>
              </w:rPr>
              <w:t>“▲”项的响应内容应当提供由国家广播电视总局下属检验检测中心出具的检验检测报告影印件或者由第三方检验检测机构出具的具有“CMA”标识的检验检测报告影印件用于佐证，供应商需在所提供的检验检测报告中清晰标注出与响应内容一致的检验检测结果（检测报告需完整载明检测产品的品牌、型号）。</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1.3接口及性能要求</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1）具备RJ45网口，自适应支持10M/100M；具有USB输入；具有左右声道本地线路输入，RCA接口；具有鹅颈话筒输入；线路输入灵敏度：100mVrms/20KΩ；输入电平：0~0.775Vrms可调；</w:t>
            </w:r>
          </w:p>
          <w:p>
            <w:pPr>
              <w:pStyle w:val="null3"/>
              <w:jc w:val="left"/>
            </w:pPr>
            <w:r>
              <w:rPr>
                <w:rFonts w:ascii="仿宋_GB2312" w:hAnsi="仿宋_GB2312" w:cs="仿宋_GB2312" w:eastAsia="仿宋_GB2312"/>
                <w:sz w:val="28"/>
              </w:rPr>
              <w:t>▲（2）谐波失真：≤0.1%（80Hz~15KHz）;</w:t>
            </w:r>
          </w:p>
          <w:p>
            <w:pPr>
              <w:pStyle w:val="null3"/>
              <w:jc w:val="left"/>
            </w:pPr>
            <w:r>
              <w:rPr>
                <w:rFonts w:ascii="仿宋_GB2312" w:hAnsi="仿宋_GB2312" w:cs="仿宋_GB2312" w:eastAsia="仿宋_GB2312"/>
                <w:sz w:val="28"/>
              </w:rPr>
              <w:t>▲（3）信噪比：≥98.5dB（1KHz，输入电平：400mV）</w:t>
            </w:r>
          </w:p>
          <w:p>
            <w:pPr>
              <w:pStyle w:val="null3"/>
              <w:jc w:val="both"/>
            </w:pPr>
            <w:r>
              <w:rPr>
                <w:rFonts w:ascii="仿宋_GB2312" w:hAnsi="仿宋_GB2312" w:cs="仿宋_GB2312" w:eastAsia="仿宋_GB2312"/>
                <w:sz w:val="28"/>
              </w:rPr>
              <w:t>注：针对以上技术参数要求中标注</w:t>
            </w:r>
            <w:r>
              <w:rPr>
                <w:rFonts w:ascii="仿宋_GB2312" w:hAnsi="仿宋_GB2312" w:cs="仿宋_GB2312" w:eastAsia="仿宋_GB2312"/>
                <w:sz w:val="28"/>
              </w:rPr>
              <w:t>“▲”项的响应内容应当提供由国家广播电视总局下属检验检测中心出具的检验检测报告影印件或者由第三方检验检测机构出具的具有“CMA”标识的检验检测报告影印件用于佐证，供应商需在所提供的检验检测报告中清晰标注出与响应内容一致的检验检测结果（检测报告需完整载明检测产品的品牌、型号）。</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交换机</w:t>
            </w:r>
          </w:p>
        </w:tc>
        <w:tc>
          <w:tcPr>
            <w:tcW w:type="dxa" w:w="5814"/>
          </w:tcPr>
          <w:p>
            <w:pPr>
              <w:pStyle w:val="null3"/>
              <w:jc w:val="both"/>
            </w:pPr>
            <w:r>
              <w:rPr>
                <w:rFonts w:ascii="仿宋_GB2312" w:hAnsi="仿宋_GB2312" w:cs="仿宋_GB2312" w:eastAsia="仿宋_GB2312"/>
                <w:sz w:val="28"/>
              </w:rPr>
              <w:t>千兆企业级交换机：包转发率：</w:t>
            </w:r>
            <w:r>
              <w:rPr>
                <w:rFonts w:ascii="仿宋_GB2312" w:hAnsi="仿宋_GB2312" w:cs="仿宋_GB2312" w:eastAsia="仿宋_GB2312"/>
                <w:sz w:val="28"/>
              </w:rPr>
              <w:t>≥1.2Mbps；交换容量：≥1.6Gbps；MAC地址表：8K；端口：≥8个100/1000Base-TX以太网端口。</w:t>
            </w:r>
          </w:p>
        </w:tc>
      </w:tr>
    </w:tbl>
    <w:p>
      <w:pPr>
        <w:pStyle w:val="null3"/>
        <w:jc w:val="left"/>
      </w:pPr>
      <w:r>
        <w:rPr>
          <w:rFonts w:ascii="仿宋_GB2312" w:hAnsi="仿宋_GB2312" w:cs="仿宋_GB2312" w:eastAsia="仿宋_GB2312"/>
        </w:rPr>
        <w:t>标的名称：应急广播制度牌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应急广播管理制度</w:t>
            </w:r>
          </w:p>
        </w:tc>
        <w:tc>
          <w:tcPr>
            <w:tcW w:type="dxa" w:w="5814"/>
          </w:tcPr>
          <w:p>
            <w:pPr>
              <w:pStyle w:val="null3"/>
              <w:jc w:val="both"/>
            </w:pPr>
            <w:r>
              <w:rPr>
                <w:rFonts w:ascii="仿宋_GB2312" w:hAnsi="仿宋_GB2312" w:cs="仿宋_GB2312" w:eastAsia="仿宋_GB2312"/>
                <w:sz w:val="28"/>
              </w:rPr>
              <w:t>根据现场和省局文件规定的村制度牌要求制作；内容符合《四川省应急广播体系运行维护管理规范》（川广办〔</w:t>
            </w:r>
            <w:r>
              <w:rPr>
                <w:rFonts w:ascii="仿宋_GB2312" w:hAnsi="仿宋_GB2312" w:cs="仿宋_GB2312" w:eastAsia="仿宋_GB2312"/>
                <w:sz w:val="28"/>
              </w:rPr>
              <w:t>2020〕5号）要求。</w:t>
            </w:r>
          </w:p>
        </w:tc>
      </w:tr>
    </w:tbl>
    <w:p>
      <w:pPr>
        <w:pStyle w:val="null3"/>
        <w:jc w:val="left"/>
      </w:pPr>
      <w:r>
        <w:rPr>
          <w:rFonts w:ascii="仿宋_GB2312" w:hAnsi="仿宋_GB2312" w:cs="仿宋_GB2312" w:eastAsia="仿宋_GB2312"/>
        </w:rPr>
        <w:t>标的名称：多模收扩机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1.1总体要求</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1）具有接收上级调频信号进行处理能力，解调出音频信号，做出相应的播发/停止动作；</w:t>
            </w:r>
            <w:r>
              <w:rPr>
                <w:rFonts w:ascii="仿宋_GB2312" w:hAnsi="仿宋_GB2312" w:cs="仿宋_GB2312" w:eastAsia="仿宋_GB2312"/>
                <w:sz w:val="28"/>
              </w:rPr>
              <w:t>支持分区域播发控制；</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2）具有接收上级DTMB/DVB-C信号进行处理能力，解调出音频信号及控制信号，做出相应的播发/停止动作；</w:t>
            </w:r>
            <w:r>
              <w:rPr>
                <w:rFonts w:ascii="仿宋_GB2312" w:hAnsi="仿宋_GB2312" w:cs="仿宋_GB2312" w:eastAsia="仿宋_GB2312"/>
                <w:sz w:val="28"/>
              </w:rPr>
              <w:t>支持分区域播发控制；</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3）具有接收上级IP（4G）信号进行处理能力，解调出音频信号及控制信号，做出相应的播发/停止动作；</w:t>
            </w:r>
            <w:r>
              <w:rPr>
                <w:rFonts w:ascii="仿宋_GB2312" w:hAnsi="仿宋_GB2312" w:cs="仿宋_GB2312" w:eastAsia="仿宋_GB2312"/>
                <w:sz w:val="28"/>
              </w:rPr>
              <w:t>支持分区域播发控制；</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4）具备移动通信模式(4G)接收应急广播消息通道，配置移动通信模块。</w:t>
            </w:r>
            <w:r>
              <w:rPr>
                <w:rFonts w:ascii="仿宋_GB2312" w:hAnsi="仿宋_GB2312" w:cs="仿宋_GB2312" w:eastAsia="仿宋_GB2312"/>
                <w:sz w:val="28"/>
              </w:rPr>
              <w:t>支持分区域播发控制；</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5）支持IP、4G、调频、DTMB、DVB-C播发应急广播消息通道，通道优先级可配置；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6）含FM接收天线，DTMB接收天线。</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1.2结构及材质</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1）机壳主体采用铝合金型材，</w:t>
            </w:r>
            <w:r>
              <w:rPr>
                <w:rFonts w:ascii="仿宋_GB2312" w:hAnsi="仿宋_GB2312" w:cs="仿宋_GB2312" w:eastAsia="仿宋_GB2312"/>
                <w:sz w:val="28"/>
              </w:rPr>
              <w:t>机壳上盖板采用铸铝材质；</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2）具备ABS百叶窗设计</w:t>
            </w:r>
            <w:r>
              <w:rPr>
                <w:rFonts w:ascii="仿宋_GB2312" w:hAnsi="仿宋_GB2312" w:cs="仿宋_GB2312" w:eastAsia="仿宋_GB2312"/>
                <w:sz w:val="28"/>
              </w:rPr>
              <w:t>（提供实物照片佐证</w:t>
            </w:r>
            <w:r>
              <w:rPr>
                <w:rFonts w:ascii="仿宋_GB2312" w:hAnsi="仿宋_GB2312" w:cs="仿宋_GB2312" w:eastAsia="仿宋_GB2312"/>
                <w:sz w:val="28"/>
              </w:rPr>
              <w:t>），具备良好的散热效果；</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3）接口面采用防老化ABS材料，并具备导流孔（</w:t>
            </w:r>
            <w:r>
              <w:rPr>
                <w:rFonts w:ascii="仿宋_GB2312" w:hAnsi="仿宋_GB2312" w:cs="仿宋_GB2312" w:eastAsia="仿宋_GB2312"/>
                <w:sz w:val="28"/>
              </w:rPr>
              <w:t>提供实物照片佐证</w:t>
            </w:r>
            <w:r>
              <w:rPr>
                <w:rFonts w:ascii="仿宋_GB2312" w:hAnsi="仿宋_GB2312" w:cs="仿宋_GB2312" w:eastAsia="仿宋_GB2312"/>
                <w:sz w:val="28"/>
              </w:rPr>
              <w:t>），防止水汽凝结在设备内部。</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4）IP、DVB-C、DTMB、FM-RDS通道具有独立的状态指示灯。（提供实物照片佐证）</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1.3功能要求</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可设置本设备IP地址、端口号等参数；可接收来自适配器的调频信号、IP信号、4G、DTMB/DVB-C信号，实现远程广播控制功能；支持管理平台远程配置工作参数（包括：音量、调频频率、DTMB频率等）及设备信息和状态信息回传功能，包括设备物理码、资源编码、安装位置、经纬度等、设备在线\离线\播发\故障等状态信息、设备播发信息等回传到县级应急广播平台；</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2）配置国密算法安全芯片，具有签名、验签功能。（国家广播电视总局下属检验检测中心出具的检验检测报告影印件或者由第三方检验检测机构出具的具有“CMA”标识的检验检测报告影印件用于佐证）</w:t>
            </w:r>
          </w:p>
          <w:p>
            <w:pPr>
              <w:pStyle w:val="null3"/>
              <w:jc w:val="left"/>
            </w:pPr>
            <w:r>
              <w:rPr>
                <w:rFonts w:ascii="仿宋_GB2312" w:hAnsi="仿宋_GB2312" w:cs="仿宋_GB2312" w:eastAsia="仿宋_GB2312"/>
                <w:sz w:val="28"/>
              </w:rPr>
              <w:t>▲（3）支持有线IP、4G、DVB-C、DTMB远程OTA升级；</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（4）内置WEB服务，可查看设备状态、参数，可进行参数配置；</w:t>
            </w:r>
          </w:p>
          <w:p>
            <w:pPr>
              <w:pStyle w:val="null3"/>
              <w:jc w:val="left"/>
            </w:pPr>
            <w:r>
              <w:rPr>
                <w:rFonts w:ascii="仿宋_GB2312" w:hAnsi="仿宋_GB2312" w:cs="仿宋_GB2312" w:eastAsia="仿宋_GB2312"/>
                <w:sz w:val="28"/>
              </w:rPr>
              <w:t>▲（5）具备WEB升级程序功能；</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6）具备WEB实时监听正在播出音频功能；（提供功能截图佐证）</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7）具备WEB实时打印输出日志进行运维调试功能；（提供功能截图佐证）</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8）具有良好的防护能力，支持短路保护功能，具有IP66级或以上防水防尘等级。</w:t>
            </w:r>
          </w:p>
          <w:p>
            <w:pPr>
              <w:pStyle w:val="null3"/>
              <w:jc w:val="both"/>
            </w:pPr>
            <w:r>
              <w:rPr>
                <w:rFonts w:ascii="仿宋_GB2312" w:hAnsi="仿宋_GB2312" w:cs="仿宋_GB2312" w:eastAsia="仿宋_GB2312"/>
                <w:sz w:val="28"/>
              </w:rPr>
              <w:t>注：针对以上技术参数要求中标注</w:t>
            </w:r>
            <w:r>
              <w:rPr>
                <w:rFonts w:ascii="仿宋_GB2312" w:hAnsi="仿宋_GB2312" w:cs="仿宋_GB2312" w:eastAsia="仿宋_GB2312"/>
                <w:sz w:val="28"/>
              </w:rPr>
              <w:t>“▲”项的响应内容应当提供由国家广播电视总局下属检验检测中心出具的检验检测报告影印件或者由第三方检验检测机构出具的具有“CMA”标识的检验检测报告影印件用于佐证，供应商需在所提供的检验检测报告中清晰标注出与响应内容一致的检验检测结果（检测报告需完整载明检测产品的品牌、型号）。</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1.4接口要求</w:t>
            </w:r>
          </w:p>
        </w:tc>
        <w:tc>
          <w:tcPr>
            <w:tcW w:type="dxa" w:w="5814"/>
          </w:tcPr>
          <w:p>
            <w:pPr>
              <w:pStyle w:val="null3"/>
              <w:jc w:val="left"/>
            </w:pPr>
            <w:r>
              <w:rPr>
                <w:rFonts w:ascii="仿宋_GB2312" w:hAnsi="仿宋_GB2312" w:cs="仿宋_GB2312" w:eastAsia="仿宋_GB2312"/>
                <w:sz w:val="28"/>
              </w:rPr>
              <w:t>（1）FM 输入接口：公制F母座，1路输入内置2分配，配置2个调谐器；DTMB（DVB-C）或独立输入接口：英制F母座，1路及以上；网络接口：RJ45；</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2）具备输出接口：音频接线柱，定阻输出可外接高音喇叭，输出功率：50W。</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1.5性能要求</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1）工作电压范围：160～260VAC；</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2）FM 输入频率范围：87MHz～108MHz；DTMB 频段：470MHz～862MHz；DVB-C 频段：115MHz～858MHz；</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音频功放信噪比：</w:t>
            </w:r>
            <w:r>
              <w:rPr>
                <w:rFonts w:ascii="仿宋_GB2312" w:hAnsi="仿宋_GB2312" w:cs="仿宋_GB2312" w:eastAsia="仿宋_GB2312"/>
                <w:sz w:val="28"/>
              </w:rPr>
              <w:t>≥70dB；音频功放谐波失真：≤1%。</w:t>
            </w:r>
          </w:p>
        </w:tc>
      </w:tr>
    </w:tbl>
    <w:p>
      <w:pPr>
        <w:pStyle w:val="null3"/>
        <w:jc w:val="left"/>
      </w:pPr>
      <w:r>
        <w:rPr>
          <w:rFonts w:ascii="仿宋_GB2312" w:hAnsi="仿宋_GB2312" w:cs="仿宋_GB2312" w:eastAsia="仿宋_GB2312"/>
        </w:rPr>
        <w:t>标的名称：高音喇叭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1.1性能要求：</w:t>
            </w:r>
          </w:p>
        </w:tc>
        <w:tc>
          <w:tcPr>
            <w:tcW w:type="dxa" w:w="5814"/>
          </w:tcPr>
          <w:p>
            <w:pPr>
              <w:pStyle w:val="null3"/>
              <w:jc w:val="both"/>
            </w:pPr>
            <w:r>
              <w:rPr>
                <w:rFonts w:ascii="仿宋_GB2312" w:hAnsi="仿宋_GB2312" w:cs="仿宋_GB2312" w:eastAsia="仿宋_GB2312"/>
                <w:sz w:val="28"/>
              </w:rPr>
              <w:t>输出功率：</w:t>
            </w:r>
            <w:r>
              <w:rPr>
                <w:rFonts w:ascii="仿宋_GB2312" w:hAnsi="仿宋_GB2312" w:cs="仿宋_GB2312" w:eastAsia="仿宋_GB2312"/>
                <w:sz w:val="28"/>
              </w:rPr>
              <w:t>25W；阻抗：16Ω；声压灵敏度：≥93dB/M；额定频率范围：200Hz~5000Hz。</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1.2.性能及材质要求</w:t>
            </w:r>
          </w:p>
        </w:tc>
        <w:tc>
          <w:tcPr>
            <w:tcW w:type="dxa" w:w="5814"/>
          </w:tcPr>
          <w:p>
            <w:pPr>
              <w:pStyle w:val="null3"/>
              <w:spacing w:after="165"/>
              <w:jc w:val="left"/>
            </w:pPr>
            <w:r>
              <w:rPr>
                <w:rFonts w:ascii="仿宋_GB2312" w:hAnsi="仿宋_GB2312" w:cs="仿宋_GB2312" w:eastAsia="仿宋_GB2312"/>
                <w:sz w:val="30"/>
              </w:rPr>
              <w:t>材质：铝质喷漆外壳，材料厚度≥1.5mm；</w:t>
            </w:r>
            <w:r>
              <w:rPr>
                <w:rFonts w:ascii="仿宋_GB2312" w:hAnsi="仿宋_GB2312" w:cs="仿宋_GB2312" w:eastAsia="仿宋_GB2312"/>
                <w:sz w:val="30"/>
              </w:rPr>
              <w:t>音频频率响应：</w:t>
            </w:r>
            <w:r>
              <w:rPr>
                <w:rFonts w:ascii="仿宋_GB2312" w:hAnsi="仿宋_GB2312" w:cs="仿宋_GB2312" w:eastAsia="仿宋_GB2312"/>
                <w:sz w:val="30"/>
              </w:rPr>
              <w:t>≤±1dB；</w:t>
            </w:r>
            <w:r>
              <w:rPr>
                <w:rFonts w:ascii="仿宋_GB2312" w:hAnsi="仿宋_GB2312" w:cs="仿宋_GB2312" w:eastAsia="仿宋_GB2312"/>
                <w:sz w:val="30"/>
              </w:rPr>
              <w:t>语言清晰度：</w:t>
            </w:r>
            <w:r>
              <w:rPr>
                <w:rFonts w:ascii="仿宋_GB2312" w:hAnsi="仿宋_GB2312" w:cs="仿宋_GB2312" w:eastAsia="仿宋_GB2312"/>
                <w:sz w:val="30"/>
              </w:rPr>
              <w:t>≥0.95。</w:t>
            </w:r>
          </w:p>
        </w:tc>
      </w:tr>
    </w:tbl>
    <w:p>
      <w:pPr>
        <w:pStyle w:val="null3"/>
        <w:jc w:val="left"/>
      </w:pPr>
      <w:r>
        <w:rPr>
          <w:rFonts w:ascii="仿宋_GB2312" w:hAnsi="仿宋_GB2312" w:cs="仿宋_GB2312" w:eastAsia="仿宋_GB2312"/>
        </w:rPr>
        <w:t>标的名称：电力接入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电力接入服务</w:t>
            </w:r>
          </w:p>
        </w:tc>
        <w:tc>
          <w:tcPr>
            <w:tcW w:type="dxa" w:w="5814"/>
          </w:tcPr>
          <w:p>
            <w:pPr>
              <w:pStyle w:val="null3"/>
              <w:jc w:val="both"/>
            </w:pPr>
            <w:r>
              <w:rPr>
                <w:rFonts w:ascii="仿宋_GB2312" w:hAnsi="仿宋_GB2312" w:cs="仿宋_GB2312" w:eastAsia="仿宋_GB2312"/>
                <w:sz w:val="28"/>
              </w:rPr>
              <w:t>为应急广播前端、终端的安装及运行提供安全合规的电力接入服务，使设备在运行过程中具有安全稳定的电力保障。</w:t>
            </w:r>
          </w:p>
        </w:tc>
      </w:tr>
    </w:tbl>
    <w:p>
      <w:pPr>
        <w:pStyle w:val="null3"/>
        <w:jc w:val="left"/>
      </w:pPr>
      <w:r>
        <w:rPr>
          <w:rFonts w:ascii="仿宋_GB2312" w:hAnsi="仿宋_GB2312" w:cs="仿宋_GB2312" w:eastAsia="仿宋_GB2312"/>
        </w:rPr>
        <w:t>标的名称：7米水泥杆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7米水泥杆</w:t>
            </w:r>
          </w:p>
        </w:tc>
        <w:tc>
          <w:tcPr>
            <w:tcW w:type="dxa" w:w="5814"/>
          </w:tcPr>
          <w:p>
            <w:pPr>
              <w:pStyle w:val="null3"/>
              <w:jc w:val="both"/>
            </w:pPr>
            <w:r>
              <w:rPr>
                <w:rFonts w:ascii="仿宋_GB2312" w:hAnsi="仿宋_GB2312" w:cs="仿宋_GB2312" w:eastAsia="仿宋_GB2312"/>
                <w:sz w:val="28"/>
              </w:rPr>
              <w:t>符合</w:t>
            </w:r>
            <w:r>
              <w:rPr>
                <w:rFonts w:ascii="仿宋_GB2312" w:hAnsi="仿宋_GB2312" w:cs="仿宋_GB2312" w:eastAsia="仿宋_GB2312"/>
                <w:sz w:val="28"/>
              </w:rPr>
              <w:t>GB/T 4623-2014《环形混凝土电杆》标准，含运输、挖坑、立杆、横担、抱箍</w:t>
            </w:r>
            <w:r>
              <w:rPr>
                <w:rFonts w:ascii="仿宋_GB2312" w:hAnsi="仿宋_GB2312" w:cs="仿宋_GB2312" w:eastAsia="仿宋_GB2312"/>
                <w:sz w:val="28"/>
                <w:color w:val="FF0000"/>
              </w:rPr>
              <w:t>、</w:t>
            </w:r>
            <w:r>
              <w:rPr>
                <w:rFonts w:ascii="仿宋_GB2312" w:hAnsi="仿宋_GB2312" w:cs="仿宋_GB2312" w:eastAsia="仿宋_GB2312"/>
                <w:sz w:val="28"/>
              </w:rPr>
              <w:t>金具，拉线等，具备安装收扩机和</w:t>
            </w:r>
            <w:r>
              <w:rPr>
                <w:rFonts w:ascii="仿宋_GB2312" w:hAnsi="仿宋_GB2312" w:cs="仿宋_GB2312" w:eastAsia="仿宋_GB2312"/>
                <w:sz w:val="28"/>
              </w:rPr>
              <w:t>4 只高音喇叭的条件。</w:t>
            </w:r>
          </w:p>
        </w:tc>
      </w:tr>
    </w:tbl>
    <w:p>
      <w:pPr>
        <w:pStyle w:val="null3"/>
        <w:jc w:val="left"/>
      </w:pPr>
      <w:r>
        <w:rPr>
          <w:rFonts w:ascii="仿宋_GB2312" w:hAnsi="仿宋_GB2312" w:cs="仿宋_GB2312" w:eastAsia="仿宋_GB2312"/>
        </w:rPr>
        <w:t>标的名称：物联网卡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物联网卡</w:t>
            </w:r>
          </w:p>
        </w:tc>
        <w:tc>
          <w:tcPr>
            <w:tcW w:type="dxa" w:w="5814"/>
          </w:tcPr>
          <w:p>
            <w:pPr>
              <w:pStyle w:val="null3"/>
              <w:jc w:val="both"/>
            </w:pPr>
            <w:r>
              <w:rPr>
                <w:rFonts w:ascii="仿宋_GB2312" w:hAnsi="仿宋_GB2312" w:cs="仿宋_GB2312" w:eastAsia="仿宋_GB2312"/>
                <w:sz w:val="28"/>
              </w:rPr>
              <w:t>6GB/月，支持流量池、定向流量。</w:t>
            </w:r>
          </w:p>
        </w:tc>
      </w:tr>
    </w:tbl>
    <w:p>
      <w:pPr>
        <w:pStyle w:val="null3"/>
        <w:jc w:val="left"/>
      </w:pPr>
      <w:r>
        <w:rPr>
          <w:rFonts w:ascii="仿宋_GB2312" w:hAnsi="仿宋_GB2312" w:cs="仿宋_GB2312" w:eastAsia="仿宋_GB2312"/>
        </w:rPr>
        <w:t>标的名称：安装辅材及集联服务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安装辅材及集联服务</w:t>
            </w:r>
          </w:p>
        </w:tc>
        <w:tc>
          <w:tcPr>
            <w:tcW w:type="dxa" w:w="5814"/>
          </w:tcPr>
          <w:p>
            <w:pPr>
              <w:pStyle w:val="null3"/>
              <w:jc w:val="left"/>
            </w:pPr>
            <w:r>
              <w:rPr>
                <w:rFonts w:ascii="仿宋_GB2312" w:hAnsi="仿宋_GB2312" w:cs="仿宋_GB2312" w:eastAsia="仿宋_GB2312"/>
                <w:sz w:val="28"/>
              </w:rPr>
              <w:t>1.1村级前端集联服务：</w:t>
            </w:r>
          </w:p>
          <w:p>
            <w:pPr>
              <w:pStyle w:val="null3"/>
              <w:ind w:firstLine="280"/>
              <w:jc w:val="left"/>
            </w:pPr>
            <w:r>
              <w:rPr>
                <w:rFonts w:ascii="仿宋_GB2312" w:hAnsi="仿宋_GB2312" w:cs="仿宋_GB2312" w:eastAsia="仿宋_GB2312"/>
                <w:sz w:val="28"/>
              </w:rPr>
              <w:t>（</w:t>
            </w:r>
            <w:r>
              <w:rPr>
                <w:rFonts w:ascii="仿宋_GB2312" w:hAnsi="仿宋_GB2312" w:cs="仿宋_GB2312" w:eastAsia="仿宋_GB2312"/>
                <w:sz w:val="28"/>
              </w:rPr>
              <w:t>1）网络敷设及调试以及配套辅材：</w:t>
            </w:r>
          </w:p>
          <w:p>
            <w:pPr>
              <w:pStyle w:val="null3"/>
              <w:ind w:firstLine="560"/>
              <w:jc w:val="left"/>
            </w:pPr>
            <w:r>
              <w:rPr>
                <w:rFonts w:ascii="仿宋_GB2312" w:hAnsi="仿宋_GB2312" w:cs="仿宋_GB2312" w:eastAsia="仿宋_GB2312"/>
                <w:sz w:val="28"/>
              </w:rPr>
              <w:t>①配套辅材需要符合国家相关标准，满足应急广播工程建设要求；</w:t>
            </w:r>
          </w:p>
          <w:p>
            <w:pPr>
              <w:pStyle w:val="null3"/>
              <w:ind w:firstLine="560"/>
              <w:jc w:val="left"/>
            </w:pPr>
            <w:r>
              <w:rPr>
                <w:rFonts w:ascii="仿宋_GB2312" w:hAnsi="仿宋_GB2312" w:cs="仿宋_GB2312" w:eastAsia="仿宋_GB2312"/>
                <w:sz w:val="28"/>
              </w:rPr>
              <w:t>②为保障本次建设项目顺利推进，供应商需为本项目涉及的21个乡镇63个行政村提供网络敷设及调试支持，确保各乡镇的网络敷设及调试工作得到充分保障。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2）IP话筒安装及调试以及配套辅材：为保障本次建设项目顺利推进，供应商需为本项目涉及的21个乡镇63个行政村提供安装调试支持，确保各乡镇的IP话筒安装、调试等工作得到充分保障。</w:t>
            </w:r>
          </w:p>
          <w:p>
            <w:pPr>
              <w:pStyle w:val="null3"/>
              <w:jc w:val="left"/>
            </w:pPr>
            <w:r>
              <w:rPr>
                <w:rFonts w:ascii="仿宋_GB2312" w:hAnsi="仿宋_GB2312" w:cs="仿宋_GB2312" w:eastAsia="仿宋_GB2312"/>
                <w:sz w:val="28"/>
              </w:rPr>
              <w:t>1.2村级终端集联服务(村部)</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1）网络敷设、调试以及配套辅材</w:t>
            </w:r>
          </w:p>
          <w:p>
            <w:pPr>
              <w:pStyle w:val="null3"/>
              <w:ind w:firstLine="560"/>
              <w:jc w:val="left"/>
            </w:pPr>
            <w:r>
              <w:rPr>
                <w:rFonts w:ascii="仿宋_GB2312" w:hAnsi="仿宋_GB2312" w:cs="仿宋_GB2312" w:eastAsia="仿宋_GB2312"/>
                <w:sz w:val="28"/>
              </w:rPr>
              <w:t>①配套辅材需要符合国家相关标准，满足应急广播工程建设要求；</w:t>
            </w:r>
          </w:p>
          <w:p>
            <w:pPr>
              <w:pStyle w:val="null3"/>
              <w:ind w:firstLine="560"/>
              <w:jc w:val="left"/>
            </w:pPr>
            <w:r>
              <w:rPr>
                <w:rFonts w:ascii="仿宋_GB2312" w:hAnsi="仿宋_GB2312" w:cs="仿宋_GB2312" w:eastAsia="仿宋_GB2312"/>
                <w:sz w:val="28"/>
              </w:rPr>
              <w:t>②为保障本次建设项目顺利推进，供应商需为本项目涉及的21个乡镇63个行政村提供网络敷设及调试支持，确保各乡镇的网络敷设及调试工作得到充分保障。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2）收扩机安装、调试以及配套辅材：</w:t>
            </w:r>
          </w:p>
          <w:p>
            <w:pPr>
              <w:pStyle w:val="null3"/>
              <w:ind w:firstLine="560"/>
              <w:jc w:val="left"/>
            </w:pPr>
            <w:r>
              <w:rPr>
                <w:rFonts w:ascii="仿宋_GB2312" w:hAnsi="仿宋_GB2312" w:cs="仿宋_GB2312" w:eastAsia="仿宋_GB2312"/>
                <w:sz w:val="28"/>
              </w:rPr>
              <w:t>①配套辅材需要符合国家相关标准，满足应急广播工程建设要求；</w:t>
            </w:r>
          </w:p>
          <w:p>
            <w:pPr>
              <w:pStyle w:val="null3"/>
              <w:ind w:firstLine="560"/>
              <w:jc w:val="left"/>
            </w:pPr>
            <w:r>
              <w:rPr>
                <w:rFonts w:ascii="仿宋_GB2312" w:hAnsi="仿宋_GB2312" w:cs="仿宋_GB2312" w:eastAsia="仿宋_GB2312"/>
                <w:sz w:val="28"/>
              </w:rPr>
              <w:t>②为保障本次建设项目顺利推进，供应商需为本项目涉及的21个乡镇63个行政村提供收扩机及调试支持，确保各乡镇的收扩机及调试工作得到充分保障。</w:t>
            </w:r>
          </w:p>
          <w:p>
            <w:pPr>
              <w:pStyle w:val="null3"/>
              <w:ind w:firstLine="560"/>
              <w:jc w:val="left"/>
            </w:pPr>
            <w:r>
              <w:rPr>
                <w:rFonts w:ascii="仿宋_GB2312" w:hAnsi="仿宋_GB2312" w:cs="仿宋_GB2312" w:eastAsia="仿宋_GB2312"/>
                <w:sz w:val="28"/>
              </w:rPr>
              <w:t>1.3村级终端集联服务(野外)</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1）收扩机安装、调试以及配套辅材：</w:t>
            </w:r>
          </w:p>
          <w:p>
            <w:pPr>
              <w:pStyle w:val="null3"/>
              <w:ind w:firstLine="560"/>
              <w:jc w:val="left"/>
            </w:pPr>
            <w:r>
              <w:rPr>
                <w:rFonts w:ascii="仿宋_GB2312" w:hAnsi="仿宋_GB2312" w:cs="仿宋_GB2312" w:eastAsia="仿宋_GB2312"/>
                <w:sz w:val="28"/>
              </w:rPr>
              <w:t>①配套辅材需要符合国家相关标准，满足应急广播工程建设要求；</w:t>
            </w:r>
          </w:p>
          <w:p>
            <w:pPr>
              <w:pStyle w:val="null3"/>
              <w:jc w:val="both"/>
            </w:pPr>
            <w:r>
              <w:rPr>
                <w:rFonts w:ascii="仿宋_GB2312" w:hAnsi="仿宋_GB2312" w:cs="仿宋_GB2312" w:eastAsia="仿宋_GB2312"/>
                <w:sz w:val="28"/>
              </w:rPr>
              <w:t>②为保障本次建设项目顺利推进，供应商需为本项目涉及的21个乡镇63个行政村提供收扩机及调试支持，确保各乡镇的收扩机及调试工作得到充分保障。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（一）产品质量要求</w:t>
            </w:r>
          </w:p>
        </w:tc>
        <w:tc>
          <w:tcPr>
            <w:tcW w:type="dxa" w:w="5814"/>
          </w:tcPr>
          <w:p>
            <w:pPr>
              <w:pStyle w:val="null3"/>
              <w:ind w:firstLine="560"/>
              <w:jc w:val="left"/>
            </w:pPr>
            <w:r>
              <w:rPr>
                <w:rFonts w:ascii="仿宋_GB2312" w:hAnsi="仿宋_GB2312" w:cs="仿宋_GB2312" w:eastAsia="仿宋_GB2312"/>
                <w:sz w:val="28"/>
              </w:rPr>
              <w:t>1.供应商须提供全新的货物（含零部件、配件等），表面无划伤、无碰撞痕迹，且权属清楚，不得侵害他人的知识产权。</w:t>
            </w:r>
          </w:p>
          <w:p>
            <w:pPr>
              <w:pStyle w:val="null3"/>
              <w:ind w:firstLine="560"/>
              <w:jc w:val="left"/>
            </w:pPr>
            <w:r>
              <w:rPr>
                <w:rFonts w:ascii="仿宋_GB2312" w:hAnsi="仿宋_GB2312" w:cs="仿宋_GB2312" w:eastAsia="仿宋_GB2312"/>
                <w:sz w:val="28"/>
              </w:rPr>
              <w:t>2.货物必须符合或优于国家及行业标准，以及本项目采购文件的质量要求和技术指标与出厂标准。</w:t>
            </w:r>
          </w:p>
          <w:p>
            <w:pPr>
              <w:pStyle w:val="null3"/>
              <w:ind w:firstLine="560"/>
              <w:jc w:val="left"/>
            </w:pPr>
            <w:r>
              <w:rPr>
                <w:rFonts w:ascii="仿宋_GB2312" w:hAnsi="仿宋_GB2312" w:cs="仿宋_GB2312" w:eastAsia="仿宋_GB2312"/>
                <w:sz w:val="28"/>
              </w:rPr>
              <w:t>3.货物制造质量出现问题，供应商应负责三包（包修、包换、包退），费用由供应商负担，采购人有权到供应商生产场地检查货物质量和生产进度。</w:t>
            </w:r>
          </w:p>
          <w:p>
            <w:pPr>
              <w:pStyle w:val="null3"/>
              <w:jc w:val="both"/>
            </w:pPr>
            <w:r>
              <w:rPr>
                <w:rFonts w:ascii="仿宋_GB2312" w:hAnsi="仿宋_GB2312" w:cs="仿宋_GB2312" w:eastAsia="仿宋_GB2312"/>
                <w:sz w:val="28"/>
              </w:rPr>
              <w:t xml:space="preserve">    4.货到现场后交付采购人使用前由于供应商运输、装卸、保管不当造成的质量问题，采购人不负责修理，费用由供应商负担。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（二）基本建设技术路线</w:t>
            </w:r>
          </w:p>
        </w:tc>
        <w:tc>
          <w:tcPr>
            <w:tcW w:type="dxa" w:w="5814"/>
          </w:tcPr>
          <w:p>
            <w:pPr>
              <w:pStyle w:val="null3"/>
              <w:ind w:firstLine="560"/>
              <w:jc w:val="left"/>
            </w:pPr>
            <w:r>
              <w:rPr>
                <w:rFonts w:ascii="仿宋_GB2312" w:hAnsi="仿宋_GB2312" w:cs="仿宋_GB2312" w:eastAsia="仿宋_GB2312"/>
                <w:sz w:val="28"/>
              </w:rPr>
              <w:t>本次项目建设秉持充分利用现有资源的原则，力求最大程度减少建设投入。在网络传输环节，前端与终端均以</w:t>
            </w:r>
            <w:r>
              <w:rPr>
                <w:rFonts w:ascii="仿宋_GB2312" w:hAnsi="仿宋_GB2312" w:cs="仿宋_GB2312" w:eastAsia="仿宋_GB2312"/>
                <w:sz w:val="28"/>
              </w:rPr>
              <w:t>IP 双向化网络作为主要传输方式。通过这一方式，平台能够对设备实施实时监管。同时，为切实保障应急广播传输覆盖具备灾备能力，还预留了调频等备用传输链路接收功能。</w:t>
            </w:r>
          </w:p>
          <w:p>
            <w:pPr>
              <w:pStyle w:val="null3"/>
              <w:ind w:firstLine="560"/>
              <w:jc w:val="left"/>
            </w:pPr>
            <w:r>
              <w:rPr>
                <w:rFonts w:ascii="仿宋_GB2312" w:hAnsi="仿宋_GB2312" w:cs="仿宋_GB2312" w:eastAsia="仿宋_GB2312"/>
                <w:sz w:val="28"/>
              </w:rPr>
              <w:t>在</w:t>
            </w:r>
            <w:r>
              <w:rPr>
                <w:rFonts w:ascii="仿宋_GB2312" w:hAnsi="仿宋_GB2312" w:cs="仿宋_GB2312" w:eastAsia="仿宋_GB2312"/>
                <w:sz w:val="28"/>
              </w:rPr>
              <w:t>IP 双向网络的选择上，充分采用现有有线 IP 网络。针对有线 IP 网络暂时无法覆盖的部分野外点位，则采用 4G 移动网络接入方式，以此确保应急广播网络的全面覆盖，不放过任何一个角落。</w:t>
            </w:r>
          </w:p>
          <w:p>
            <w:pPr>
              <w:pStyle w:val="null3"/>
              <w:ind w:firstLine="560"/>
              <w:jc w:val="left"/>
            </w:pPr>
            <w:r>
              <w:rPr>
                <w:rFonts w:ascii="仿宋_GB2312" w:hAnsi="仿宋_GB2312" w:cs="仿宋_GB2312" w:eastAsia="仿宋_GB2312"/>
                <w:sz w:val="28"/>
              </w:rPr>
              <w:t>1.村级前端建设</w:t>
            </w:r>
          </w:p>
          <w:p>
            <w:pPr>
              <w:pStyle w:val="null3"/>
              <w:ind w:firstLine="560"/>
              <w:jc w:val="left"/>
            </w:pPr>
            <w:r>
              <w:rPr>
                <w:rFonts w:ascii="仿宋_GB2312" w:hAnsi="仿宋_GB2312" w:cs="仿宋_GB2312" w:eastAsia="仿宋_GB2312"/>
                <w:sz w:val="28"/>
              </w:rPr>
              <w:t>村级应急广播前端配置</w:t>
            </w:r>
            <w:r>
              <w:rPr>
                <w:rFonts w:ascii="仿宋_GB2312" w:hAnsi="仿宋_GB2312" w:cs="仿宋_GB2312" w:eastAsia="仿宋_GB2312"/>
                <w:sz w:val="28"/>
              </w:rPr>
              <w:t>IP话筒、交换机等设备，通过有线IP网络接入资中县应急广播平台。在资中县应急广播平台对IP话筒进行播出授权后，村里可以通过IP话筒向资中县应急广播平台发起开播请求，通过县平台对本辖区进行全域、分区、点对点广播。</w:t>
            </w:r>
          </w:p>
          <w:p>
            <w:pPr>
              <w:pStyle w:val="null3"/>
              <w:ind w:firstLine="560"/>
              <w:jc w:val="left"/>
            </w:pPr>
            <w:r>
              <w:rPr>
                <w:rFonts w:ascii="仿宋_GB2312" w:hAnsi="仿宋_GB2312" w:cs="仿宋_GB2312" w:eastAsia="仿宋_GB2312"/>
                <w:sz w:val="28"/>
              </w:rPr>
              <w:t>IP话筒支持话筒喊话、U盘播放、线路接入等多种播出源，满足村级各种广播播发需求。</w:t>
            </w:r>
          </w:p>
          <w:p>
            <w:pPr>
              <w:pStyle w:val="null3"/>
              <w:jc w:val="left"/>
            </w:pPr>
            <w:r>
              <w:drawing>
                <wp:inline distT="0" distR="0" distB="0" distL="0">
                  <wp:extent cx="3554730" cy="116779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1167799"/>
                          </a:xfrm>
                          <a:prstGeom prst="rect">
                            <a:avLst/>
                          </a:prstGeom>
                        </pic:spPr>
                      </pic:pic>
                    </a:graphicData>
                  </a:graphic>
                </wp:inline>
              </w:drawing>
            </w:r>
          </w:p>
          <w:p>
            <w:pPr>
              <w:pStyle w:val="null3"/>
              <w:jc w:val="both"/>
            </w:pPr>
            <w:r>
              <w:rPr>
                <w:rFonts w:ascii="仿宋_GB2312" w:hAnsi="仿宋_GB2312" w:cs="仿宋_GB2312" w:eastAsia="仿宋_GB2312"/>
                <w:sz w:val="28"/>
              </w:rPr>
              <w:t>2.村级终端建设</w:t>
            </w:r>
          </w:p>
          <w:p>
            <w:pPr>
              <w:pStyle w:val="null3"/>
              <w:ind w:firstLine="560"/>
              <w:jc w:val="left"/>
            </w:pPr>
            <w:r>
              <w:rPr>
                <w:rFonts w:ascii="仿宋_GB2312" w:hAnsi="仿宋_GB2312" w:cs="仿宋_GB2312" w:eastAsia="仿宋_GB2312"/>
                <w:sz w:val="28"/>
              </w:rPr>
              <w:t>村级应急广播终端主要由收扩机和高音喇叭组成。收扩机采用多模接收方式，支持有线</w:t>
            </w:r>
            <w:r>
              <w:rPr>
                <w:rFonts w:ascii="仿宋_GB2312" w:hAnsi="仿宋_GB2312" w:cs="仿宋_GB2312" w:eastAsia="仿宋_GB2312"/>
                <w:sz w:val="28"/>
              </w:rPr>
              <w:t>IP、无线4G、无线调频等多种接收模式，并且支持优先级自动切换，当一种信号中断的时候能够自动切换到另外的通道接收。</w:t>
            </w:r>
          </w:p>
          <w:p>
            <w:pPr>
              <w:pStyle w:val="null3"/>
              <w:ind w:firstLine="560"/>
              <w:jc w:val="left"/>
            </w:pPr>
            <w:r>
              <w:rPr>
                <w:rFonts w:ascii="仿宋_GB2312" w:hAnsi="仿宋_GB2312" w:cs="仿宋_GB2312" w:eastAsia="仿宋_GB2312"/>
                <w:sz w:val="28"/>
              </w:rPr>
              <w:t>收扩机在接收到广播指令后对广播任务进行处理，并通过内置的高品质功放驱动外部高音喇叭进行播放。</w:t>
            </w:r>
          </w:p>
          <w:p>
            <w:pPr>
              <w:pStyle w:val="null3"/>
              <w:jc w:val="both"/>
            </w:pPr>
            <w:r>
              <w:rPr>
                <w:rFonts w:ascii="仿宋_GB2312" w:hAnsi="仿宋_GB2312" w:cs="仿宋_GB2312" w:eastAsia="仿宋_GB2312"/>
                <w:sz w:val="28"/>
              </w:rPr>
              <w:t>收扩机能够自动通过双向网络向县平台回传本机的参数、状态以及广播任务的响应情况。</w:t>
            </w:r>
            <w:r>
              <w:drawing>
                <wp:inline distT="0" distR="0" distB="0" distL="0">
                  <wp:extent cx="3554730" cy="115496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30" cy="1154966"/>
                          </a:xfrm>
                          <a:prstGeom prst="rect">
                            <a:avLst/>
                          </a:prstGeom>
                        </pic:spPr>
                      </pic:pic>
                    </a:graphicData>
                  </a:graphic>
                </wp:inline>
              </w:drawing>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（三）组织要求</w:t>
            </w:r>
          </w:p>
        </w:tc>
        <w:tc>
          <w:tcPr>
            <w:tcW w:type="dxa" w:w="5814"/>
          </w:tcPr>
          <w:p>
            <w:pPr>
              <w:pStyle w:val="null3"/>
              <w:ind w:firstLine="560"/>
              <w:jc w:val="left"/>
            </w:pPr>
            <w:r>
              <w:rPr>
                <w:rFonts w:ascii="仿宋_GB2312" w:hAnsi="仿宋_GB2312" w:cs="仿宋_GB2312" w:eastAsia="仿宋_GB2312"/>
                <w:sz w:val="28"/>
              </w:rPr>
              <w:t>为保障项目质量，供应商应当针对本项目拟定组织方案并提供包含前期勘察及调研、工作内容及技术方案、项目质量控制方案、项目实施进度计划及人员分工、安全隐患分析及应急预案，内容应当满足以下组织要求：</w:t>
            </w:r>
          </w:p>
          <w:p>
            <w:pPr>
              <w:pStyle w:val="null3"/>
              <w:ind w:firstLine="560"/>
              <w:jc w:val="left"/>
            </w:pPr>
            <w:r>
              <w:rPr>
                <w:rFonts w:ascii="仿宋_GB2312" w:hAnsi="仿宋_GB2312" w:cs="仿宋_GB2312" w:eastAsia="仿宋_GB2312"/>
                <w:sz w:val="28"/>
              </w:rPr>
              <w:t>1.依据附件《村级应急广播建设清单》，针对本项目提出项目概况、 采购目标、 项目要求的分析，明确前期调研的方向，制定调研方法，精确的进行资料搜集并分析实施勘测情况（包含详细的安装点位分布情况，包含点位所属乡镇、村、组经纬度坐标、现场照片等）以确保整体实施路线准确。</w:t>
            </w:r>
          </w:p>
          <w:p>
            <w:pPr>
              <w:pStyle w:val="null3"/>
              <w:ind w:firstLine="560"/>
              <w:jc w:val="left"/>
            </w:pPr>
            <w:r>
              <w:rPr>
                <w:rFonts w:ascii="仿宋_GB2312" w:hAnsi="仿宋_GB2312" w:cs="仿宋_GB2312" w:eastAsia="仿宋_GB2312"/>
                <w:sz w:val="28"/>
              </w:rPr>
              <w:t>2.依据“基本建设技术路线”，结合前期勘察、调研及资料分析情况制定资中县应急广播前端设备升级(设备采购)及集联技术方案，方案内容应当包括但不限于技术路线（包含设备安装调试、系统集联、验收配合）、工作实施（包含村部、野外）、成果产出方案等。</w:t>
            </w:r>
          </w:p>
          <w:p>
            <w:pPr>
              <w:pStyle w:val="null3"/>
              <w:ind w:firstLine="560"/>
              <w:jc w:val="left"/>
            </w:pPr>
            <w:r>
              <w:rPr>
                <w:rFonts w:ascii="仿宋_GB2312" w:hAnsi="仿宋_GB2312" w:cs="仿宋_GB2312" w:eastAsia="仿宋_GB2312"/>
                <w:sz w:val="28"/>
              </w:rPr>
              <w:t>3.在保障满足服务期限的基础上制定项目质量控制方案，方案内容应当至少包含质量保障体系、质量保障制度、质量保障计划、设备采购及供货组织方案、验收及试运行质量控制措施、系统联调测试方案，同时依据质量标准预划分重要环节及重要工作并针对性作出质量保障措施。</w:t>
            </w:r>
          </w:p>
          <w:p>
            <w:pPr>
              <w:pStyle w:val="null3"/>
              <w:ind w:firstLine="560"/>
              <w:jc w:val="left"/>
            </w:pPr>
            <w:r>
              <w:rPr>
                <w:rFonts w:ascii="仿宋_GB2312" w:hAnsi="仿宋_GB2312" w:cs="仿宋_GB2312" w:eastAsia="仿宋_GB2312"/>
                <w:sz w:val="28"/>
              </w:rPr>
              <w:t>4.制定进度安排及进度保障措施，详细阐述各流程时间安排，分析进度风险并针对进度风险制定把控预案；同时依据进度计划制定技术人员分工方案，预备人员组织方案、明确人员岗位职责划分、制定管理措施及协调配合方案，主要包含制定内部工作人员日常管理制度及日常考核办法、通过内部工作人员管理制度及日常考核将责任划分到具体岗位、通过人员互相协调配合的工作制度进一步实现进度控制与质量保障。</w:t>
            </w:r>
          </w:p>
          <w:p>
            <w:pPr>
              <w:pStyle w:val="null3"/>
              <w:jc w:val="both"/>
            </w:pPr>
            <w:r>
              <w:rPr>
                <w:rFonts w:ascii="仿宋_GB2312" w:hAnsi="仿宋_GB2312" w:cs="仿宋_GB2312" w:eastAsia="仿宋_GB2312"/>
                <w:sz w:val="28"/>
              </w:rPr>
              <w:t>5.对内外业工作进行安全隐患分析并制定相应的应急预案，包含安全保障措施、突发事件应急预案(包含但不限于对极端天气应急处理措施、交通事故、人员伤亡等重大安全事故应急处理措施、劳动纠纷等突发事件处理)，在项目实施过程中，严格按照预案进行作业。</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（四）联调要求</w:t>
            </w:r>
          </w:p>
        </w:tc>
        <w:tc>
          <w:tcPr>
            <w:tcW w:type="dxa" w:w="5814"/>
          </w:tcPr>
          <w:p>
            <w:pPr>
              <w:pStyle w:val="null3"/>
              <w:ind w:firstLine="560"/>
              <w:jc w:val="left"/>
            </w:pPr>
            <w:r>
              <w:rPr>
                <w:rFonts w:ascii="仿宋_GB2312" w:hAnsi="仿宋_GB2312" w:cs="仿宋_GB2312" w:eastAsia="仿宋_GB2312"/>
                <w:sz w:val="28"/>
              </w:rPr>
              <w:t>1.本项目的核心产品为IP话筒、多模收扩机。为充分体现以下保障目标：</w:t>
            </w:r>
          </w:p>
          <w:p>
            <w:pPr>
              <w:pStyle w:val="null3"/>
              <w:ind w:firstLine="560"/>
              <w:jc w:val="left"/>
            </w:pPr>
            <w:r>
              <w:rPr>
                <w:rFonts w:ascii="仿宋_GB2312" w:hAnsi="仿宋_GB2312" w:cs="仿宋_GB2312" w:eastAsia="仿宋_GB2312"/>
                <w:sz w:val="28"/>
              </w:rPr>
              <w:t>1.1兼容性保障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1）无缝对接:同一品牌设备通常具有针对性协议优化，避免因协议差异(如音频编码、网络传输)导致的兼容性问题（如延迟、断流、功能缺失）；</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2）统一管理:可通过品牌专属软件集中配置、升级和监控，降低运维复杂度。</w:t>
            </w:r>
          </w:p>
          <w:p>
            <w:pPr>
              <w:pStyle w:val="null3"/>
              <w:ind w:firstLine="560"/>
              <w:jc w:val="left"/>
            </w:pPr>
            <w:r>
              <w:rPr>
                <w:rFonts w:ascii="仿宋_GB2312" w:hAnsi="仿宋_GB2312" w:cs="仿宋_GB2312" w:eastAsia="仿宋_GB2312"/>
                <w:sz w:val="28"/>
              </w:rPr>
              <w:t>1.2服务支持</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1）单点责任:出现问题时，由同一生产厂商负责全链路核心设备排查，避免多方推诿。</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2）质保统一:质保期内维修或更换更便捷，尤其涉及多设备联动故障时。</w:t>
            </w:r>
          </w:p>
          <w:p>
            <w:pPr>
              <w:pStyle w:val="null3"/>
              <w:ind w:firstLine="560"/>
              <w:jc w:val="left"/>
            </w:pPr>
            <w:r>
              <w:rPr>
                <w:rFonts w:ascii="仿宋_GB2312" w:hAnsi="仿宋_GB2312" w:cs="仿宋_GB2312" w:eastAsia="仿宋_GB2312"/>
                <w:sz w:val="28"/>
              </w:rPr>
              <w:t>1.3功能协同</w:t>
            </w:r>
          </w:p>
          <w:p>
            <w:pPr>
              <w:pStyle w:val="null3"/>
              <w:ind w:firstLine="560"/>
              <w:jc w:val="left"/>
            </w:pPr>
            <w:r>
              <w:rPr>
                <w:rFonts w:ascii="仿宋_GB2312" w:hAnsi="仿宋_GB2312" w:cs="仿宋_GB2312" w:eastAsia="仿宋_GB2312"/>
                <w:sz w:val="28"/>
              </w:rPr>
              <w:t>部分品牌会为自家设备设计专属功能</w:t>
            </w:r>
            <w:r>
              <w:rPr>
                <w:rFonts w:ascii="仿宋_GB2312" w:hAnsi="仿宋_GB2312" w:cs="仿宋_GB2312" w:eastAsia="仿宋_GB2312"/>
                <w:sz w:val="28"/>
              </w:rPr>
              <w:t>(如加密通信、优先级调度)，混搭品牌可能无法实现。</w:t>
            </w:r>
          </w:p>
          <w:p>
            <w:pPr>
              <w:pStyle w:val="null3"/>
              <w:ind w:firstLine="560"/>
              <w:jc w:val="left"/>
            </w:pPr>
            <w:r>
              <w:rPr>
                <w:rFonts w:ascii="仿宋_GB2312" w:hAnsi="仿宋_GB2312" w:cs="仿宋_GB2312" w:eastAsia="仿宋_GB2312"/>
                <w:sz w:val="28"/>
              </w:rPr>
              <w:t>由此，供应商所投核心产品（</w:t>
            </w:r>
            <w:r>
              <w:rPr>
                <w:rFonts w:ascii="仿宋_GB2312" w:hAnsi="仿宋_GB2312" w:cs="仿宋_GB2312" w:eastAsia="仿宋_GB2312"/>
                <w:sz w:val="28"/>
              </w:rPr>
              <w:t>IP话筒、多模收扩机）需为同一品牌。</w:t>
            </w:r>
          </w:p>
          <w:p>
            <w:pPr>
              <w:pStyle w:val="null3"/>
              <w:ind w:firstLine="560"/>
              <w:jc w:val="left"/>
            </w:pPr>
            <w:r>
              <w:rPr>
                <w:rFonts w:ascii="仿宋_GB2312" w:hAnsi="仿宋_GB2312" w:cs="仿宋_GB2312" w:eastAsia="仿宋_GB2312"/>
                <w:sz w:val="28"/>
              </w:rPr>
              <w:t>2.供应商在成交公示期限截止起3日内提交核心产品（IP话筒、多模收扩机）样品至采购人处进行确认。若逾期未提供或提供的样品与投标产品不一致，采购人有权认定其响应文件存在虚假响应，取消其成交资格，并依法追究其赔偿责任。</w:t>
            </w:r>
          </w:p>
          <w:p>
            <w:pPr>
              <w:pStyle w:val="null3"/>
              <w:ind w:firstLine="560"/>
              <w:jc w:val="left"/>
            </w:pPr>
            <w:r>
              <w:rPr>
                <w:rFonts w:ascii="仿宋_GB2312" w:hAnsi="仿宋_GB2312" w:cs="仿宋_GB2312" w:eastAsia="仿宋_GB2312"/>
                <w:sz w:val="28"/>
              </w:rPr>
              <w:t>3.为保障项目安装调试的顺利实施，供应商需在合同签订前提供</w:t>
            </w:r>
            <w:r>
              <w:rPr>
                <w:rFonts w:ascii="仿宋_GB2312" w:hAnsi="仿宋_GB2312" w:cs="仿宋_GB2312" w:eastAsia="仿宋_GB2312"/>
                <w:sz w:val="28"/>
              </w:rPr>
              <w:t>核心产品（</w:t>
            </w:r>
            <w:r>
              <w:rPr>
                <w:rFonts w:ascii="仿宋_GB2312" w:hAnsi="仿宋_GB2312" w:cs="仿宋_GB2312" w:eastAsia="仿宋_GB2312"/>
                <w:sz w:val="28"/>
              </w:rPr>
              <w:t>IP话筒、多模收扩机）</w:t>
            </w:r>
            <w:r>
              <w:rPr>
                <w:rFonts w:ascii="仿宋_GB2312" w:hAnsi="仿宋_GB2312" w:cs="仿宋_GB2312" w:eastAsia="仿宋_GB2312"/>
                <w:sz w:val="28"/>
              </w:rPr>
              <w:t>在采购人现有县级应急广播平台架构（系统构成由县级应急广播平台、信息安全系统、传输覆盖网、应急广播终端组成）下进行</w:t>
            </w:r>
            <w:r>
              <w:rPr>
                <w:rFonts w:ascii="仿宋_GB2312" w:hAnsi="仿宋_GB2312" w:cs="仿宋_GB2312" w:eastAsia="仿宋_GB2312"/>
                <w:sz w:val="28"/>
              </w:rPr>
              <w:t>对接</w:t>
            </w:r>
            <w:r>
              <w:rPr>
                <w:rFonts w:ascii="仿宋_GB2312" w:hAnsi="仿宋_GB2312" w:cs="仿宋_GB2312" w:eastAsia="仿宋_GB2312"/>
                <w:sz w:val="28"/>
              </w:rPr>
              <w:t>联调测试，能与县级、镇级、村级应急广播平台互联互通并接受县、镇、村单点播控，解析出控制信号和音频信号进行播放。</w:t>
            </w:r>
            <w:r>
              <w:rPr>
                <w:rFonts w:ascii="仿宋_GB2312" w:hAnsi="仿宋_GB2312" w:cs="仿宋_GB2312" w:eastAsia="仿宋_GB2312"/>
                <w:sz w:val="28"/>
              </w:rPr>
              <w:t>具体对接联调测试内容如下：</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1）多模收扩机（回传上线、资源码绑定、音量设置、开关机设置、日常广播开停播、应急广播开停播、信息及状态回传）。</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2）IP话筒（回传上线、资源码绑定、授权区域获取、分区域广播开播、分区域广播停播、平台强制停播、信息及状态回传）。</w:t>
            </w:r>
          </w:p>
          <w:p>
            <w:pPr>
              <w:pStyle w:val="null3"/>
              <w:jc w:val="both"/>
            </w:pPr>
            <w:r>
              <w:rPr>
                <w:rFonts w:ascii="仿宋_GB2312" w:hAnsi="仿宋_GB2312" w:cs="仿宋_GB2312" w:eastAsia="仿宋_GB2312"/>
                <w:sz w:val="28"/>
              </w:rPr>
              <w:t>若成交供应商无正当理由未在上述期限内完成对接，采购人有权直接认定其响应文件存在虚假响应，取消其成交资格，并依法追究其赔偿责任。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合同签订之日起60日完成安装并通过验收。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1、签订合同生效后，达到付款条件起5日内，据实情况说明为支付合同总金额的30.00%</w:t>
            </w:r>
          </w:p>
          <w:p>
            <w:pPr>
              <w:pStyle w:val="null3"/>
              <w:jc w:val="left"/>
            </w:pPr>
            <w:r>
              <w:rPr>
                <w:rFonts w:ascii="仿宋_GB2312" w:hAnsi="仿宋_GB2312" w:cs="仿宋_GB2312" w:eastAsia="仿宋_GB2312"/>
              </w:rPr>
              <w:t>2、供应商设备到场后，达到付款条件起10日内，据实情况说明为支付合同总金额的50.00%</w:t>
            </w:r>
          </w:p>
          <w:p>
            <w:pPr>
              <w:pStyle w:val="null3"/>
              <w:jc w:val="left"/>
            </w:pPr>
            <w:r>
              <w:rPr>
                <w:rFonts w:ascii="仿宋_GB2312" w:hAnsi="仿宋_GB2312" w:cs="仿宋_GB2312" w:eastAsia="仿宋_GB2312"/>
              </w:rPr>
              <w:t>3、安装调试完成验收合格后，达到付款条件起10日内，据实情况说明为支付合同总金额的20.00%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（1）验收方法：一次性验收。 ①验收条件：成交供应商完成采购文件、响应文件、项目合同中约定的所有建设内容，完成用户培训，方可提交验收申请。 ② 验收依据：项目验收以项目合同、采购文件、响应文件、验收资料等文档为参考依据。 ③验收资料:验收资料不得少于4份，主要内容包括但不限于以下内容： 项目合同、成交通知书、采购文件、响应文件(由成交供应商提供)、设备清单（设备若涉及相关入网许可证、CCC认证及其他国家、行业强制性认证的，应提供相应的厂商认证证书或证明材料）、设备到货报验单、设备合格证、软件授权书、设备安装记录表、用户使用手册等。 ④ 实施验收：组织验收工作时，应当成立项目验收小组，负责具体验收事宜，验收组成员不得是项目相关单位的人员或与项目有利益关系的人员。严格按照验收规范对验收资料、设备安装情况、系统运行效果等进行全面的检查，对建设成果做全面的评价，对于需要整改的事项，应明确内容，由验收组出具验收意见。对项目质量严重不合格的不予以通过项目验收。对于验收意见要求的整改内容，成交供应商按限期进行整改提交整改情况报告。成交供应商对整改结果进行检查确认。 （2）验收标准： 按国家有关规定及采购文件技术及质量要求、供应商响应文件内容及有关承诺、合同约定条款进行验收，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（1）硬件设备至少3年的质保期，系统应用服务等保修期为至少1 年，因设备设计、制造、材料缺陷或工艺问题导致的故障，供应商需免费维修或更换损坏部件。 （2）质量免费保修期内为用户提供合同货物的技术指导和维修服务， 提供此项服务的时间是：自接到用户方报修电话后 0.5小时电话响应，需要上门服务的应在接到电话后使用最快交通工具第一时间到达，并在到达现场后4小时内提出解决方案。 （3）质量免费保修期内供应商应负责提出预示发生问题的解决方案和建议，通过巡检，保证避免出现因软硬件故障导致工作中断事故。 （4）保期期内，供应商需进行巡检（每年至少一次），发现情况及时妥善解决。 （5）配件耗材供应：如本合同项下货物停产，供应商保证停产后 3 年内对采购人的设备零配件耗材供应。如采购人需备品备件，供应商送达期限不得超过10 天。 （6）质保期满后，采购人需供应商提供设备维修、技术支持、备品备件、有偿升级等服务时，供应商只收取材料、人工、备品备件等成本费用。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采购人及成交供应商双方必须遵守采购合同并执行合同中的各项规定，保证采购合同的正常履行。任何一方违约给对方造成直接损失均负有赔偿责任，对方均有权视情况要求对方继续履行合同或提出解除合同。 （1）采购人违约责任： ①因采购人原因造成合同变更、中止：采购人擅自解除、中止或变更合同导致成交供应商权益受到损害时，采购人向成交供应商支付合同价款5‰的违约金，并赔偿成交供应商所受全部损失。 ②采购人未按合同约定付款：采购人应当按照政府采购合同约定，向供应商支付采购资金，不得以机构变动、人员更替、政策调整等为由延迟付款，采购人每逾期1日拨付资金，应承担合同总价的1‰作为违约金，若拨付资金逾期时间超过15日的，供应商有权解除合同，并由采购人承担全部责任。 （2）供应商违约责任： ①供应商擅自解除、中止或变更合同导致采购人权益受到损害时，成交供应商向采购人支付合同价款5‰的违约金，并赔偿采购人所受全部损失。 ②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 ③采购人有权监督供应商服务过程，发现未按要求、标准提供服务等违约情形，采购人将下达整改通知书，供应商应在限期内整改。供应商拒绝整改或经两次整改仍未合格的，采购人有权解除合同，并由供应商承担全部赔偿责任。 ④供应商未能在合同约定的时间内履约完成的，每逾期1日，供应商应承担合同总价的1‰作为违约金，若供应商逾期时间超过15日的，采购人有权解除合同，并由供应商承担全部责任。 ⑤若成交单位将本项目直接或间接转包或分包，采购人有权单方面解除合同，并由供应商承担全部责任。 注：违约方就其违约行为造成对方的损失应予以全部赔偿，包括但不限于对方直接损失、对第三方的赔偿责任及因解决争议所致的律师费、仲裁费、诉讼费、保全费、执行费等全部费用。供应商违约应当支付的赔偿金、违约金，采购人有权于未付款项中予以扣除。</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知识产权归属和处理方式：采购人享有本项目实施过程中产生的知识成果及知识产权，如果在项目实施过程中涉及采用自有知识成果，供应商提供使用自有知识成果的相关资料并为其真实性单独负责，在使用该知识成果后，供应商提供开发接口和开发手册等技术文档给采购人，保障采购人正常使用。 （2）成本补偿和风险分担约定：本项目为固定总价，不进行成本补偿,因市场变化或政策变化造成的潜在风险，由甲乙双方根据权责分担。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“磋商项目技术、服务及其他要求”中“3.2技术要求”、“3.3服务要求”的实质性条款，但不得变动磋商文件中未明确可实质性变动的其他内容。实质性变动的内容，须经采购人代表确认。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w:t>
      </w:r>
      <w:r>
        <w:rPr>
          <w:rFonts w:ascii="仿宋_GB2312" w:hAnsi="仿宋_GB2312" w:cs="仿宋_GB2312" w:eastAsia="仿宋_GB2312"/>
        </w:rPr>
        <w:t>“拟签订采购合同文本”，但不得变动磋商文件中未明确可实质性变动的其他内容。实质性变动的内容，须经采购人代表确认。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-2024年度（任意一年）供应商经审计的完整有效的财务报告复印件；②也可提供2023-2024年度（任意一年）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也可提供符合供应商财务会计制度的内部财务报表复印件。</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相应证明材料（①对于采购文件第三章“3.3.2.商务要求”中的实质性要求，供应商在第六章投标文件格式-《服务应答表》逐条进行响应。②针对报价相关的实质性要求，以《报价表》、《报价明细表》中的响应内容作为评审依据。③对于采购文件第三章“3.3.1.服务内容要求”、“3.4其他要求”的各项条款，除按要求提供证明材料以外，供应商在第六章响应文件格式-《服务应答表》中逐条进行响应 ）。④对于采购文件第三章“3.2.技术要求”中标注“★”的条款，除采购文件中的明确要求需要提供其他证明材料的要求外，供应商在第六章响应文件格式-《产品技术参数响应表》中逐条据实进行响应 ），要求提供其他证明材料的应当按要求提供。⑤对于采购文件第三章“3.2.技术要求”中标注“★”的条款和其他条款，供应商在第六章响应文件格式-《产品技术参数响应表》中分别逐条据实进行响应，供应商在技术参数响应表中应结合所报价产品实际参数进行编写，不得完全复制照搬磋商文件中的参数，能够量化的参数应当根据所报价产品的实际参数如实填写，涉及可量化的技术参数完全复制响应磋商文件中参数的作为无效响应。</w:t>
            </w:r>
          </w:p>
        </w:tc>
        <w:tc>
          <w:tcPr>
            <w:tcW w:type="dxa" w:w="1910"/>
          </w:tcPr>
          <w:p>
            <w:pPr>
              <w:pStyle w:val="null3"/>
              <w:jc w:val="left"/>
            </w:pPr>
            <w:r>
              <w:rPr>
                <w:rFonts w:ascii="仿宋_GB2312" w:hAnsi="仿宋_GB2312" w:cs="仿宋_GB2312" w:eastAsia="仿宋_GB2312"/>
              </w:rPr>
              <w:t>响应文件封面,产品技术参数响应表,报价明细表,供应商应提交的相关证明材料,服务应答表,报价表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未载明或者载明的标的名称、数量、计量单位及其他政府采购合同实质性内容与采购文件不一致，且采购单位无法接受的，属于无效响应。</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组织方案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ind w:firstLine="480"/>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技术人员配置</w:t>
            </w:r>
          </w:p>
        </w:tc>
        <w:tc>
          <w:tcPr>
            <w:tcW w:type="dxa" w:w="2575"/>
          </w:tcPr>
          <w:p>
            <w:pPr>
              <w:pStyle w:val="null3"/>
              <w:jc w:val="left"/>
            </w:pPr>
            <w:r>
              <w:rPr>
                <w:rFonts w:ascii="仿宋_GB2312" w:hAnsi="仿宋_GB2312" w:cs="仿宋_GB2312" w:eastAsia="仿宋_GB2312"/>
              </w:rPr>
              <w:t>（1）供应商为本项目拟派的项目经理（1名）具备电子专业高级工程师职称的得3分，未按要求提供证明材料的不得分，该项最多得3分。 （2）供应商为本项目拟投入的技术负责人（2名，技术负责人和项目经理不能为同一人），具备电子或电子信息工程专业高级工程师职称的每有一人得2.5分，未按要求提供证明材料的不得分，该项最多得5分。 （3）供应商为本项目提供4名及以上核心技术骨干（和上述管理人员不能为同一人）负责本项目的集联实施，核心技术骨干人员具备电子或电子工程技术或广电工程或广播电视技术专业初级及以上工程师职称的每有一名得0.5分，未按要求提供证明材料的不得分，该项最多2分。 评审说明： （1）上述人员需提供权威部门评审颁发的相关证书复印件，并同时提供其在职证明（包含但不限于响应文件开启之日前三月社保缴纳证明材料或者工资发放证明材料或者劳动合同/劳务协议等证明材料）、身份证影印件、联系电话，未提供完整的不得分。 （2）权威部门是指人力资源和社会保障部门、行业主管部门等国家批准认可的职称评审单位，非上述国家认可单位颁发的证书无效。</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类似项目经验</w:t>
            </w:r>
          </w:p>
        </w:tc>
        <w:tc>
          <w:tcPr>
            <w:tcW w:type="dxa" w:w="2575"/>
          </w:tcPr>
          <w:p>
            <w:pPr>
              <w:pStyle w:val="null3"/>
              <w:jc w:val="left"/>
            </w:pPr>
            <w:r>
              <w:rPr>
                <w:rFonts w:ascii="仿宋_GB2312" w:hAnsi="仿宋_GB2312" w:cs="仿宋_GB2312" w:eastAsia="仿宋_GB2312"/>
              </w:rPr>
              <w:t>供应商2022年1月1日(含1日)以来，每具有一个已完成应急广播项目类似项目业绩一个得2分，最多得2分。提供类似项目业绩合同及竣工验收合格报告影印件，未提供的不得分。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产品质量</w:t>
            </w:r>
          </w:p>
        </w:tc>
        <w:tc>
          <w:tcPr>
            <w:tcW w:type="dxa" w:w="2575"/>
          </w:tcPr>
          <w:p>
            <w:pPr>
              <w:pStyle w:val="null3"/>
              <w:jc w:val="left"/>
            </w:pPr>
            <w:r>
              <w:rPr>
                <w:rFonts w:ascii="仿宋_GB2312" w:hAnsi="仿宋_GB2312" w:cs="仿宋_GB2312" w:eastAsia="仿宋_GB2312"/>
              </w:rPr>
              <w:t>所投核心产品“IP话筒”、“多模收扩机”中涉及的IP话筒软件、多模收扩机软件具有由中华人民共和国国家版权局颁发的计算机软件著作权登记证书的每提供一项得3分，本项最多得6分，提供证书影印件并签章，未按要求提供的不得分。（注：证书中载明的著作权人应当与所投核心产品生产厂商一致）</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(1)报价产品技术参数完全符合“第三章 3.2技术要求-技术参数与性能指标 ”中标注“▲”的技术参数要求(共10项)没有负偏离的得20分，其中每有一项未满足或负偏离的扣2分，扣完为止; (2)报价产品技术参数完全符合“第三章 3.2技术要求-技术参数与性能指标 ”中未标注“▲”或“★”的技术参数要求（共24项）没有负偏离的得12分，其中每有一项未满足或负偏离的扣0.5分，直至12分扣完为止。 注:(1)本项合计最多得32分。(2)技术参数要求中标注“★”的条款为实质性要求，不作为评审因素。</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组织方案</w:t>
            </w:r>
          </w:p>
        </w:tc>
        <w:tc>
          <w:tcPr>
            <w:tcW w:type="dxa" w:w="2575"/>
          </w:tcPr>
          <w:p>
            <w:pPr>
              <w:pStyle w:val="null3"/>
              <w:jc w:val="left"/>
            </w:pPr>
            <w:r>
              <w:rPr>
                <w:rFonts w:ascii="仿宋_GB2312" w:hAnsi="仿宋_GB2312" w:cs="仿宋_GB2312" w:eastAsia="仿宋_GB2312"/>
              </w:rPr>
              <w:t>供应商根据“组织要求”制定组织方案，内容应包含但不限于①前期勘察及调研；②工作内容及技术方案；③项目质量控制方案；④项目实施进度计划及人员分工；⑤项目实施期间安全隐患分析及应急预案，以上五项内容提供完整且不存在缺陷的得20分，存在内容缺失的每有一项扣4分，直至20分扣完为止；在所提供内容中，每有一项内容存在不满足采购文件第三章3.3.1“组织要求”的扣2分，每有一项内容中存在缺陷的扣2分，每项最多扣4分。备注：缺陷是指存在项目名称、编号错误、地点区域错误或内容与本项目需求无关或仅有框架/标题无具体内容或适用的标准（方法）错误或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审委员会评审，通过资格和符合性审查，且最终有效响应报价最低的供应商的响应报价作为评审基准价。2.其他最终有效响应报价得分=(评审基准价／响应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