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default" w:ascii="宋体" w:hAnsi="宋体" w:eastAsia="宋体" w:cs="宋体"/>
          <w:b/>
          <w:bCs/>
          <w:kern w:val="44"/>
          <w:sz w:val="36"/>
          <w:szCs w:val="36"/>
          <w:highlight w:val="none"/>
          <w:lang w:val="en-US" w:eastAsia="zh-CN"/>
        </w:rPr>
      </w:pPr>
      <w:bookmarkStart w:id="31" w:name="_GoBack"/>
      <w:bookmarkEnd w:id="31"/>
      <w:r>
        <w:rPr>
          <w:rFonts w:hint="eastAsia" w:ascii="宋体" w:hAnsi="宋体" w:cs="宋体"/>
          <w:b/>
          <w:bCs/>
          <w:kern w:val="44"/>
          <w:sz w:val="36"/>
          <w:szCs w:val="36"/>
          <w:highlight w:val="none"/>
          <w:lang w:val="en-US" w:eastAsia="zh-CN"/>
        </w:rPr>
        <w:t>招标公告</w:t>
      </w:r>
    </w:p>
    <w:p>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宋体" w:hAnsi="宋体" w:cs="宋体"/>
          <w:sz w:val="24"/>
          <w:highlight w:val="none"/>
        </w:rPr>
      </w:pPr>
      <w:r>
        <w:rPr>
          <w:rFonts w:hint="eastAsia" w:ascii="宋体" w:hAnsi="宋体" w:cs="宋体"/>
          <w:sz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highlight w:val="none"/>
        </w:rPr>
      </w:pPr>
      <w:r>
        <w:rPr>
          <w:rFonts w:hint="eastAsia" w:ascii="宋体" w:hAnsi="宋体" w:cs="宋体"/>
          <w:bCs/>
          <w:sz w:val="24"/>
          <w:highlight w:val="none"/>
          <w:u w:val="single"/>
          <w:lang w:eastAsia="zh-CN"/>
        </w:rPr>
        <w:t>聚乙二醇（PEG）工业品采购（第二次）</w:t>
      </w:r>
      <w:r>
        <w:rPr>
          <w:rFonts w:hint="eastAsia" w:ascii="宋体" w:hAnsi="宋体" w:cs="宋体"/>
          <w:sz w:val="24"/>
          <w:highlight w:val="none"/>
        </w:rPr>
        <w:t>招标项目的潜在投标人应在</w:t>
      </w:r>
      <w:r>
        <w:rPr>
          <w:rFonts w:hint="eastAsia" w:ascii="宋体" w:hAnsi="宋体" w:cs="宋体"/>
          <w:sz w:val="24"/>
          <w:highlight w:val="none"/>
          <w:u w:val="single"/>
        </w:rPr>
        <w:t xml:space="preserve"> 北京市西城区新街口外大街8号金丰和商务苑C座607或网上 </w:t>
      </w:r>
      <w:r>
        <w:rPr>
          <w:rFonts w:hint="eastAsia" w:ascii="宋体" w:hAnsi="宋体" w:cs="宋体"/>
          <w:sz w:val="24"/>
          <w:highlight w:val="none"/>
        </w:rPr>
        <w:t>获取招标文件，并于</w:t>
      </w:r>
      <w:r>
        <w:rPr>
          <w:rFonts w:hint="eastAsia" w:ascii="宋体" w:hAnsi="宋体" w:cs="宋体"/>
          <w:sz w:val="24"/>
          <w:highlight w:val="none"/>
          <w:u w:val="single"/>
        </w:rPr>
        <w:t>2023</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07</w:t>
      </w:r>
      <w:r>
        <w:rPr>
          <w:rFonts w:hint="eastAsia" w:ascii="宋体" w:hAnsi="宋体" w:cs="宋体"/>
          <w:bCs/>
          <w:sz w:val="24"/>
          <w:highlight w:val="none"/>
        </w:rPr>
        <w:t>月</w:t>
      </w:r>
      <w:r>
        <w:rPr>
          <w:rFonts w:hint="eastAsia" w:ascii="宋体" w:hAnsi="宋体" w:cs="宋体"/>
          <w:bCs/>
          <w:sz w:val="24"/>
          <w:highlight w:val="none"/>
          <w:u w:val="single"/>
          <w:lang w:val="en-US" w:eastAsia="zh-CN"/>
        </w:rPr>
        <w:t>17</w:t>
      </w:r>
      <w:r>
        <w:rPr>
          <w:rFonts w:hint="eastAsia" w:ascii="宋体" w:hAnsi="宋体" w:cs="宋体"/>
          <w:bCs/>
          <w:sz w:val="24"/>
          <w:highlight w:val="none"/>
        </w:rPr>
        <w:t>日</w:t>
      </w:r>
      <w:r>
        <w:rPr>
          <w:rFonts w:hint="eastAsia" w:ascii="宋体" w:hAnsi="宋体" w:cs="宋体"/>
          <w:bCs/>
          <w:sz w:val="24"/>
          <w:highlight w:val="none"/>
          <w:u w:val="single"/>
        </w:rPr>
        <w:t>14</w:t>
      </w:r>
      <w:r>
        <w:rPr>
          <w:rFonts w:hint="eastAsia" w:ascii="宋体" w:hAnsi="宋体" w:cs="宋体"/>
          <w:bCs/>
          <w:sz w:val="24"/>
          <w:highlight w:val="none"/>
        </w:rPr>
        <w:t>点</w:t>
      </w:r>
      <w:r>
        <w:rPr>
          <w:rFonts w:hint="eastAsia" w:ascii="宋体" w:hAnsi="宋体" w:cs="宋体"/>
          <w:bCs/>
          <w:sz w:val="24"/>
          <w:highlight w:val="none"/>
          <w:u w:val="single"/>
        </w:rPr>
        <w:t>00</w:t>
      </w:r>
      <w:r>
        <w:rPr>
          <w:rFonts w:hint="eastAsia" w:ascii="宋体" w:hAnsi="宋体" w:cs="宋体"/>
          <w:bCs/>
          <w:sz w:val="24"/>
          <w:highlight w:val="none"/>
        </w:rPr>
        <w:t>分（北京时间）前递交投标文件</w:t>
      </w:r>
      <w:r>
        <w:rPr>
          <w:rFonts w:hint="eastAsia" w:ascii="宋体" w:hAnsi="宋体" w:cs="宋体"/>
          <w:sz w:val="24"/>
          <w:highlight w:val="none"/>
        </w:rPr>
        <w:t>。</w:t>
      </w:r>
    </w:p>
    <w:p>
      <w:pPr>
        <w:spacing w:line="360" w:lineRule="auto"/>
        <w:rPr>
          <w:rFonts w:hint="eastAsia" w:ascii="宋体" w:hAnsi="宋体" w:cs="宋体"/>
          <w:b/>
          <w:sz w:val="28"/>
          <w:szCs w:val="28"/>
          <w:highlight w:val="none"/>
        </w:rPr>
      </w:pPr>
      <w:bookmarkStart w:id="0" w:name="_Toc28359079"/>
      <w:bookmarkStart w:id="1" w:name="_Toc35393621"/>
      <w:bookmarkStart w:id="2" w:name="_Toc35393790"/>
      <w:bookmarkStart w:id="3" w:name="_Toc28359002"/>
      <w:bookmarkStart w:id="4" w:name="_Hlk24379207"/>
      <w:r>
        <w:rPr>
          <w:rFonts w:hint="eastAsia" w:ascii="宋体" w:hAnsi="宋体" w:cs="宋体"/>
          <w:b/>
          <w:sz w:val="28"/>
          <w:szCs w:val="28"/>
          <w:highlight w:val="none"/>
        </w:rPr>
        <w:t>一、项目基本情况</w:t>
      </w:r>
      <w:bookmarkEnd w:id="0"/>
      <w:bookmarkEnd w:id="1"/>
      <w:bookmarkEnd w:id="2"/>
      <w:bookmarkEnd w:id="3"/>
      <w:r>
        <w:rPr>
          <w:rFonts w:hint="eastAsia" w:ascii="宋体" w:hAnsi="宋体" w:cs="宋体"/>
          <w:b/>
          <w:sz w:val="28"/>
          <w:szCs w:val="28"/>
          <w:highlight w:val="none"/>
        </w:rPr>
        <w:t xml:space="preserve"> </w:t>
      </w:r>
    </w:p>
    <w:p>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项目编号：</w:t>
      </w:r>
      <w:r>
        <w:rPr>
          <w:rFonts w:hint="eastAsia" w:ascii="宋体" w:hAnsi="宋体" w:cs="宋体"/>
          <w:bCs/>
          <w:sz w:val="24"/>
          <w:highlight w:val="none"/>
          <w:u w:val="single"/>
          <w:lang w:eastAsia="zh-CN"/>
        </w:rPr>
        <w:t>HSBJ23D-038-23-119（2）</w:t>
      </w:r>
    </w:p>
    <w:p>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项目名称：</w:t>
      </w:r>
      <w:r>
        <w:rPr>
          <w:rFonts w:hint="eastAsia" w:ascii="宋体" w:hAnsi="宋体" w:cs="宋体"/>
          <w:bCs/>
          <w:sz w:val="24"/>
          <w:highlight w:val="none"/>
          <w:u w:val="single"/>
          <w:lang w:eastAsia="zh-CN"/>
        </w:rPr>
        <w:t>聚乙二醇（PEG）工业品采购（第二次）</w:t>
      </w:r>
    </w:p>
    <w:bookmarkEnd w:id="4"/>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预算金额：</w:t>
      </w:r>
      <w:r>
        <w:rPr>
          <w:rFonts w:hint="eastAsia" w:ascii="宋体" w:hAnsi="宋体" w:cs="宋体"/>
          <w:bCs/>
          <w:sz w:val="24"/>
          <w:highlight w:val="none"/>
          <w:u w:val="single"/>
        </w:rPr>
        <w:t>95万元</w:t>
      </w:r>
    </w:p>
    <w:p>
      <w:pPr>
        <w:spacing w:line="360" w:lineRule="auto"/>
        <w:ind w:firstLine="480" w:firstLineChars="200"/>
        <w:rPr>
          <w:rFonts w:hint="eastAsia" w:ascii="宋体" w:hAnsi="宋体" w:cs="宋体"/>
          <w:bCs/>
          <w:sz w:val="24"/>
          <w:highlight w:val="none"/>
        </w:rPr>
      </w:pPr>
      <w:r>
        <w:rPr>
          <w:rFonts w:hint="eastAsia" w:ascii="宋体" w:hAnsi="宋体" w:cs="宋体"/>
          <w:sz w:val="24"/>
          <w:highlight w:val="none"/>
        </w:rPr>
        <w:t>最高限价（如有）：</w:t>
      </w:r>
      <w:r>
        <w:rPr>
          <w:rFonts w:hint="eastAsia" w:ascii="宋体" w:hAnsi="宋体" w:cs="宋体"/>
          <w:bCs/>
          <w:sz w:val="24"/>
          <w:highlight w:val="none"/>
          <w:u w:val="single"/>
        </w:rPr>
        <w:t>95万元</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采购需求：</w:t>
      </w:r>
    </w:p>
    <w:tbl>
      <w:tblPr>
        <w:tblStyle w:val="4"/>
        <w:tblW w:w="8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3068"/>
        <w:gridCol w:w="1520"/>
        <w:gridCol w:w="1689"/>
        <w:gridCol w:w="1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4"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序号</w:t>
            </w:r>
          </w:p>
        </w:tc>
        <w:tc>
          <w:tcPr>
            <w:tcW w:w="3068"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货物名称</w:t>
            </w:r>
          </w:p>
        </w:tc>
        <w:tc>
          <w:tcPr>
            <w:tcW w:w="1520"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数量</w:t>
            </w:r>
          </w:p>
        </w:tc>
        <w:tc>
          <w:tcPr>
            <w:tcW w:w="1689"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单位</w:t>
            </w:r>
          </w:p>
        </w:tc>
        <w:tc>
          <w:tcPr>
            <w:tcW w:w="1529"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是否接受进口产品投标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4" w:type="dxa"/>
            <w:noWrap w:val="0"/>
            <w:vAlign w:val="center"/>
          </w:tcPr>
          <w:p>
            <w:pPr>
              <w:jc w:val="center"/>
              <w:rPr>
                <w:rFonts w:hint="eastAsia" w:ascii="宋体" w:hAnsi="宋体" w:cs="宋体"/>
                <w:sz w:val="24"/>
                <w:highlight w:val="none"/>
              </w:rPr>
            </w:pPr>
            <w:r>
              <w:rPr>
                <w:rFonts w:hint="eastAsia" w:ascii="宋体" w:hAnsi="宋体" w:cs="宋体"/>
                <w:sz w:val="24"/>
                <w:highlight w:val="none"/>
              </w:rPr>
              <w:t>1</w:t>
            </w:r>
          </w:p>
        </w:tc>
        <w:tc>
          <w:tcPr>
            <w:tcW w:w="3068" w:type="dxa"/>
            <w:noWrap w:val="0"/>
            <w:vAlign w:val="center"/>
          </w:tcPr>
          <w:p>
            <w:pPr>
              <w:jc w:val="center"/>
              <w:rPr>
                <w:rFonts w:hint="eastAsia" w:ascii="宋体" w:hAnsi="宋体" w:cs="宋体"/>
                <w:sz w:val="24"/>
                <w:highlight w:val="none"/>
              </w:rPr>
            </w:pPr>
            <w:r>
              <w:rPr>
                <w:rFonts w:hint="eastAsia" w:ascii="宋体" w:hAnsi="宋体" w:cs="宋体"/>
                <w:sz w:val="24"/>
                <w:highlight w:val="none"/>
              </w:rPr>
              <w:t>PEG-400</w:t>
            </w:r>
          </w:p>
        </w:tc>
        <w:tc>
          <w:tcPr>
            <w:tcW w:w="1520" w:type="dxa"/>
            <w:noWrap w:val="0"/>
            <w:vAlign w:val="center"/>
          </w:tcPr>
          <w:p>
            <w:pPr>
              <w:pStyle w:val="7"/>
              <w:jc w:val="center"/>
              <w:rPr>
                <w:rFonts w:hint="eastAsia" w:ascii="宋体" w:hAnsi="宋体" w:cs="宋体"/>
                <w:sz w:val="24"/>
                <w:highlight w:val="none"/>
              </w:rPr>
            </w:pPr>
            <w:r>
              <w:rPr>
                <w:rFonts w:hint="eastAsia" w:ascii="宋体" w:hAnsi="宋体" w:cs="宋体"/>
                <w:sz w:val="24"/>
                <w:highlight w:val="none"/>
              </w:rPr>
              <w:t>5000</w:t>
            </w:r>
          </w:p>
        </w:tc>
        <w:tc>
          <w:tcPr>
            <w:tcW w:w="1689"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公斤</w:t>
            </w:r>
          </w:p>
        </w:tc>
        <w:tc>
          <w:tcPr>
            <w:tcW w:w="1529" w:type="dxa"/>
            <w:noWrap w:val="0"/>
            <w:vAlign w:val="center"/>
          </w:tcPr>
          <w:p>
            <w:pPr>
              <w:jc w:val="center"/>
              <w:rPr>
                <w:rFonts w:hint="eastAsia" w:ascii="宋体" w:hAnsi="宋体" w:cs="宋体"/>
                <w:highlight w:val="none"/>
              </w:rPr>
            </w:pPr>
            <w:r>
              <w:rPr>
                <w:rFonts w:hint="eastAsia" w:ascii="宋体" w:hAnsi="宋体" w:cs="宋体"/>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4" w:type="dxa"/>
            <w:noWrap w:val="0"/>
            <w:vAlign w:val="center"/>
          </w:tcPr>
          <w:p>
            <w:pPr>
              <w:jc w:val="center"/>
              <w:rPr>
                <w:rFonts w:hint="eastAsia" w:ascii="宋体" w:hAnsi="宋体" w:cs="宋体"/>
                <w:sz w:val="24"/>
                <w:highlight w:val="none"/>
              </w:rPr>
            </w:pPr>
            <w:r>
              <w:rPr>
                <w:rFonts w:hint="eastAsia" w:ascii="宋体" w:hAnsi="宋体" w:cs="宋体"/>
                <w:sz w:val="24"/>
                <w:highlight w:val="none"/>
              </w:rPr>
              <w:t>2</w:t>
            </w:r>
          </w:p>
        </w:tc>
        <w:tc>
          <w:tcPr>
            <w:tcW w:w="3068" w:type="dxa"/>
            <w:noWrap w:val="0"/>
            <w:vAlign w:val="center"/>
          </w:tcPr>
          <w:p>
            <w:pPr>
              <w:jc w:val="center"/>
              <w:rPr>
                <w:rFonts w:hint="eastAsia" w:ascii="宋体" w:hAnsi="宋体" w:cs="宋体"/>
                <w:sz w:val="24"/>
                <w:highlight w:val="none"/>
              </w:rPr>
            </w:pPr>
            <w:r>
              <w:rPr>
                <w:rFonts w:hint="eastAsia" w:ascii="宋体" w:hAnsi="宋体" w:cs="宋体"/>
                <w:sz w:val="24"/>
                <w:highlight w:val="none"/>
              </w:rPr>
              <w:t>PEG-1000</w:t>
            </w:r>
          </w:p>
        </w:tc>
        <w:tc>
          <w:tcPr>
            <w:tcW w:w="1520" w:type="dxa"/>
            <w:noWrap w:val="0"/>
            <w:vAlign w:val="center"/>
          </w:tcPr>
          <w:p>
            <w:pPr>
              <w:pStyle w:val="7"/>
              <w:jc w:val="center"/>
              <w:rPr>
                <w:rFonts w:hint="eastAsia" w:ascii="宋体" w:hAnsi="宋体" w:cs="宋体"/>
                <w:sz w:val="24"/>
                <w:highlight w:val="none"/>
              </w:rPr>
            </w:pPr>
            <w:r>
              <w:rPr>
                <w:rFonts w:hint="eastAsia" w:ascii="宋体" w:hAnsi="宋体" w:cs="宋体"/>
                <w:sz w:val="24"/>
                <w:highlight w:val="none"/>
              </w:rPr>
              <w:t>7500</w:t>
            </w:r>
          </w:p>
        </w:tc>
        <w:tc>
          <w:tcPr>
            <w:tcW w:w="1689"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公斤</w:t>
            </w:r>
          </w:p>
        </w:tc>
        <w:tc>
          <w:tcPr>
            <w:tcW w:w="1529" w:type="dxa"/>
            <w:noWrap w:val="0"/>
            <w:vAlign w:val="center"/>
          </w:tcPr>
          <w:p>
            <w:pPr>
              <w:jc w:val="center"/>
              <w:rPr>
                <w:rFonts w:hint="eastAsia" w:ascii="宋体" w:hAnsi="宋体" w:cs="宋体"/>
                <w:highlight w:val="none"/>
              </w:rPr>
            </w:pPr>
            <w:r>
              <w:rPr>
                <w:rFonts w:hint="eastAsia" w:ascii="宋体" w:hAnsi="宋体" w:cs="宋体"/>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4" w:type="dxa"/>
            <w:noWrap w:val="0"/>
            <w:vAlign w:val="center"/>
          </w:tcPr>
          <w:p>
            <w:pPr>
              <w:jc w:val="center"/>
              <w:rPr>
                <w:rFonts w:hint="eastAsia" w:ascii="宋体" w:hAnsi="宋体" w:cs="宋体"/>
                <w:sz w:val="24"/>
                <w:highlight w:val="none"/>
              </w:rPr>
            </w:pPr>
            <w:r>
              <w:rPr>
                <w:rFonts w:hint="eastAsia" w:ascii="宋体" w:hAnsi="宋体" w:cs="宋体"/>
                <w:sz w:val="24"/>
                <w:highlight w:val="none"/>
              </w:rPr>
              <w:t>3</w:t>
            </w:r>
          </w:p>
        </w:tc>
        <w:tc>
          <w:tcPr>
            <w:tcW w:w="3068" w:type="dxa"/>
            <w:noWrap w:val="0"/>
            <w:vAlign w:val="center"/>
          </w:tcPr>
          <w:p>
            <w:pPr>
              <w:jc w:val="center"/>
              <w:rPr>
                <w:rFonts w:hint="eastAsia" w:ascii="宋体" w:hAnsi="宋体" w:cs="宋体"/>
                <w:sz w:val="24"/>
                <w:highlight w:val="none"/>
              </w:rPr>
            </w:pPr>
            <w:r>
              <w:rPr>
                <w:rFonts w:hint="eastAsia" w:ascii="宋体" w:hAnsi="宋体" w:cs="宋体"/>
                <w:sz w:val="24"/>
                <w:highlight w:val="none"/>
              </w:rPr>
              <w:t>PEG-2000</w:t>
            </w:r>
          </w:p>
        </w:tc>
        <w:tc>
          <w:tcPr>
            <w:tcW w:w="1520" w:type="dxa"/>
            <w:noWrap w:val="0"/>
            <w:vAlign w:val="center"/>
          </w:tcPr>
          <w:p>
            <w:pPr>
              <w:pStyle w:val="7"/>
              <w:jc w:val="center"/>
              <w:rPr>
                <w:rFonts w:hint="eastAsia" w:ascii="宋体" w:hAnsi="宋体" w:cs="宋体"/>
                <w:sz w:val="24"/>
                <w:highlight w:val="none"/>
              </w:rPr>
            </w:pPr>
            <w:r>
              <w:rPr>
                <w:rFonts w:hint="eastAsia" w:ascii="宋体" w:hAnsi="宋体" w:cs="宋体"/>
                <w:sz w:val="24"/>
                <w:highlight w:val="none"/>
              </w:rPr>
              <w:t>5000</w:t>
            </w:r>
          </w:p>
        </w:tc>
        <w:tc>
          <w:tcPr>
            <w:tcW w:w="1689" w:type="dxa"/>
            <w:noWrap w:val="0"/>
            <w:vAlign w:val="center"/>
          </w:tcPr>
          <w:p>
            <w:pPr>
              <w:spacing w:line="360" w:lineRule="exact"/>
              <w:jc w:val="center"/>
              <w:rPr>
                <w:rFonts w:hint="eastAsia" w:ascii="宋体" w:hAnsi="宋体" w:cs="宋体"/>
                <w:sz w:val="24"/>
                <w:highlight w:val="none"/>
              </w:rPr>
            </w:pPr>
            <w:r>
              <w:rPr>
                <w:rFonts w:hint="eastAsia" w:ascii="宋体" w:hAnsi="宋体" w:cs="宋体"/>
                <w:sz w:val="24"/>
                <w:highlight w:val="none"/>
              </w:rPr>
              <w:t>公斤</w:t>
            </w:r>
          </w:p>
        </w:tc>
        <w:tc>
          <w:tcPr>
            <w:tcW w:w="1529" w:type="dxa"/>
            <w:noWrap w:val="0"/>
            <w:vAlign w:val="center"/>
          </w:tcPr>
          <w:p>
            <w:pPr>
              <w:jc w:val="center"/>
              <w:rPr>
                <w:rFonts w:hint="eastAsia" w:ascii="宋体" w:hAnsi="宋体" w:cs="宋体"/>
                <w:highlight w:val="none"/>
              </w:rPr>
            </w:pPr>
            <w:r>
              <w:rPr>
                <w:rFonts w:hint="eastAsia" w:ascii="宋体" w:hAnsi="宋体" w:cs="宋体"/>
                <w:sz w:val="24"/>
                <w:highlight w:val="none"/>
              </w:rPr>
              <w:t>是</w:t>
            </w:r>
          </w:p>
        </w:tc>
      </w:tr>
    </w:tbl>
    <w:p>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（详细参数见招标文件第三章采购需求）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合同履行期限：自合同签订后1</w:t>
      </w:r>
      <w:r>
        <w:rPr>
          <w:rFonts w:ascii="宋体" w:hAnsi="宋体" w:cs="宋体"/>
          <w:sz w:val="24"/>
          <w:highlight w:val="none"/>
        </w:rPr>
        <w:t>80</w:t>
      </w:r>
      <w:r>
        <w:rPr>
          <w:rFonts w:hint="eastAsia" w:ascii="宋体" w:hAnsi="宋体" w:cs="宋体"/>
          <w:sz w:val="24"/>
          <w:highlight w:val="none"/>
        </w:rPr>
        <w:t>日历天内完成全部货物交货，具体见下表。</w:t>
      </w:r>
    </w:p>
    <w:tbl>
      <w:tblPr>
        <w:tblStyle w:val="4"/>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320"/>
        <w:gridCol w:w="1250"/>
        <w:gridCol w:w="1846"/>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44" w:type="dxa"/>
            <w:shd w:val="clear" w:color="auto" w:fill="D7D7D7"/>
            <w:noWrap w:val="0"/>
            <w:vAlign w:val="center"/>
          </w:tcPr>
          <w:p>
            <w:pPr>
              <w:pStyle w:val="7"/>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320" w:type="dxa"/>
            <w:shd w:val="clear" w:color="auto" w:fill="D7D7D7"/>
            <w:noWrap w:val="0"/>
            <w:vAlign w:val="center"/>
          </w:tcPr>
          <w:p>
            <w:pPr>
              <w:pStyle w:val="7"/>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产品名称</w:t>
            </w:r>
          </w:p>
        </w:tc>
        <w:tc>
          <w:tcPr>
            <w:tcW w:w="1250" w:type="dxa"/>
            <w:shd w:val="clear" w:color="auto" w:fill="D7D7D7"/>
            <w:noWrap w:val="0"/>
            <w:vAlign w:val="center"/>
          </w:tcPr>
          <w:p>
            <w:pPr>
              <w:pStyle w:val="7"/>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1846" w:type="dxa"/>
            <w:shd w:val="clear" w:color="auto" w:fill="D7D7D7"/>
            <w:noWrap w:val="0"/>
            <w:vAlign w:val="center"/>
          </w:tcPr>
          <w:p>
            <w:pPr>
              <w:pStyle w:val="7"/>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交货时间</w:t>
            </w:r>
          </w:p>
        </w:tc>
        <w:tc>
          <w:tcPr>
            <w:tcW w:w="3827" w:type="dxa"/>
            <w:shd w:val="clear" w:color="auto" w:fill="D7D7D7"/>
            <w:noWrap w:val="0"/>
            <w:vAlign w:val="center"/>
          </w:tcPr>
          <w:p>
            <w:pPr>
              <w:pStyle w:val="7"/>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44"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320" w:type="dxa"/>
            <w:noWrap w:val="0"/>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PEG-</w:t>
            </w:r>
            <w:r>
              <w:rPr>
                <w:rFonts w:ascii="宋体" w:hAnsi="宋体" w:cs="宋体"/>
                <w:color w:val="000000"/>
                <w:sz w:val="24"/>
                <w:highlight w:val="none"/>
              </w:rPr>
              <w:t>10</w:t>
            </w:r>
            <w:r>
              <w:rPr>
                <w:rFonts w:hint="eastAsia" w:ascii="宋体" w:hAnsi="宋体" w:cs="宋体"/>
                <w:color w:val="000000"/>
                <w:sz w:val="24"/>
                <w:highlight w:val="none"/>
              </w:rPr>
              <w:t>00</w:t>
            </w:r>
          </w:p>
        </w:tc>
        <w:tc>
          <w:tcPr>
            <w:tcW w:w="1250"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50</w:t>
            </w:r>
            <w:r>
              <w:rPr>
                <w:rFonts w:ascii="宋体" w:hAnsi="宋体" w:cs="宋体"/>
                <w:color w:val="000000"/>
                <w:sz w:val="24"/>
                <w:highlight w:val="none"/>
              </w:rPr>
              <w:t>00</w:t>
            </w:r>
            <w:r>
              <w:rPr>
                <w:rFonts w:hint="eastAsia" w:ascii="宋体" w:hAnsi="宋体" w:cs="宋体"/>
                <w:color w:val="000000"/>
                <w:sz w:val="24"/>
                <w:highlight w:val="none"/>
              </w:rPr>
              <w:t>公斤</w:t>
            </w:r>
          </w:p>
        </w:tc>
        <w:tc>
          <w:tcPr>
            <w:tcW w:w="1846"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自合同签订后</w:t>
            </w:r>
            <w:r>
              <w:rPr>
                <w:rFonts w:ascii="宋体" w:hAnsi="宋体" w:cs="宋体"/>
                <w:color w:val="000000"/>
                <w:sz w:val="24"/>
                <w:highlight w:val="none"/>
              </w:rPr>
              <w:t>60</w:t>
            </w:r>
            <w:r>
              <w:rPr>
                <w:rFonts w:hint="eastAsia" w:ascii="宋体" w:hAnsi="宋体" w:cs="宋体"/>
                <w:color w:val="000000"/>
                <w:sz w:val="24"/>
                <w:highlight w:val="none"/>
              </w:rPr>
              <w:t>日历天内</w:t>
            </w:r>
          </w:p>
        </w:tc>
        <w:tc>
          <w:tcPr>
            <w:tcW w:w="3827"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广东省阳江市江城区海陵岛闸坡镇广东海上丝绸之路博物馆东门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44" w:type="dxa"/>
            <w:noWrap w:val="0"/>
            <w:vAlign w:val="center"/>
          </w:tcPr>
          <w:p>
            <w:pPr>
              <w:pStyle w:val="7"/>
              <w:adjustRightInd w:val="0"/>
              <w:snapToGrid w:val="0"/>
              <w:jc w:val="center"/>
              <w:rPr>
                <w:rFonts w:ascii="宋体" w:hAnsi="宋体" w:cs="宋体"/>
                <w:color w:val="000000"/>
                <w:sz w:val="24"/>
                <w:highlight w:val="none"/>
              </w:rPr>
            </w:pPr>
            <w:r>
              <w:rPr>
                <w:rFonts w:ascii="宋体" w:hAnsi="宋体" w:cs="宋体"/>
                <w:color w:val="000000"/>
                <w:sz w:val="24"/>
                <w:highlight w:val="none"/>
              </w:rPr>
              <w:t>2</w:t>
            </w:r>
          </w:p>
        </w:tc>
        <w:tc>
          <w:tcPr>
            <w:tcW w:w="1320" w:type="dxa"/>
            <w:noWrap w:val="0"/>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PEG-2000</w:t>
            </w:r>
          </w:p>
        </w:tc>
        <w:tc>
          <w:tcPr>
            <w:tcW w:w="1250"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50</w:t>
            </w:r>
            <w:r>
              <w:rPr>
                <w:rFonts w:ascii="宋体" w:hAnsi="宋体" w:cs="宋体"/>
                <w:color w:val="000000"/>
                <w:sz w:val="24"/>
                <w:highlight w:val="none"/>
              </w:rPr>
              <w:t>00</w:t>
            </w:r>
            <w:r>
              <w:rPr>
                <w:rFonts w:hint="eastAsia" w:ascii="宋体" w:hAnsi="宋体" w:cs="宋体"/>
                <w:color w:val="000000"/>
                <w:sz w:val="24"/>
                <w:highlight w:val="none"/>
              </w:rPr>
              <w:t>公斤</w:t>
            </w:r>
          </w:p>
        </w:tc>
        <w:tc>
          <w:tcPr>
            <w:tcW w:w="1846"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自合同签订后</w:t>
            </w:r>
            <w:r>
              <w:rPr>
                <w:rFonts w:ascii="宋体" w:hAnsi="宋体" w:cs="宋体"/>
                <w:color w:val="000000"/>
                <w:sz w:val="24"/>
                <w:highlight w:val="none"/>
              </w:rPr>
              <w:t>60</w:t>
            </w:r>
            <w:r>
              <w:rPr>
                <w:rFonts w:hint="eastAsia" w:ascii="宋体" w:hAnsi="宋体" w:cs="宋体"/>
                <w:color w:val="000000"/>
                <w:sz w:val="24"/>
                <w:highlight w:val="none"/>
              </w:rPr>
              <w:t>日历天内</w:t>
            </w:r>
          </w:p>
        </w:tc>
        <w:tc>
          <w:tcPr>
            <w:tcW w:w="3827"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浙江省宁波市北仑区春晓街道港博路6号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44" w:type="dxa"/>
            <w:noWrap w:val="0"/>
            <w:vAlign w:val="center"/>
          </w:tcPr>
          <w:p>
            <w:pPr>
              <w:pStyle w:val="7"/>
              <w:adjustRightInd w:val="0"/>
              <w:snapToGrid w:val="0"/>
              <w:jc w:val="center"/>
              <w:rPr>
                <w:rFonts w:ascii="宋体" w:hAnsi="宋体" w:cs="宋体"/>
                <w:color w:val="000000"/>
                <w:sz w:val="24"/>
                <w:highlight w:val="none"/>
              </w:rPr>
            </w:pPr>
            <w:r>
              <w:rPr>
                <w:rFonts w:ascii="宋体" w:hAnsi="宋体" w:cs="宋体"/>
                <w:color w:val="000000"/>
                <w:sz w:val="24"/>
                <w:highlight w:val="none"/>
              </w:rPr>
              <w:t>3</w:t>
            </w:r>
          </w:p>
        </w:tc>
        <w:tc>
          <w:tcPr>
            <w:tcW w:w="1320" w:type="dxa"/>
            <w:noWrap w:val="0"/>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PEG-</w:t>
            </w:r>
            <w:r>
              <w:rPr>
                <w:rFonts w:ascii="宋体" w:hAnsi="宋体" w:cs="宋体"/>
                <w:color w:val="000000"/>
                <w:sz w:val="24"/>
                <w:highlight w:val="none"/>
              </w:rPr>
              <w:t>4</w:t>
            </w:r>
            <w:r>
              <w:rPr>
                <w:rFonts w:hint="eastAsia" w:ascii="宋体" w:hAnsi="宋体" w:cs="宋体"/>
                <w:color w:val="000000"/>
                <w:sz w:val="24"/>
                <w:highlight w:val="none"/>
              </w:rPr>
              <w:t>00</w:t>
            </w:r>
          </w:p>
        </w:tc>
        <w:tc>
          <w:tcPr>
            <w:tcW w:w="1250" w:type="dxa"/>
            <w:noWrap w:val="0"/>
            <w:vAlign w:val="center"/>
          </w:tcPr>
          <w:p>
            <w:pPr>
              <w:pStyle w:val="7"/>
              <w:adjustRightInd w:val="0"/>
              <w:snapToGrid w:val="0"/>
              <w:jc w:val="center"/>
              <w:rPr>
                <w:rFonts w:ascii="宋体" w:hAnsi="宋体" w:cs="宋体"/>
                <w:color w:val="000000"/>
                <w:sz w:val="24"/>
                <w:highlight w:val="none"/>
              </w:rPr>
            </w:pPr>
            <w:r>
              <w:rPr>
                <w:rFonts w:ascii="宋体" w:hAnsi="宋体" w:cs="宋体"/>
                <w:color w:val="000000"/>
                <w:sz w:val="24"/>
                <w:highlight w:val="none"/>
              </w:rPr>
              <w:t>5000</w:t>
            </w:r>
            <w:r>
              <w:rPr>
                <w:rFonts w:hint="eastAsia" w:ascii="宋体" w:hAnsi="宋体" w:cs="宋体"/>
                <w:color w:val="000000"/>
                <w:sz w:val="24"/>
                <w:highlight w:val="none"/>
              </w:rPr>
              <w:t>公斤</w:t>
            </w:r>
          </w:p>
        </w:tc>
        <w:tc>
          <w:tcPr>
            <w:tcW w:w="1846"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自合同签订后</w:t>
            </w:r>
            <w:r>
              <w:rPr>
                <w:rFonts w:ascii="宋体" w:hAnsi="宋体" w:cs="宋体"/>
                <w:color w:val="000000"/>
                <w:sz w:val="24"/>
                <w:highlight w:val="none"/>
              </w:rPr>
              <w:t>120</w:t>
            </w:r>
            <w:r>
              <w:rPr>
                <w:rFonts w:hint="eastAsia" w:ascii="宋体" w:hAnsi="宋体" w:cs="宋体"/>
                <w:color w:val="000000"/>
                <w:sz w:val="24"/>
                <w:highlight w:val="none"/>
              </w:rPr>
              <w:t>日历天内</w:t>
            </w:r>
          </w:p>
        </w:tc>
        <w:tc>
          <w:tcPr>
            <w:tcW w:w="3827"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广东省阳江市江城区海陵岛闸坡镇广东海上丝绸之路博物馆东门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544" w:type="dxa"/>
            <w:noWrap w:val="0"/>
            <w:vAlign w:val="center"/>
          </w:tcPr>
          <w:p>
            <w:pPr>
              <w:pStyle w:val="7"/>
              <w:adjustRightInd w:val="0"/>
              <w:snapToGrid w:val="0"/>
              <w:jc w:val="center"/>
              <w:rPr>
                <w:rFonts w:ascii="宋体" w:hAnsi="宋体" w:cs="宋体"/>
                <w:color w:val="000000"/>
                <w:sz w:val="24"/>
                <w:highlight w:val="none"/>
              </w:rPr>
            </w:pPr>
            <w:r>
              <w:rPr>
                <w:rFonts w:ascii="宋体" w:hAnsi="宋体" w:cs="宋体"/>
                <w:color w:val="000000"/>
                <w:sz w:val="24"/>
                <w:highlight w:val="none"/>
              </w:rPr>
              <w:t>4</w:t>
            </w:r>
          </w:p>
        </w:tc>
        <w:tc>
          <w:tcPr>
            <w:tcW w:w="1320" w:type="dxa"/>
            <w:noWrap w:val="0"/>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PEG-</w:t>
            </w:r>
            <w:r>
              <w:rPr>
                <w:rFonts w:ascii="宋体" w:hAnsi="宋体" w:cs="宋体"/>
                <w:color w:val="000000"/>
                <w:sz w:val="24"/>
                <w:highlight w:val="none"/>
              </w:rPr>
              <w:t>10</w:t>
            </w:r>
            <w:r>
              <w:rPr>
                <w:rFonts w:hint="eastAsia" w:ascii="宋体" w:hAnsi="宋体" w:cs="宋体"/>
                <w:color w:val="000000"/>
                <w:sz w:val="24"/>
                <w:highlight w:val="none"/>
              </w:rPr>
              <w:t>00</w:t>
            </w:r>
          </w:p>
        </w:tc>
        <w:tc>
          <w:tcPr>
            <w:tcW w:w="1250" w:type="dxa"/>
            <w:noWrap w:val="0"/>
            <w:vAlign w:val="center"/>
          </w:tcPr>
          <w:p>
            <w:pPr>
              <w:pStyle w:val="7"/>
              <w:adjustRightInd w:val="0"/>
              <w:snapToGrid w:val="0"/>
              <w:jc w:val="center"/>
              <w:rPr>
                <w:rFonts w:ascii="宋体" w:hAnsi="宋体" w:cs="宋体"/>
                <w:color w:val="000000"/>
                <w:sz w:val="24"/>
                <w:highlight w:val="none"/>
              </w:rPr>
            </w:pPr>
            <w:r>
              <w:rPr>
                <w:rFonts w:ascii="宋体" w:hAnsi="宋体" w:cs="宋体"/>
                <w:color w:val="000000"/>
                <w:sz w:val="24"/>
                <w:highlight w:val="none"/>
              </w:rPr>
              <w:t>2500</w:t>
            </w:r>
            <w:r>
              <w:rPr>
                <w:rFonts w:hint="eastAsia" w:ascii="宋体" w:hAnsi="宋体" w:cs="宋体"/>
                <w:color w:val="000000"/>
                <w:sz w:val="24"/>
                <w:highlight w:val="none"/>
              </w:rPr>
              <w:t>公斤</w:t>
            </w:r>
          </w:p>
        </w:tc>
        <w:tc>
          <w:tcPr>
            <w:tcW w:w="1846"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自合同签订后</w:t>
            </w:r>
            <w:r>
              <w:rPr>
                <w:rFonts w:ascii="宋体" w:hAnsi="宋体" w:cs="宋体"/>
                <w:color w:val="000000"/>
                <w:sz w:val="24"/>
                <w:highlight w:val="none"/>
              </w:rPr>
              <w:t>180</w:t>
            </w:r>
            <w:r>
              <w:rPr>
                <w:rFonts w:hint="eastAsia" w:ascii="宋体" w:hAnsi="宋体" w:cs="宋体"/>
                <w:color w:val="000000"/>
                <w:sz w:val="24"/>
                <w:highlight w:val="none"/>
              </w:rPr>
              <w:t>日历天内</w:t>
            </w:r>
          </w:p>
        </w:tc>
        <w:tc>
          <w:tcPr>
            <w:tcW w:w="3827" w:type="dxa"/>
            <w:noWrap w:val="0"/>
            <w:vAlign w:val="center"/>
          </w:tcPr>
          <w:p>
            <w:pPr>
              <w:pStyle w:val="7"/>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广东省阳江市江城区海陵岛闸坡镇广东海上丝绸之路博物馆东门</w:t>
            </w:r>
          </w:p>
        </w:tc>
      </w:tr>
    </w:tbl>
    <w:p>
      <w:pPr>
        <w:rPr>
          <w:rFonts w:hint="eastAsia"/>
          <w:highlight w:val="none"/>
        </w:rPr>
      </w:pP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本项目是否接受联合体投标：</w:t>
      </w:r>
      <w:r>
        <w:rPr>
          <w:rFonts w:hint="eastAsia" w:ascii="宋体" w:hAnsi="宋体" w:cs="宋体"/>
          <w:sz w:val="24"/>
          <w:highlight w:val="none"/>
          <w:u w:val="single"/>
        </w:rPr>
        <w:t>否</w:t>
      </w:r>
    </w:p>
    <w:p>
      <w:pPr>
        <w:spacing w:line="360" w:lineRule="auto"/>
        <w:rPr>
          <w:rFonts w:hint="eastAsia" w:ascii="宋体" w:hAnsi="宋体" w:cs="宋体"/>
          <w:b/>
          <w:sz w:val="28"/>
          <w:szCs w:val="28"/>
          <w:highlight w:val="none"/>
        </w:rPr>
      </w:pPr>
      <w:bookmarkStart w:id="5" w:name="_Toc28359080"/>
      <w:bookmarkStart w:id="6" w:name="_Toc35393791"/>
      <w:bookmarkStart w:id="7" w:name="_Toc28359003"/>
      <w:bookmarkStart w:id="8" w:name="_Toc35393622"/>
      <w:r>
        <w:rPr>
          <w:rFonts w:hint="eastAsia" w:ascii="宋体" w:hAnsi="宋体" w:cs="宋体"/>
          <w:b/>
          <w:sz w:val="28"/>
          <w:szCs w:val="28"/>
          <w:highlight w:val="none"/>
        </w:rPr>
        <w:t>二、申请人的资格要求：</w:t>
      </w:r>
      <w:bookmarkEnd w:id="5"/>
      <w:bookmarkEnd w:id="6"/>
      <w:bookmarkEnd w:id="7"/>
      <w:bookmarkEnd w:id="8"/>
    </w:p>
    <w:p>
      <w:pPr>
        <w:spacing w:line="360" w:lineRule="auto"/>
        <w:ind w:firstLine="480" w:firstLineChars="200"/>
        <w:rPr>
          <w:rFonts w:hint="eastAsia" w:ascii="宋体" w:hAnsi="宋体" w:cs="宋体"/>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hint="eastAsia" w:ascii="宋体" w:hAnsi="宋体" w:cs="宋体"/>
          <w:sz w:val="24"/>
          <w:highlight w:val="none"/>
        </w:rPr>
      </w:pPr>
      <w:bookmarkStart w:id="9" w:name="_Toc28359081"/>
      <w:bookmarkStart w:id="10" w:name="_Toc28359004"/>
      <w:r>
        <w:rPr>
          <w:rFonts w:hint="eastAsia" w:ascii="宋体" w:hAnsi="宋体" w:cs="宋体"/>
          <w:sz w:val="24"/>
          <w:highlight w:val="none"/>
        </w:rPr>
        <w:t>2.落实政府采购政策需满足的资格要求：</w:t>
      </w:r>
      <w:r>
        <w:rPr>
          <w:rFonts w:hint="eastAsia" w:ascii="宋体" w:hAnsi="宋体" w:cs="宋体"/>
          <w:bCs/>
          <w:sz w:val="24"/>
          <w:highlight w:val="none"/>
          <w:u w:val="single"/>
        </w:rPr>
        <w:t>本项目不属于专门面向中小企业采购的项目</w:t>
      </w:r>
      <w:r>
        <w:rPr>
          <w:rFonts w:hint="eastAsia" w:ascii="宋体" w:hAnsi="宋体" w:cs="宋体"/>
          <w:highlight w:val="none"/>
        </w:rPr>
        <w:t>；</w:t>
      </w:r>
    </w:p>
    <w:p>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3.本项目的特定资格要求：</w:t>
      </w:r>
    </w:p>
    <w:p>
      <w:pPr>
        <w:tabs>
          <w:tab w:val="left" w:pos="540"/>
        </w:tabs>
        <w:spacing w:line="360" w:lineRule="auto"/>
        <w:ind w:firstLine="240" w:firstLineChars="100"/>
        <w:jc w:val="left"/>
        <w:rPr>
          <w:rFonts w:hint="eastAsia" w:ascii="宋体" w:hAnsi="宋体" w:cs="宋体"/>
          <w:sz w:val="24"/>
          <w:highlight w:val="none"/>
        </w:rPr>
      </w:pPr>
      <w:r>
        <w:rPr>
          <w:rFonts w:hint="eastAsia" w:ascii="宋体" w:hAnsi="宋体" w:cs="宋体"/>
          <w:sz w:val="24"/>
          <w:highlight w:val="none"/>
        </w:rPr>
        <w:t>（1）本项目接受进口产品投标（进口产品是</w:t>
      </w:r>
      <w:r>
        <w:rPr>
          <w:rFonts w:hint="eastAsia" w:ascii="宋体" w:hAnsi="宋体" w:cs="宋体"/>
          <w:sz w:val="24"/>
          <w:highlight w:val="none"/>
          <w:lang w:eastAsia="zh-CN"/>
        </w:rPr>
        <w:t>指通过中国海关报关验放进入中国境内且产自关境外的产品</w:t>
      </w:r>
      <w:r>
        <w:rPr>
          <w:rFonts w:hint="eastAsia" w:ascii="宋体" w:hAnsi="宋体" w:cs="宋体"/>
          <w:sz w:val="24"/>
          <w:highlight w:val="none"/>
        </w:rPr>
        <w:t>）；</w:t>
      </w:r>
    </w:p>
    <w:p>
      <w:pPr>
        <w:tabs>
          <w:tab w:val="left" w:pos="540"/>
        </w:tabs>
        <w:spacing w:line="360" w:lineRule="auto"/>
        <w:ind w:firstLine="240" w:firstLineChars="100"/>
        <w:jc w:val="left"/>
        <w:rPr>
          <w:rFonts w:hint="eastAsia" w:ascii="宋体" w:hAnsi="宋体" w:cs="宋体"/>
          <w:sz w:val="24"/>
          <w:highlight w:val="none"/>
        </w:rPr>
      </w:pPr>
      <w:r>
        <w:rPr>
          <w:rFonts w:hint="eastAsia" w:ascii="宋体" w:hAnsi="宋体" w:cs="宋体"/>
          <w:sz w:val="24"/>
          <w:highlight w:val="none"/>
        </w:rPr>
        <w:t>（2）若投标人所报产品为进口产品，则投标人须具有所报进口产品生产厂家或其授权的代理商出具的授权书；</w:t>
      </w:r>
    </w:p>
    <w:p>
      <w:pPr>
        <w:spacing w:line="360" w:lineRule="auto"/>
        <w:rPr>
          <w:rFonts w:hint="eastAsia" w:ascii="宋体" w:hAnsi="宋体" w:cs="宋体"/>
          <w:b/>
          <w:sz w:val="28"/>
          <w:szCs w:val="28"/>
          <w:highlight w:val="none"/>
        </w:rPr>
      </w:pPr>
      <w:bookmarkStart w:id="11" w:name="_Toc35393623"/>
      <w:bookmarkStart w:id="12" w:name="_Toc35393792"/>
      <w:r>
        <w:rPr>
          <w:rFonts w:hint="eastAsia" w:ascii="宋体" w:hAnsi="宋体" w:cs="宋体"/>
          <w:b/>
          <w:sz w:val="28"/>
          <w:szCs w:val="28"/>
          <w:highlight w:val="none"/>
        </w:rPr>
        <w:t>三、获取招标文件</w:t>
      </w:r>
      <w:bookmarkEnd w:id="9"/>
      <w:bookmarkEnd w:id="10"/>
      <w:bookmarkEnd w:id="11"/>
      <w:bookmarkEnd w:id="12"/>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时间：</w:t>
      </w:r>
      <w:r>
        <w:rPr>
          <w:rFonts w:hint="eastAsia" w:ascii="宋体" w:hAnsi="宋体" w:cs="宋体"/>
          <w:sz w:val="24"/>
          <w:highlight w:val="none"/>
          <w:u w:val="single"/>
        </w:rPr>
        <w:t>2023</w:t>
      </w:r>
      <w:r>
        <w:rPr>
          <w:rFonts w:hint="eastAsia" w:ascii="宋体" w:hAnsi="宋体" w:cs="宋体"/>
          <w:sz w:val="24"/>
          <w:highlight w:val="none"/>
        </w:rPr>
        <w:t>年</w:t>
      </w:r>
      <w:r>
        <w:rPr>
          <w:rFonts w:hint="eastAsia" w:ascii="宋体" w:hAnsi="宋体" w:cs="宋体"/>
          <w:sz w:val="24"/>
          <w:highlight w:val="none"/>
          <w:u w:val="single"/>
          <w:lang w:val="en-US" w:eastAsia="zh-CN"/>
        </w:rPr>
        <w:t>06</w:t>
      </w:r>
      <w:r>
        <w:rPr>
          <w:rFonts w:hint="eastAsia" w:ascii="宋体" w:hAnsi="宋体" w:cs="宋体"/>
          <w:sz w:val="24"/>
          <w:highlight w:val="none"/>
        </w:rPr>
        <w:t>月</w:t>
      </w:r>
      <w:r>
        <w:rPr>
          <w:rFonts w:hint="eastAsia" w:ascii="宋体" w:hAnsi="宋体" w:cs="宋体"/>
          <w:sz w:val="24"/>
          <w:highlight w:val="none"/>
          <w:u w:val="single"/>
          <w:lang w:val="en-US" w:eastAsia="zh-CN"/>
        </w:rPr>
        <w:t>27</w:t>
      </w:r>
      <w:r>
        <w:rPr>
          <w:rFonts w:hint="eastAsia" w:ascii="宋体" w:hAnsi="宋体" w:cs="宋体"/>
          <w:sz w:val="24"/>
          <w:highlight w:val="none"/>
        </w:rPr>
        <w:t>日至</w:t>
      </w:r>
      <w:r>
        <w:rPr>
          <w:rFonts w:hint="eastAsia" w:ascii="宋体" w:hAnsi="宋体" w:cs="宋体"/>
          <w:sz w:val="24"/>
          <w:highlight w:val="none"/>
          <w:u w:val="single"/>
        </w:rPr>
        <w:t>2023</w:t>
      </w:r>
      <w:r>
        <w:rPr>
          <w:rFonts w:hint="eastAsia" w:ascii="宋体" w:hAnsi="宋体" w:cs="宋体"/>
          <w:sz w:val="24"/>
          <w:highlight w:val="none"/>
        </w:rPr>
        <w:t>年</w:t>
      </w:r>
      <w:r>
        <w:rPr>
          <w:rFonts w:hint="eastAsia" w:ascii="宋体" w:hAnsi="宋体" w:cs="宋体"/>
          <w:sz w:val="24"/>
          <w:highlight w:val="none"/>
          <w:u w:val="single"/>
          <w:lang w:val="en-US" w:eastAsia="zh-CN"/>
        </w:rPr>
        <w:t>07</w:t>
      </w:r>
      <w:r>
        <w:rPr>
          <w:rFonts w:hint="eastAsia" w:ascii="宋体" w:hAnsi="宋体" w:cs="宋体"/>
          <w:sz w:val="24"/>
          <w:highlight w:val="none"/>
        </w:rPr>
        <w:t>月</w:t>
      </w:r>
      <w:r>
        <w:rPr>
          <w:rFonts w:hint="eastAsia" w:ascii="宋体" w:hAnsi="宋体" w:cs="宋体"/>
          <w:sz w:val="24"/>
          <w:highlight w:val="none"/>
          <w:u w:val="single"/>
          <w:lang w:val="en-US" w:eastAsia="zh-CN"/>
        </w:rPr>
        <w:t>03</w:t>
      </w:r>
      <w:r>
        <w:rPr>
          <w:rFonts w:hint="eastAsia" w:ascii="宋体" w:hAnsi="宋体" w:cs="宋体"/>
          <w:sz w:val="24"/>
          <w:highlight w:val="none"/>
        </w:rPr>
        <w:t>日，每天上午</w:t>
      </w:r>
      <w:r>
        <w:rPr>
          <w:rFonts w:hint="eastAsia" w:ascii="宋体" w:hAnsi="宋体" w:cs="宋体"/>
          <w:sz w:val="24"/>
          <w:highlight w:val="none"/>
          <w:u w:val="single"/>
        </w:rPr>
        <w:t>9:00</w:t>
      </w:r>
      <w:r>
        <w:rPr>
          <w:rFonts w:hint="eastAsia" w:ascii="宋体" w:hAnsi="宋体" w:cs="宋体"/>
          <w:sz w:val="24"/>
          <w:highlight w:val="none"/>
        </w:rPr>
        <w:t>至</w:t>
      </w:r>
      <w:r>
        <w:rPr>
          <w:rFonts w:hint="eastAsia" w:ascii="宋体" w:hAnsi="宋体" w:cs="宋体"/>
          <w:sz w:val="24"/>
          <w:highlight w:val="none"/>
          <w:u w:val="single"/>
        </w:rPr>
        <w:t>11:00</w:t>
      </w:r>
      <w:r>
        <w:rPr>
          <w:rFonts w:hint="eastAsia" w:ascii="宋体" w:hAnsi="宋体" w:cs="宋体"/>
          <w:sz w:val="24"/>
          <w:highlight w:val="none"/>
        </w:rPr>
        <w:t>，下午</w:t>
      </w:r>
      <w:r>
        <w:rPr>
          <w:rFonts w:hint="eastAsia" w:ascii="宋体" w:hAnsi="宋体" w:cs="宋体"/>
          <w:sz w:val="24"/>
          <w:highlight w:val="none"/>
          <w:u w:val="single"/>
        </w:rPr>
        <w:t>14:00</w:t>
      </w:r>
      <w:r>
        <w:rPr>
          <w:rFonts w:hint="eastAsia" w:ascii="宋体" w:hAnsi="宋体" w:cs="宋体"/>
          <w:sz w:val="24"/>
          <w:highlight w:val="none"/>
        </w:rPr>
        <w:t xml:space="preserve">至 </w:t>
      </w:r>
      <w:r>
        <w:rPr>
          <w:rFonts w:hint="eastAsia" w:ascii="宋体" w:hAnsi="宋体" w:cs="宋体"/>
          <w:sz w:val="24"/>
          <w:highlight w:val="none"/>
          <w:u w:val="single"/>
        </w:rPr>
        <w:t>16:00</w:t>
      </w:r>
      <w:r>
        <w:rPr>
          <w:rFonts w:hint="eastAsia" w:ascii="宋体" w:hAnsi="宋体" w:cs="宋体"/>
          <w:sz w:val="24"/>
          <w:highlight w:val="none"/>
        </w:rPr>
        <w:t>（北京时间，法定节假日除外）。</w:t>
      </w:r>
    </w:p>
    <w:p>
      <w:pPr>
        <w:adjustRightInd w:val="0"/>
        <w:snapToGrid w:val="0"/>
        <w:spacing w:line="440" w:lineRule="exact"/>
        <w:ind w:firstLine="540"/>
        <w:rPr>
          <w:rFonts w:hint="eastAsia" w:ascii="宋体" w:hAnsi="宋体" w:cs="宋体"/>
          <w:sz w:val="24"/>
          <w:highlight w:val="none"/>
          <w:u w:val="single"/>
        </w:rPr>
      </w:pPr>
      <w:r>
        <w:rPr>
          <w:rFonts w:hint="eastAsia" w:ascii="宋体" w:hAnsi="宋体" w:cs="宋体"/>
          <w:sz w:val="24"/>
          <w:highlight w:val="none"/>
        </w:rPr>
        <w:t>地点：</w:t>
      </w:r>
      <w:r>
        <w:rPr>
          <w:rFonts w:hint="eastAsia" w:ascii="宋体" w:hAnsi="宋体" w:cs="宋体"/>
          <w:color w:val="000000"/>
          <w:sz w:val="24"/>
          <w:highlight w:val="none"/>
        </w:rPr>
        <w:t>北京市西城区新街口外大街8号金丰和商务苑C座607或网上</w:t>
      </w:r>
    </w:p>
    <w:p>
      <w:pPr>
        <w:adjustRightInd w:val="0"/>
        <w:snapToGrid w:val="0"/>
        <w:spacing w:line="440" w:lineRule="exact"/>
        <w:ind w:firstLine="540"/>
        <w:rPr>
          <w:rFonts w:hint="eastAsia" w:ascii="宋体" w:hAnsi="宋体" w:cs="宋体"/>
          <w:sz w:val="24"/>
          <w:highlight w:val="none"/>
        </w:rPr>
      </w:pPr>
      <w:r>
        <w:rPr>
          <w:rFonts w:hint="eastAsia" w:ascii="宋体" w:hAnsi="宋体" w:cs="宋体"/>
          <w:sz w:val="24"/>
          <w:highlight w:val="none"/>
        </w:rPr>
        <w:t>方式：</w:t>
      </w:r>
      <w:r>
        <w:rPr>
          <w:rFonts w:hint="eastAsia" w:ascii="宋体" w:hAnsi="宋体" w:cs="宋体"/>
          <w:color w:val="000000"/>
          <w:sz w:val="24"/>
          <w:highlight w:val="none"/>
        </w:rPr>
        <w:t>现场购买或网上购买。购买时需提供以下资料：</w:t>
      </w:r>
    </w:p>
    <w:p>
      <w:pPr>
        <w:adjustRightInd w:val="0"/>
        <w:snapToGrid w:val="0"/>
        <w:spacing w:line="440" w:lineRule="exact"/>
        <w:ind w:firstLine="540"/>
        <w:rPr>
          <w:rFonts w:hint="eastAsia" w:ascii="宋体" w:hAnsi="宋体" w:cs="宋体"/>
          <w:sz w:val="24"/>
          <w:highlight w:val="none"/>
        </w:rPr>
      </w:pPr>
      <w:r>
        <w:rPr>
          <w:rFonts w:hint="eastAsia" w:ascii="宋体" w:hAnsi="宋体" w:cs="宋体"/>
          <w:sz w:val="24"/>
          <w:highlight w:val="none"/>
        </w:rPr>
        <w:t>1.身份证复印件加盖公章、法定代表人资格证明加盖公章（适用于法定代表人获取招标文件）；</w:t>
      </w:r>
    </w:p>
    <w:p>
      <w:pPr>
        <w:adjustRightInd w:val="0"/>
        <w:snapToGrid w:val="0"/>
        <w:spacing w:line="440" w:lineRule="exact"/>
        <w:ind w:firstLine="540"/>
        <w:rPr>
          <w:rFonts w:hint="eastAsia" w:ascii="宋体" w:hAnsi="宋体" w:cs="宋体"/>
          <w:sz w:val="24"/>
          <w:highlight w:val="none"/>
        </w:rPr>
      </w:pPr>
      <w:r>
        <w:rPr>
          <w:rFonts w:hint="eastAsia" w:ascii="宋体" w:hAnsi="宋体" w:cs="宋体"/>
          <w:sz w:val="24"/>
          <w:highlight w:val="none"/>
        </w:rPr>
        <w:t>2.法定代表人授权委托书加盖公章、被委托人的身份证复印件加盖公章（适用于代理人获取招标文件）；</w:t>
      </w:r>
    </w:p>
    <w:p>
      <w:pPr>
        <w:adjustRightInd w:val="0"/>
        <w:snapToGrid w:val="0"/>
        <w:spacing w:line="440" w:lineRule="exact"/>
        <w:ind w:firstLine="540"/>
        <w:rPr>
          <w:rFonts w:hint="eastAsia" w:ascii="宋体" w:hAnsi="宋体" w:cs="宋体"/>
          <w:sz w:val="24"/>
          <w:highlight w:val="none"/>
          <w:u w:val="single"/>
        </w:rPr>
      </w:pPr>
      <w:r>
        <w:rPr>
          <w:rFonts w:hint="eastAsia" w:ascii="宋体" w:hAnsi="宋体" w:cs="宋体"/>
          <w:sz w:val="24"/>
          <w:highlight w:val="none"/>
        </w:rPr>
        <w:t>3.</w:t>
      </w:r>
      <w:r>
        <w:rPr>
          <w:rFonts w:hint="eastAsia" w:ascii="宋体" w:hAnsi="宋体" w:cs="宋体"/>
          <w:color w:val="000000"/>
          <w:sz w:val="24"/>
          <w:highlight w:val="none"/>
        </w:rPr>
        <w:t>有效的营业执照或法人证书</w:t>
      </w:r>
      <w:r>
        <w:rPr>
          <w:rFonts w:hint="eastAsia" w:ascii="宋体" w:hAnsi="宋体" w:cs="宋体"/>
          <w:sz w:val="24"/>
          <w:highlight w:val="none"/>
        </w:rPr>
        <w:t>（复印件加盖公章）。</w:t>
      </w:r>
    </w:p>
    <w:p>
      <w:pPr>
        <w:adjustRightInd w:val="0"/>
        <w:snapToGrid w:val="0"/>
        <w:spacing w:line="440" w:lineRule="exact"/>
        <w:ind w:firstLine="540"/>
        <w:rPr>
          <w:rFonts w:hint="eastAsia" w:ascii="宋体" w:hAnsi="宋体" w:cs="宋体"/>
          <w:sz w:val="24"/>
          <w:highlight w:val="none"/>
        </w:rPr>
      </w:pPr>
      <w:r>
        <w:rPr>
          <w:rStyle w:val="6"/>
          <w:rFonts w:hint="eastAsia" w:ascii="宋体" w:hAnsi="宋体" w:cs="宋体"/>
          <w:color w:val="auto"/>
          <w:sz w:val="24"/>
          <w:highlight w:val="none"/>
        </w:rPr>
        <w:t>如采用网上购买，需将</w:t>
      </w:r>
      <w:r>
        <w:rPr>
          <w:rFonts w:hint="eastAsia" w:ascii="宋体" w:hAnsi="宋体" w:cs="宋体"/>
          <w:sz w:val="24"/>
          <w:highlight w:val="none"/>
        </w:rPr>
        <w:t>以上资料原件扫描后发送至hsjjzxgszbdl@163.com，</w:t>
      </w:r>
      <w:r>
        <w:rPr>
          <w:rFonts w:hint="eastAsia" w:ascii="宋体" w:hAnsi="宋体" w:cs="宋体"/>
          <w:b/>
          <w:bCs/>
          <w:snapToGrid w:val="0"/>
          <w:sz w:val="24"/>
          <w:highlight w:val="none"/>
        </w:rPr>
        <w:t>请在邮件内备注项目名称、投标人名称、联系人及联系方式，并电话通知代理机构确认</w:t>
      </w:r>
      <w:r>
        <w:rPr>
          <w:rFonts w:hint="eastAsia" w:ascii="宋体" w:hAnsi="宋体" w:cs="宋体"/>
          <w:sz w:val="24"/>
          <w:highlight w:val="none"/>
        </w:rPr>
        <w:t>。审核合格后，代理机构将文件领取登记表及文件费付款方式发送至报名单位，填写后将扫描件及付款截图发送至hsjjzxgszbdl@163.com。代理机构以邮件的形式发送招标文件。未向采购代理机构购买招标文件并登记的潜在投标人均无资格参加投标。</w:t>
      </w:r>
    </w:p>
    <w:p>
      <w:pPr>
        <w:adjustRightInd w:val="0"/>
        <w:snapToGrid w:val="0"/>
        <w:spacing w:line="440" w:lineRule="exact"/>
        <w:ind w:firstLine="540"/>
        <w:rPr>
          <w:rFonts w:hint="eastAsia" w:ascii="宋体" w:hAnsi="宋体" w:cs="宋体"/>
          <w:sz w:val="24"/>
          <w:highlight w:val="none"/>
        </w:rPr>
      </w:pPr>
      <w:r>
        <w:rPr>
          <w:rFonts w:hint="eastAsia" w:ascii="宋体" w:hAnsi="宋体" w:cs="宋体"/>
          <w:sz w:val="24"/>
          <w:highlight w:val="none"/>
        </w:rPr>
        <w:t>售价：人民币300元，招标文件售后不退。</w:t>
      </w:r>
    </w:p>
    <w:p>
      <w:pPr>
        <w:spacing w:line="360" w:lineRule="auto"/>
        <w:rPr>
          <w:rFonts w:hint="eastAsia" w:ascii="宋体" w:hAnsi="宋体" w:cs="宋体"/>
          <w:b/>
          <w:sz w:val="28"/>
          <w:szCs w:val="28"/>
          <w:highlight w:val="none"/>
        </w:rPr>
      </w:pPr>
      <w:bookmarkStart w:id="13" w:name="_Toc28359082"/>
      <w:bookmarkStart w:id="14" w:name="_Toc28359005"/>
      <w:bookmarkStart w:id="15" w:name="_Toc35393624"/>
      <w:bookmarkStart w:id="16" w:name="_Toc35393793"/>
      <w:r>
        <w:rPr>
          <w:rFonts w:hint="eastAsia" w:ascii="宋体" w:hAnsi="宋体" w:cs="宋体"/>
          <w:b/>
          <w:sz w:val="28"/>
          <w:szCs w:val="28"/>
          <w:highlight w:val="none"/>
        </w:rPr>
        <w:t>四、提交投标文件</w:t>
      </w:r>
      <w:bookmarkEnd w:id="13"/>
      <w:bookmarkEnd w:id="14"/>
      <w:r>
        <w:rPr>
          <w:rFonts w:hint="eastAsia" w:ascii="宋体" w:hAnsi="宋体" w:cs="宋体"/>
          <w:b/>
          <w:sz w:val="28"/>
          <w:szCs w:val="28"/>
          <w:highlight w:val="none"/>
        </w:rPr>
        <w:t>截止时间、开标时间和地点</w:t>
      </w:r>
      <w:bookmarkEnd w:id="15"/>
      <w:bookmarkEnd w:id="16"/>
    </w:p>
    <w:p>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2023</w:t>
      </w:r>
      <w:r>
        <w:rPr>
          <w:rFonts w:hint="eastAsia" w:ascii="宋体" w:hAnsi="宋体" w:cs="宋体"/>
          <w:bCs/>
          <w:sz w:val="24"/>
          <w:highlight w:val="none"/>
        </w:rPr>
        <w:t>年</w:t>
      </w:r>
      <w:r>
        <w:rPr>
          <w:rFonts w:hint="eastAsia" w:ascii="宋体" w:hAnsi="宋体" w:cs="宋体"/>
          <w:bCs/>
          <w:sz w:val="24"/>
          <w:highlight w:val="none"/>
          <w:u w:val="single"/>
          <w:lang w:val="en-US" w:eastAsia="zh-CN"/>
        </w:rPr>
        <w:t>07</w:t>
      </w:r>
      <w:r>
        <w:rPr>
          <w:rFonts w:hint="eastAsia" w:ascii="宋体" w:hAnsi="宋体" w:cs="宋体"/>
          <w:bCs/>
          <w:sz w:val="24"/>
          <w:highlight w:val="none"/>
        </w:rPr>
        <w:t>月</w:t>
      </w:r>
      <w:r>
        <w:rPr>
          <w:rFonts w:hint="eastAsia" w:ascii="宋体" w:hAnsi="宋体" w:cs="宋体"/>
          <w:bCs/>
          <w:sz w:val="24"/>
          <w:highlight w:val="none"/>
          <w:u w:val="single"/>
          <w:lang w:val="en-US" w:eastAsia="zh-CN"/>
        </w:rPr>
        <w:t>17</w:t>
      </w:r>
      <w:r>
        <w:rPr>
          <w:rFonts w:hint="eastAsia" w:ascii="宋体" w:hAnsi="宋体" w:cs="宋体"/>
          <w:bCs/>
          <w:sz w:val="24"/>
          <w:highlight w:val="none"/>
        </w:rPr>
        <w:t>日</w:t>
      </w:r>
      <w:r>
        <w:rPr>
          <w:rFonts w:hint="eastAsia" w:ascii="宋体" w:hAnsi="宋体" w:cs="宋体"/>
          <w:bCs/>
          <w:sz w:val="24"/>
          <w:highlight w:val="none"/>
          <w:u w:val="single"/>
        </w:rPr>
        <w:t>14</w:t>
      </w:r>
      <w:r>
        <w:rPr>
          <w:rFonts w:hint="eastAsia" w:ascii="宋体" w:hAnsi="宋体" w:cs="宋体"/>
          <w:bCs/>
          <w:sz w:val="24"/>
          <w:highlight w:val="none"/>
        </w:rPr>
        <w:t>点</w:t>
      </w:r>
      <w:r>
        <w:rPr>
          <w:rFonts w:hint="eastAsia" w:ascii="宋体" w:hAnsi="宋体" w:cs="宋体"/>
          <w:bCs/>
          <w:sz w:val="24"/>
          <w:highlight w:val="none"/>
          <w:u w:val="single"/>
        </w:rPr>
        <w:t>00</w:t>
      </w:r>
      <w:r>
        <w:rPr>
          <w:rFonts w:hint="eastAsia" w:ascii="宋体" w:hAnsi="宋体" w:cs="宋体"/>
          <w:bCs/>
          <w:sz w:val="24"/>
          <w:highlight w:val="none"/>
        </w:rPr>
        <w:t>分（北京时间）</w:t>
      </w:r>
    </w:p>
    <w:p>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rPr>
        <w:t>地点：</w:t>
      </w:r>
      <w:r>
        <w:rPr>
          <w:rFonts w:hint="eastAsia" w:ascii="宋体" w:hAnsi="宋体" w:cs="宋体"/>
          <w:sz w:val="24"/>
          <w:highlight w:val="none"/>
          <w:u w:val="single"/>
        </w:rPr>
        <w:t>北京市西城区新街口外大街8号金丰和商务苑C座六层会议室</w:t>
      </w:r>
    </w:p>
    <w:p>
      <w:pPr>
        <w:spacing w:line="360" w:lineRule="auto"/>
        <w:rPr>
          <w:rFonts w:hint="eastAsia" w:ascii="宋体" w:hAnsi="宋体" w:cs="宋体"/>
          <w:b/>
          <w:sz w:val="28"/>
          <w:szCs w:val="28"/>
          <w:highlight w:val="none"/>
        </w:rPr>
      </w:pPr>
      <w:bookmarkStart w:id="17" w:name="_Toc35393625"/>
      <w:bookmarkStart w:id="18" w:name="_Toc28359084"/>
      <w:bookmarkStart w:id="19" w:name="_Toc28359007"/>
      <w:bookmarkStart w:id="20" w:name="_Toc35393794"/>
      <w:r>
        <w:rPr>
          <w:rFonts w:hint="eastAsia" w:ascii="宋体" w:hAnsi="宋体" w:cs="宋体"/>
          <w:b/>
          <w:sz w:val="28"/>
          <w:szCs w:val="28"/>
          <w:highlight w:val="none"/>
        </w:rPr>
        <w:t>五、公告期限</w:t>
      </w:r>
      <w:bookmarkEnd w:id="17"/>
      <w:bookmarkEnd w:id="18"/>
      <w:bookmarkEnd w:id="19"/>
      <w:bookmarkEnd w:id="20"/>
    </w:p>
    <w:p>
      <w:pPr>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自本公告发布之日起5个工作日。</w:t>
      </w:r>
    </w:p>
    <w:p>
      <w:pPr>
        <w:spacing w:line="360" w:lineRule="auto"/>
        <w:rPr>
          <w:rFonts w:hint="eastAsia" w:ascii="宋体" w:hAnsi="宋体" w:cs="宋体"/>
          <w:b/>
          <w:sz w:val="28"/>
          <w:szCs w:val="28"/>
          <w:highlight w:val="none"/>
        </w:rPr>
      </w:pPr>
      <w:bookmarkStart w:id="21" w:name="_Toc35393626"/>
      <w:bookmarkStart w:id="22" w:name="_Toc35393795"/>
      <w:r>
        <w:rPr>
          <w:rFonts w:hint="eastAsia" w:ascii="宋体" w:hAnsi="宋体" w:cs="宋体"/>
          <w:b/>
          <w:sz w:val="28"/>
          <w:szCs w:val="28"/>
          <w:highlight w:val="none"/>
        </w:rPr>
        <w:t>六、其他补充事宜</w:t>
      </w:r>
      <w:bookmarkEnd w:id="21"/>
      <w:bookmarkEnd w:id="22"/>
    </w:p>
    <w:p>
      <w:pPr>
        <w:adjustRightInd w:val="0"/>
        <w:snapToGrid w:val="0"/>
        <w:spacing w:line="440" w:lineRule="exact"/>
        <w:ind w:firstLine="480" w:firstLineChars="200"/>
        <w:rPr>
          <w:rFonts w:hint="eastAsia" w:ascii="宋体" w:hAnsi="宋体" w:cs="宋体"/>
          <w:color w:val="000000"/>
          <w:sz w:val="24"/>
          <w:highlight w:val="none"/>
        </w:rPr>
      </w:pPr>
      <w:bookmarkStart w:id="23" w:name="_Toc28359008"/>
      <w:bookmarkStart w:id="24" w:name="_Toc35393796"/>
      <w:bookmarkStart w:id="25" w:name="_Toc35393627"/>
      <w:bookmarkStart w:id="26" w:name="_Toc28359085"/>
      <w:r>
        <w:rPr>
          <w:rFonts w:hint="eastAsia" w:ascii="宋体" w:hAnsi="宋体" w:cs="宋体"/>
          <w:color w:val="000000"/>
          <w:sz w:val="24"/>
          <w:highlight w:val="none"/>
        </w:rPr>
        <w:t>1、依据（财库【2016】125 号）文，投标人被“信用中国”网站、“中国政府采购网”网站列入失信被执行人、重大税收违法案件当事人名单、政府采购严重违法失信行为记录名单的，不得参与本项目的政府采购活动。</w:t>
      </w:r>
    </w:p>
    <w:p>
      <w:pPr>
        <w:adjustRightInd w:val="0"/>
        <w:snapToGrid w:val="0"/>
        <w:spacing w:line="44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单位负责人为同一人或者存在直接控股、管理关系的不同投标人，不得参加同一合同项下的政府采购活动。为采购项目提供整体设计、规范编制或者项目管理、监理、检测等服务的投标人，不得参加该采购项目的采购活动。违反上述规定的相关投标均无效。</w:t>
      </w:r>
    </w:p>
    <w:p>
      <w:pPr>
        <w:adjustRightInd w:val="0"/>
        <w:snapToGrid w:val="0"/>
        <w:spacing w:line="44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3、中小微型企业、促进残疾人就业、监狱企业有关政策</w:t>
      </w:r>
    </w:p>
    <w:p>
      <w:pPr>
        <w:adjustRightInd w:val="0"/>
        <w:snapToGrid w:val="0"/>
        <w:spacing w:line="440" w:lineRule="exact"/>
        <w:ind w:firstLine="508" w:firstLineChars="200"/>
        <w:rPr>
          <w:rFonts w:hint="eastAsia" w:ascii="宋体" w:hAnsi="宋体" w:cs="宋体"/>
          <w:color w:val="000000"/>
          <w:sz w:val="24"/>
          <w:highlight w:val="none"/>
        </w:rPr>
      </w:pPr>
      <w:r>
        <w:rPr>
          <w:rFonts w:hint="eastAsia" w:ascii="宋体" w:hAnsi="宋体" w:cs="宋体"/>
          <w:color w:val="000000"/>
          <w:w w:val="106"/>
          <w:sz w:val="24"/>
          <w:highlight w:val="none"/>
        </w:rPr>
        <w:t>3.1 《财</w:t>
      </w:r>
      <w:r>
        <w:rPr>
          <w:rFonts w:hint="eastAsia" w:ascii="宋体" w:hAnsi="宋体" w:cs="宋体"/>
          <w:color w:val="000000"/>
          <w:sz w:val="24"/>
          <w:highlight w:val="none"/>
        </w:rPr>
        <w:t>政部、司法部关于政府采购支持监狱企业发展有关问题的通知》（财库【2014】68号）；</w:t>
      </w:r>
    </w:p>
    <w:p>
      <w:pPr>
        <w:adjustRightInd w:val="0"/>
        <w:snapToGrid w:val="0"/>
        <w:spacing w:line="44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3.2《三部门联合发布关于促进残疾人就业政府采购政策的通知》（财库【2017】141号）；</w:t>
      </w:r>
    </w:p>
    <w:p>
      <w:pPr>
        <w:pStyle w:val="3"/>
        <w:spacing w:line="360" w:lineRule="auto"/>
        <w:ind w:left="0" w:leftChars="0" w:firstLine="480" w:firstLineChars="200"/>
        <w:rPr>
          <w:rFonts w:hint="eastAsia" w:ascii="宋体" w:hAnsi="宋体" w:cs="宋体"/>
          <w:color w:val="000000"/>
          <w:sz w:val="24"/>
          <w:highlight w:val="none"/>
        </w:rPr>
      </w:pPr>
      <w:r>
        <w:rPr>
          <w:rFonts w:hint="eastAsia" w:ascii="宋体" w:hAnsi="宋体" w:cs="宋体"/>
          <w:color w:val="000000"/>
          <w:sz w:val="24"/>
          <w:highlight w:val="none"/>
        </w:rPr>
        <w:t>3.3财政部、工业和信息化部关于印发《政府采购促进中小企业发展管理办法》的通知（财库[2020]46号）；</w:t>
      </w:r>
    </w:p>
    <w:p>
      <w:pPr>
        <w:adjustRightInd w:val="0"/>
        <w:snapToGrid w:val="0"/>
        <w:spacing w:line="44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3.4《关于进一步加大政府采购支持中小企业力度的通知》（财库〔2022〕19号）。</w:t>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t>七、对本次招标提出询问，请按以下方式联系</w:t>
      </w:r>
      <w:bookmarkEnd w:id="23"/>
      <w:bookmarkEnd w:id="24"/>
      <w:bookmarkEnd w:id="25"/>
      <w:bookmarkEnd w:id="26"/>
    </w:p>
    <w:p>
      <w:pPr>
        <w:widowControl/>
        <w:spacing w:line="360" w:lineRule="auto"/>
        <w:jc w:val="left"/>
        <w:rPr>
          <w:rFonts w:hint="eastAsia" w:ascii="宋体" w:hAnsi="宋体" w:cs="宋体"/>
          <w:sz w:val="24"/>
          <w:highlight w:val="none"/>
        </w:rPr>
      </w:pPr>
      <w:r>
        <w:rPr>
          <w:rFonts w:hint="eastAsia" w:ascii="宋体" w:hAnsi="宋体" w:cs="宋体"/>
          <w:sz w:val="24"/>
          <w:highlight w:val="none"/>
        </w:rPr>
        <w:t>　　　1.采购人信息</w:t>
      </w:r>
    </w:p>
    <w:p>
      <w:pPr>
        <w:spacing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名称：</w:t>
      </w:r>
      <w:r>
        <w:rPr>
          <w:rFonts w:hint="eastAsia" w:ascii="宋体" w:hAnsi="宋体" w:cs="宋体"/>
          <w:sz w:val="24"/>
          <w:highlight w:val="none"/>
          <w:u w:val="single"/>
        </w:rPr>
        <w:t xml:space="preserve">国家文物局考古研究中心 </w:t>
      </w:r>
    </w:p>
    <w:p>
      <w:pPr>
        <w:spacing w:line="360" w:lineRule="auto"/>
        <w:ind w:left="1079" w:leftChars="371" w:hanging="300" w:hangingChars="125"/>
        <w:jc w:val="left"/>
        <w:rPr>
          <w:rFonts w:hint="eastAsia" w:ascii="宋体" w:hAnsi="宋体" w:cs="宋体"/>
          <w:sz w:val="24"/>
          <w:highlight w:val="none"/>
          <w:u w:val="single"/>
        </w:rPr>
      </w:pPr>
      <w:r>
        <w:rPr>
          <w:rFonts w:hint="eastAsia" w:ascii="宋体" w:hAnsi="宋体" w:cs="宋体"/>
          <w:sz w:val="24"/>
          <w:highlight w:val="none"/>
        </w:rPr>
        <w:t>地址：</w:t>
      </w:r>
      <w:r>
        <w:rPr>
          <w:rFonts w:hint="eastAsia" w:ascii="宋体" w:hAnsi="宋体" w:cs="宋体"/>
          <w:sz w:val="24"/>
          <w:highlight w:val="none"/>
          <w:u w:val="single"/>
        </w:rPr>
        <w:t>北京市朝阳区砖角楼南里甲21号</w:t>
      </w:r>
    </w:p>
    <w:p>
      <w:pPr>
        <w:spacing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bookmarkStart w:id="27" w:name="_Toc28359086"/>
      <w:bookmarkStart w:id="28" w:name="_Toc28359009"/>
      <w:r>
        <w:rPr>
          <w:rFonts w:hint="eastAsia" w:ascii="宋体" w:hAnsi="宋体" w:cs="宋体"/>
          <w:sz w:val="24"/>
          <w:highlight w:val="none"/>
          <w:u w:val="single"/>
          <w:lang w:val="en-US" w:eastAsia="zh-CN"/>
        </w:rPr>
        <w:t>杜老师</w:t>
      </w:r>
      <w:r>
        <w:rPr>
          <w:rFonts w:hint="eastAsia" w:ascii="宋体" w:hAnsi="宋体" w:cs="宋体"/>
          <w:sz w:val="24"/>
          <w:highlight w:val="none"/>
          <w:u w:val="single"/>
        </w:rPr>
        <w:t xml:space="preserve">  1</w:t>
      </w:r>
      <w:r>
        <w:rPr>
          <w:rFonts w:hint="eastAsia" w:ascii="宋体" w:hAnsi="宋体" w:cs="宋体"/>
          <w:sz w:val="24"/>
          <w:highlight w:val="none"/>
          <w:u w:val="single"/>
          <w:lang w:val="en-US" w:eastAsia="zh-CN"/>
        </w:rPr>
        <w:t>5510133135</w:t>
      </w:r>
    </w:p>
    <w:p>
      <w:pPr>
        <w:spacing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2.采购代理机构信息</w:t>
      </w:r>
      <w:bookmarkEnd w:id="27"/>
      <w:bookmarkEnd w:id="28"/>
    </w:p>
    <w:p>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名称：</w:t>
      </w:r>
      <w:r>
        <w:rPr>
          <w:rFonts w:hint="eastAsia" w:ascii="宋体" w:hAnsi="宋体" w:cs="宋体"/>
          <w:sz w:val="24"/>
          <w:highlight w:val="none"/>
          <w:u w:val="single"/>
        </w:rPr>
        <w:t>北京华审金建国际工程项目管理有限公司</w:t>
      </w:r>
    </w:p>
    <w:p>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地址：</w:t>
      </w:r>
      <w:r>
        <w:rPr>
          <w:rFonts w:hint="eastAsia" w:ascii="宋体" w:hAnsi="宋体" w:cs="宋体"/>
          <w:sz w:val="24"/>
          <w:highlight w:val="none"/>
          <w:u w:val="single"/>
        </w:rPr>
        <w:t>北京市西城区新街口外大街8号金丰和商务苑C座607室</w:t>
      </w:r>
    </w:p>
    <w:p>
      <w:pPr>
        <w:spacing w:line="360" w:lineRule="auto"/>
        <w:ind w:firstLine="720" w:firstLineChars="300"/>
        <w:rPr>
          <w:rFonts w:hint="eastAsia" w:ascii="宋体" w:hAnsi="宋体" w:cs="宋体"/>
          <w:sz w:val="24"/>
          <w:highlight w:val="none"/>
          <w:u w:val="single"/>
        </w:rPr>
      </w:pPr>
      <w:r>
        <w:rPr>
          <w:rFonts w:hint="eastAsia" w:ascii="宋体" w:hAnsi="宋体" w:cs="宋体"/>
          <w:sz w:val="24"/>
          <w:highlight w:val="none"/>
        </w:rPr>
        <w:t>联系方式：</w:t>
      </w:r>
      <w:bookmarkStart w:id="29" w:name="_Toc28359010"/>
      <w:bookmarkStart w:id="30" w:name="_Toc28359087"/>
      <w:r>
        <w:rPr>
          <w:rFonts w:hint="eastAsia" w:ascii="宋体" w:hAnsi="宋体" w:cs="宋体"/>
          <w:sz w:val="24"/>
          <w:highlight w:val="none"/>
          <w:u w:val="single"/>
        </w:rPr>
        <w:t>刘雅彤、石晨  15601312135</w:t>
      </w:r>
    </w:p>
    <w:p>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3.项目联系方式</w:t>
      </w:r>
      <w:bookmarkEnd w:id="29"/>
      <w:bookmarkEnd w:id="30"/>
    </w:p>
    <w:p>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项目联系人：</w:t>
      </w:r>
      <w:r>
        <w:rPr>
          <w:rFonts w:hint="eastAsia" w:ascii="宋体" w:hAnsi="宋体" w:cs="宋体"/>
          <w:sz w:val="24"/>
          <w:highlight w:val="none"/>
          <w:u w:val="single"/>
        </w:rPr>
        <w:t>刘雅彤、石晨</w:t>
      </w:r>
    </w:p>
    <w:p>
      <w:pPr>
        <w:spacing w:line="360" w:lineRule="auto"/>
        <w:ind w:firstLine="720" w:firstLineChars="300"/>
        <w:rPr>
          <w:rFonts w:hint="eastAsia" w:ascii="宋体" w:hAnsi="宋体" w:cs="宋体"/>
          <w:sz w:val="24"/>
          <w:highlight w:val="none"/>
          <w:u w:val="single"/>
        </w:rPr>
      </w:pPr>
      <w:r>
        <w:rPr>
          <w:rFonts w:hint="eastAsia" w:ascii="宋体" w:hAnsi="宋体" w:cs="宋体"/>
          <w:sz w:val="24"/>
          <w:highlight w:val="none"/>
        </w:rPr>
        <w:t>电　话：</w:t>
      </w:r>
      <w:r>
        <w:rPr>
          <w:rFonts w:hint="eastAsia" w:ascii="宋体" w:hAnsi="宋体" w:cs="宋体"/>
          <w:sz w:val="24"/>
          <w:highlight w:val="none"/>
          <w:u w:val="single"/>
        </w:rPr>
        <w:t>15601312135</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wZmNlMjUzZWM2YmJjMzU4MTJiZmUzMDk0NTRlYzYifQ=="/>
  </w:docVars>
  <w:rsids>
    <w:rsidRoot w:val="00000000"/>
    <w:rsid w:val="09EF476E"/>
    <w:rsid w:val="2CC31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qFormat/>
    <w:uiPriority w:val="9"/>
    <w:pPr>
      <w:keepNext/>
      <w:keepLines/>
      <w:spacing w:before="280" w:after="290" w:line="376" w:lineRule="auto"/>
      <w:outlineLvl w:val="4"/>
    </w:pPr>
    <w:rPr>
      <w:rFonts w:eastAsia="仿宋_GB2312"/>
      <w:b/>
      <w:bCs/>
      <w:sz w:val="28"/>
      <w:szCs w:val="28"/>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List 2"/>
    <w:basedOn w:val="1"/>
    <w:qFormat/>
    <w:uiPriority w:val="0"/>
    <w:pPr>
      <w:ind w:left="100" w:leftChars="200" w:hanging="200" w:hangingChars="200"/>
      <w:contextualSpacing/>
    </w:pPr>
  </w:style>
  <w:style w:type="character" w:styleId="6">
    <w:name w:val="Hyperlink"/>
    <w:uiPriority w:val="99"/>
    <w:rPr>
      <w:color w:val="333333"/>
      <w:u w:val="none"/>
    </w:rPr>
  </w:style>
  <w:style w:type="paragraph" w:customStyle="1" w:styleId="7">
    <w:name w:val="无间隔1"/>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1675</Words>
  <Characters>1932</Characters>
  <Lines>0</Lines>
  <Paragraphs>0</Paragraphs>
  <TotalTime>0</TotalTime>
  <ScaleCrop>false</ScaleCrop>
  <LinksUpToDate>false</LinksUpToDate>
  <CharactersWithSpaces>1949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2023-06-26T09:09:08Z</dcterms:created>
  <dc:creator>Administrator</dc:creator>
  <cp:lastModifiedBy>Administrator</cp:lastModifiedBy>
  <dcterms:modified xsi:type="dcterms:W3CDTF">2023-06-26T09:09:25Z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D6FDF7D335E942CB8DF88FCF3C8E3177_12</vt:lpwstr>
  </property>
</Properties>
</file>