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rPr>
          <w:rFonts w:hint="default"/>
        </w:rPr>
      </w:pPr>
      <w:r>
        <w:br w:type="textWrapping"/>
      </w:r>
    </w:p>
    <w:p>
      <w:pPr>
        <w:pStyle w:val="13"/>
        <w:rPr>
          <w:rFonts w:hint="default"/>
        </w:rPr>
      </w:pPr>
    </w:p>
    <w:p>
      <w:pPr>
        <w:pStyle w:val="13"/>
        <w:rPr>
          <w:rFonts w:hint="default"/>
        </w:rPr>
      </w:pPr>
    </w:p>
    <w:p>
      <w:pPr>
        <w:pStyle w:val="13"/>
        <w:jc w:val="center"/>
        <w:outlineLvl w:val="0"/>
        <w:rPr>
          <w:rFonts w:hint="default"/>
        </w:rPr>
      </w:pPr>
      <w:r>
        <w:rPr>
          <w:b/>
          <w:sz w:val="48"/>
        </w:rPr>
        <w:t>福建省政府采购</w:t>
      </w:r>
    </w:p>
    <w:p>
      <w:pPr>
        <w:pStyle w:val="13"/>
        <w:jc w:val="center"/>
        <w:outlineLvl w:val="0"/>
        <w:rPr>
          <w:rFonts w:hint="default"/>
        </w:rPr>
      </w:pPr>
      <w:r>
        <w:rPr>
          <w:b/>
          <w:sz w:val="48"/>
        </w:rPr>
        <w:t>货物和服务项目</w:t>
      </w:r>
    </w:p>
    <w:p>
      <w:pPr>
        <w:pStyle w:val="13"/>
        <w:jc w:val="center"/>
        <w:outlineLvl w:val="0"/>
        <w:rPr>
          <w:rFonts w:hint="default"/>
        </w:rPr>
      </w:pPr>
      <w:r>
        <w:rPr>
          <w:b/>
          <w:sz w:val="48"/>
        </w:rPr>
        <w:t>公开招标文件</w:t>
      </w: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r>
        <w:rPr>
          <w:b/>
          <w:sz w:val="28"/>
        </w:rPr>
        <w:t>项目名称：永春县应急管理信息化建设项目</w:t>
      </w:r>
    </w:p>
    <w:p>
      <w:pPr>
        <w:pStyle w:val="13"/>
        <w:jc w:val="center"/>
        <w:outlineLvl w:val="2"/>
        <w:rPr>
          <w:rFonts w:hint="default"/>
        </w:rPr>
      </w:pPr>
    </w:p>
    <w:p>
      <w:pPr>
        <w:pStyle w:val="5"/>
        <w:widowControl/>
        <w:shd w:val="clear" w:color="auto" w:fill="FFFFFF"/>
        <w:spacing w:beforeAutospacing="0" w:afterAutospacing="0" w:line="288" w:lineRule="atLeast"/>
        <w:jc w:val="center"/>
        <w:rPr>
          <w:rFonts w:hint="default" w:asciiTheme="minorHAnsi" w:hAnsiTheme="minorHAnsi" w:eastAsiaTheme="minorEastAsia" w:cstheme="minorBidi"/>
          <w:bCs w:val="0"/>
          <w:sz w:val="28"/>
          <w:szCs w:val="20"/>
          <w:lang w:eastAsia="zh-Hans"/>
        </w:rPr>
      </w:pPr>
      <w:r>
        <w:rPr>
          <w:sz w:val="28"/>
        </w:rPr>
        <w:t>备案编号：</w:t>
      </w:r>
      <w:r>
        <w:rPr>
          <w:rFonts w:asciiTheme="minorHAnsi" w:hAnsiTheme="minorHAnsi" w:eastAsiaTheme="minorEastAsia" w:cstheme="minorBidi"/>
          <w:bCs w:val="0"/>
          <w:sz w:val="28"/>
          <w:szCs w:val="20"/>
          <w:lang w:eastAsia="zh-Hans"/>
        </w:rPr>
        <w:t>CGXM-2023-350525-00250[2023]00108</w:t>
      </w:r>
    </w:p>
    <w:p>
      <w:pPr>
        <w:pStyle w:val="13"/>
        <w:jc w:val="center"/>
        <w:outlineLvl w:val="2"/>
        <w:rPr>
          <w:rFonts w:hint="default"/>
        </w:rPr>
      </w:pPr>
    </w:p>
    <w:p>
      <w:pPr>
        <w:pStyle w:val="13"/>
        <w:jc w:val="center"/>
        <w:outlineLvl w:val="2"/>
        <w:rPr>
          <w:rFonts w:hint="default"/>
          <w:b/>
          <w:sz w:val="28"/>
        </w:rPr>
      </w:pPr>
      <w:r>
        <w:rPr>
          <w:b/>
          <w:sz w:val="28"/>
        </w:rPr>
        <w:t>项目编号：[350525]FJXFZB[GK]2023001</w:t>
      </w:r>
    </w:p>
    <w:p>
      <w:pPr>
        <w:pStyle w:val="5"/>
        <w:widowControl/>
        <w:shd w:val="clear" w:color="auto" w:fill="FFFFFF"/>
        <w:spacing w:beforeAutospacing="0" w:afterAutospacing="0" w:line="288" w:lineRule="atLeast"/>
        <w:jc w:val="center"/>
        <w:rPr>
          <w:rFonts w:hint="default" w:cs="宋体"/>
          <w:color w:val="333333"/>
          <w:sz w:val="21"/>
          <w:szCs w:val="21"/>
        </w:rPr>
      </w:pPr>
      <w:r>
        <w:rPr>
          <w:sz w:val="28"/>
        </w:rPr>
        <w:t>采购人：永春县应急管理局</w:t>
      </w:r>
    </w:p>
    <w:p>
      <w:pPr>
        <w:pStyle w:val="13"/>
        <w:jc w:val="center"/>
        <w:outlineLvl w:val="2"/>
        <w:rPr>
          <w:rFonts w:hint="default"/>
          <w:b/>
          <w:sz w:val="28"/>
        </w:rPr>
      </w:pPr>
      <w:r>
        <w:rPr>
          <w:b/>
          <w:sz w:val="28"/>
        </w:rPr>
        <w:t>代理机构：福建信发招标代理有限公司</w:t>
      </w:r>
    </w:p>
    <w:p>
      <w:pPr>
        <w:pStyle w:val="13"/>
        <w:jc w:val="center"/>
        <w:outlineLvl w:val="2"/>
        <w:rPr>
          <w:rFonts w:hint="default"/>
        </w:rPr>
      </w:pPr>
    </w:p>
    <w:p>
      <w:pPr>
        <w:pStyle w:val="13"/>
        <w:jc w:val="center"/>
        <w:outlineLvl w:val="2"/>
        <w:rPr>
          <w:rFonts w:hint="default"/>
        </w:rPr>
      </w:pPr>
      <w:r>
        <w:rPr>
          <w:b/>
          <w:sz w:val="28"/>
        </w:rPr>
        <w:t>编制时间：2023年0</w:t>
      </w:r>
      <w:r>
        <w:rPr>
          <w:b/>
          <w:sz w:val="28"/>
          <w:lang w:eastAsia="zh-CN"/>
        </w:rPr>
        <w:t>5</w:t>
      </w:r>
      <w:r>
        <w:rPr>
          <w:b/>
          <w:sz w:val="28"/>
        </w:rPr>
        <w:t>月</w:t>
      </w:r>
    </w:p>
    <w:p>
      <w:pPr>
        <w:pStyle w:val="13"/>
        <w:rPr>
          <w:rFonts w:hint="default"/>
        </w:rPr>
      </w:pPr>
    </w:p>
    <w:p>
      <w:pPr>
        <w:pStyle w:val="13"/>
        <w:rPr>
          <w:rFonts w:hint="default"/>
        </w:rPr>
      </w:pPr>
      <w:r>
        <w:t xml:space="preserve"> </w:t>
      </w:r>
    </w:p>
    <w:p>
      <w:pPr>
        <w:pStyle w:val="13"/>
        <w:jc w:val="center"/>
        <w:outlineLvl w:val="1"/>
        <w:rPr>
          <w:rFonts w:hint="default"/>
          <w:b/>
          <w:sz w:val="36"/>
        </w:rPr>
      </w:pPr>
    </w:p>
    <w:p>
      <w:pPr>
        <w:pStyle w:val="13"/>
        <w:jc w:val="center"/>
        <w:outlineLvl w:val="1"/>
        <w:rPr>
          <w:rFonts w:hint="default"/>
          <w:b/>
          <w:sz w:val="36"/>
        </w:rPr>
      </w:pPr>
    </w:p>
    <w:p>
      <w:pPr>
        <w:pStyle w:val="13"/>
        <w:jc w:val="both"/>
        <w:outlineLvl w:val="1"/>
        <w:rPr>
          <w:rFonts w:hint="default"/>
          <w:b/>
          <w:sz w:val="36"/>
        </w:rPr>
      </w:pPr>
    </w:p>
    <w:p>
      <w:pPr>
        <w:pStyle w:val="13"/>
        <w:jc w:val="center"/>
        <w:outlineLvl w:val="1"/>
        <w:rPr>
          <w:rFonts w:hint="default"/>
        </w:rPr>
      </w:pPr>
      <w:r>
        <w:rPr>
          <w:b/>
          <w:sz w:val="36"/>
        </w:rPr>
        <w:t>第一章 投标邀请</w:t>
      </w:r>
    </w:p>
    <w:p>
      <w:pPr>
        <w:pStyle w:val="13"/>
        <w:ind w:firstLine="480"/>
        <w:jc w:val="both"/>
        <w:rPr>
          <w:rFonts w:hint="default"/>
          <w:sz w:val="24"/>
          <w:szCs w:val="24"/>
        </w:rPr>
      </w:pPr>
      <w:r>
        <w:rPr>
          <w:sz w:val="24"/>
          <w:szCs w:val="24"/>
        </w:rPr>
        <w:t>福建信发招标代理有限公司采用公开招标方式组织永春县应急管理信息化建设项目（以下简称：“本项目”）的政府采购活动，现邀请供应商参加投标。</w:t>
      </w:r>
    </w:p>
    <w:p>
      <w:pPr>
        <w:pStyle w:val="13"/>
        <w:ind w:firstLine="480"/>
        <w:outlineLvl w:val="2"/>
        <w:rPr>
          <w:rFonts w:hint="default"/>
        </w:rPr>
      </w:pPr>
      <w:r>
        <w:rPr>
          <w:b/>
          <w:sz w:val="28"/>
        </w:rPr>
        <w:t>1、备案编号：CGXM-2023-350525-00250[2023]00108</w:t>
      </w:r>
    </w:p>
    <w:p>
      <w:pPr>
        <w:pStyle w:val="13"/>
        <w:ind w:firstLine="480"/>
        <w:outlineLvl w:val="2"/>
        <w:rPr>
          <w:rFonts w:hint="default"/>
        </w:rPr>
      </w:pPr>
      <w:r>
        <w:rPr>
          <w:b/>
          <w:sz w:val="28"/>
        </w:rPr>
        <w:t>2、项目编号：[350525]FJXFZB[GK]2023001</w:t>
      </w:r>
    </w:p>
    <w:p>
      <w:pPr>
        <w:pStyle w:val="13"/>
        <w:ind w:firstLine="480"/>
        <w:jc w:val="both"/>
        <w:outlineLvl w:val="2"/>
        <w:rPr>
          <w:rFonts w:hint="default"/>
        </w:rPr>
      </w:pPr>
      <w:r>
        <w:rPr>
          <w:b/>
          <w:sz w:val="28"/>
        </w:rPr>
        <w:t>3、预算金额、最高限价：详见《采购标的一览表》。</w:t>
      </w:r>
    </w:p>
    <w:p>
      <w:pPr>
        <w:pStyle w:val="13"/>
        <w:ind w:firstLine="480"/>
        <w:outlineLvl w:val="2"/>
        <w:rPr>
          <w:rFonts w:hint="default"/>
        </w:rPr>
      </w:pPr>
      <w:r>
        <w:rPr>
          <w:b/>
          <w:sz w:val="28"/>
        </w:rPr>
        <w:t>4、招标内容及要求：详见《采购标的一览表》及招标文件第五章。</w:t>
      </w:r>
    </w:p>
    <w:p>
      <w:pPr>
        <w:pStyle w:val="13"/>
        <w:ind w:firstLine="480"/>
        <w:outlineLvl w:val="2"/>
        <w:rPr>
          <w:rFonts w:hint="default"/>
        </w:rPr>
      </w:pPr>
      <w:r>
        <w:rPr>
          <w:b/>
          <w:sz w:val="28"/>
        </w:rPr>
        <w:t>5、需要落实的政府采购政策</w:t>
      </w:r>
    </w:p>
    <w:p>
      <w:pPr>
        <w:pStyle w:val="13"/>
        <w:ind w:firstLine="960"/>
        <w:rPr>
          <w:rFonts w:hint="default" w:ascii="宋体" w:hAnsi="宋体" w:eastAsia="宋体" w:cs="宋体"/>
          <w:sz w:val="24"/>
          <w:szCs w:val="24"/>
        </w:rPr>
      </w:pPr>
      <w:r>
        <w:rPr>
          <w:rFonts w:ascii="宋体" w:hAnsi="宋体" w:eastAsia="宋体" w:cs="宋体"/>
          <w:sz w:val="24"/>
          <w:szCs w:val="24"/>
        </w:rPr>
        <w:t>进口产品：本项目不接受进口产品参与投标。</w:t>
      </w:r>
    </w:p>
    <w:p>
      <w:pPr>
        <w:pStyle w:val="13"/>
        <w:ind w:firstLine="960"/>
        <w:rPr>
          <w:rFonts w:hint="default" w:ascii="宋体" w:hAnsi="宋体" w:eastAsia="宋体" w:cs="宋体"/>
          <w:sz w:val="24"/>
          <w:szCs w:val="24"/>
        </w:rPr>
      </w:pPr>
      <w:r>
        <w:rPr>
          <w:rFonts w:ascii="宋体" w:hAnsi="宋体" w:eastAsia="宋体" w:cs="宋体"/>
          <w:sz w:val="24"/>
          <w:szCs w:val="24"/>
        </w:rPr>
        <w:t>节能产品：按照节能产品政府采购品目清单执行。</w:t>
      </w:r>
    </w:p>
    <w:p>
      <w:pPr>
        <w:pStyle w:val="13"/>
        <w:ind w:firstLine="960"/>
        <w:rPr>
          <w:rFonts w:hint="default" w:ascii="宋体" w:hAnsi="宋体" w:eastAsia="宋体" w:cs="宋体"/>
          <w:sz w:val="24"/>
          <w:szCs w:val="24"/>
        </w:rPr>
      </w:pPr>
      <w:r>
        <w:rPr>
          <w:rFonts w:ascii="宋体" w:hAnsi="宋体" w:eastAsia="宋体" w:cs="宋体"/>
          <w:sz w:val="24"/>
          <w:szCs w:val="24"/>
        </w:rPr>
        <w:t>环境标志产品：按照环境标志产品政府采购品目清单执行。</w:t>
      </w:r>
    </w:p>
    <w:p>
      <w:pPr>
        <w:pStyle w:val="13"/>
        <w:ind w:firstLine="960"/>
        <w:rPr>
          <w:rFonts w:hint="default" w:ascii="宋体" w:hAnsi="宋体" w:eastAsia="宋体" w:cs="宋体"/>
          <w:sz w:val="24"/>
          <w:szCs w:val="24"/>
        </w:rPr>
      </w:pPr>
      <w:r>
        <w:rPr>
          <w:rFonts w:ascii="宋体" w:hAnsi="宋体" w:eastAsia="宋体" w:cs="宋体"/>
          <w:sz w:val="24"/>
          <w:szCs w:val="24"/>
        </w:rPr>
        <w:t>信息安全产品：按照《关于信息安全产品实施政府采购的通知》（财库〔2010〕48号）要求执行。</w:t>
      </w:r>
    </w:p>
    <w:p>
      <w:pPr>
        <w:pStyle w:val="13"/>
        <w:ind w:firstLine="960"/>
        <w:rPr>
          <w:rFonts w:hint="default" w:ascii="宋体" w:hAnsi="宋体" w:eastAsia="宋体" w:cs="宋体"/>
          <w:sz w:val="24"/>
          <w:szCs w:val="24"/>
        </w:rPr>
      </w:pPr>
      <w:r>
        <w:rPr>
          <w:rFonts w:ascii="宋体" w:hAnsi="宋体" w:eastAsia="宋体" w:cs="宋体"/>
          <w:sz w:val="24"/>
          <w:szCs w:val="24"/>
        </w:rPr>
        <w:t>信用记录：按照下列规定执行：（1）投标人应在（招标文件要求的截止时点）前分别通过“信用中国”网站（www.creditchina.gov.cn）、中国政府采购网（www.ccgp.gov.cn）查询并打印相应的信用记录（以下简称：“投标人提供的查询结果”），投标人提供的查询结果应为其通过上述网站获取的信用信息查询结果原始页面的打印件（或截图）。（2）查询结果的审查：①由评标委员会通过上述网站查询并打印投标人信用记录（以下简称：“评标委员会的查询结果”）。②投标人提供的查询结果与评标委员会的查询结果不一致的，以评标委员会的查询结果为准。③因上述网站原因导致评标委员会无法查询投标人信用记录的（评标委员会应将通过上述网站查询投标人信用记录时的原始页面打印后随采购文件一并存档），以投标人提供的查询结果为准。④查询结果存在投标人应被拒绝参与政府采购活动相关信息的，其资格审查不合格。</w:t>
      </w:r>
    </w:p>
    <w:p>
      <w:pPr>
        <w:pStyle w:val="13"/>
        <w:rPr>
          <w:rFonts w:hint="default" w:ascii="宋体" w:hAnsi="宋体" w:eastAsia="宋体" w:cs="宋体"/>
          <w:sz w:val="24"/>
          <w:szCs w:val="24"/>
        </w:rPr>
      </w:pPr>
      <w:r>
        <w:rPr>
          <w:rFonts w:ascii="宋体" w:hAnsi="宋体" w:eastAsia="宋体" w:cs="宋体"/>
          <w:sz w:val="24"/>
          <w:szCs w:val="24"/>
        </w:rPr>
        <w:t>详见资格要求。</w:t>
      </w:r>
    </w:p>
    <w:p>
      <w:pPr>
        <w:pStyle w:val="13"/>
        <w:ind w:firstLine="960"/>
        <w:rPr>
          <w:rFonts w:hint="default" w:ascii="宋体" w:hAnsi="宋体" w:eastAsia="宋体" w:cs="宋体"/>
          <w:sz w:val="24"/>
          <w:szCs w:val="24"/>
        </w:rPr>
      </w:pPr>
    </w:p>
    <w:p>
      <w:pPr>
        <w:pStyle w:val="13"/>
        <w:ind w:firstLine="960"/>
        <w:rPr>
          <w:rFonts w:hint="default" w:ascii="宋体" w:hAnsi="宋体" w:eastAsia="宋体" w:cs="宋体"/>
          <w:sz w:val="24"/>
          <w:szCs w:val="24"/>
        </w:rPr>
      </w:pPr>
    </w:p>
    <w:p>
      <w:pPr>
        <w:pStyle w:val="13"/>
        <w:ind w:firstLine="960"/>
        <w:rPr>
          <w:rFonts w:hint="default"/>
        </w:rPr>
      </w:pPr>
      <w:r>
        <w:rPr>
          <w:rFonts w:ascii="宋体" w:hAnsi="宋体" w:eastAsia="宋体" w:cs="宋体"/>
          <w:sz w:val="24"/>
          <w:szCs w:val="24"/>
        </w:rPr>
        <w:t>促进中小企业发展的相关政策：</w:t>
      </w:r>
    </w:p>
    <w:p>
      <w:pPr>
        <w:pStyle w:val="13"/>
        <w:rPr>
          <w:rFonts w:hint="default" w:ascii="宋体" w:hAnsi="宋体" w:eastAsia="宋体" w:cs="宋体"/>
          <w:sz w:val="24"/>
          <w:szCs w:val="24"/>
          <w:highlight w:val="none"/>
        </w:rPr>
      </w:pPr>
      <w:r>
        <w:rPr>
          <w:rFonts w:ascii="宋体" w:hAnsi="宋体" w:eastAsia="宋体" w:cs="宋体"/>
          <w:sz w:val="24"/>
          <w:szCs w:val="24"/>
          <w:highlight w:val="none"/>
        </w:rPr>
        <w:t>采购包1：【预留】要求合同分包</w:t>
      </w:r>
    </w:p>
    <w:p>
      <w:pPr>
        <w:pStyle w:val="13"/>
        <w:rPr>
          <w:rFonts w:hint="default" w:ascii="宋体" w:hAnsi="宋体" w:eastAsia="宋体" w:cs="宋体"/>
          <w:sz w:val="24"/>
          <w:szCs w:val="24"/>
          <w:highlight w:val="none"/>
        </w:rPr>
      </w:pPr>
      <w:r>
        <w:rPr>
          <w:rFonts w:ascii="宋体" w:hAnsi="宋体" w:eastAsia="宋体" w:cs="宋体"/>
          <w:sz w:val="24"/>
          <w:szCs w:val="24"/>
          <w:highlight w:val="none"/>
        </w:rPr>
        <w:t>面向的企业规模：中小企业</w:t>
      </w:r>
    </w:p>
    <w:p>
      <w:pPr>
        <w:pStyle w:val="13"/>
        <w:rPr>
          <w:rFonts w:hint="default" w:ascii="宋体" w:hAnsi="宋体" w:eastAsia="宋体" w:cs="宋体"/>
          <w:sz w:val="24"/>
          <w:szCs w:val="24"/>
          <w:highlight w:val="none"/>
        </w:rPr>
      </w:pPr>
      <w:r>
        <w:rPr>
          <w:rFonts w:ascii="宋体" w:hAnsi="宋体" w:eastAsia="宋体" w:cs="宋体"/>
          <w:sz w:val="24"/>
          <w:szCs w:val="24"/>
          <w:highlight w:val="none"/>
        </w:rPr>
        <w:t>预留形式：【预留】要求合同分包</w:t>
      </w:r>
    </w:p>
    <w:p>
      <w:pPr>
        <w:pStyle w:val="13"/>
        <w:rPr>
          <w:rFonts w:hint="default" w:ascii="宋体" w:hAnsi="宋体" w:eastAsia="宋体" w:cs="宋体"/>
          <w:sz w:val="24"/>
          <w:szCs w:val="24"/>
          <w:highlight w:val="none"/>
        </w:rPr>
      </w:pPr>
      <w:r>
        <w:rPr>
          <w:rFonts w:ascii="宋体" w:hAnsi="宋体" w:eastAsia="宋体" w:cs="宋体"/>
          <w:sz w:val="24"/>
          <w:szCs w:val="24"/>
          <w:highlight w:val="none"/>
        </w:rPr>
        <w:t>预留比例：</w:t>
      </w:r>
      <w:r>
        <w:rPr>
          <w:rFonts w:ascii="宋体" w:hAnsi="宋体" w:eastAsia="宋体" w:cs="宋体"/>
          <w:sz w:val="24"/>
          <w:szCs w:val="24"/>
          <w:highlight w:val="none"/>
          <w:lang w:eastAsia="zh-CN"/>
        </w:rPr>
        <w:t>4</w:t>
      </w:r>
      <w:r>
        <w:rPr>
          <w:rFonts w:ascii="宋体" w:hAnsi="宋体" w:eastAsia="宋体" w:cs="宋体"/>
          <w:sz w:val="24"/>
          <w:szCs w:val="24"/>
          <w:highlight w:val="none"/>
        </w:rPr>
        <w:t>0%</w:t>
      </w:r>
    </w:p>
    <w:p>
      <w:pPr>
        <w:pStyle w:val="13"/>
        <w:ind w:firstLine="480"/>
        <w:jc w:val="both"/>
        <w:outlineLvl w:val="2"/>
        <w:rPr>
          <w:rFonts w:hint="default"/>
        </w:rPr>
      </w:pPr>
      <w:r>
        <w:rPr>
          <w:b/>
          <w:sz w:val="28"/>
        </w:rPr>
        <w:t>6、投标人的资格要求</w:t>
      </w:r>
    </w:p>
    <w:p>
      <w:pPr>
        <w:pStyle w:val="13"/>
        <w:ind w:firstLine="960"/>
        <w:jc w:val="both"/>
        <w:rPr>
          <w:rFonts w:hint="default" w:ascii="宋体" w:hAnsi="宋体" w:eastAsia="宋体" w:cs="宋体"/>
          <w:sz w:val="24"/>
          <w:szCs w:val="24"/>
        </w:rPr>
      </w:pPr>
      <w:r>
        <w:rPr>
          <w:rFonts w:ascii="宋体" w:hAnsi="宋体" w:eastAsia="宋体" w:cs="宋体"/>
          <w:sz w:val="24"/>
          <w:szCs w:val="24"/>
        </w:rPr>
        <w:t>6.1法定条件：符合政府采购法第二十二条第一款规定的条件。</w:t>
      </w:r>
    </w:p>
    <w:p>
      <w:pPr>
        <w:pStyle w:val="13"/>
        <w:ind w:firstLine="960"/>
        <w:jc w:val="both"/>
        <w:rPr>
          <w:rFonts w:hint="default" w:ascii="宋体" w:hAnsi="宋体" w:eastAsia="宋体" w:cs="宋体"/>
          <w:sz w:val="24"/>
          <w:szCs w:val="24"/>
        </w:rPr>
      </w:pPr>
      <w:r>
        <w:rPr>
          <w:rFonts w:ascii="宋体" w:hAnsi="宋体" w:eastAsia="宋体" w:cs="宋体"/>
          <w:sz w:val="24"/>
          <w:szCs w:val="24"/>
        </w:rPr>
        <w:t>6.2特定条件：</w:t>
      </w:r>
    </w:p>
    <w:p>
      <w:pPr>
        <w:pStyle w:val="13"/>
        <w:rPr>
          <w:rFonts w:hint="default" w:ascii="宋体" w:hAnsi="宋体" w:eastAsia="宋体" w:cs="宋体"/>
          <w:sz w:val="24"/>
          <w:szCs w:val="24"/>
        </w:rPr>
      </w:pPr>
    </w:p>
    <w:p>
      <w:pPr>
        <w:pStyle w:val="13"/>
        <w:rPr>
          <w:rFonts w:hint="default" w:ascii="宋体" w:hAnsi="宋体" w:eastAsia="宋体" w:cs="宋体"/>
          <w:sz w:val="24"/>
          <w:szCs w:val="24"/>
        </w:rPr>
      </w:pPr>
      <w:r>
        <w:rPr>
          <w:rFonts w:ascii="宋体" w:hAnsi="宋体" w:eastAsia="宋体" w:cs="宋体"/>
          <w:sz w:val="24"/>
          <w:szCs w:val="24"/>
        </w:rPr>
        <w:t>采购包1：</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92"/>
        <w:gridCol w:w="46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2" w:type="dxa"/>
          </w:tcPr>
          <w:p>
            <w:pPr>
              <w:pStyle w:val="13"/>
              <w:rPr>
                <w:rFonts w:hint="default" w:ascii="宋体" w:hAnsi="宋体" w:eastAsia="宋体" w:cs="宋体"/>
                <w:sz w:val="24"/>
                <w:szCs w:val="24"/>
              </w:rPr>
            </w:pPr>
            <w:r>
              <w:rPr>
                <w:rFonts w:ascii="宋体" w:hAnsi="宋体" w:eastAsia="宋体" w:cs="宋体"/>
                <w:sz w:val="24"/>
                <w:szCs w:val="24"/>
              </w:rPr>
              <w:t>资格审查要求概况</w:t>
            </w:r>
          </w:p>
        </w:tc>
        <w:tc>
          <w:tcPr>
            <w:tcW w:w="4614" w:type="dxa"/>
          </w:tcPr>
          <w:p>
            <w:pPr>
              <w:pStyle w:val="13"/>
              <w:rPr>
                <w:rFonts w:hint="default" w:ascii="宋体" w:hAnsi="宋体" w:eastAsia="宋体" w:cs="宋体"/>
                <w:sz w:val="24"/>
                <w:szCs w:val="24"/>
              </w:rPr>
            </w:pPr>
            <w:r>
              <w:rPr>
                <w:rFonts w:ascii="宋体" w:hAnsi="宋体" w:eastAsia="宋体" w:cs="宋体"/>
                <w:sz w:val="24"/>
                <w:szCs w:val="24"/>
              </w:rPr>
              <w:t>评审点具体描述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2" w:type="dxa"/>
          </w:tcPr>
          <w:p>
            <w:pPr>
              <w:pStyle w:val="13"/>
              <w:rPr>
                <w:rFonts w:hint="default" w:ascii="宋体" w:hAnsi="宋体" w:eastAsia="宋体" w:cs="宋体"/>
                <w:sz w:val="24"/>
                <w:szCs w:val="24"/>
              </w:rPr>
            </w:pPr>
            <w:r>
              <w:rPr>
                <w:rFonts w:ascii="宋体" w:hAnsi="宋体" w:eastAsia="宋体" w:cs="宋体"/>
                <w:sz w:val="24"/>
                <w:szCs w:val="24"/>
              </w:rPr>
              <w:t>财务状况报告补充说明</w:t>
            </w:r>
          </w:p>
        </w:tc>
        <w:tc>
          <w:tcPr>
            <w:tcW w:w="4614" w:type="dxa"/>
          </w:tcPr>
          <w:p>
            <w:pPr>
              <w:pStyle w:val="13"/>
              <w:rPr>
                <w:rFonts w:hint="default" w:ascii="宋体" w:hAnsi="宋体" w:eastAsia="宋体" w:cs="宋体"/>
                <w:sz w:val="24"/>
                <w:szCs w:val="24"/>
              </w:rPr>
            </w:pPr>
            <w:r>
              <w:rPr>
                <w:rFonts w:ascii="宋体" w:hAnsi="宋体" w:eastAsia="宋体" w:cs="宋体"/>
                <w:sz w:val="24"/>
                <w:szCs w:val="24"/>
              </w:rPr>
              <w:t>每年1-6月期间开标的项目，投标人也可提供上上年度的年度财务报告。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2" w:type="dxa"/>
          </w:tcPr>
          <w:p>
            <w:pPr>
              <w:pStyle w:val="13"/>
              <w:rPr>
                <w:rFonts w:hint="default" w:ascii="宋体" w:hAnsi="宋体" w:eastAsia="宋体" w:cs="宋体"/>
                <w:sz w:val="24"/>
                <w:szCs w:val="24"/>
                <w:highlight w:val="none"/>
              </w:rPr>
            </w:pPr>
            <w:r>
              <w:rPr>
                <w:rFonts w:ascii="宋体" w:hAnsi="宋体" w:eastAsia="宋体" w:cs="宋体"/>
                <w:sz w:val="24"/>
                <w:szCs w:val="24"/>
                <w:highlight w:val="none"/>
              </w:rPr>
              <w:t>本采购包属于专门面向中小企业采购。</w:t>
            </w:r>
          </w:p>
        </w:tc>
        <w:tc>
          <w:tcPr>
            <w:tcW w:w="4614" w:type="dxa"/>
          </w:tcPr>
          <w:p>
            <w:pPr>
              <w:pStyle w:val="13"/>
              <w:rPr>
                <w:rFonts w:hint="default" w:ascii="宋体" w:hAnsi="宋体" w:eastAsia="宋体" w:cs="宋体"/>
                <w:sz w:val="24"/>
                <w:szCs w:val="24"/>
                <w:highlight w:val="none"/>
              </w:rPr>
            </w:pPr>
            <w:r>
              <w:rPr>
                <w:rFonts w:ascii="宋体" w:hAnsi="宋体" w:eastAsia="宋体" w:cs="宋体"/>
                <w:sz w:val="24"/>
                <w:szCs w:val="24"/>
                <w:highlight w:val="none"/>
              </w:rPr>
              <w:t>（1）本采购包落实中小企业扶持政策要求的方式：预留份额专门面向中小企业采购。 （2）预留比例：中小企业承担的部分不低于投标总额的</w:t>
            </w:r>
            <w:r>
              <w:rPr>
                <w:rFonts w:ascii="宋体" w:hAnsi="宋体" w:eastAsia="宋体" w:cs="宋体"/>
                <w:sz w:val="24"/>
                <w:szCs w:val="24"/>
                <w:highlight w:val="none"/>
                <w:lang w:eastAsia="zh-CN"/>
              </w:rPr>
              <w:t>4</w:t>
            </w:r>
            <w:r>
              <w:rPr>
                <w:rFonts w:ascii="宋体" w:hAnsi="宋体" w:eastAsia="宋体" w:cs="宋体"/>
                <w:sz w:val="24"/>
                <w:szCs w:val="24"/>
                <w:highlight w:val="none"/>
              </w:rPr>
              <w:t>0%。 （3）投标人需按第五章补充条款要求提供相关材料，否则投标无效。</w:t>
            </w:r>
          </w:p>
        </w:tc>
      </w:tr>
    </w:tbl>
    <w:p>
      <w:pPr>
        <w:pStyle w:val="13"/>
        <w:ind w:firstLine="960"/>
        <w:jc w:val="both"/>
        <w:rPr>
          <w:rFonts w:hint="default" w:ascii="宋体" w:hAnsi="宋体" w:eastAsia="宋体" w:cs="宋体"/>
          <w:sz w:val="24"/>
          <w:szCs w:val="24"/>
        </w:rPr>
      </w:pPr>
      <w:r>
        <w:rPr>
          <w:rFonts w:ascii="宋体" w:hAnsi="宋体" w:eastAsia="宋体" w:cs="宋体"/>
          <w:sz w:val="24"/>
          <w:szCs w:val="24"/>
        </w:rPr>
        <w:t>6.3是否接受联合体投标：</w:t>
      </w:r>
    </w:p>
    <w:p>
      <w:pPr>
        <w:pStyle w:val="13"/>
        <w:jc w:val="both"/>
        <w:rPr>
          <w:rFonts w:hint="default" w:ascii="宋体" w:hAnsi="宋体" w:eastAsia="宋体" w:cs="宋体"/>
          <w:sz w:val="24"/>
          <w:szCs w:val="24"/>
        </w:rPr>
      </w:pPr>
    </w:p>
    <w:p>
      <w:pPr>
        <w:pStyle w:val="13"/>
        <w:jc w:val="both"/>
        <w:rPr>
          <w:rFonts w:hint="default" w:ascii="宋体" w:hAnsi="宋体" w:eastAsia="宋体" w:cs="宋体"/>
          <w:sz w:val="24"/>
          <w:szCs w:val="24"/>
        </w:rPr>
      </w:pPr>
      <w:r>
        <w:rPr>
          <w:rFonts w:ascii="宋体" w:hAnsi="宋体" w:eastAsia="宋体" w:cs="宋体"/>
          <w:sz w:val="24"/>
          <w:szCs w:val="24"/>
        </w:rPr>
        <w:t>采购包1：不接受</w:t>
      </w:r>
    </w:p>
    <w:p>
      <w:pPr>
        <w:pStyle w:val="13"/>
        <w:ind w:firstLine="480"/>
        <w:jc w:val="both"/>
        <w:rPr>
          <w:rFonts w:hint="default" w:ascii="宋体" w:hAnsi="宋体" w:eastAsia="宋体" w:cs="宋体"/>
          <w:sz w:val="24"/>
          <w:szCs w:val="24"/>
          <w:highlight w:val="none"/>
        </w:rPr>
      </w:pPr>
      <w:r>
        <w:rPr>
          <w:rFonts w:ascii="宋体" w:hAnsi="宋体" w:eastAsia="宋体" w:cs="宋体"/>
          <w:b/>
          <w:sz w:val="24"/>
          <w:szCs w:val="24"/>
          <w:highlight w:val="none"/>
        </w:rPr>
        <w:t>※根据上述资格要求，电子投标文件中应提交的“投标人的资格及资信证明文件”详见招标文件第四章。</w:t>
      </w:r>
    </w:p>
    <w:p>
      <w:pPr>
        <w:pStyle w:val="13"/>
        <w:ind w:firstLine="480"/>
        <w:jc w:val="both"/>
        <w:outlineLvl w:val="2"/>
        <w:rPr>
          <w:rFonts w:hint="default"/>
        </w:rPr>
      </w:pPr>
      <w:r>
        <w:rPr>
          <w:b/>
          <w:sz w:val="28"/>
        </w:rPr>
        <w:t>7、招标文件的获取</w:t>
      </w:r>
    </w:p>
    <w:p>
      <w:pPr>
        <w:pStyle w:val="13"/>
        <w:ind w:firstLine="960"/>
        <w:jc w:val="both"/>
        <w:rPr>
          <w:rFonts w:hint="default" w:ascii="宋体" w:hAnsi="宋体" w:eastAsia="宋体" w:cs="宋体"/>
          <w:sz w:val="24"/>
          <w:szCs w:val="24"/>
        </w:rPr>
      </w:pPr>
      <w:r>
        <w:rPr>
          <w:rFonts w:ascii="宋体" w:hAnsi="宋体" w:eastAsia="宋体" w:cs="宋体"/>
          <w:sz w:val="24"/>
          <w:szCs w:val="24"/>
        </w:rPr>
        <w:t>7.1、招标文件获取期限：详见招标公告或更正公告，若不一致，以更正公告为准。</w:t>
      </w:r>
    </w:p>
    <w:p>
      <w:pPr>
        <w:pStyle w:val="13"/>
        <w:ind w:firstLine="960"/>
        <w:jc w:val="both"/>
        <w:rPr>
          <w:rFonts w:hint="default" w:ascii="宋体" w:hAnsi="宋体" w:eastAsia="宋体" w:cs="宋体"/>
          <w:sz w:val="24"/>
          <w:szCs w:val="24"/>
        </w:rPr>
      </w:pPr>
      <w:r>
        <w:rPr>
          <w:rFonts w:ascii="宋体" w:hAnsi="宋体" w:eastAsia="宋体" w:cs="宋体"/>
          <w:sz w:val="24"/>
          <w:szCs w:val="24"/>
        </w:rPr>
        <w:t>7.2、在招标文件获取期限内，供应商应通过福建省政府采购网上公开信息系统的注册账号（免费注册）并获取招标文件(请根据项目所在地，登录对应的福建省政府采购网上公开信息系统(即省本级网址/地市分网))，否则投标将被拒绝。</w:t>
      </w:r>
    </w:p>
    <w:p>
      <w:pPr>
        <w:pStyle w:val="13"/>
        <w:ind w:firstLine="960"/>
        <w:jc w:val="both"/>
        <w:rPr>
          <w:rFonts w:hint="default" w:ascii="宋体" w:hAnsi="宋体" w:eastAsia="宋体" w:cs="宋体"/>
          <w:sz w:val="24"/>
          <w:szCs w:val="24"/>
        </w:rPr>
      </w:pPr>
      <w:r>
        <w:rPr>
          <w:rFonts w:ascii="宋体" w:hAnsi="宋体" w:eastAsia="宋体" w:cs="宋体"/>
          <w:sz w:val="24"/>
          <w:szCs w:val="24"/>
        </w:rPr>
        <w:t>7.3、获取地点及方式：注册账号后，通过福建省政府采购网上公开信息系统以下载方式获取。</w:t>
      </w:r>
    </w:p>
    <w:p>
      <w:pPr>
        <w:pStyle w:val="13"/>
        <w:ind w:firstLine="960"/>
        <w:jc w:val="both"/>
        <w:rPr>
          <w:rFonts w:hint="default" w:ascii="宋体" w:hAnsi="宋体" w:eastAsia="宋体" w:cs="宋体"/>
          <w:sz w:val="24"/>
          <w:szCs w:val="24"/>
        </w:rPr>
      </w:pPr>
      <w:r>
        <w:rPr>
          <w:rFonts w:ascii="宋体" w:hAnsi="宋体" w:eastAsia="宋体" w:cs="宋体"/>
          <w:sz w:val="24"/>
          <w:szCs w:val="24"/>
        </w:rPr>
        <w:t>7.4、招标文件售价：0元。</w:t>
      </w:r>
    </w:p>
    <w:p>
      <w:pPr>
        <w:pStyle w:val="13"/>
        <w:ind w:firstLine="480"/>
        <w:jc w:val="both"/>
        <w:outlineLvl w:val="2"/>
        <w:rPr>
          <w:rFonts w:hint="default"/>
        </w:rPr>
      </w:pPr>
      <w:r>
        <w:rPr>
          <w:b/>
          <w:sz w:val="28"/>
        </w:rPr>
        <w:t>8、投标截止</w:t>
      </w:r>
    </w:p>
    <w:p>
      <w:pPr>
        <w:pStyle w:val="13"/>
        <w:ind w:firstLine="960"/>
        <w:jc w:val="both"/>
        <w:rPr>
          <w:rFonts w:hint="default" w:ascii="宋体" w:hAnsi="宋体" w:eastAsia="宋体" w:cs="宋体"/>
          <w:sz w:val="24"/>
          <w:szCs w:val="24"/>
        </w:rPr>
      </w:pPr>
      <w:r>
        <w:rPr>
          <w:rFonts w:ascii="宋体" w:hAnsi="宋体" w:eastAsia="宋体" w:cs="宋体"/>
          <w:sz w:val="24"/>
          <w:szCs w:val="24"/>
        </w:rPr>
        <w:t>8.1、投标截止时间：详见招标公告或更正公告，若不一致，以更正公告为准。</w:t>
      </w:r>
    </w:p>
    <w:p>
      <w:pPr>
        <w:pStyle w:val="13"/>
        <w:ind w:firstLine="960"/>
        <w:jc w:val="both"/>
        <w:rPr>
          <w:rFonts w:hint="default" w:ascii="宋体" w:hAnsi="宋体" w:eastAsia="宋体" w:cs="宋体"/>
          <w:sz w:val="24"/>
          <w:szCs w:val="24"/>
        </w:rPr>
      </w:pPr>
      <w:r>
        <w:rPr>
          <w:rFonts w:ascii="宋体" w:hAnsi="宋体" w:eastAsia="宋体" w:cs="宋体"/>
          <w:sz w:val="24"/>
          <w:szCs w:val="24"/>
        </w:rPr>
        <w:t>8.2、投标人应在投标截止时间前按照福建省政府采购网上公开信息系统设定的操作流程将电子投标文件上传至福建省政府采购网上公开信息系统，否则投标将被拒绝。</w:t>
      </w:r>
    </w:p>
    <w:p>
      <w:pPr>
        <w:pStyle w:val="13"/>
        <w:ind w:firstLine="480"/>
        <w:jc w:val="both"/>
        <w:outlineLvl w:val="2"/>
        <w:rPr>
          <w:rFonts w:hint="default"/>
        </w:rPr>
      </w:pPr>
      <w:r>
        <w:rPr>
          <w:b/>
          <w:sz w:val="28"/>
        </w:rPr>
        <w:t>9、开标时间及地点</w:t>
      </w:r>
    </w:p>
    <w:p>
      <w:pPr>
        <w:pStyle w:val="13"/>
        <w:ind w:firstLine="960"/>
        <w:jc w:val="both"/>
        <w:rPr>
          <w:rFonts w:hint="default" w:ascii="宋体" w:hAnsi="宋体" w:eastAsia="宋体" w:cs="宋体"/>
          <w:sz w:val="24"/>
          <w:szCs w:val="24"/>
        </w:rPr>
      </w:pPr>
      <w:r>
        <w:rPr>
          <w:rFonts w:ascii="宋体" w:hAnsi="宋体" w:eastAsia="宋体" w:cs="宋体"/>
          <w:sz w:val="24"/>
          <w:szCs w:val="24"/>
        </w:rPr>
        <w:t>详见招标公告或更正公告，若不一致，以更正公告为准。</w:t>
      </w:r>
    </w:p>
    <w:p>
      <w:pPr>
        <w:pStyle w:val="13"/>
        <w:ind w:firstLine="480"/>
        <w:jc w:val="both"/>
        <w:outlineLvl w:val="2"/>
        <w:rPr>
          <w:rFonts w:hint="default"/>
        </w:rPr>
      </w:pPr>
      <w:r>
        <w:rPr>
          <w:b/>
          <w:sz w:val="28"/>
        </w:rPr>
        <w:t>10、公告期限</w:t>
      </w:r>
    </w:p>
    <w:p>
      <w:pPr>
        <w:pStyle w:val="13"/>
        <w:ind w:firstLine="960"/>
        <w:jc w:val="both"/>
        <w:rPr>
          <w:rFonts w:hint="default" w:ascii="宋体" w:hAnsi="宋体" w:eastAsia="宋体" w:cs="宋体"/>
          <w:sz w:val="24"/>
          <w:szCs w:val="24"/>
        </w:rPr>
      </w:pPr>
      <w:r>
        <w:rPr>
          <w:rFonts w:ascii="宋体" w:hAnsi="宋体" w:eastAsia="宋体" w:cs="宋体"/>
          <w:sz w:val="24"/>
          <w:szCs w:val="24"/>
        </w:rPr>
        <w:t>10.1、招标公告的公告期限：自财政部和福建省财政厅指定的政府采购信息发布媒体最先发布公告之日起5个工作日。</w:t>
      </w:r>
    </w:p>
    <w:p>
      <w:pPr>
        <w:pStyle w:val="13"/>
        <w:ind w:firstLine="960"/>
        <w:jc w:val="both"/>
        <w:rPr>
          <w:rFonts w:hint="default" w:ascii="宋体" w:hAnsi="宋体" w:eastAsia="宋体" w:cs="宋体"/>
          <w:sz w:val="24"/>
          <w:szCs w:val="24"/>
        </w:rPr>
      </w:pPr>
      <w:r>
        <w:rPr>
          <w:rFonts w:ascii="宋体" w:hAnsi="宋体" w:eastAsia="宋体" w:cs="宋体"/>
          <w:sz w:val="24"/>
          <w:szCs w:val="24"/>
        </w:rPr>
        <w:t>10.2、招标文件公告期限：招标文件随同招标公告一并发布，其公告期限与招标公告的公告期限保持一致。</w:t>
      </w:r>
    </w:p>
    <w:p>
      <w:pPr>
        <w:pStyle w:val="13"/>
        <w:ind w:firstLine="480"/>
        <w:outlineLvl w:val="2"/>
        <w:rPr>
          <w:rFonts w:hint="default"/>
        </w:rPr>
      </w:pPr>
      <w:r>
        <w:rPr>
          <w:b/>
          <w:sz w:val="28"/>
        </w:rPr>
        <w:t>11、采购人：永春县应急管理局</w:t>
      </w:r>
    </w:p>
    <w:p>
      <w:pPr>
        <w:pStyle w:val="13"/>
        <w:jc w:val="both"/>
        <w:rPr>
          <w:rFonts w:hint="default" w:ascii="宋体" w:hAnsi="宋体" w:eastAsia="宋体" w:cs="宋体"/>
          <w:sz w:val="24"/>
          <w:szCs w:val="24"/>
        </w:rPr>
      </w:pPr>
      <w:r>
        <w:rPr>
          <w:rFonts w:ascii="宋体" w:hAnsi="宋体" w:eastAsia="宋体" w:cs="宋体"/>
          <w:sz w:val="24"/>
          <w:szCs w:val="24"/>
        </w:rPr>
        <w:t>地址：福建省泉州市永春县桃城镇下州路69号</w:t>
      </w:r>
    </w:p>
    <w:p>
      <w:pPr>
        <w:pStyle w:val="13"/>
        <w:jc w:val="both"/>
        <w:rPr>
          <w:rFonts w:hint="default" w:ascii="宋体" w:hAnsi="宋体" w:eastAsia="宋体" w:cs="宋体"/>
          <w:sz w:val="24"/>
          <w:szCs w:val="24"/>
          <w:lang w:eastAsia="zh-CN"/>
        </w:rPr>
      </w:pPr>
      <w:r>
        <w:rPr>
          <w:rFonts w:ascii="宋体" w:hAnsi="宋体" w:eastAsia="宋体" w:cs="宋体"/>
          <w:sz w:val="24"/>
          <w:szCs w:val="24"/>
        </w:rPr>
        <w:t>邮编：36</w:t>
      </w:r>
      <w:r>
        <w:rPr>
          <w:rFonts w:ascii="宋体" w:hAnsi="宋体" w:eastAsia="宋体" w:cs="宋体"/>
          <w:sz w:val="24"/>
          <w:szCs w:val="24"/>
          <w:lang w:eastAsia="zh-CN"/>
        </w:rPr>
        <w:t>2600</w:t>
      </w:r>
    </w:p>
    <w:p>
      <w:pPr>
        <w:pStyle w:val="13"/>
        <w:jc w:val="both"/>
        <w:rPr>
          <w:rFonts w:hint="default" w:ascii="宋体" w:hAnsi="宋体" w:eastAsia="宋体" w:cs="宋体"/>
          <w:sz w:val="24"/>
          <w:szCs w:val="24"/>
          <w:lang w:eastAsia="zh-CN"/>
        </w:rPr>
      </w:pPr>
      <w:r>
        <w:rPr>
          <w:rFonts w:ascii="宋体" w:hAnsi="宋体" w:eastAsia="宋体" w:cs="宋体"/>
          <w:sz w:val="24"/>
          <w:szCs w:val="24"/>
        </w:rPr>
        <w:t>联系人：</w:t>
      </w:r>
      <w:r>
        <w:rPr>
          <w:rFonts w:ascii="宋体" w:hAnsi="宋体" w:eastAsia="宋体" w:cs="宋体"/>
          <w:sz w:val="24"/>
          <w:szCs w:val="24"/>
          <w:lang w:eastAsia="zh-CN"/>
        </w:rPr>
        <w:t>郑先生</w:t>
      </w:r>
    </w:p>
    <w:p>
      <w:pPr>
        <w:pStyle w:val="13"/>
        <w:jc w:val="both"/>
        <w:rPr>
          <w:rFonts w:hint="default" w:ascii="宋体" w:hAnsi="宋体" w:eastAsia="宋体" w:cs="宋体"/>
          <w:sz w:val="24"/>
          <w:szCs w:val="24"/>
        </w:rPr>
      </w:pPr>
      <w:r>
        <w:rPr>
          <w:rFonts w:ascii="宋体" w:hAnsi="宋体" w:eastAsia="宋体" w:cs="宋体"/>
          <w:sz w:val="24"/>
          <w:szCs w:val="24"/>
        </w:rPr>
        <w:t>联系电话： 18759466085</w:t>
      </w:r>
    </w:p>
    <w:p>
      <w:pPr>
        <w:pStyle w:val="13"/>
        <w:ind w:firstLine="480"/>
        <w:outlineLvl w:val="2"/>
        <w:rPr>
          <w:rFonts w:hint="default"/>
        </w:rPr>
      </w:pPr>
      <w:r>
        <w:rPr>
          <w:b/>
          <w:sz w:val="28"/>
        </w:rPr>
        <w:t>12、代理机构：</w:t>
      </w:r>
      <w:r>
        <w:rPr>
          <w:b/>
          <w:sz w:val="28"/>
          <w:lang w:eastAsia="zh-CN"/>
        </w:rPr>
        <w:t>福建信发招标代理</w:t>
      </w:r>
      <w:r>
        <w:rPr>
          <w:b/>
          <w:sz w:val="28"/>
        </w:rPr>
        <w:t>有限公司</w:t>
      </w:r>
    </w:p>
    <w:p>
      <w:pPr>
        <w:pStyle w:val="13"/>
        <w:jc w:val="both"/>
        <w:rPr>
          <w:rFonts w:hint="default" w:ascii="宋体" w:hAnsi="宋体" w:eastAsia="宋体" w:cs="宋体"/>
          <w:sz w:val="24"/>
          <w:szCs w:val="24"/>
        </w:rPr>
      </w:pPr>
      <w:r>
        <w:rPr>
          <w:rFonts w:ascii="宋体" w:hAnsi="宋体" w:eastAsia="宋体" w:cs="宋体"/>
          <w:sz w:val="24"/>
          <w:szCs w:val="24"/>
        </w:rPr>
        <w:t>地址：福建省福州市鼓楼区铜盘路466-3号大自然文化创意园5号楼4层</w:t>
      </w:r>
    </w:p>
    <w:p>
      <w:pPr>
        <w:pStyle w:val="13"/>
        <w:jc w:val="both"/>
        <w:rPr>
          <w:rFonts w:hint="default" w:ascii="宋体" w:hAnsi="宋体" w:eastAsia="宋体" w:cs="宋体"/>
          <w:sz w:val="24"/>
          <w:szCs w:val="24"/>
          <w:lang w:eastAsia="zh-CN"/>
        </w:rPr>
      </w:pPr>
      <w:r>
        <w:rPr>
          <w:rFonts w:ascii="宋体" w:hAnsi="宋体" w:eastAsia="宋体" w:cs="宋体"/>
          <w:sz w:val="24"/>
          <w:szCs w:val="24"/>
        </w:rPr>
        <w:t>邮编：3</w:t>
      </w:r>
      <w:r>
        <w:rPr>
          <w:rFonts w:ascii="宋体" w:hAnsi="宋体" w:eastAsia="宋体" w:cs="宋体"/>
          <w:sz w:val="24"/>
          <w:szCs w:val="24"/>
          <w:lang w:eastAsia="zh-CN"/>
        </w:rPr>
        <w:t>50000</w:t>
      </w:r>
    </w:p>
    <w:p>
      <w:pPr>
        <w:pStyle w:val="13"/>
        <w:jc w:val="both"/>
        <w:rPr>
          <w:rFonts w:hint="default" w:ascii="宋体" w:hAnsi="宋体" w:eastAsia="宋体" w:cs="宋体"/>
          <w:sz w:val="24"/>
          <w:szCs w:val="24"/>
          <w:lang w:eastAsia="zh-CN"/>
        </w:rPr>
      </w:pPr>
      <w:r>
        <w:rPr>
          <w:rFonts w:ascii="宋体" w:hAnsi="宋体" w:eastAsia="宋体" w:cs="宋体"/>
          <w:sz w:val="24"/>
          <w:szCs w:val="24"/>
        </w:rPr>
        <w:t>联系人：</w:t>
      </w:r>
      <w:r>
        <w:rPr>
          <w:rFonts w:ascii="宋体" w:hAnsi="宋体" w:eastAsia="宋体" w:cs="宋体"/>
          <w:sz w:val="24"/>
          <w:szCs w:val="24"/>
          <w:lang w:eastAsia="zh-CN"/>
        </w:rPr>
        <w:t>庄玮明</w:t>
      </w:r>
    </w:p>
    <w:p>
      <w:pPr>
        <w:pStyle w:val="13"/>
        <w:jc w:val="both"/>
        <w:rPr>
          <w:rFonts w:hint="default" w:ascii="宋体" w:hAnsi="宋体" w:eastAsia="宋体" w:cs="宋体"/>
          <w:sz w:val="24"/>
          <w:szCs w:val="24"/>
          <w:lang w:eastAsia="zh-CN"/>
        </w:rPr>
      </w:pPr>
      <w:r>
        <w:rPr>
          <w:rFonts w:ascii="宋体" w:hAnsi="宋体" w:eastAsia="宋体" w:cs="宋体"/>
          <w:sz w:val="24"/>
          <w:szCs w:val="24"/>
        </w:rPr>
        <w:t>联系电话：</w:t>
      </w:r>
      <w:r>
        <w:rPr>
          <w:rFonts w:ascii="宋体" w:hAnsi="宋体" w:eastAsia="宋体" w:cs="宋体"/>
          <w:sz w:val="24"/>
          <w:szCs w:val="24"/>
          <w:lang w:eastAsia="zh-CN"/>
        </w:rPr>
        <w:t>18065229015</w:t>
      </w:r>
    </w:p>
    <w:p>
      <w:pPr>
        <w:pStyle w:val="13"/>
        <w:ind w:firstLine="480"/>
        <w:jc w:val="both"/>
        <w:outlineLvl w:val="2"/>
        <w:rPr>
          <w:rFonts w:hint="default"/>
        </w:rPr>
      </w:pPr>
      <w:r>
        <w:rPr>
          <w:b/>
          <w:sz w:val="28"/>
        </w:rPr>
        <w:t>附1：账户信息</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06" w:type="dxa"/>
          </w:tcPr>
          <w:p>
            <w:pPr>
              <w:pStyle w:val="13"/>
              <w:jc w:val="both"/>
              <w:rPr>
                <w:rFonts w:hint="default" w:ascii="宋体" w:hAnsi="宋体" w:eastAsia="宋体" w:cs="宋体"/>
                <w:sz w:val="24"/>
                <w:szCs w:val="24"/>
              </w:rPr>
            </w:pPr>
            <w:r>
              <w:rPr>
                <w:rFonts w:ascii="宋体" w:hAnsi="宋体" w:eastAsia="宋体" w:cs="宋体"/>
                <w:sz w:val="24"/>
                <w:szCs w:val="24"/>
              </w:rPr>
              <w:t>投标保证金账户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06" w:type="dxa"/>
          </w:tcPr>
          <w:p>
            <w:pPr>
              <w:pStyle w:val="13"/>
              <w:jc w:val="both"/>
              <w:rPr>
                <w:rFonts w:hint="default" w:ascii="宋体" w:hAnsi="宋体" w:eastAsia="宋体" w:cs="宋体"/>
                <w:sz w:val="24"/>
                <w:szCs w:val="24"/>
              </w:rPr>
            </w:pPr>
            <w:r>
              <w:rPr>
                <w:rFonts w:ascii="宋体" w:hAnsi="宋体" w:eastAsia="宋体" w:cs="宋体"/>
                <w:sz w:val="24"/>
                <w:szCs w:val="24"/>
              </w:rPr>
              <w:t>开户名称：</w:t>
            </w:r>
            <w:r>
              <w:rPr>
                <w:rFonts w:ascii="宋体" w:hAnsi="宋体" w:eastAsia="宋体" w:cs="宋体"/>
                <w:sz w:val="24"/>
                <w:szCs w:val="24"/>
                <w:lang w:eastAsia="zh-CN"/>
              </w:rPr>
              <w:t>福建信发招标代理</w:t>
            </w:r>
            <w:r>
              <w:rPr>
                <w:rFonts w:ascii="宋体" w:hAnsi="宋体" w:eastAsia="宋体" w:cs="宋体"/>
                <w:sz w:val="24"/>
                <w:szCs w:val="24"/>
              </w:rPr>
              <w:t>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06" w:type="dxa"/>
          </w:tcPr>
          <w:p>
            <w:pPr>
              <w:pStyle w:val="13"/>
              <w:jc w:val="both"/>
              <w:rPr>
                <w:rFonts w:hint="default" w:ascii="宋体" w:hAnsi="宋体" w:eastAsia="宋体" w:cs="宋体"/>
                <w:sz w:val="24"/>
                <w:szCs w:val="24"/>
              </w:rPr>
            </w:pPr>
            <w:r>
              <w:rPr>
                <w:rFonts w:ascii="宋体" w:hAnsi="宋体" w:eastAsia="宋体" w:cs="宋体"/>
                <w:sz w:val="24"/>
                <w:szCs w:val="24"/>
              </w:rPr>
              <w:t>开户银行：供应商在福建省政府采购网上公开信息系统获取招标文件后，根据其提示自行选择要缴交的投标保证金托管银行。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06" w:type="dxa"/>
          </w:tcPr>
          <w:p>
            <w:pPr>
              <w:pStyle w:val="13"/>
              <w:jc w:val="both"/>
              <w:rPr>
                <w:rFonts w:hint="default" w:ascii="宋体" w:hAnsi="宋体" w:eastAsia="宋体" w:cs="宋体"/>
                <w:sz w:val="24"/>
                <w:szCs w:val="24"/>
              </w:rPr>
            </w:pPr>
            <w:r>
              <w:rPr>
                <w:rFonts w:ascii="宋体" w:hAnsi="宋体" w:eastAsia="宋体" w:cs="宋体"/>
                <w:sz w:val="24"/>
                <w:szCs w:val="24"/>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06" w:type="dxa"/>
          </w:tcPr>
          <w:p>
            <w:pPr>
              <w:pStyle w:val="13"/>
              <w:jc w:val="both"/>
              <w:rPr>
                <w:rFonts w:hint="default" w:ascii="宋体" w:hAnsi="宋体" w:eastAsia="宋体" w:cs="宋体"/>
                <w:sz w:val="24"/>
                <w:szCs w:val="24"/>
              </w:rPr>
            </w:pPr>
            <w:r>
              <w:rPr>
                <w:rFonts w:ascii="宋体" w:hAnsi="宋体" w:eastAsia="宋体" w:cs="宋体"/>
                <w:sz w:val="24"/>
                <w:szCs w:val="24"/>
              </w:rPr>
              <w:t>特别提示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06" w:type="dxa"/>
          </w:tcPr>
          <w:p>
            <w:pPr>
              <w:pStyle w:val="13"/>
              <w:jc w:val="both"/>
              <w:rPr>
                <w:rFonts w:hint="default" w:ascii="宋体" w:hAnsi="宋体" w:eastAsia="宋体" w:cs="宋体"/>
                <w:sz w:val="24"/>
                <w:szCs w:val="24"/>
              </w:rPr>
            </w:pPr>
            <w:r>
              <w:rPr>
                <w:rFonts w:ascii="宋体" w:hAnsi="宋体" w:eastAsia="宋体" w:cs="宋体"/>
                <w:sz w:val="24"/>
                <w:szCs w:val="24"/>
              </w:rPr>
              <w:t>1、投标人应认真核对账户信息，将投标保证金汇入以上账户，并自行承担因汇错投标保证金而产生的一切后果。</w:t>
            </w:r>
          </w:p>
          <w:p>
            <w:pPr>
              <w:pStyle w:val="13"/>
              <w:jc w:val="both"/>
              <w:rPr>
                <w:rFonts w:hint="default" w:ascii="宋体" w:hAnsi="宋体" w:eastAsia="宋体" w:cs="宋体"/>
                <w:sz w:val="24"/>
                <w:szCs w:val="24"/>
              </w:rPr>
            </w:pPr>
            <w:r>
              <w:rPr>
                <w:rFonts w:ascii="宋体" w:hAnsi="宋体" w:eastAsia="宋体" w:cs="宋体"/>
                <w:sz w:val="24"/>
                <w:szCs w:val="24"/>
              </w:rPr>
              <w:t>2、投标人在转账或电汇的凭证上应按照以下格式注明，以便核对：“（项目编号：***）的投标保证金”。</w:t>
            </w:r>
          </w:p>
        </w:tc>
      </w:tr>
    </w:tbl>
    <w:p>
      <w:pPr>
        <w:pStyle w:val="13"/>
        <w:ind w:firstLine="480"/>
        <w:jc w:val="both"/>
        <w:outlineLvl w:val="2"/>
        <w:rPr>
          <w:rFonts w:hint="default"/>
          <w:b/>
          <w:sz w:val="28"/>
        </w:rPr>
      </w:pPr>
    </w:p>
    <w:p>
      <w:pPr>
        <w:pStyle w:val="13"/>
        <w:jc w:val="both"/>
        <w:outlineLvl w:val="2"/>
        <w:rPr>
          <w:rFonts w:hint="default"/>
          <w:b/>
          <w:sz w:val="28"/>
        </w:rPr>
      </w:pPr>
    </w:p>
    <w:p>
      <w:pPr>
        <w:pStyle w:val="13"/>
        <w:jc w:val="both"/>
        <w:outlineLvl w:val="2"/>
        <w:rPr>
          <w:rFonts w:hint="default"/>
        </w:rPr>
      </w:pPr>
      <w:r>
        <w:rPr>
          <w:b/>
          <w:sz w:val="28"/>
        </w:rPr>
        <w:t>附2：采购标的一览表</w:t>
      </w:r>
    </w:p>
    <w:p>
      <w:pPr>
        <w:pStyle w:val="13"/>
        <w:rPr>
          <w:rFonts w:hint="default"/>
        </w:rPr>
      </w:pPr>
    </w:p>
    <w:p>
      <w:pPr>
        <w:pStyle w:val="13"/>
        <w:jc w:val="both"/>
        <w:rPr>
          <w:rFonts w:hint="default" w:ascii="宋体" w:hAnsi="宋体" w:eastAsia="宋体" w:cs="宋体"/>
          <w:sz w:val="24"/>
          <w:szCs w:val="24"/>
        </w:rPr>
      </w:pPr>
      <w:r>
        <w:rPr>
          <w:rFonts w:ascii="宋体" w:hAnsi="宋体" w:eastAsia="宋体" w:cs="宋体"/>
          <w:sz w:val="24"/>
          <w:szCs w:val="24"/>
        </w:rPr>
        <w:t>采购包1：</w:t>
      </w:r>
    </w:p>
    <w:p>
      <w:pPr>
        <w:pStyle w:val="13"/>
        <w:jc w:val="both"/>
        <w:rPr>
          <w:rFonts w:hint="default" w:ascii="宋体" w:hAnsi="宋体" w:eastAsia="宋体" w:cs="宋体"/>
          <w:sz w:val="24"/>
          <w:szCs w:val="24"/>
        </w:rPr>
      </w:pPr>
      <w:r>
        <w:rPr>
          <w:rFonts w:ascii="宋体" w:hAnsi="宋体" w:eastAsia="宋体" w:cs="宋体"/>
          <w:sz w:val="24"/>
          <w:szCs w:val="24"/>
        </w:rPr>
        <w:t>采购包预算金额（元）: 7,709,813.15</w:t>
      </w:r>
    </w:p>
    <w:p>
      <w:pPr>
        <w:pStyle w:val="13"/>
        <w:jc w:val="both"/>
        <w:rPr>
          <w:rFonts w:hint="default" w:ascii="宋体" w:hAnsi="宋体" w:eastAsia="宋体" w:cs="宋体"/>
          <w:sz w:val="24"/>
          <w:szCs w:val="24"/>
        </w:rPr>
      </w:pPr>
      <w:r>
        <w:rPr>
          <w:rFonts w:ascii="宋体" w:hAnsi="宋体" w:eastAsia="宋体" w:cs="宋体"/>
          <w:sz w:val="24"/>
          <w:szCs w:val="24"/>
        </w:rPr>
        <w:t>采购包最高限价（元）: 7,709,813.15</w:t>
      </w:r>
    </w:p>
    <w:p>
      <w:pPr>
        <w:pStyle w:val="13"/>
        <w:jc w:val="both"/>
        <w:rPr>
          <w:rFonts w:hint="default" w:ascii="宋体" w:hAnsi="宋体" w:eastAsia="宋体" w:cs="宋体"/>
          <w:sz w:val="24"/>
          <w:szCs w:val="24"/>
        </w:rPr>
      </w:pPr>
      <w:r>
        <w:rPr>
          <w:rFonts w:ascii="宋体" w:hAnsi="宋体" w:eastAsia="宋体" w:cs="宋体"/>
          <w:sz w:val="24"/>
          <w:szCs w:val="24"/>
        </w:rPr>
        <w:t>采购包保证金金额（元）: 0.00</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1"/>
        <w:gridCol w:w="1142"/>
        <w:gridCol w:w="1157"/>
        <w:gridCol w:w="1656"/>
        <w:gridCol w:w="1142"/>
        <w:gridCol w:w="1142"/>
        <w:gridCol w:w="11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7" w:type="dxa"/>
          </w:tcPr>
          <w:p>
            <w:pPr>
              <w:pStyle w:val="13"/>
              <w:jc w:val="both"/>
              <w:rPr>
                <w:rFonts w:hint="default" w:ascii="宋体" w:hAnsi="宋体" w:eastAsia="宋体" w:cs="宋体"/>
                <w:sz w:val="24"/>
                <w:szCs w:val="24"/>
              </w:rPr>
            </w:pPr>
            <w:r>
              <w:rPr>
                <w:rFonts w:ascii="宋体" w:hAnsi="宋体" w:eastAsia="宋体" w:cs="宋体"/>
                <w:sz w:val="24"/>
                <w:szCs w:val="24"/>
              </w:rPr>
              <w:t>序号</w:t>
            </w:r>
          </w:p>
        </w:tc>
        <w:tc>
          <w:tcPr>
            <w:tcW w:w="1187" w:type="dxa"/>
          </w:tcPr>
          <w:p>
            <w:pPr>
              <w:pStyle w:val="13"/>
              <w:jc w:val="both"/>
              <w:rPr>
                <w:rFonts w:hint="default" w:ascii="宋体" w:hAnsi="宋体" w:eastAsia="宋体" w:cs="宋体"/>
                <w:sz w:val="24"/>
                <w:szCs w:val="24"/>
              </w:rPr>
            </w:pPr>
            <w:r>
              <w:rPr>
                <w:rFonts w:ascii="宋体" w:hAnsi="宋体" w:eastAsia="宋体" w:cs="宋体"/>
                <w:sz w:val="24"/>
                <w:szCs w:val="24"/>
              </w:rPr>
              <w:t>标的名称</w:t>
            </w:r>
          </w:p>
        </w:tc>
        <w:tc>
          <w:tcPr>
            <w:tcW w:w="1187" w:type="dxa"/>
          </w:tcPr>
          <w:p>
            <w:pPr>
              <w:pStyle w:val="13"/>
              <w:jc w:val="both"/>
              <w:rPr>
                <w:rFonts w:hint="default" w:ascii="宋体" w:hAnsi="宋体" w:eastAsia="宋体" w:cs="宋体"/>
                <w:sz w:val="24"/>
                <w:szCs w:val="24"/>
              </w:rPr>
            </w:pPr>
            <w:r>
              <w:rPr>
                <w:rFonts w:ascii="宋体" w:hAnsi="宋体" w:eastAsia="宋体" w:cs="宋体"/>
                <w:sz w:val="24"/>
                <w:szCs w:val="24"/>
              </w:rPr>
              <w:t>数量</w:t>
            </w:r>
          </w:p>
        </w:tc>
        <w:tc>
          <w:tcPr>
            <w:tcW w:w="1187" w:type="dxa"/>
          </w:tcPr>
          <w:p>
            <w:pPr>
              <w:pStyle w:val="13"/>
              <w:jc w:val="both"/>
              <w:rPr>
                <w:rFonts w:hint="default" w:ascii="宋体" w:hAnsi="宋体" w:eastAsia="宋体" w:cs="宋体"/>
                <w:sz w:val="24"/>
                <w:szCs w:val="24"/>
              </w:rPr>
            </w:pPr>
            <w:r>
              <w:rPr>
                <w:rFonts w:ascii="宋体" w:hAnsi="宋体" w:eastAsia="宋体" w:cs="宋体"/>
                <w:sz w:val="24"/>
                <w:szCs w:val="24"/>
              </w:rPr>
              <w:t>标的金额 （元）</w:t>
            </w:r>
          </w:p>
        </w:tc>
        <w:tc>
          <w:tcPr>
            <w:tcW w:w="1187" w:type="dxa"/>
          </w:tcPr>
          <w:p>
            <w:pPr>
              <w:pStyle w:val="13"/>
              <w:jc w:val="both"/>
              <w:rPr>
                <w:rFonts w:hint="default" w:ascii="宋体" w:hAnsi="宋体" w:eastAsia="宋体" w:cs="宋体"/>
                <w:sz w:val="24"/>
                <w:szCs w:val="24"/>
              </w:rPr>
            </w:pPr>
            <w:r>
              <w:rPr>
                <w:rFonts w:ascii="宋体" w:hAnsi="宋体" w:eastAsia="宋体" w:cs="宋体"/>
                <w:sz w:val="24"/>
                <w:szCs w:val="24"/>
              </w:rPr>
              <w:t>计量单位</w:t>
            </w:r>
          </w:p>
        </w:tc>
        <w:tc>
          <w:tcPr>
            <w:tcW w:w="1187" w:type="dxa"/>
          </w:tcPr>
          <w:p>
            <w:pPr>
              <w:pStyle w:val="13"/>
              <w:jc w:val="both"/>
              <w:rPr>
                <w:rFonts w:hint="default" w:ascii="宋体" w:hAnsi="宋体" w:eastAsia="宋体" w:cs="宋体"/>
                <w:sz w:val="24"/>
                <w:szCs w:val="24"/>
              </w:rPr>
            </w:pPr>
            <w:r>
              <w:rPr>
                <w:rFonts w:ascii="宋体" w:hAnsi="宋体" w:eastAsia="宋体" w:cs="宋体"/>
                <w:sz w:val="24"/>
                <w:szCs w:val="24"/>
              </w:rPr>
              <w:t>所属行业</w:t>
            </w:r>
          </w:p>
        </w:tc>
        <w:tc>
          <w:tcPr>
            <w:tcW w:w="1187" w:type="dxa"/>
          </w:tcPr>
          <w:p>
            <w:pPr>
              <w:pStyle w:val="13"/>
              <w:jc w:val="both"/>
              <w:rPr>
                <w:rFonts w:hint="default" w:ascii="宋体" w:hAnsi="宋体" w:eastAsia="宋体" w:cs="宋体"/>
                <w:sz w:val="24"/>
                <w:szCs w:val="24"/>
              </w:rPr>
            </w:pPr>
            <w:r>
              <w:rPr>
                <w:rFonts w:ascii="宋体" w:hAnsi="宋体" w:eastAsia="宋体" w:cs="宋体"/>
                <w:sz w:val="24"/>
                <w:szCs w:val="24"/>
              </w:rPr>
              <w:t>是否允许进口产品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7" w:type="dxa"/>
          </w:tcPr>
          <w:p>
            <w:pPr>
              <w:pStyle w:val="13"/>
              <w:jc w:val="both"/>
              <w:rPr>
                <w:rFonts w:hint="default" w:ascii="宋体" w:hAnsi="宋体" w:eastAsia="宋体" w:cs="宋体"/>
                <w:sz w:val="24"/>
                <w:szCs w:val="24"/>
              </w:rPr>
            </w:pPr>
            <w:r>
              <w:rPr>
                <w:rFonts w:ascii="宋体" w:hAnsi="宋体" w:eastAsia="宋体" w:cs="宋体"/>
                <w:sz w:val="24"/>
                <w:szCs w:val="24"/>
              </w:rPr>
              <w:t>1</w:t>
            </w:r>
          </w:p>
        </w:tc>
        <w:tc>
          <w:tcPr>
            <w:tcW w:w="1187" w:type="dxa"/>
          </w:tcPr>
          <w:p>
            <w:pPr>
              <w:pStyle w:val="13"/>
              <w:jc w:val="both"/>
              <w:rPr>
                <w:rFonts w:hint="default" w:ascii="宋体" w:hAnsi="宋体" w:eastAsia="宋体" w:cs="宋体"/>
                <w:sz w:val="24"/>
                <w:szCs w:val="24"/>
              </w:rPr>
            </w:pPr>
            <w:r>
              <w:rPr>
                <w:rFonts w:ascii="宋体" w:hAnsi="宋体" w:eastAsia="宋体" w:cs="宋体"/>
                <w:sz w:val="24"/>
                <w:szCs w:val="24"/>
              </w:rPr>
              <w:t>永春县应急管理信息化建设项目</w:t>
            </w:r>
          </w:p>
        </w:tc>
        <w:tc>
          <w:tcPr>
            <w:tcW w:w="1187" w:type="dxa"/>
          </w:tcPr>
          <w:p>
            <w:pPr>
              <w:pStyle w:val="13"/>
              <w:jc w:val="both"/>
              <w:rPr>
                <w:rFonts w:hint="default" w:ascii="宋体" w:hAnsi="宋体" w:eastAsia="宋体" w:cs="宋体"/>
                <w:sz w:val="24"/>
                <w:szCs w:val="24"/>
              </w:rPr>
            </w:pPr>
            <w:r>
              <w:rPr>
                <w:rFonts w:ascii="宋体" w:hAnsi="宋体" w:eastAsia="宋体" w:cs="宋体"/>
                <w:sz w:val="24"/>
                <w:szCs w:val="24"/>
              </w:rPr>
              <w:t>1.00</w:t>
            </w:r>
          </w:p>
        </w:tc>
        <w:tc>
          <w:tcPr>
            <w:tcW w:w="1187" w:type="dxa"/>
          </w:tcPr>
          <w:p>
            <w:pPr>
              <w:pStyle w:val="13"/>
              <w:jc w:val="both"/>
              <w:rPr>
                <w:rFonts w:hint="default" w:ascii="宋体" w:hAnsi="宋体" w:eastAsia="宋体" w:cs="宋体"/>
                <w:sz w:val="24"/>
                <w:szCs w:val="24"/>
              </w:rPr>
            </w:pPr>
            <w:r>
              <w:rPr>
                <w:rFonts w:ascii="宋体" w:hAnsi="宋体" w:eastAsia="宋体" w:cs="宋体"/>
                <w:sz w:val="24"/>
                <w:szCs w:val="24"/>
              </w:rPr>
              <w:t>7,709,813.15</w:t>
            </w:r>
          </w:p>
        </w:tc>
        <w:tc>
          <w:tcPr>
            <w:tcW w:w="1187" w:type="dxa"/>
          </w:tcPr>
          <w:p>
            <w:pPr>
              <w:pStyle w:val="13"/>
              <w:jc w:val="both"/>
              <w:rPr>
                <w:rFonts w:hint="default" w:ascii="宋体" w:hAnsi="宋体" w:eastAsia="宋体" w:cs="宋体"/>
                <w:sz w:val="24"/>
                <w:szCs w:val="24"/>
              </w:rPr>
            </w:pPr>
            <w:r>
              <w:rPr>
                <w:rFonts w:ascii="宋体" w:hAnsi="宋体" w:eastAsia="宋体" w:cs="宋体"/>
                <w:sz w:val="24"/>
                <w:szCs w:val="24"/>
              </w:rPr>
              <w:t>批</w:t>
            </w:r>
          </w:p>
        </w:tc>
        <w:tc>
          <w:tcPr>
            <w:tcW w:w="1187" w:type="dxa"/>
          </w:tcPr>
          <w:p>
            <w:pPr>
              <w:pStyle w:val="13"/>
              <w:jc w:val="both"/>
              <w:rPr>
                <w:rFonts w:hint="default" w:ascii="宋体" w:hAnsi="宋体" w:eastAsia="宋体" w:cs="宋体"/>
                <w:sz w:val="24"/>
                <w:szCs w:val="24"/>
              </w:rPr>
            </w:pPr>
            <w:r>
              <w:rPr>
                <w:rFonts w:ascii="宋体" w:hAnsi="宋体" w:eastAsia="宋体" w:cs="宋体"/>
                <w:sz w:val="24"/>
                <w:szCs w:val="24"/>
              </w:rPr>
              <w:t>工业</w:t>
            </w:r>
          </w:p>
        </w:tc>
        <w:tc>
          <w:tcPr>
            <w:tcW w:w="1187" w:type="dxa"/>
          </w:tcPr>
          <w:p>
            <w:pPr>
              <w:pStyle w:val="13"/>
              <w:jc w:val="both"/>
              <w:rPr>
                <w:rFonts w:hint="default" w:ascii="宋体" w:hAnsi="宋体" w:eastAsia="宋体" w:cs="宋体"/>
                <w:sz w:val="24"/>
                <w:szCs w:val="24"/>
              </w:rPr>
            </w:pPr>
            <w:r>
              <w:rPr>
                <w:rFonts w:ascii="宋体" w:hAnsi="宋体" w:eastAsia="宋体" w:cs="宋体"/>
                <w:sz w:val="24"/>
                <w:szCs w:val="24"/>
              </w:rPr>
              <w:t>否</w:t>
            </w:r>
          </w:p>
        </w:tc>
      </w:tr>
    </w:tbl>
    <w:p>
      <w:pPr>
        <w:pStyle w:val="13"/>
        <w:jc w:val="both"/>
        <w:rPr>
          <w:rFonts w:hint="default"/>
          <w:b/>
          <w:sz w:val="36"/>
        </w:rPr>
      </w:pPr>
    </w:p>
    <w:p>
      <w:pPr>
        <w:pStyle w:val="13"/>
        <w:numPr>
          <w:ilvl w:val="0"/>
          <w:numId w:val="1"/>
        </w:numPr>
        <w:jc w:val="center"/>
        <w:outlineLvl w:val="1"/>
        <w:rPr>
          <w:rFonts w:hint="default"/>
          <w:b/>
          <w:sz w:val="36"/>
        </w:rPr>
      </w:pPr>
      <w:r>
        <w:rPr>
          <w:b/>
          <w:sz w:val="36"/>
        </w:rPr>
        <w:t>投标人须知前附表</w:t>
      </w:r>
    </w:p>
    <w:p>
      <w:pPr>
        <w:pStyle w:val="13"/>
        <w:jc w:val="both"/>
        <w:outlineLvl w:val="1"/>
        <w:rPr>
          <w:rFonts w:hint="default"/>
        </w:rPr>
      </w:pPr>
      <w:r>
        <w:rPr>
          <w:b/>
          <w:sz w:val="28"/>
        </w:rPr>
        <w:t>一、投标人须知前附表1</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2200"/>
        <w:gridCol w:w="5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5" w:type="dxa"/>
            <w:gridSpan w:val="3"/>
          </w:tcPr>
          <w:p>
            <w:pPr>
              <w:pStyle w:val="13"/>
              <w:jc w:val="both"/>
              <w:rPr>
                <w:rFonts w:hint="default" w:ascii="宋体" w:hAnsi="宋体" w:eastAsia="宋体" w:cs="宋体"/>
                <w:bCs/>
                <w:sz w:val="24"/>
                <w:szCs w:val="24"/>
              </w:rPr>
            </w:pPr>
            <w:r>
              <w:rPr>
                <w:rFonts w:ascii="宋体" w:hAnsi="宋体" w:eastAsia="宋体" w:cs="宋体"/>
                <w:bCs/>
                <w:sz w:val="24"/>
                <w:szCs w:val="24"/>
              </w:rPr>
              <w:t>特别提示：本表与招标文件对应章节的内容若不一致，以本表为准。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tcPr>
          <w:p>
            <w:pPr>
              <w:pStyle w:val="13"/>
              <w:jc w:val="both"/>
              <w:rPr>
                <w:rFonts w:hint="default" w:ascii="宋体" w:hAnsi="宋体" w:eastAsia="宋体" w:cs="宋体"/>
                <w:bCs/>
                <w:sz w:val="24"/>
                <w:szCs w:val="24"/>
              </w:rPr>
            </w:pPr>
            <w:r>
              <w:rPr>
                <w:rFonts w:ascii="宋体" w:hAnsi="宋体" w:eastAsia="宋体" w:cs="宋体"/>
                <w:bCs/>
                <w:sz w:val="24"/>
                <w:szCs w:val="24"/>
              </w:rPr>
              <w:t>序号</w:t>
            </w:r>
          </w:p>
        </w:tc>
        <w:tc>
          <w:tcPr>
            <w:tcW w:w="2200" w:type="dxa"/>
          </w:tcPr>
          <w:p>
            <w:pPr>
              <w:pStyle w:val="13"/>
              <w:jc w:val="both"/>
              <w:rPr>
                <w:rFonts w:hint="default" w:ascii="宋体" w:hAnsi="宋体" w:eastAsia="宋体" w:cs="宋体"/>
                <w:bCs/>
                <w:sz w:val="24"/>
                <w:szCs w:val="24"/>
              </w:rPr>
            </w:pPr>
            <w:r>
              <w:rPr>
                <w:rFonts w:ascii="宋体" w:hAnsi="宋体" w:eastAsia="宋体" w:cs="宋体"/>
                <w:bCs/>
                <w:sz w:val="24"/>
                <w:szCs w:val="24"/>
              </w:rPr>
              <w:t>招标文件</w:t>
            </w:r>
          </w:p>
          <w:p>
            <w:pPr>
              <w:pStyle w:val="13"/>
              <w:jc w:val="both"/>
              <w:rPr>
                <w:rFonts w:hint="default" w:ascii="宋体" w:hAnsi="宋体" w:eastAsia="宋体" w:cs="宋体"/>
                <w:bCs/>
                <w:sz w:val="24"/>
                <w:szCs w:val="24"/>
              </w:rPr>
            </w:pPr>
            <w:r>
              <w:rPr>
                <w:rFonts w:ascii="宋体" w:hAnsi="宋体" w:eastAsia="宋体" w:cs="宋体"/>
                <w:bCs/>
                <w:sz w:val="24"/>
                <w:szCs w:val="24"/>
              </w:rPr>
              <w:t>（第三章）</w:t>
            </w:r>
          </w:p>
        </w:tc>
        <w:tc>
          <w:tcPr>
            <w:tcW w:w="5344" w:type="dxa"/>
          </w:tcPr>
          <w:p>
            <w:pPr>
              <w:pStyle w:val="13"/>
              <w:jc w:val="both"/>
              <w:rPr>
                <w:rFonts w:hint="default" w:ascii="宋体" w:hAnsi="宋体" w:eastAsia="宋体" w:cs="宋体"/>
                <w:bCs/>
                <w:sz w:val="24"/>
                <w:szCs w:val="24"/>
              </w:rPr>
            </w:pPr>
            <w:r>
              <w:rPr>
                <w:rFonts w:ascii="宋体" w:hAnsi="宋体" w:eastAsia="宋体" w:cs="宋体"/>
                <w:bCs/>
                <w:sz w:val="24"/>
                <w:szCs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tcPr>
          <w:p>
            <w:pPr>
              <w:pStyle w:val="13"/>
              <w:jc w:val="both"/>
              <w:rPr>
                <w:rFonts w:hint="default" w:ascii="宋体" w:hAnsi="宋体" w:eastAsia="宋体" w:cs="宋体"/>
                <w:bCs/>
                <w:sz w:val="24"/>
                <w:szCs w:val="24"/>
              </w:rPr>
            </w:pPr>
            <w:r>
              <w:rPr>
                <w:rFonts w:ascii="宋体" w:hAnsi="宋体" w:eastAsia="宋体" w:cs="宋体"/>
                <w:bCs/>
                <w:sz w:val="24"/>
                <w:szCs w:val="24"/>
              </w:rPr>
              <w:t>1</w:t>
            </w:r>
          </w:p>
        </w:tc>
        <w:tc>
          <w:tcPr>
            <w:tcW w:w="2200" w:type="dxa"/>
          </w:tcPr>
          <w:p>
            <w:pPr>
              <w:pStyle w:val="13"/>
              <w:jc w:val="both"/>
              <w:rPr>
                <w:rFonts w:hint="default" w:ascii="宋体" w:hAnsi="宋体" w:eastAsia="宋体" w:cs="宋体"/>
                <w:bCs/>
                <w:sz w:val="24"/>
                <w:szCs w:val="24"/>
              </w:rPr>
            </w:pPr>
            <w:r>
              <w:rPr>
                <w:rFonts w:ascii="宋体" w:hAnsi="宋体" w:eastAsia="宋体" w:cs="宋体"/>
                <w:bCs/>
                <w:sz w:val="24"/>
                <w:szCs w:val="24"/>
              </w:rPr>
              <w:t>6.1</w:t>
            </w:r>
          </w:p>
        </w:tc>
        <w:tc>
          <w:tcPr>
            <w:tcW w:w="5344" w:type="dxa"/>
          </w:tcPr>
          <w:p>
            <w:pPr>
              <w:pStyle w:val="13"/>
              <w:jc w:val="both"/>
              <w:rPr>
                <w:rFonts w:hint="default" w:ascii="宋体" w:hAnsi="宋体" w:eastAsia="宋体" w:cs="宋体"/>
                <w:bCs/>
                <w:sz w:val="24"/>
                <w:szCs w:val="24"/>
              </w:rPr>
            </w:pPr>
            <w:r>
              <w:rPr>
                <w:rFonts w:ascii="宋体" w:hAnsi="宋体" w:eastAsia="宋体" w:cs="宋体"/>
                <w:bCs/>
                <w:sz w:val="24"/>
                <w:szCs w:val="24"/>
              </w:rPr>
              <w:t>是否组织现场考察或召开开标前答疑会：</w:t>
            </w:r>
          </w:p>
          <w:p>
            <w:pPr>
              <w:pStyle w:val="13"/>
              <w:jc w:val="both"/>
              <w:rPr>
                <w:rFonts w:hint="default" w:ascii="宋体" w:hAnsi="宋体" w:eastAsia="宋体" w:cs="宋体"/>
                <w:bCs/>
                <w:sz w:val="24"/>
                <w:szCs w:val="24"/>
              </w:rPr>
            </w:pPr>
            <w:r>
              <w:rPr>
                <w:rFonts w:ascii="宋体" w:hAnsi="宋体" w:eastAsia="宋体" w:cs="宋体"/>
                <w:bCs/>
                <w:sz w:val="24"/>
                <w:szCs w:val="24"/>
              </w:rPr>
              <w:t>采购包1：1、本项目组织现场踏勘，供应商可对项目现场及周围环境进行踏勘，以便获取有关编制投标文件和签署合同所涉及现场的资料。供应商应自行承担踏勘现场所发生的所有费用。 2、现场踏勘联系人：</w:t>
            </w:r>
            <w:r>
              <w:rPr>
                <w:rFonts w:ascii="宋体" w:hAnsi="宋体" w:eastAsia="宋体" w:cs="宋体"/>
                <w:bCs/>
                <w:sz w:val="24"/>
                <w:szCs w:val="24"/>
                <w:lang w:eastAsia="zh-CN"/>
              </w:rPr>
              <w:t>郑先生</w:t>
            </w:r>
            <w:r>
              <w:rPr>
                <w:rFonts w:ascii="宋体" w:hAnsi="宋体" w:eastAsia="宋体" w:cs="宋体"/>
                <w:bCs/>
                <w:sz w:val="24"/>
                <w:szCs w:val="24"/>
              </w:rPr>
              <w:t xml:space="preserve">，联系方式：18759466085。 </w:t>
            </w:r>
            <w:r>
              <w:rPr>
                <w:rFonts w:ascii="宋体" w:hAnsi="宋体" w:eastAsia="宋体" w:cs="宋体"/>
                <w:bCs/>
                <w:sz w:val="24"/>
                <w:szCs w:val="24"/>
                <w:lang w:eastAsia="zh-CN"/>
              </w:rPr>
              <w:t>3</w:t>
            </w:r>
            <w:r>
              <w:rPr>
                <w:rFonts w:ascii="宋体" w:hAnsi="宋体" w:eastAsia="宋体" w:cs="宋体"/>
                <w:bCs/>
                <w:sz w:val="24"/>
                <w:szCs w:val="24"/>
              </w:rPr>
              <w:t xml:space="preserve">、供应商及其人员经过采购人允许，可以踏勘为目的进入项目现场，但供应商及其人员不得因此使采购人及其人员承担有关的责任和蒙受损失。供应商并应对由此次踏勘现场而造成的任何损失、损害和引起的费用和开支承担责任。 </w:t>
            </w:r>
            <w:r>
              <w:rPr>
                <w:rFonts w:ascii="宋体" w:hAnsi="宋体" w:eastAsia="宋体" w:cs="宋体"/>
                <w:bCs/>
                <w:sz w:val="24"/>
                <w:szCs w:val="24"/>
                <w:lang w:eastAsia="zh-CN"/>
              </w:rPr>
              <w:t>4</w:t>
            </w:r>
            <w:r>
              <w:rPr>
                <w:rFonts w:ascii="宋体" w:hAnsi="宋体" w:eastAsia="宋体" w:cs="宋体"/>
                <w:bCs/>
                <w:sz w:val="24"/>
                <w:szCs w:val="24"/>
              </w:rPr>
              <w:t>、采购人向供应商提供的有关现场的资料和数据，是采购人现有的能被供应商利用的资料。采购人对供应商做出的理解、推论和结论均不负责任。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tcPr>
          <w:p>
            <w:pPr>
              <w:pStyle w:val="13"/>
              <w:jc w:val="both"/>
              <w:rPr>
                <w:rFonts w:hint="default" w:ascii="宋体" w:hAnsi="宋体" w:eastAsia="宋体" w:cs="宋体"/>
                <w:bCs/>
                <w:sz w:val="24"/>
                <w:szCs w:val="24"/>
              </w:rPr>
            </w:pPr>
            <w:r>
              <w:rPr>
                <w:rFonts w:ascii="宋体" w:hAnsi="宋体" w:eastAsia="宋体" w:cs="宋体"/>
                <w:bCs/>
                <w:sz w:val="24"/>
                <w:szCs w:val="24"/>
              </w:rPr>
              <w:t>2</w:t>
            </w:r>
          </w:p>
        </w:tc>
        <w:tc>
          <w:tcPr>
            <w:tcW w:w="2200" w:type="dxa"/>
          </w:tcPr>
          <w:p>
            <w:pPr>
              <w:pStyle w:val="13"/>
              <w:jc w:val="both"/>
              <w:rPr>
                <w:rFonts w:hint="default" w:ascii="宋体" w:hAnsi="宋体" w:eastAsia="宋体" w:cs="宋体"/>
                <w:bCs/>
                <w:sz w:val="24"/>
                <w:szCs w:val="24"/>
              </w:rPr>
            </w:pPr>
            <w:r>
              <w:rPr>
                <w:rFonts w:ascii="宋体" w:hAnsi="宋体" w:eastAsia="宋体" w:cs="宋体"/>
                <w:bCs/>
                <w:sz w:val="24"/>
                <w:szCs w:val="24"/>
              </w:rPr>
              <w:t>10.4</w:t>
            </w:r>
          </w:p>
        </w:tc>
        <w:tc>
          <w:tcPr>
            <w:tcW w:w="5344" w:type="dxa"/>
          </w:tcPr>
          <w:p>
            <w:pPr>
              <w:pStyle w:val="13"/>
              <w:jc w:val="both"/>
              <w:rPr>
                <w:rFonts w:hint="default" w:ascii="宋体" w:hAnsi="宋体" w:eastAsia="宋体" w:cs="宋体"/>
                <w:bCs/>
                <w:sz w:val="24"/>
                <w:szCs w:val="24"/>
              </w:rPr>
            </w:pPr>
            <w:r>
              <w:rPr>
                <w:rFonts w:ascii="宋体" w:hAnsi="宋体" w:eastAsia="宋体" w:cs="宋体"/>
                <w:bCs/>
                <w:sz w:val="24"/>
                <w:szCs w:val="24"/>
              </w:rPr>
              <w:t>投标文件的份数：</w:t>
            </w:r>
          </w:p>
          <w:p>
            <w:pPr>
              <w:pStyle w:val="13"/>
              <w:jc w:val="both"/>
              <w:rPr>
                <w:rFonts w:hint="default" w:ascii="宋体" w:hAnsi="宋体" w:eastAsia="宋体" w:cs="宋体"/>
                <w:bCs/>
                <w:sz w:val="24"/>
                <w:szCs w:val="24"/>
              </w:rPr>
            </w:pPr>
            <w:r>
              <w:rPr>
                <w:rFonts w:ascii="宋体" w:hAnsi="宋体" w:eastAsia="宋体" w:cs="宋体"/>
                <w:bCs/>
                <w:sz w:val="24"/>
                <w:szCs w:val="24"/>
              </w:rPr>
              <w:t>（1）可读介质（光盘或U盘）</w:t>
            </w:r>
            <w:r>
              <w:rPr>
                <w:rFonts w:ascii="宋体" w:hAnsi="宋体" w:eastAsia="宋体" w:cs="宋体"/>
                <w:bCs/>
                <w:sz w:val="24"/>
                <w:szCs w:val="24"/>
                <w:lang w:eastAsia="zh-CN"/>
              </w:rPr>
              <w:t>1</w:t>
            </w:r>
            <w:r>
              <w:rPr>
                <w:rFonts w:ascii="宋体" w:hAnsi="宋体" w:eastAsia="宋体" w:cs="宋体"/>
                <w:bCs/>
                <w:sz w:val="24"/>
                <w:szCs w:val="24"/>
              </w:rPr>
              <w:t>份：投标人应将其上传至福建省政府采购网上公开信息系统的电子投标文件在该可读介质中另存</w:t>
            </w:r>
            <w:r>
              <w:rPr>
                <w:rFonts w:ascii="宋体" w:hAnsi="宋体" w:eastAsia="宋体" w:cs="宋体"/>
                <w:bCs/>
                <w:sz w:val="24"/>
                <w:szCs w:val="24"/>
                <w:lang w:eastAsia="zh-CN"/>
              </w:rPr>
              <w:t>1</w:t>
            </w:r>
            <w:r>
              <w:rPr>
                <w:rFonts w:ascii="宋体" w:hAnsi="宋体" w:eastAsia="宋体" w:cs="宋体"/>
                <w:bCs/>
                <w:sz w:val="24"/>
                <w:szCs w:val="24"/>
              </w:rPr>
              <w:t>份。</w:t>
            </w:r>
          </w:p>
          <w:p>
            <w:pPr>
              <w:pStyle w:val="13"/>
              <w:jc w:val="both"/>
              <w:rPr>
                <w:rFonts w:hint="default" w:ascii="宋体" w:hAnsi="宋体" w:eastAsia="宋体" w:cs="宋体"/>
                <w:bCs/>
                <w:sz w:val="24"/>
                <w:szCs w:val="24"/>
              </w:rPr>
            </w:pPr>
            <w:r>
              <w:rPr>
                <w:rFonts w:ascii="宋体" w:hAnsi="宋体" w:eastAsia="宋体" w:cs="宋体"/>
                <w:bCs/>
                <w:sz w:val="24"/>
                <w:szCs w:val="24"/>
              </w:rPr>
              <w:t>（2）电子投标文件：详见投标人须知前附表2《关于电子招标投标活动的专门规定》。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tcPr>
          <w:p>
            <w:pPr>
              <w:pStyle w:val="13"/>
              <w:jc w:val="both"/>
              <w:rPr>
                <w:rFonts w:hint="default" w:ascii="宋体" w:hAnsi="宋体" w:eastAsia="宋体" w:cs="宋体"/>
                <w:bCs/>
                <w:sz w:val="24"/>
                <w:szCs w:val="24"/>
                <w:highlight w:val="none"/>
              </w:rPr>
            </w:pPr>
            <w:r>
              <w:rPr>
                <w:rFonts w:ascii="宋体" w:hAnsi="宋体" w:eastAsia="宋体" w:cs="宋体"/>
                <w:bCs/>
                <w:sz w:val="24"/>
                <w:szCs w:val="24"/>
                <w:highlight w:val="none"/>
              </w:rPr>
              <w:t>3</w:t>
            </w:r>
          </w:p>
        </w:tc>
        <w:tc>
          <w:tcPr>
            <w:tcW w:w="2200" w:type="dxa"/>
          </w:tcPr>
          <w:p>
            <w:pPr>
              <w:pStyle w:val="13"/>
              <w:jc w:val="both"/>
              <w:rPr>
                <w:rFonts w:hint="default" w:ascii="宋体" w:hAnsi="宋体" w:eastAsia="宋体" w:cs="宋体"/>
                <w:bCs/>
                <w:sz w:val="24"/>
                <w:szCs w:val="24"/>
                <w:highlight w:val="none"/>
              </w:rPr>
            </w:pPr>
            <w:r>
              <w:rPr>
                <w:rFonts w:ascii="宋体" w:hAnsi="宋体" w:eastAsia="宋体" w:cs="宋体"/>
                <w:bCs/>
                <w:sz w:val="24"/>
                <w:szCs w:val="24"/>
                <w:highlight w:val="none"/>
              </w:rPr>
              <w:t>10.7-（1）</w:t>
            </w:r>
          </w:p>
        </w:tc>
        <w:tc>
          <w:tcPr>
            <w:tcW w:w="5344" w:type="dxa"/>
          </w:tcPr>
          <w:p>
            <w:pPr>
              <w:pStyle w:val="13"/>
              <w:jc w:val="both"/>
              <w:rPr>
                <w:rFonts w:hint="default" w:ascii="宋体" w:hAnsi="宋体" w:eastAsia="宋体" w:cs="宋体"/>
                <w:bCs/>
                <w:sz w:val="24"/>
                <w:szCs w:val="24"/>
                <w:highlight w:val="none"/>
              </w:rPr>
            </w:pPr>
            <w:r>
              <w:rPr>
                <w:rFonts w:ascii="宋体" w:hAnsi="宋体" w:eastAsia="宋体" w:cs="宋体"/>
                <w:bCs/>
                <w:sz w:val="24"/>
                <w:szCs w:val="24"/>
                <w:highlight w:val="none"/>
              </w:rPr>
              <w:t>是否允许中标人将本项目的非主体、非关键性工作进行分包：采购包1：分包比例</w:t>
            </w:r>
            <w:r>
              <w:rPr>
                <w:rFonts w:ascii="宋体" w:hAnsi="宋体" w:eastAsia="宋体" w:cs="宋体"/>
                <w:bCs/>
                <w:sz w:val="24"/>
                <w:szCs w:val="24"/>
                <w:highlight w:val="none"/>
                <w:lang w:eastAsia="zh-CN"/>
              </w:rPr>
              <w:t>4</w:t>
            </w:r>
            <w:r>
              <w:rPr>
                <w:rFonts w:ascii="宋体" w:hAnsi="宋体" w:eastAsia="宋体" w:cs="宋体"/>
                <w:bCs/>
                <w:sz w:val="24"/>
                <w:szCs w:val="24"/>
                <w:highlight w:val="none"/>
              </w:rPr>
              <w:t>0%，分包履行的内容： 1、本项目不允许供应商分包履行合同；2、本项目要求投标人所投产品中至少有占投标总价</w:t>
            </w:r>
            <w:r>
              <w:rPr>
                <w:rFonts w:ascii="宋体" w:hAnsi="宋体" w:eastAsia="宋体" w:cs="宋体"/>
                <w:bCs/>
                <w:sz w:val="24"/>
                <w:szCs w:val="24"/>
                <w:highlight w:val="none"/>
                <w:lang w:eastAsia="zh-CN"/>
              </w:rPr>
              <w:t>4</w:t>
            </w:r>
            <w:r>
              <w:rPr>
                <w:rFonts w:ascii="宋体" w:hAnsi="宋体" w:eastAsia="宋体" w:cs="宋体"/>
                <w:bCs/>
                <w:sz w:val="24"/>
                <w:szCs w:val="24"/>
                <w:highlight w:val="none"/>
              </w:rPr>
              <w:t>0%或以上的产品由中小企业制造，但因系统原因无法设置，故此处显示允许分包，实则为预留份额给中小企业。3、招标文件其他地方规定不一致的，以此为准；资质要求详见第4章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tcPr>
          <w:p>
            <w:pPr>
              <w:pStyle w:val="13"/>
              <w:jc w:val="both"/>
              <w:rPr>
                <w:rFonts w:hint="default" w:ascii="宋体" w:hAnsi="宋体" w:eastAsia="宋体" w:cs="宋体"/>
                <w:bCs/>
                <w:sz w:val="24"/>
                <w:szCs w:val="24"/>
              </w:rPr>
            </w:pPr>
            <w:r>
              <w:rPr>
                <w:rFonts w:ascii="宋体" w:hAnsi="宋体" w:eastAsia="宋体" w:cs="宋体"/>
                <w:bCs/>
                <w:sz w:val="24"/>
                <w:szCs w:val="24"/>
              </w:rPr>
              <w:t>4</w:t>
            </w:r>
          </w:p>
        </w:tc>
        <w:tc>
          <w:tcPr>
            <w:tcW w:w="2200" w:type="dxa"/>
          </w:tcPr>
          <w:p>
            <w:pPr>
              <w:pStyle w:val="13"/>
              <w:jc w:val="both"/>
              <w:rPr>
                <w:rFonts w:hint="default" w:ascii="宋体" w:hAnsi="宋体" w:eastAsia="宋体" w:cs="宋体"/>
                <w:bCs/>
                <w:sz w:val="24"/>
                <w:szCs w:val="24"/>
              </w:rPr>
            </w:pPr>
            <w:r>
              <w:rPr>
                <w:rFonts w:ascii="宋体" w:hAnsi="宋体" w:eastAsia="宋体" w:cs="宋体"/>
                <w:bCs/>
                <w:sz w:val="24"/>
                <w:szCs w:val="24"/>
              </w:rPr>
              <w:t>10.8-（1）</w:t>
            </w:r>
          </w:p>
        </w:tc>
        <w:tc>
          <w:tcPr>
            <w:tcW w:w="5344" w:type="dxa"/>
          </w:tcPr>
          <w:p>
            <w:pPr>
              <w:pStyle w:val="13"/>
              <w:jc w:val="both"/>
              <w:rPr>
                <w:rFonts w:hint="default" w:ascii="宋体" w:hAnsi="宋体" w:eastAsia="宋体" w:cs="宋体"/>
                <w:bCs/>
                <w:sz w:val="24"/>
                <w:szCs w:val="24"/>
              </w:rPr>
            </w:pPr>
            <w:r>
              <w:rPr>
                <w:rFonts w:ascii="宋体" w:hAnsi="宋体" w:eastAsia="宋体" w:cs="宋体"/>
                <w:bCs/>
                <w:sz w:val="24"/>
                <w:szCs w:val="24"/>
              </w:rPr>
              <w:t>投标有效期：投标截止时间起90个日历日。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tcPr>
          <w:p>
            <w:pPr>
              <w:pStyle w:val="13"/>
              <w:jc w:val="both"/>
              <w:rPr>
                <w:rFonts w:hint="default" w:ascii="宋体" w:hAnsi="宋体" w:eastAsia="宋体" w:cs="宋体"/>
                <w:bCs/>
                <w:sz w:val="24"/>
                <w:szCs w:val="24"/>
              </w:rPr>
            </w:pPr>
            <w:r>
              <w:rPr>
                <w:rFonts w:ascii="宋体" w:hAnsi="宋体" w:eastAsia="宋体" w:cs="宋体"/>
                <w:bCs/>
                <w:sz w:val="24"/>
                <w:szCs w:val="24"/>
              </w:rPr>
              <w:t>5</w:t>
            </w:r>
          </w:p>
        </w:tc>
        <w:tc>
          <w:tcPr>
            <w:tcW w:w="2200" w:type="dxa"/>
          </w:tcPr>
          <w:p>
            <w:pPr>
              <w:pStyle w:val="13"/>
              <w:jc w:val="both"/>
              <w:rPr>
                <w:rFonts w:hint="default" w:ascii="宋体" w:hAnsi="宋体" w:eastAsia="宋体" w:cs="宋体"/>
                <w:bCs/>
                <w:sz w:val="24"/>
                <w:szCs w:val="24"/>
              </w:rPr>
            </w:pPr>
            <w:r>
              <w:rPr>
                <w:rFonts w:ascii="宋体" w:hAnsi="宋体" w:eastAsia="宋体" w:cs="宋体"/>
                <w:bCs/>
                <w:sz w:val="24"/>
                <w:szCs w:val="24"/>
              </w:rPr>
              <w:t>12.1</w:t>
            </w:r>
          </w:p>
        </w:tc>
        <w:tc>
          <w:tcPr>
            <w:tcW w:w="5344" w:type="dxa"/>
          </w:tcPr>
          <w:p>
            <w:pPr>
              <w:pStyle w:val="13"/>
              <w:jc w:val="both"/>
              <w:rPr>
                <w:rFonts w:hint="default" w:ascii="宋体" w:hAnsi="宋体" w:eastAsia="宋体" w:cs="宋体"/>
                <w:bCs/>
                <w:sz w:val="24"/>
                <w:szCs w:val="24"/>
              </w:rPr>
            </w:pPr>
            <w:r>
              <w:rPr>
                <w:rFonts w:ascii="宋体" w:hAnsi="宋体" w:eastAsia="宋体" w:cs="宋体"/>
                <w:bCs/>
                <w:sz w:val="24"/>
                <w:szCs w:val="24"/>
              </w:rPr>
              <w:t>确定中标候选人名单：</w:t>
            </w:r>
          </w:p>
          <w:p>
            <w:pPr>
              <w:pStyle w:val="13"/>
              <w:jc w:val="both"/>
              <w:rPr>
                <w:rFonts w:hint="default" w:ascii="宋体" w:hAnsi="宋体" w:eastAsia="宋体" w:cs="宋体"/>
                <w:bCs/>
                <w:sz w:val="24"/>
                <w:szCs w:val="24"/>
              </w:rPr>
            </w:pPr>
            <w:r>
              <w:rPr>
                <w:rFonts w:ascii="宋体" w:hAnsi="宋体" w:eastAsia="宋体" w:cs="宋体"/>
                <w:bCs/>
                <w:sz w:val="24"/>
                <w:szCs w:val="24"/>
              </w:rPr>
              <w:t>采购包1：</w:t>
            </w:r>
            <w:r>
              <w:rPr>
                <w:rFonts w:ascii="宋体" w:hAnsi="宋体" w:eastAsia="宋体" w:cs="宋体"/>
                <w:bCs/>
                <w:sz w:val="24"/>
                <w:szCs w:val="24"/>
                <w:highlight w:val="none"/>
              </w:rPr>
              <w:t>3名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tcPr>
          <w:p>
            <w:pPr>
              <w:pStyle w:val="13"/>
              <w:jc w:val="both"/>
              <w:rPr>
                <w:rFonts w:hint="default" w:ascii="宋体" w:hAnsi="宋体" w:eastAsia="宋体" w:cs="宋体"/>
                <w:bCs/>
                <w:sz w:val="24"/>
                <w:szCs w:val="24"/>
              </w:rPr>
            </w:pPr>
            <w:r>
              <w:rPr>
                <w:rFonts w:ascii="宋体" w:hAnsi="宋体" w:eastAsia="宋体" w:cs="宋体"/>
                <w:bCs/>
                <w:sz w:val="24"/>
                <w:szCs w:val="24"/>
              </w:rPr>
              <w:t>6</w:t>
            </w:r>
          </w:p>
        </w:tc>
        <w:tc>
          <w:tcPr>
            <w:tcW w:w="2200" w:type="dxa"/>
          </w:tcPr>
          <w:p>
            <w:pPr>
              <w:pStyle w:val="13"/>
              <w:jc w:val="both"/>
              <w:rPr>
                <w:rFonts w:hint="default" w:ascii="宋体" w:hAnsi="宋体" w:eastAsia="宋体" w:cs="宋体"/>
                <w:bCs/>
                <w:sz w:val="24"/>
                <w:szCs w:val="24"/>
              </w:rPr>
            </w:pPr>
            <w:r>
              <w:rPr>
                <w:rFonts w:ascii="宋体" w:hAnsi="宋体" w:eastAsia="宋体" w:cs="宋体"/>
                <w:bCs/>
                <w:sz w:val="24"/>
                <w:szCs w:val="24"/>
              </w:rPr>
              <w:t>12.2</w:t>
            </w:r>
          </w:p>
        </w:tc>
        <w:tc>
          <w:tcPr>
            <w:tcW w:w="5344" w:type="dxa"/>
          </w:tcPr>
          <w:p>
            <w:pPr>
              <w:pStyle w:val="13"/>
              <w:jc w:val="both"/>
              <w:rPr>
                <w:rFonts w:hint="default" w:ascii="宋体" w:hAnsi="宋体" w:eastAsia="宋体" w:cs="宋体"/>
                <w:bCs/>
                <w:sz w:val="24"/>
                <w:szCs w:val="24"/>
              </w:rPr>
            </w:pPr>
            <w:r>
              <w:rPr>
                <w:rFonts w:ascii="宋体" w:hAnsi="宋体" w:eastAsia="宋体" w:cs="宋体"/>
                <w:bCs/>
                <w:sz w:val="24"/>
                <w:szCs w:val="24"/>
              </w:rPr>
              <w:t>本项目中标人的确定（以采购包为单位）：</w:t>
            </w:r>
          </w:p>
          <w:p>
            <w:pPr>
              <w:pStyle w:val="13"/>
              <w:jc w:val="both"/>
              <w:rPr>
                <w:rFonts w:hint="default" w:ascii="宋体" w:hAnsi="宋体" w:eastAsia="宋体" w:cs="宋体"/>
                <w:bCs/>
                <w:sz w:val="24"/>
                <w:szCs w:val="24"/>
              </w:rPr>
            </w:pPr>
            <w:r>
              <w:rPr>
                <w:rFonts w:ascii="宋体" w:hAnsi="宋体" w:eastAsia="宋体" w:cs="宋体"/>
                <w:bCs/>
                <w:sz w:val="24"/>
                <w:szCs w:val="24"/>
              </w:rPr>
              <w:t>（1）采购人应在政府采购招投标管理办法规定的时限内确定中标人。</w:t>
            </w:r>
          </w:p>
          <w:p>
            <w:pPr>
              <w:pStyle w:val="13"/>
              <w:jc w:val="both"/>
              <w:rPr>
                <w:rFonts w:hint="default" w:ascii="宋体" w:hAnsi="宋体" w:eastAsia="宋体" w:cs="宋体"/>
                <w:bCs/>
                <w:sz w:val="24"/>
                <w:szCs w:val="24"/>
              </w:rPr>
            </w:pPr>
            <w:r>
              <w:rPr>
                <w:rFonts w:ascii="宋体" w:hAnsi="宋体" w:eastAsia="宋体" w:cs="宋体"/>
                <w:bCs/>
                <w:sz w:val="24"/>
                <w:szCs w:val="24"/>
              </w:rPr>
              <w:t>（2）若出现中标候选人并列情形，则按照下列方式确定中标人：</w:t>
            </w:r>
          </w:p>
          <w:p>
            <w:pPr>
              <w:pStyle w:val="13"/>
              <w:jc w:val="both"/>
              <w:rPr>
                <w:rFonts w:hint="default" w:ascii="宋体" w:hAnsi="宋体" w:eastAsia="宋体" w:cs="宋体"/>
                <w:bCs/>
                <w:sz w:val="24"/>
                <w:szCs w:val="24"/>
              </w:rPr>
            </w:pPr>
            <w:r>
              <w:rPr>
                <w:rFonts w:ascii="宋体" w:hAnsi="宋体" w:eastAsia="宋体" w:cs="宋体"/>
                <w:bCs/>
                <w:sz w:val="24"/>
                <w:szCs w:val="24"/>
              </w:rPr>
              <w:t>①招标文件规定的方式：</w:t>
            </w:r>
          </w:p>
          <w:p>
            <w:pPr>
              <w:pStyle w:val="13"/>
              <w:jc w:val="both"/>
              <w:rPr>
                <w:rFonts w:hint="default" w:ascii="宋体" w:hAnsi="宋体" w:eastAsia="宋体" w:cs="宋体"/>
                <w:bCs/>
                <w:sz w:val="24"/>
                <w:szCs w:val="24"/>
              </w:rPr>
            </w:pPr>
            <w:r>
              <w:rPr>
                <w:rFonts w:ascii="宋体" w:hAnsi="宋体" w:eastAsia="宋体" w:cs="宋体"/>
                <w:bCs/>
                <w:sz w:val="24"/>
                <w:szCs w:val="24"/>
              </w:rPr>
              <w:t>确定技术项总得分较高的中标候选人为中标人。若技术项总得分相同的，则采取随机抽取的方式确定。</w:t>
            </w:r>
          </w:p>
          <w:p>
            <w:pPr>
              <w:pStyle w:val="13"/>
              <w:jc w:val="both"/>
              <w:rPr>
                <w:rFonts w:hint="default" w:ascii="宋体" w:hAnsi="宋体" w:eastAsia="宋体" w:cs="宋体"/>
                <w:bCs/>
                <w:sz w:val="24"/>
                <w:szCs w:val="24"/>
              </w:rPr>
            </w:pPr>
            <w:r>
              <w:rPr>
                <w:rFonts w:ascii="宋体" w:hAnsi="宋体" w:eastAsia="宋体" w:cs="宋体"/>
                <w:bCs/>
                <w:sz w:val="24"/>
                <w:szCs w:val="24"/>
              </w:rPr>
              <w:t>②若本款第①点规定方式为“无”，则按照下列方式确定：</w:t>
            </w:r>
          </w:p>
          <w:p>
            <w:pPr>
              <w:pStyle w:val="13"/>
              <w:jc w:val="both"/>
              <w:rPr>
                <w:rFonts w:hint="default" w:ascii="宋体" w:hAnsi="宋体" w:eastAsia="宋体" w:cs="宋体"/>
                <w:bCs/>
                <w:sz w:val="24"/>
                <w:szCs w:val="24"/>
              </w:rPr>
            </w:pPr>
            <w:r>
              <w:rPr>
                <w:rFonts w:ascii="宋体" w:hAnsi="宋体" w:eastAsia="宋体" w:cs="宋体"/>
                <w:bCs/>
                <w:sz w:val="24"/>
                <w:szCs w:val="24"/>
              </w:rPr>
              <w:t>无</w:t>
            </w:r>
          </w:p>
          <w:p>
            <w:pPr>
              <w:pStyle w:val="13"/>
              <w:jc w:val="both"/>
              <w:rPr>
                <w:rFonts w:hint="default" w:ascii="宋体" w:hAnsi="宋体" w:eastAsia="宋体" w:cs="宋体"/>
                <w:bCs/>
                <w:sz w:val="24"/>
                <w:szCs w:val="24"/>
              </w:rPr>
            </w:pPr>
            <w:r>
              <w:rPr>
                <w:rFonts w:ascii="宋体" w:hAnsi="宋体" w:eastAsia="宋体" w:cs="宋体"/>
                <w:bCs/>
                <w:sz w:val="24"/>
                <w:szCs w:val="24"/>
              </w:rPr>
              <w:t>③若本款第①、②点规定方式均为“无”，则按照下列方式确定：随机抽取。</w:t>
            </w:r>
          </w:p>
          <w:p>
            <w:pPr>
              <w:pStyle w:val="13"/>
              <w:jc w:val="both"/>
              <w:rPr>
                <w:rFonts w:hint="default" w:ascii="宋体" w:hAnsi="宋体" w:eastAsia="宋体" w:cs="宋体"/>
                <w:bCs/>
                <w:sz w:val="24"/>
                <w:szCs w:val="24"/>
              </w:rPr>
            </w:pPr>
            <w:r>
              <w:rPr>
                <w:rFonts w:ascii="宋体" w:hAnsi="宋体" w:eastAsia="宋体" w:cs="宋体"/>
                <w:bCs/>
                <w:sz w:val="24"/>
                <w:szCs w:val="24"/>
              </w:rPr>
              <w:t>（3）本项目确定的中标人家数：</w:t>
            </w:r>
          </w:p>
          <w:p>
            <w:pPr>
              <w:pStyle w:val="13"/>
              <w:jc w:val="both"/>
              <w:rPr>
                <w:rFonts w:hint="default" w:ascii="宋体" w:hAnsi="宋体" w:eastAsia="宋体" w:cs="宋体"/>
                <w:bCs/>
                <w:sz w:val="24"/>
                <w:szCs w:val="24"/>
              </w:rPr>
            </w:pPr>
            <w:r>
              <w:rPr>
                <w:rFonts w:ascii="宋体" w:hAnsi="宋体" w:eastAsia="宋体" w:cs="宋体"/>
                <w:bCs/>
                <w:sz w:val="24"/>
                <w:szCs w:val="24"/>
              </w:rPr>
              <w:t>采购包1：</w:t>
            </w:r>
            <w:r>
              <w:rPr>
                <w:rFonts w:ascii="宋体" w:hAnsi="宋体" w:eastAsia="宋体" w:cs="宋体"/>
                <w:bCs/>
                <w:sz w:val="24"/>
                <w:szCs w:val="24"/>
                <w:highlight w:val="none"/>
              </w:rPr>
              <w:t>1名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tcPr>
          <w:p>
            <w:pPr>
              <w:pStyle w:val="13"/>
              <w:jc w:val="both"/>
              <w:rPr>
                <w:rFonts w:hint="default" w:ascii="宋体" w:hAnsi="宋体" w:eastAsia="宋体" w:cs="宋体"/>
                <w:bCs/>
                <w:sz w:val="24"/>
                <w:szCs w:val="24"/>
              </w:rPr>
            </w:pPr>
            <w:r>
              <w:rPr>
                <w:rFonts w:ascii="宋体" w:hAnsi="宋体" w:eastAsia="宋体" w:cs="宋体"/>
                <w:bCs/>
                <w:sz w:val="24"/>
                <w:szCs w:val="24"/>
              </w:rPr>
              <w:t>7</w:t>
            </w:r>
          </w:p>
        </w:tc>
        <w:tc>
          <w:tcPr>
            <w:tcW w:w="2200" w:type="dxa"/>
          </w:tcPr>
          <w:p>
            <w:pPr>
              <w:pStyle w:val="13"/>
              <w:jc w:val="both"/>
              <w:rPr>
                <w:rFonts w:hint="default" w:ascii="宋体" w:hAnsi="宋体" w:eastAsia="宋体" w:cs="宋体"/>
                <w:bCs/>
                <w:sz w:val="24"/>
                <w:szCs w:val="24"/>
              </w:rPr>
            </w:pPr>
            <w:r>
              <w:rPr>
                <w:rFonts w:ascii="宋体" w:hAnsi="宋体" w:eastAsia="宋体" w:cs="宋体"/>
                <w:bCs/>
                <w:sz w:val="24"/>
                <w:szCs w:val="24"/>
              </w:rPr>
              <w:t>13.2</w:t>
            </w:r>
          </w:p>
        </w:tc>
        <w:tc>
          <w:tcPr>
            <w:tcW w:w="5344" w:type="dxa"/>
          </w:tcPr>
          <w:p>
            <w:pPr>
              <w:pStyle w:val="13"/>
              <w:jc w:val="both"/>
              <w:rPr>
                <w:rFonts w:hint="default" w:ascii="宋体" w:hAnsi="宋体" w:eastAsia="宋体" w:cs="宋体"/>
                <w:bCs/>
                <w:sz w:val="24"/>
                <w:szCs w:val="24"/>
              </w:rPr>
            </w:pPr>
            <w:r>
              <w:rPr>
                <w:rFonts w:ascii="宋体" w:hAnsi="宋体" w:eastAsia="宋体" w:cs="宋体"/>
                <w:bCs/>
                <w:sz w:val="24"/>
                <w:szCs w:val="24"/>
              </w:rPr>
              <w:t>合同签订时限：自中标通知书发出之日起20个日历日内。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tcPr>
          <w:p>
            <w:pPr>
              <w:pStyle w:val="13"/>
              <w:jc w:val="both"/>
              <w:rPr>
                <w:rFonts w:hint="default" w:ascii="宋体" w:hAnsi="宋体" w:eastAsia="宋体" w:cs="宋体"/>
                <w:bCs/>
                <w:sz w:val="24"/>
                <w:szCs w:val="24"/>
              </w:rPr>
            </w:pPr>
            <w:r>
              <w:rPr>
                <w:rFonts w:ascii="宋体" w:hAnsi="宋体" w:eastAsia="宋体" w:cs="宋体"/>
                <w:bCs/>
                <w:sz w:val="24"/>
                <w:szCs w:val="24"/>
              </w:rPr>
              <w:t>8</w:t>
            </w:r>
          </w:p>
        </w:tc>
        <w:tc>
          <w:tcPr>
            <w:tcW w:w="2200" w:type="dxa"/>
          </w:tcPr>
          <w:p>
            <w:pPr>
              <w:pStyle w:val="13"/>
              <w:jc w:val="both"/>
              <w:rPr>
                <w:rFonts w:hint="default" w:ascii="宋体" w:hAnsi="宋体" w:eastAsia="宋体" w:cs="宋体"/>
                <w:bCs/>
                <w:sz w:val="24"/>
                <w:szCs w:val="24"/>
              </w:rPr>
            </w:pPr>
            <w:r>
              <w:rPr>
                <w:rFonts w:ascii="宋体" w:hAnsi="宋体" w:eastAsia="宋体" w:cs="宋体"/>
                <w:bCs/>
                <w:sz w:val="24"/>
                <w:szCs w:val="24"/>
              </w:rPr>
              <w:t>15.1-（2）</w:t>
            </w:r>
          </w:p>
        </w:tc>
        <w:tc>
          <w:tcPr>
            <w:tcW w:w="5344" w:type="dxa"/>
          </w:tcPr>
          <w:p>
            <w:pPr>
              <w:pStyle w:val="13"/>
              <w:jc w:val="both"/>
              <w:rPr>
                <w:rFonts w:hint="default" w:ascii="宋体" w:hAnsi="宋体" w:eastAsia="宋体" w:cs="宋体"/>
                <w:bCs/>
                <w:sz w:val="24"/>
                <w:szCs w:val="24"/>
              </w:rPr>
            </w:pPr>
            <w:r>
              <w:rPr>
                <w:rFonts w:ascii="宋体" w:hAnsi="宋体" w:eastAsia="宋体" w:cs="宋体"/>
                <w:bCs/>
                <w:sz w:val="24"/>
                <w:szCs w:val="24"/>
              </w:rPr>
              <w:t>质疑函原件应采用下列方式提交：书面形式。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tcPr>
          <w:p>
            <w:pPr>
              <w:pStyle w:val="13"/>
              <w:jc w:val="both"/>
              <w:rPr>
                <w:rFonts w:hint="default" w:ascii="宋体" w:hAnsi="宋体" w:eastAsia="宋体" w:cs="宋体"/>
                <w:bCs/>
                <w:sz w:val="24"/>
                <w:szCs w:val="24"/>
              </w:rPr>
            </w:pPr>
            <w:r>
              <w:rPr>
                <w:rFonts w:ascii="宋体" w:hAnsi="宋体" w:eastAsia="宋体" w:cs="宋体"/>
                <w:bCs/>
                <w:sz w:val="24"/>
                <w:szCs w:val="24"/>
              </w:rPr>
              <w:t>9</w:t>
            </w:r>
          </w:p>
        </w:tc>
        <w:tc>
          <w:tcPr>
            <w:tcW w:w="2200" w:type="dxa"/>
          </w:tcPr>
          <w:p>
            <w:pPr>
              <w:pStyle w:val="13"/>
              <w:jc w:val="both"/>
              <w:rPr>
                <w:rFonts w:hint="default" w:ascii="宋体" w:hAnsi="宋体" w:eastAsia="宋体" w:cs="宋体"/>
                <w:bCs/>
                <w:sz w:val="24"/>
                <w:szCs w:val="24"/>
              </w:rPr>
            </w:pPr>
            <w:r>
              <w:rPr>
                <w:rFonts w:ascii="宋体" w:hAnsi="宋体" w:eastAsia="宋体" w:cs="宋体"/>
                <w:bCs/>
                <w:sz w:val="24"/>
                <w:szCs w:val="24"/>
              </w:rPr>
              <w:t>15.4</w:t>
            </w:r>
          </w:p>
        </w:tc>
        <w:tc>
          <w:tcPr>
            <w:tcW w:w="5344" w:type="dxa"/>
          </w:tcPr>
          <w:p>
            <w:pPr>
              <w:pStyle w:val="13"/>
              <w:jc w:val="both"/>
              <w:rPr>
                <w:rFonts w:hint="default" w:ascii="宋体" w:hAnsi="宋体" w:eastAsia="宋体" w:cs="宋体"/>
                <w:bCs/>
                <w:sz w:val="24"/>
                <w:szCs w:val="24"/>
              </w:rPr>
            </w:pPr>
            <w:r>
              <w:rPr>
                <w:rFonts w:ascii="宋体" w:hAnsi="宋体" w:eastAsia="宋体" w:cs="宋体"/>
                <w:bCs/>
                <w:sz w:val="24"/>
                <w:szCs w:val="24"/>
              </w:rPr>
              <w:t>招标文件的质疑</w:t>
            </w:r>
          </w:p>
          <w:p>
            <w:pPr>
              <w:pStyle w:val="13"/>
              <w:jc w:val="both"/>
              <w:rPr>
                <w:rFonts w:hint="default" w:ascii="宋体" w:hAnsi="宋体" w:eastAsia="宋体" w:cs="宋体"/>
                <w:bCs/>
                <w:sz w:val="24"/>
                <w:szCs w:val="24"/>
              </w:rPr>
            </w:pPr>
            <w:r>
              <w:rPr>
                <w:rFonts w:ascii="宋体" w:hAnsi="宋体" w:eastAsia="宋体" w:cs="宋体"/>
                <w:bCs/>
                <w:sz w:val="24"/>
                <w:szCs w:val="24"/>
              </w:rPr>
              <w:t>（1）潜在投标人可在质疑时效期间内对招标文件以书面形式提出质疑。</w:t>
            </w:r>
          </w:p>
          <w:p>
            <w:pPr>
              <w:pStyle w:val="13"/>
              <w:jc w:val="both"/>
              <w:rPr>
                <w:rFonts w:hint="default" w:ascii="宋体" w:hAnsi="宋体" w:eastAsia="宋体" w:cs="宋体"/>
                <w:bCs/>
                <w:sz w:val="24"/>
                <w:szCs w:val="24"/>
              </w:rPr>
            </w:pPr>
            <w:r>
              <w:rPr>
                <w:rFonts w:ascii="宋体" w:hAnsi="宋体" w:eastAsia="宋体" w:cs="宋体"/>
                <w:bCs/>
                <w:sz w:val="24"/>
                <w:szCs w:val="24"/>
              </w:rPr>
              <w:t>（2）质疑时效期间：应在依法获取招标文件之日起7个工作日内向</w:t>
            </w:r>
            <w:r>
              <w:rPr>
                <w:rFonts w:ascii="宋体" w:hAnsi="宋体" w:eastAsia="宋体" w:cs="宋体"/>
                <w:bCs/>
                <w:sz w:val="24"/>
                <w:szCs w:val="24"/>
                <w:lang w:eastAsia="zh-CN"/>
              </w:rPr>
              <w:t>福建信发招标代理</w:t>
            </w:r>
            <w:r>
              <w:rPr>
                <w:rFonts w:ascii="宋体" w:hAnsi="宋体" w:eastAsia="宋体" w:cs="宋体"/>
                <w:bCs/>
                <w:sz w:val="24"/>
                <w:szCs w:val="24"/>
              </w:rPr>
              <w:t>有限公司提出，依法获取招标文件的时间以福建省政府采购网上公开信息系统记载的为准。</w:t>
            </w:r>
          </w:p>
          <w:p>
            <w:pPr>
              <w:pStyle w:val="13"/>
              <w:jc w:val="both"/>
              <w:rPr>
                <w:rFonts w:hint="default" w:ascii="宋体" w:hAnsi="宋体" w:eastAsia="宋体" w:cs="宋体"/>
                <w:bCs/>
                <w:sz w:val="24"/>
                <w:szCs w:val="24"/>
              </w:rPr>
            </w:pPr>
            <w:r>
              <w:rPr>
                <w:rFonts w:ascii="宋体" w:hAnsi="宋体" w:eastAsia="宋体" w:cs="宋体"/>
                <w:bCs/>
                <w:sz w:val="24"/>
                <w:szCs w:val="24"/>
              </w:rPr>
              <w:t>※除上述规定外，对招标文件提出的质疑还应符合招标文件第三章第15.1条的有关规定。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tcPr>
          <w:p>
            <w:pPr>
              <w:pStyle w:val="13"/>
              <w:jc w:val="both"/>
              <w:rPr>
                <w:rFonts w:hint="default" w:ascii="宋体" w:hAnsi="宋体" w:eastAsia="宋体" w:cs="宋体"/>
                <w:bCs/>
                <w:sz w:val="24"/>
                <w:szCs w:val="24"/>
              </w:rPr>
            </w:pPr>
            <w:r>
              <w:rPr>
                <w:rFonts w:ascii="宋体" w:hAnsi="宋体" w:eastAsia="宋体" w:cs="宋体"/>
                <w:bCs/>
                <w:sz w:val="24"/>
                <w:szCs w:val="24"/>
              </w:rPr>
              <w:t>10</w:t>
            </w:r>
          </w:p>
        </w:tc>
        <w:tc>
          <w:tcPr>
            <w:tcW w:w="2200" w:type="dxa"/>
          </w:tcPr>
          <w:p>
            <w:pPr>
              <w:pStyle w:val="13"/>
              <w:jc w:val="both"/>
              <w:rPr>
                <w:rFonts w:hint="default" w:ascii="宋体" w:hAnsi="宋体" w:eastAsia="宋体" w:cs="宋体"/>
                <w:bCs/>
                <w:sz w:val="24"/>
                <w:szCs w:val="24"/>
              </w:rPr>
            </w:pPr>
            <w:r>
              <w:rPr>
                <w:rFonts w:ascii="宋体" w:hAnsi="宋体" w:eastAsia="宋体" w:cs="宋体"/>
                <w:bCs/>
                <w:sz w:val="24"/>
                <w:szCs w:val="24"/>
              </w:rPr>
              <w:t>16.1</w:t>
            </w:r>
          </w:p>
        </w:tc>
        <w:tc>
          <w:tcPr>
            <w:tcW w:w="5344" w:type="dxa"/>
          </w:tcPr>
          <w:p>
            <w:pPr>
              <w:pStyle w:val="13"/>
              <w:jc w:val="both"/>
              <w:rPr>
                <w:rFonts w:hint="default" w:ascii="宋体" w:hAnsi="宋体" w:eastAsia="宋体" w:cs="宋体"/>
                <w:bCs/>
                <w:sz w:val="24"/>
                <w:szCs w:val="24"/>
              </w:rPr>
            </w:pPr>
            <w:r>
              <w:rPr>
                <w:rFonts w:ascii="宋体" w:hAnsi="宋体" w:eastAsia="宋体" w:cs="宋体"/>
                <w:bCs/>
                <w:sz w:val="24"/>
                <w:szCs w:val="24"/>
              </w:rPr>
              <w:t>监督管理部门：</w:t>
            </w:r>
            <w:r>
              <w:rPr>
                <w:rFonts w:ascii="宋体" w:hAnsi="宋体" w:eastAsia="宋体" w:cs="宋体"/>
                <w:bCs/>
                <w:sz w:val="24"/>
                <w:szCs w:val="24"/>
                <w:lang w:eastAsia="zh-CN"/>
              </w:rPr>
              <w:t>永春县</w:t>
            </w:r>
            <w:r>
              <w:rPr>
                <w:rFonts w:ascii="宋体" w:hAnsi="宋体" w:eastAsia="宋体" w:cs="宋体"/>
                <w:bCs/>
                <w:sz w:val="24"/>
                <w:szCs w:val="24"/>
              </w:rPr>
              <w:t>财政局（仅限依法进行政府采购的货物或服务类项目）。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tcPr>
          <w:p>
            <w:pPr>
              <w:pStyle w:val="13"/>
              <w:jc w:val="both"/>
              <w:rPr>
                <w:rFonts w:hint="default" w:ascii="宋体" w:hAnsi="宋体" w:eastAsia="宋体" w:cs="宋体"/>
                <w:bCs/>
                <w:sz w:val="24"/>
                <w:szCs w:val="24"/>
              </w:rPr>
            </w:pPr>
            <w:r>
              <w:rPr>
                <w:rFonts w:ascii="宋体" w:hAnsi="宋体" w:eastAsia="宋体" w:cs="宋体"/>
                <w:bCs/>
                <w:sz w:val="24"/>
                <w:szCs w:val="24"/>
              </w:rPr>
              <w:t>11</w:t>
            </w:r>
          </w:p>
        </w:tc>
        <w:tc>
          <w:tcPr>
            <w:tcW w:w="2200" w:type="dxa"/>
          </w:tcPr>
          <w:p>
            <w:pPr>
              <w:pStyle w:val="13"/>
              <w:jc w:val="both"/>
              <w:rPr>
                <w:rFonts w:hint="default" w:ascii="宋体" w:hAnsi="宋体" w:eastAsia="宋体" w:cs="宋体"/>
                <w:bCs/>
                <w:sz w:val="24"/>
                <w:szCs w:val="24"/>
              </w:rPr>
            </w:pPr>
            <w:r>
              <w:rPr>
                <w:rFonts w:ascii="宋体" w:hAnsi="宋体" w:eastAsia="宋体" w:cs="宋体"/>
                <w:bCs/>
                <w:sz w:val="24"/>
                <w:szCs w:val="24"/>
              </w:rPr>
              <w:t>18.1</w:t>
            </w:r>
          </w:p>
        </w:tc>
        <w:tc>
          <w:tcPr>
            <w:tcW w:w="5344" w:type="dxa"/>
          </w:tcPr>
          <w:p>
            <w:pPr>
              <w:pStyle w:val="13"/>
              <w:jc w:val="both"/>
              <w:rPr>
                <w:rFonts w:hint="default" w:ascii="宋体" w:hAnsi="宋体" w:eastAsia="宋体" w:cs="宋体"/>
                <w:bCs/>
                <w:sz w:val="24"/>
                <w:szCs w:val="24"/>
              </w:rPr>
            </w:pPr>
            <w:r>
              <w:rPr>
                <w:rFonts w:ascii="宋体" w:hAnsi="宋体" w:eastAsia="宋体" w:cs="宋体"/>
                <w:bCs/>
                <w:sz w:val="24"/>
                <w:szCs w:val="24"/>
              </w:rPr>
              <w:t>财政部和福建省财政厅指定的政府采购信息发布媒体（以下简称：“指定媒体”）：</w:t>
            </w:r>
          </w:p>
          <w:p>
            <w:pPr>
              <w:pStyle w:val="13"/>
              <w:jc w:val="both"/>
              <w:rPr>
                <w:rFonts w:hint="default" w:ascii="宋体" w:hAnsi="宋体" w:eastAsia="宋体" w:cs="宋体"/>
                <w:bCs/>
                <w:sz w:val="24"/>
                <w:szCs w:val="24"/>
              </w:rPr>
            </w:pPr>
            <w:r>
              <w:rPr>
                <w:rFonts w:ascii="宋体" w:hAnsi="宋体" w:eastAsia="宋体" w:cs="宋体"/>
                <w:bCs/>
                <w:sz w:val="24"/>
                <w:szCs w:val="24"/>
              </w:rPr>
              <w:t>（1）中国政府采购网，网址www.ccgp.gov.cn。</w:t>
            </w:r>
          </w:p>
          <w:p>
            <w:pPr>
              <w:pStyle w:val="13"/>
              <w:jc w:val="both"/>
              <w:rPr>
                <w:rFonts w:hint="default" w:ascii="宋体" w:hAnsi="宋体" w:eastAsia="宋体" w:cs="宋体"/>
                <w:bCs/>
                <w:sz w:val="24"/>
                <w:szCs w:val="24"/>
              </w:rPr>
            </w:pPr>
            <w:r>
              <w:rPr>
                <w:rFonts w:ascii="宋体" w:hAnsi="宋体" w:eastAsia="宋体" w:cs="宋体"/>
                <w:bCs/>
                <w:sz w:val="24"/>
                <w:szCs w:val="24"/>
              </w:rPr>
              <w:t>（2）中国政府采购网福建分网（福建省政府采购网），网址zfcg.czt.fujian.gov.cn。</w:t>
            </w:r>
          </w:p>
          <w:p>
            <w:pPr>
              <w:pStyle w:val="13"/>
              <w:jc w:val="both"/>
              <w:rPr>
                <w:rFonts w:hint="default" w:ascii="宋体" w:hAnsi="宋体" w:eastAsia="宋体" w:cs="宋体"/>
                <w:bCs/>
                <w:sz w:val="24"/>
                <w:szCs w:val="24"/>
              </w:rPr>
            </w:pPr>
            <w:r>
              <w:rPr>
                <w:rFonts w:ascii="宋体" w:hAnsi="宋体" w:eastAsia="宋体" w:cs="宋体"/>
                <w:bCs/>
                <w:sz w:val="24"/>
                <w:szCs w:val="24"/>
              </w:rPr>
              <w:t>※若出现上述指定媒体信息不一致情形，应以中国政府采购网福建分网（福建省政府采购网）发布的为准。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tcPr>
          <w:p>
            <w:pPr>
              <w:pStyle w:val="13"/>
              <w:jc w:val="both"/>
              <w:rPr>
                <w:rFonts w:hint="default" w:ascii="宋体" w:hAnsi="宋体" w:eastAsia="宋体" w:cs="宋体"/>
                <w:bCs/>
                <w:sz w:val="24"/>
                <w:szCs w:val="24"/>
              </w:rPr>
            </w:pPr>
            <w:r>
              <w:rPr>
                <w:rFonts w:ascii="宋体" w:hAnsi="宋体" w:eastAsia="宋体" w:cs="宋体"/>
                <w:bCs/>
                <w:sz w:val="24"/>
                <w:szCs w:val="24"/>
              </w:rPr>
              <w:t>12</w:t>
            </w:r>
          </w:p>
        </w:tc>
        <w:tc>
          <w:tcPr>
            <w:tcW w:w="2200" w:type="dxa"/>
          </w:tcPr>
          <w:p>
            <w:pPr>
              <w:pStyle w:val="13"/>
              <w:jc w:val="both"/>
              <w:rPr>
                <w:rFonts w:hint="default" w:ascii="宋体" w:hAnsi="宋体" w:eastAsia="宋体" w:cs="宋体"/>
                <w:bCs/>
                <w:sz w:val="24"/>
                <w:szCs w:val="24"/>
              </w:rPr>
            </w:pPr>
            <w:r>
              <w:rPr>
                <w:rFonts w:ascii="宋体" w:hAnsi="宋体" w:eastAsia="宋体" w:cs="宋体"/>
                <w:bCs/>
                <w:sz w:val="24"/>
                <w:szCs w:val="24"/>
              </w:rPr>
              <w:t>19</w:t>
            </w:r>
          </w:p>
        </w:tc>
        <w:tc>
          <w:tcPr>
            <w:tcW w:w="5344" w:type="dxa"/>
          </w:tcPr>
          <w:p>
            <w:pPr>
              <w:pStyle w:val="13"/>
              <w:jc w:val="both"/>
              <w:rPr>
                <w:rFonts w:hint="default" w:ascii="宋体" w:hAnsi="宋体" w:eastAsia="宋体" w:cs="宋体"/>
                <w:bCs/>
                <w:sz w:val="24"/>
                <w:szCs w:val="24"/>
              </w:rPr>
            </w:pPr>
            <w:r>
              <w:rPr>
                <w:rFonts w:ascii="宋体" w:hAnsi="宋体" w:eastAsia="宋体" w:cs="宋体"/>
                <w:bCs/>
                <w:sz w:val="24"/>
                <w:szCs w:val="24"/>
              </w:rPr>
              <w:t>其他事项：</w:t>
            </w:r>
          </w:p>
          <w:p>
            <w:pPr>
              <w:pStyle w:val="13"/>
              <w:jc w:val="both"/>
              <w:rPr>
                <w:rFonts w:hint="default" w:ascii="宋体" w:hAnsi="宋体" w:eastAsia="宋体" w:cs="宋体"/>
                <w:bCs/>
                <w:sz w:val="24"/>
                <w:szCs w:val="24"/>
              </w:rPr>
            </w:pPr>
            <w:r>
              <w:rPr>
                <w:rFonts w:ascii="宋体" w:hAnsi="宋体" w:eastAsia="宋体" w:cs="宋体"/>
                <w:bCs/>
                <w:sz w:val="24"/>
                <w:szCs w:val="24"/>
              </w:rPr>
              <w:t>(1)本项目代理服务费：</w:t>
            </w:r>
          </w:p>
          <w:p>
            <w:pPr>
              <w:pStyle w:val="13"/>
              <w:jc w:val="both"/>
              <w:rPr>
                <w:rFonts w:hint="default" w:ascii="宋体" w:hAnsi="宋体" w:eastAsia="宋体" w:cs="宋体"/>
                <w:bCs/>
                <w:sz w:val="24"/>
                <w:szCs w:val="24"/>
              </w:rPr>
            </w:pPr>
            <w:r>
              <w:rPr>
                <w:rFonts w:ascii="宋体" w:hAnsi="宋体" w:eastAsia="宋体" w:cs="宋体"/>
                <w:bCs/>
                <w:sz w:val="24"/>
                <w:szCs w:val="24"/>
              </w:rPr>
              <w:t>代理服务费用收取对象：中标/成交供应商</w:t>
            </w:r>
          </w:p>
          <w:p>
            <w:pPr>
              <w:pStyle w:val="13"/>
              <w:jc w:val="both"/>
              <w:rPr>
                <w:rFonts w:hint="default" w:ascii="宋体" w:hAnsi="宋体" w:eastAsia="宋体" w:cs="宋体"/>
                <w:bCs/>
                <w:sz w:val="24"/>
                <w:szCs w:val="24"/>
              </w:rPr>
            </w:pPr>
            <w:r>
              <w:rPr>
                <w:rFonts w:ascii="宋体" w:hAnsi="宋体" w:eastAsia="宋体" w:cs="宋体"/>
                <w:bCs/>
                <w:sz w:val="24"/>
                <w:szCs w:val="24"/>
              </w:rPr>
              <w:t>代理服务费收费标准：1）以中标通知书规定的中标金额作为收费的计算基数，按差额定率累进法计算。2）收费费率标准：中标金额（万元）100以下，收费费率标准1.5％；中标金额（万元）100-500，收费费率标准</w:t>
            </w:r>
            <w:r>
              <w:rPr>
                <w:rFonts w:ascii="宋体" w:hAnsi="宋体" w:eastAsia="宋体" w:cs="宋体"/>
                <w:bCs/>
                <w:sz w:val="24"/>
                <w:szCs w:val="24"/>
                <w:lang w:eastAsia="zh-CN"/>
              </w:rPr>
              <w:t>1.1</w:t>
            </w:r>
            <w:r>
              <w:rPr>
                <w:rFonts w:ascii="宋体" w:hAnsi="宋体" w:eastAsia="宋体" w:cs="宋体"/>
                <w:bCs/>
                <w:sz w:val="24"/>
                <w:szCs w:val="24"/>
              </w:rPr>
              <w:t>％，中标金额（万元）500-1000，收费费率标准0.</w:t>
            </w:r>
            <w:r>
              <w:rPr>
                <w:rFonts w:ascii="宋体" w:hAnsi="宋体" w:eastAsia="宋体" w:cs="宋体"/>
                <w:bCs/>
                <w:sz w:val="24"/>
                <w:szCs w:val="24"/>
                <w:lang w:eastAsia="zh-CN"/>
              </w:rPr>
              <w:t>8</w:t>
            </w:r>
            <w:r>
              <w:rPr>
                <w:rFonts w:ascii="宋体" w:hAnsi="宋体" w:eastAsia="宋体" w:cs="宋体"/>
                <w:bCs/>
                <w:sz w:val="24"/>
                <w:szCs w:val="24"/>
              </w:rPr>
              <w:t>%，中标金额（万元）1000-5000，收费费率标准0.</w:t>
            </w:r>
            <w:r>
              <w:rPr>
                <w:rFonts w:ascii="宋体" w:hAnsi="宋体" w:eastAsia="宋体" w:cs="宋体"/>
                <w:bCs/>
                <w:sz w:val="24"/>
                <w:szCs w:val="24"/>
                <w:lang w:eastAsia="zh-CN"/>
              </w:rPr>
              <w:t>5</w:t>
            </w:r>
            <w:r>
              <w:rPr>
                <w:rFonts w:ascii="宋体" w:hAnsi="宋体" w:eastAsia="宋体" w:cs="宋体"/>
                <w:bCs/>
                <w:sz w:val="24"/>
                <w:szCs w:val="24"/>
              </w:rPr>
              <w:t>%；...（3）代理服务费的交纳方式： a. 中标人应在领取中标通知书的同时按规定的标准一次性向采购代理机构缴清中标服务费。 b. 招标代理服务费以银行转账、电汇、汇票或现金等付款方式交纳。 （4）招标代理服务费缴交账号： 开户名：福建信发招标代理有限公司泉州分公司 开户行：石狮农村商业银行股份有限公司华山支行 账 号：9070611080010000018159</w:t>
            </w:r>
          </w:p>
          <w:p>
            <w:pPr>
              <w:pStyle w:val="13"/>
              <w:jc w:val="both"/>
              <w:rPr>
                <w:rFonts w:hint="default" w:ascii="宋体" w:hAnsi="宋体" w:eastAsia="宋体" w:cs="宋体"/>
                <w:bCs/>
                <w:sz w:val="24"/>
                <w:szCs w:val="24"/>
              </w:rPr>
            </w:pPr>
            <w:r>
              <w:rPr>
                <w:rFonts w:ascii="宋体" w:hAnsi="宋体" w:eastAsia="宋体" w:cs="宋体"/>
                <w:bCs/>
                <w:sz w:val="24"/>
                <w:szCs w:val="24"/>
              </w:rPr>
              <w:t>(2)其他：</w:t>
            </w:r>
          </w:p>
          <w:p>
            <w:pPr>
              <w:pStyle w:val="13"/>
              <w:jc w:val="both"/>
              <w:rPr>
                <w:rFonts w:hint="default" w:ascii="宋体" w:hAnsi="宋体" w:eastAsia="宋体" w:cs="宋体"/>
                <w:bCs/>
                <w:sz w:val="24"/>
                <w:szCs w:val="24"/>
              </w:rPr>
            </w:pPr>
            <w:r>
              <w:rPr>
                <w:rFonts w:ascii="宋体" w:hAnsi="宋体" w:eastAsia="宋体" w:cs="宋体"/>
                <w:bCs/>
                <w:sz w:val="24"/>
                <w:szCs w:val="24"/>
                <w:lang w:eastAsia="zh-CN"/>
              </w:rPr>
              <w:t>1）</w:t>
            </w:r>
            <w:r>
              <w:rPr>
                <w:rFonts w:ascii="宋体" w:hAnsi="宋体" w:eastAsia="宋体" w:cs="宋体"/>
                <w:bCs/>
                <w:sz w:val="24"/>
                <w:szCs w:val="24"/>
              </w:rPr>
              <w:t>投标人必须对其投标文件中提供各种资料、说明的真实性负责。在评标过程中，如有发现投标人有为谋取中标而提供虚假资料欺骗采购人和评委的行为，将取消其中标资格，其投标保证金将不予退还。若在中标后和执行合同过程中发现其提供虚假资料的将取消其中标资格，给采购人造成损失的，还必须进行赔偿并负相关责任。评标过程中无论是否有对原件进行核实，投标人都必须对其提供各种资料、说明的真实性负责。</w:t>
            </w:r>
            <w:r>
              <w:rPr>
                <w:rFonts w:ascii="宋体" w:hAnsi="宋体" w:eastAsia="宋体" w:cs="宋体"/>
                <w:bCs/>
                <w:sz w:val="24"/>
                <w:szCs w:val="24"/>
                <w:lang w:eastAsia="zh-CN"/>
              </w:rPr>
              <w:t>2）</w:t>
            </w:r>
            <w:r>
              <w:rPr>
                <w:rFonts w:ascii="宋体" w:hAnsi="宋体" w:eastAsia="宋体" w:cs="宋体"/>
                <w:bCs/>
                <w:sz w:val="24"/>
                <w:szCs w:val="24"/>
              </w:rPr>
              <w:t>投标人须保障采购人在使用该货物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w:t>
            </w:r>
            <w:r>
              <w:rPr>
                <w:rFonts w:ascii="宋体" w:hAnsi="宋体" w:eastAsia="宋体" w:cs="宋体"/>
                <w:bCs/>
                <w:sz w:val="24"/>
                <w:szCs w:val="24"/>
                <w:lang w:eastAsia="zh-CN"/>
              </w:rPr>
              <w:t>3）</w:t>
            </w:r>
            <w:r>
              <w:rPr>
                <w:rFonts w:ascii="宋体" w:hAnsi="宋体" w:eastAsia="宋体" w:cs="宋体"/>
                <w:bCs/>
                <w:sz w:val="24"/>
                <w:szCs w:val="24"/>
              </w:rPr>
              <w:t>接收质疑函的方式、联系部门、联系电话和通讯地址：①接收质疑函原件的方式：现场方式；②接收质疑函的联系部门：办公室；③接收质疑函的联系电话：0595-28937528；④接收质疑函的通讯地址：泉州市丰泽区东海大街和园临街商铺第8幢3楼278号。</w:t>
            </w:r>
            <w:r>
              <w:rPr>
                <w:rFonts w:ascii="宋体" w:hAnsi="宋体" w:eastAsia="宋体" w:cs="宋体"/>
                <w:bCs/>
                <w:sz w:val="24"/>
                <w:szCs w:val="24"/>
                <w:lang w:eastAsia="zh-CN"/>
              </w:rPr>
              <w:t>4）</w:t>
            </w:r>
            <w:r>
              <w:rPr>
                <w:rFonts w:ascii="宋体" w:hAnsi="宋体" w:eastAsia="宋体" w:cs="宋体"/>
                <w:bCs/>
                <w:sz w:val="24"/>
                <w:szCs w:val="24"/>
              </w:rPr>
              <w:t>投标人出现 《福建省财政厅关于电子化政府采购项目中视为串标情形认定与处理的指导意见》（闽财购〔2018〕30号）文中规定的视为串标情形的，其投标无效。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71" w:type="dxa"/>
            <w:gridSpan w:val="2"/>
          </w:tcPr>
          <w:p>
            <w:pPr>
              <w:pStyle w:val="13"/>
              <w:jc w:val="both"/>
              <w:rPr>
                <w:rFonts w:hint="default" w:ascii="宋体" w:hAnsi="宋体" w:eastAsia="宋体" w:cs="宋体"/>
                <w:bCs/>
                <w:sz w:val="24"/>
                <w:szCs w:val="24"/>
              </w:rPr>
            </w:pPr>
            <w:r>
              <w:rPr>
                <w:rFonts w:ascii="宋体" w:hAnsi="宋体" w:eastAsia="宋体" w:cs="宋体"/>
                <w:bCs/>
                <w:sz w:val="24"/>
                <w:szCs w:val="24"/>
              </w:rPr>
              <w:t>备注</w:t>
            </w:r>
          </w:p>
        </w:tc>
        <w:tc>
          <w:tcPr>
            <w:tcW w:w="5344" w:type="dxa"/>
          </w:tcPr>
          <w:p>
            <w:pPr>
              <w:pStyle w:val="13"/>
              <w:jc w:val="both"/>
              <w:rPr>
                <w:rFonts w:hint="default" w:ascii="宋体" w:hAnsi="宋体" w:eastAsia="宋体" w:cs="宋体"/>
                <w:bCs/>
                <w:sz w:val="24"/>
                <w:szCs w:val="24"/>
              </w:rPr>
            </w:pPr>
            <w:r>
              <w:rPr>
                <w:rFonts w:ascii="宋体" w:hAnsi="宋体" w:eastAsia="宋体" w:cs="宋体"/>
                <w:bCs/>
                <w:sz w:val="24"/>
                <w:szCs w:val="24"/>
              </w:rPr>
              <w:t>后有投标人须知前附表2，请勿遗漏。</w:t>
            </w:r>
          </w:p>
        </w:tc>
      </w:tr>
    </w:tbl>
    <w:p>
      <w:pPr>
        <w:pStyle w:val="13"/>
        <w:jc w:val="both"/>
        <w:outlineLvl w:val="2"/>
        <w:rPr>
          <w:rFonts w:hint="default"/>
          <w:b/>
          <w:sz w:val="28"/>
        </w:rPr>
      </w:pPr>
    </w:p>
    <w:p>
      <w:pPr>
        <w:pStyle w:val="13"/>
        <w:jc w:val="both"/>
        <w:outlineLvl w:val="2"/>
        <w:rPr>
          <w:rFonts w:hint="default"/>
        </w:rPr>
      </w:pPr>
      <w:r>
        <w:rPr>
          <w:b/>
          <w:sz w:val="28"/>
        </w:rPr>
        <w:t>二、投标人须知前附表2</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1"/>
        <w:gridCol w:w="6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4" w:type="dxa"/>
            <w:gridSpan w:val="2"/>
          </w:tcPr>
          <w:p>
            <w:pPr>
              <w:pStyle w:val="13"/>
              <w:jc w:val="both"/>
              <w:rPr>
                <w:rFonts w:hint="default" w:ascii="宋体" w:hAnsi="宋体" w:eastAsia="宋体" w:cs="宋体"/>
                <w:bCs/>
                <w:sz w:val="24"/>
                <w:szCs w:val="24"/>
              </w:rPr>
            </w:pPr>
            <w:r>
              <w:rPr>
                <w:rFonts w:ascii="宋体" w:hAnsi="宋体" w:eastAsia="宋体" w:cs="宋体"/>
                <w:bCs/>
                <w:sz w:val="24"/>
                <w:szCs w:val="24"/>
              </w:rPr>
              <w:t>关于电子招标投标活动的专门规定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2231" w:type="dxa"/>
          </w:tcPr>
          <w:p>
            <w:pPr>
              <w:pStyle w:val="13"/>
              <w:jc w:val="both"/>
              <w:rPr>
                <w:rFonts w:hint="default" w:ascii="宋体" w:hAnsi="宋体" w:eastAsia="宋体" w:cs="宋体"/>
                <w:bCs/>
                <w:sz w:val="24"/>
                <w:szCs w:val="24"/>
              </w:rPr>
            </w:pPr>
            <w:r>
              <w:rPr>
                <w:rFonts w:ascii="宋体" w:hAnsi="宋体" w:eastAsia="宋体" w:cs="宋体"/>
                <w:bCs/>
                <w:sz w:val="24"/>
                <w:szCs w:val="24"/>
              </w:rPr>
              <w:t>序号</w:t>
            </w:r>
          </w:p>
        </w:tc>
        <w:tc>
          <w:tcPr>
            <w:tcW w:w="6273" w:type="dxa"/>
          </w:tcPr>
          <w:p>
            <w:pPr>
              <w:pStyle w:val="13"/>
              <w:jc w:val="both"/>
              <w:rPr>
                <w:rFonts w:hint="default" w:ascii="宋体" w:hAnsi="宋体" w:eastAsia="宋体" w:cs="宋体"/>
                <w:bCs/>
                <w:sz w:val="24"/>
                <w:szCs w:val="24"/>
              </w:rPr>
            </w:pPr>
            <w:r>
              <w:rPr>
                <w:rFonts w:ascii="宋体" w:hAnsi="宋体" w:eastAsia="宋体" w:cs="宋体"/>
                <w:bCs/>
                <w:sz w:val="24"/>
                <w:szCs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1" w:type="dxa"/>
          </w:tcPr>
          <w:p>
            <w:pPr>
              <w:pStyle w:val="13"/>
              <w:jc w:val="both"/>
              <w:rPr>
                <w:rFonts w:hint="default" w:ascii="宋体" w:hAnsi="宋体" w:eastAsia="宋体" w:cs="宋体"/>
                <w:bCs/>
                <w:sz w:val="24"/>
                <w:szCs w:val="24"/>
              </w:rPr>
            </w:pPr>
            <w:r>
              <w:rPr>
                <w:rFonts w:ascii="宋体" w:hAnsi="宋体" w:eastAsia="宋体" w:cs="宋体"/>
                <w:bCs/>
                <w:sz w:val="24"/>
                <w:szCs w:val="24"/>
              </w:rPr>
              <w:t>1</w:t>
            </w:r>
          </w:p>
        </w:tc>
        <w:tc>
          <w:tcPr>
            <w:tcW w:w="6273" w:type="dxa"/>
          </w:tcPr>
          <w:p>
            <w:pPr>
              <w:pStyle w:val="13"/>
              <w:jc w:val="both"/>
              <w:rPr>
                <w:rFonts w:hint="default" w:ascii="宋体" w:hAnsi="宋体" w:eastAsia="宋体" w:cs="宋体"/>
                <w:bCs/>
                <w:sz w:val="24"/>
                <w:szCs w:val="24"/>
              </w:rPr>
            </w:pPr>
            <w:r>
              <w:rPr>
                <w:rFonts w:ascii="宋体" w:hAnsi="宋体" w:eastAsia="宋体" w:cs="宋体"/>
                <w:bCs/>
                <w:sz w:val="24"/>
                <w:szCs w:val="24"/>
              </w:rPr>
              <w:t>（1）电子招标投标活动的专门规定适用本项目电子招标投标活动。</w:t>
            </w:r>
          </w:p>
          <w:p>
            <w:pPr>
              <w:pStyle w:val="13"/>
              <w:jc w:val="both"/>
              <w:rPr>
                <w:rFonts w:hint="default" w:ascii="宋体" w:hAnsi="宋体" w:eastAsia="宋体" w:cs="宋体"/>
                <w:bCs/>
                <w:sz w:val="24"/>
                <w:szCs w:val="24"/>
              </w:rPr>
            </w:pPr>
            <w:r>
              <w:rPr>
                <w:rFonts w:ascii="宋体" w:hAnsi="宋体" w:eastAsia="宋体" w:cs="宋体"/>
                <w:bCs/>
                <w:sz w:val="24"/>
                <w:szCs w:val="24"/>
              </w:rPr>
              <w:t>（2）将招标文件</w:t>
            </w:r>
          </w:p>
          <w:p>
            <w:pPr>
              <w:pStyle w:val="13"/>
              <w:jc w:val="both"/>
              <w:rPr>
                <w:rFonts w:hint="default" w:ascii="宋体" w:hAnsi="宋体" w:eastAsia="宋体" w:cs="宋体"/>
                <w:bCs/>
                <w:sz w:val="24"/>
                <w:szCs w:val="24"/>
              </w:rPr>
            </w:pPr>
            <w:r>
              <w:rPr>
                <w:rFonts w:ascii="宋体" w:hAnsi="宋体" w:eastAsia="宋体" w:cs="宋体"/>
                <w:bCs/>
                <w:sz w:val="24"/>
                <w:szCs w:val="24"/>
              </w:rPr>
              <w:t>无的内容修正为下列内容：</w:t>
            </w:r>
          </w:p>
          <w:p>
            <w:pPr>
              <w:pStyle w:val="13"/>
              <w:jc w:val="both"/>
              <w:rPr>
                <w:rFonts w:hint="default" w:ascii="宋体" w:hAnsi="宋体" w:eastAsia="宋体" w:cs="宋体"/>
                <w:bCs/>
                <w:sz w:val="24"/>
                <w:szCs w:val="24"/>
              </w:rPr>
            </w:pPr>
            <w:r>
              <w:rPr>
                <w:rFonts w:ascii="宋体" w:hAnsi="宋体" w:eastAsia="宋体" w:cs="宋体"/>
                <w:bCs/>
                <w:sz w:val="24"/>
                <w:szCs w:val="24"/>
              </w:rPr>
              <w:t>无后适用本项目的电子招标投标活动。</w:t>
            </w:r>
          </w:p>
          <w:p>
            <w:pPr>
              <w:pStyle w:val="13"/>
              <w:jc w:val="both"/>
              <w:rPr>
                <w:rFonts w:hint="default" w:ascii="宋体" w:hAnsi="宋体" w:eastAsia="宋体" w:cs="宋体"/>
                <w:bCs/>
                <w:sz w:val="24"/>
                <w:szCs w:val="24"/>
              </w:rPr>
            </w:pPr>
            <w:r>
              <w:rPr>
                <w:rFonts w:ascii="宋体" w:hAnsi="宋体" w:eastAsia="宋体" w:cs="宋体"/>
                <w:bCs/>
                <w:sz w:val="24"/>
                <w:szCs w:val="24"/>
              </w:rPr>
              <w:t>（3）将下列内容增列为招标文件的组成部分（以下简称：“增列内容”）适用本项目的电子招标投标活动，若增列内容与招标文件其他章节内容有冲突，应以增列内容为准：</w:t>
            </w:r>
          </w:p>
          <w:p>
            <w:pPr>
              <w:pStyle w:val="13"/>
              <w:jc w:val="both"/>
              <w:rPr>
                <w:rFonts w:hint="default" w:ascii="宋体" w:hAnsi="宋体" w:eastAsia="宋体" w:cs="宋体"/>
                <w:bCs/>
                <w:sz w:val="24"/>
                <w:szCs w:val="24"/>
              </w:rPr>
            </w:pPr>
            <w:r>
              <w:rPr>
                <w:rFonts w:ascii="宋体" w:hAnsi="宋体" w:eastAsia="宋体" w:cs="宋体"/>
                <w:bCs/>
                <w:sz w:val="24"/>
                <w:szCs w:val="24"/>
              </w:rPr>
              <w:t>①电子招标投标活动的具体操作流程以福建省政府采购网上公开信息系统设定的为准。</w:t>
            </w:r>
          </w:p>
          <w:p>
            <w:pPr>
              <w:pStyle w:val="13"/>
              <w:jc w:val="both"/>
              <w:rPr>
                <w:rFonts w:hint="default" w:ascii="宋体" w:hAnsi="宋体" w:eastAsia="宋体" w:cs="宋体"/>
                <w:bCs/>
                <w:sz w:val="24"/>
                <w:szCs w:val="24"/>
              </w:rPr>
            </w:pPr>
            <w:r>
              <w:rPr>
                <w:rFonts w:ascii="宋体" w:hAnsi="宋体" w:eastAsia="宋体" w:cs="宋体"/>
                <w:bCs/>
                <w:sz w:val="24"/>
                <w:szCs w:val="24"/>
              </w:rPr>
              <w:t>②关于电子投标文件：</w:t>
            </w:r>
          </w:p>
          <w:p>
            <w:pPr>
              <w:pStyle w:val="13"/>
              <w:jc w:val="both"/>
              <w:rPr>
                <w:rFonts w:hint="default" w:ascii="宋体" w:hAnsi="宋体" w:eastAsia="宋体" w:cs="宋体"/>
                <w:bCs/>
                <w:sz w:val="24"/>
                <w:szCs w:val="24"/>
              </w:rPr>
            </w:pPr>
            <w:r>
              <w:rPr>
                <w:rFonts w:ascii="宋体" w:hAnsi="宋体" w:eastAsia="宋体" w:cs="宋体"/>
                <w:bCs/>
                <w:sz w:val="24"/>
                <w:szCs w:val="24"/>
              </w:rPr>
              <w:t>a.投标人应按照福建省政府采购网上公开信息系统设定的评审节点编制电子投标文件，否则资格审查小组、评标委员会将按照不利于投标人的内容进行认定。</w:t>
            </w:r>
          </w:p>
          <w:p>
            <w:pPr>
              <w:pStyle w:val="13"/>
              <w:jc w:val="both"/>
              <w:rPr>
                <w:rFonts w:hint="default" w:ascii="宋体" w:hAnsi="宋体" w:eastAsia="宋体" w:cs="宋体"/>
                <w:bCs/>
                <w:sz w:val="24"/>
                <w:szCs w:val="24"/>
              </w:rPr>
            </w:pPr>
            <w:r>
              <w:rPr>
                <w:rFonts w:ascii="宋体" w:hAnsi="宋体" w:eastAsia="宋体" w:cs="宋体"/>
                <w:bCs/>
                <w:sz w:val="24"/>
                <w:szCs w:val="24"/>
              </w:rPr>
              <w:t>b.投标人应在投标截止时间前按照福建省政府采购网上公开信息系统设定的操作流程将电子投标文件1份上传至福建省政府采购网上公开信息系统。电子投标文件的分项报价一览表、投标客户端的分项报价一览表应保持一致，并以投标客户端的分项报价一览表为准。</w:t>
            </w:r>
          </w:p>
          <w:p>
            <w:pPr>
              <w:pStyle w:val="13"/>
              <w:jc w:val="both"/>
              <w:rPr>
                <w:rFonts w:hint="default" w:ascii="宋体" w:hAnsi="宋体" w:eastAsia="宋体" w:cs="宋体"/>
                <w:bCs/>
                <w:sz w:val="24"/>
                <w:szCs w:val="24"/>
              </w:rPr>
            </w:pPr>
            <w:r>
              <w:rPr>
                <w:rFonts w:ascii="宋体" w:hAnsi="宋体" w:eastAsia="宋体" w:cs="宋体"/>
                <w:bCs/>
                <w:sz w:val="24"/>
                <w:szCs w:val="24"/>
              </w:rPr>
              <w:t>③关于证明材料或资料：</w:t>
            </w:r>
          </w:p>
          <w:p>
            <w:pPr>
              <w:pStyle w:val="13"/>
              <w:jc w:val="both"/>
              <w:rPr>
                <w:rFonts w:hint="default" w:ascii="宋体" w:hAnsi="宋体" w:eastAsia="宋体" w:cs="宋体"/>
                <w:bCs/>
                <w:sz w:val="24"/>
                <w:szCs w:val="24"/>
              </w:rPr>
            </w:pPr>
            <w:r>
              <w:rPr>
                <w:rFonts w:ascii="宋体" w:hAnsi="宋体" w:eastAsia="宋体" w:cs="宋体"/>
                <w:bCs/>
                <w:sz w:val="24"/>
                <w:szCs w:val="24"/>
              </w:rPr>
              <w:t>a.招标文件要求原件的，投标人在电子投标文件中可提供复印件（含扫描件），但同时应准备好原件备查（未能在规定时间内提供原件核查的，将按不利于投标人进行评审）；招标文件要求复印件的，投标人在电子投标文件中提供原件、复印件（含扫描件）皆可；招标文件对原件、复印件未作要求的，投标人在电子投标文件中提供原件、复印件（含扫描件）皆可。</w:t>
            </w:r>
          </w:p>
          <w:p>
            <w:pPr>
              <w:pStyle w:val="13"/>
              <w:jc w:val="both"/>
              <w:rPr>
                <w:rFonts w:hint="default" w:ascii="宋体" w:hAnsi="宋体" w:eastAsia="宋体" w:cs="宋体"/>
                <w:bCs/>
                <w:sz w:val="24"/>
                <w:szCs w:val="24"/>
              </w:rPr>
            </w:pPr>
            <w:r>
              <w:rPr>
                <w:rFonts w:ascii="宋体" w:hAnsi="宋体" w:eastAsia="宋体" w:cs="宋体"/>
                <w:bCs/>
                <w:sz w:val="24"/>
                <w:szCs w:val="24"/>
              </w:rPr>
              <w:t>b.若投标人提供注明“复印件无效”或“复印无效”的证明材料或资料，应结合上文a条款进行判定，若招标文件未要求投标人提供原件，投标人提供原件，复印件（含扫描件）均视为满足招标文件要求。</w:t>
            </w:r>
          </w:p>
          <w:p>
            <w:pPr>
              <w:pStyle w:val="13"/>
              <w:jc w:val="both"/>
              <w:rPr>
                <w:rFonts w:hint="default" w:ascii="宋体" w:hAnsi="宋体" w:eastAsia="宋体" w:cs="宋体"/>
                <w:bCs/>
                <w:sz w:val="24"/>
                <w:szCs w:val="24"/>
              </w:rPr>
            </w:pPr>
            <w:r>
              <w:rPr>
                <w:rFonts w:ascii="宋体" w:hAnsi="宋体" w:eastAsia="宋体" w:cs="宋体"/>
                <w:bCs/>
                <w:sz w:val="24"/>
                <w:szCs w:val="24"/>
              </w:rPr>
              <w:t>④关于“全称”、“投标人代表签字”及“加盖单位公章”：</w:t>
            </w:r>
          </w:p>
          <w:p>
            <w:pPr>
              <w:pStyle w:val="13"/>
              <w:jc w:val="both"/>
              <w:rPr>
                <w:rFonts w:hint="default" w:ascii="宋体" w:hAnsi="宋体" w:eastAsia="宋体" w:cs="宋体"/>
                <w:bCs/>
                <w:sz w:val="24"/>
                <w:szCs w:val="24"/>
              </w:rPr>
            </w:pPr>
            <w:r>
              <w:rPr>
                <w:rFonts w:ascii="宋体" w:hAnsi="宋体" w:eastAsia="宋体" w:cs="宋体"/>
                <w:bCs/>
                <w:sz w:val="24"/>
                <w:szCs w:val="24"/>
              </w:rPr>
              <w:t>a.在电子投标文件中，涉及“全称”和“投标人代表签字”的内容可使用打字录入方式完成。</w:t>
            </w:r>
          </w:p>
          <w:p>
            <w:pPr>
              <w:pStyle w:val="13"/>
              <w:jc w:val="both"/>
              <w:rPr>
                <w:rFonts w:hint="default" w:ascii="宋体" w:hAnsi="宋体" w:eastAsia="宋体" w:cs="宋体"/>
                <w:bCs/>
                <w:sz w:val="24"/>
                <w:szCs w:val="24"/>
              </w:rPr>
            </w:pPr>
            <w:r>
              <w:rPr>
                <w:rFonts w:ascii="宋体" w:hAnsi="宋体" w:eastAsia="宋体" w:cs="宋体"/>
                <w:bCs/>
                <w:sz w:val="24"/>
                <w:szCs w:val="24"/>
              </w:rPr>
              <w:t>b.在电子投标文件中，涉及“加盖单位公章”的内容应使用投标人的CA证书完成，否则投标无效。</w:t>
            </w:r>
          </w:p>
          <w:p>
            <w:pPr>
              <w:pStyle w:val="13"/>
              <w:jc w:val="both"/>
              <w:rPr>
                <w:rFonts w:hint="default" w:ascii="宋体" w:hAnsi="宋体" w:eastAsia="宋体" w:cs="宋体"/>
                <w:bCs/>
                <w:sz w:val="24"/>
                <w:szCs w:val="24"/>
              </w:rPr>
            </w:pPr>
            <w:r>
              <w:rPr>
                <w:rFonts w:ascii="宋体" w:hAnsi="宋体" w:eastAsia="宋体" w:cs="宋体"/>
                <w:bCs/>
                <w:sz w:val="24"/>
                <w:szCs w:val="24"/>
              </w:rPr>
              <w:t>c.在电子投标文件中，若投标人按照本增列内容第④点第b项规定加盖其单位公章，则出现无全称、或投标人代表未签字等情形，不视为投标无效。</w:t>
            </w:r>
          </w:p>
          <w:p>
            <w:pPr>
              <w:pStyle w:val="13"/>
              <w:jc w:val="both"/>
              <w:rPr>
                <w:rFonts w:hint="default" w:ascii="宋体" w:hAnsi="宋体" w:eastAsia="宋体" w:cs="宋体"/>
                <w:bCs/>
                <w:sz w:val="24"/>
                <w:szCs w:val="24"/>
              </w:rPr>
            </w:pPr>
            <w:r>
              <w:rPr>
                <w:rFonts w:ascii="宋体" w:hAnsi="宋体" w:eastAsia="宋体" w:cs="宋体"/>
                <w:bCs/>
                <w:sz w:val="24"/>
                <w:szCs w:val="24"/>
              </w:rPr>
              <w:t>⑤关于投标人的CA证书：</w:t>
            </w:r>
          </w:p>
          <w:p>
            <w:pPr>
              <w:pStyle w:val="13"/>
              <w:jc w:val="both"/>
              <w:rPr>
                <w:rFonts w:hint="default" w:ascii="宋体" w:hAnsi="宋体" w:eastAsia="宋体" w:cs="宋体"/>
                <w:bCs/>
                <w:sz w:val="24"/>
                <w:szCs w:val="24"/>
              </w:rPr>
            </w:pPr>
            <w:r>
              <w:rPr>
                <w:rFonts w:ascii="宋体" w:hAnsi="宋体" w:eastAsia="宋体" w:cs="宋体"/>
                <w:bCs/>
                <w:sz w:val="24"/>
                <w:szCs w:val="24"/>
              </w:rPr>
              <w:t>a.投标人的CA证书应在系统规定时间内使用CA证书进行电子投标文件的解密操作，逾期未解密的视为放弃投标。</w:t>
            </w:r>
          </w:p>
          <w:p>
            <w:pPr>
              <w:pStyle w:val="13"/>
              <w:jc w:val="both"/>
              <w:rPr>
                <w:rFonts w:hint="default" w:ascii="宋体" w:hAnsi="宋体" w:eastAsia="宋体" w:cs="宋体"/>
                <w:bCs/>
                <w:sz w:val="24"/>
                <w:szCs w:val="24"/>
              </w:rPr>
            </w:pPr>
            <w:r>
              <w:rPr>
                <w:rFonts w:ascii="宋体" w:hAnsi="宋体" w:eastAsia="宋体" w:cs="宋体"/>
                <w:bCs/>
                <w:sz w:val="24"/>
                <w:szCs w:val="24"/>
              </w:rPr>
              <w:t>b.投标人的CA证书可采用信封（包括但不限于：信封、档案袋、文件袋等）作为外包装进行单独包装。外包装密封、不密封皆可。</w:t>
            </w:r>
          </w:p>
          <w:p>
            <w:pPr>
              <w:pStyle w:val="13"/>
              <w:jc w:val="both"/>
              <w:rPr>
                <w:rFonts w:hint="default" w:ascii="宋体" w:hAnsi="宋体" w:eastAsia="宋体" w:cs="宋体"/>
                <w:bCs/>
                <w:sz w:val="24"/>
                <w:szCs w:val="24"/>
              </w:rPr>
            </w:pPr>
            <w:r>
              <w:rPr>
                <w:rFonts w:ascii="宋体" w:hAnsi="宋体" w:eastAsia="宋体" w:cs="宋体"/>
                <w:bCs/>
                <w:sz w:val="24"/>
                <w:szCs w:val="24"/>
              </w:rPr>
              <w:t>c.投标人的CA证书或外包装应标记“项目名称、项目编号、投标人的全称”等内容，以方便识别、使用。</w:t>
            </w:r>
          </w:p>
          <w:p>
            <w:pPr>
              <w:pStyle w:val="13"/>
              <w:jc w:val="both"/>
              <w:rPr>
                <w:rFonts w:hint="default" w:ascii="宋体" w:hAnsi="宋体" w:eastAsia="宋体" w:cs="宋体"/>
                <w:bCs/>
                <w:sz w:val="24"/>
                <w:szCs w:val="24"/>
              </w:rPr>
            </w:pPr>
            <w:r>
              <w:rPr>
                <w:rFonts w:ascii="宋体" w:hAnsi="宋体" w:eastAsia="宋体" w:cs="宋体"/>
                <w:bCs/>
                <w:sz w:val="24"/>
                <w:szCs w:val="24"/>
              </w:rPr>
              <w:t>d.投标人的CA证书应能正常、有效使用，否则产生不利后果由投标人承担责任。</w:t>
            </w:r>
          </w:p>
          <w:p>
            <w:pPr>
              <w:pStyle w:val="13"/>
              <w:jc w:val="both"/>
              <w:rPr>
                <w:rFonts w:hint="default" w:ascii="宋体" w:hAnsi="宋体" w:eastAsia="宋体" w:cs="宋体"/>
                <w:bCs/>
                <w:sz w:val="24"/>
                <w:szCs w:val="24"/>
              </w:rPr>
            </w:pPr>
            <w:r>
              <w:rPr>
                <w:rFonts w:ascii="宋体" w:hAnsi="宋体" w:eastAsia="宋体" w:cs="宋体"/>
                <w:bCs/>
                <w:sz w:val="24"/>
                <w:szCs w:val="24"/>
              </w:rPr>
              <w:t>⑥关于投标截止时间过后</w:t>
            </w:r>
          </w:p>
          <w:p>
            <w:pPr>
              <w:pStyle w:val="13"/>
              <w:jc w:val="both"/>
              <w:rPr>
                <w:rFonts w:hint="default" w:ascii="宋体" w:hAnsi="宋体" w:eastAsia="宋体" w:cs="宋体"/>
                <w:bCs/>
                <w:sz w:val="24"/>
                <w:szCs w:val="24"/>
              </w:rPr>
            </w:pPr>
            <w:r>
              <w:rPr>
                <w:rFonts w:ascii="宋体" w:hAnsi="宋体" w:eastAsia="宋体" w:cs="宋体"/>
                <w:bCs/>
                <w:sz w:val="24"/>
                <w:szCs w:val="24"/>
              </w:rPr>
              <w:t>a.未按招标文件规定提交投标保证金的，其投标将按无效投标处理。</w:t>
            </w:r>
          </w:p>
          <w:p>
            <w:pPr>
              <w:pStyle w:val="13"/>
              <w:jc w:val="both"/>
              <w:rPr>
                <w:rFonts w:hint="default" w:ascii="宋体" w:hAnsi="宋体" w:eastAsia="宋体" w:cs="宋体"/>
                <w:bCs/>
                <w:sz w:val="24"/>
                <w:szCs w:val="24"/>
              </w:rPr>
            </w:pPr>
            <w:r>
              <w:rPr>
                <w:rFonts w:ascii="宋体" w:hAnsi="宋体" w:eastAsia="宋体" w:cs="宋体"/>
                <w:bCs/>
                <w:sz w:val="24"/>
                <w:szCs w:val="24"/>
              </w:rPr>
              <w:t>b.有下列情形之一的，其投标无效,其保证金不予退还或通过投标保函进行索赔：</w:t>
            </w:r>
          </w:p>
          <w:p>
            <w:pPr>
              <w:pStyle w:val="13"/>
              <w:jc w:val="both"/>
              <w:rPr>
                <w:rFonts w:hint="default" w:ascii="宋体" w:hAnsi="宋体" w:eastAsia="宋体" w:cs="宋体"/>
                <w:bCs/>
                <w:sz w:val="24"/>
                <w:szCs w:val="24"/>
              </w:rPr>
            </w:pPr>
            <w:r>
              <w:rPr>
                <w:rFonts w:ascii="宋体" w:hAnsi="宋体" w:eastAsia="宋体" w:cs="宋体"/>
                <w:bCs/>
                <w:sz w:val="24"/>
                <w:szCs w:val="24"/>
              </w:rPr>
              <w:t>b1不同投标人的电子投标文件具有相同内部识别码；</w:t>
            </w:r>
          </w:p>
          <w:p>
            <w:pPr>
              <w:pStyle w:val="13"/>
              <w:jc w:val="both"/>
              <w:rPr>
                <w:rFonts w:hint="default" w:ascii="宋体" w:hAnsi="宋体" w:eastAsia="宋体" w:cs="宋体"/>
                <w:bCs/>
                <w:sz w:val="24"/>
                <w:szCs w:val="24"/>
              </w:rPr>
            </w:pPr>
            <w:r>
              <w:rPr>
                <w:rFonts w:ascii="宋体" w:hAnsi="宋体" w:eastAsia="宋体" w:cs="宋体"/>
                <w:bCs/>
                <w:sz w:val="24"/>
                <w:szCs w:val="24"/>
              </w:rPr>
              <w:t>b2不同投标人的投标保证金从同一单位或个人的账户转出；</w:t>
            </w:r>
          </w:p>
          <w:p>
            <w:pPr>
              <w:pStyle w:val="13"/>
              <w:jc w:val="both"/>
              <w:rPr>
                <w:rFonts w:hint="default" w:ascii="宋体" w:hAnsi="宋体" w:eastAsia="宋体" w:cs="宋体"/>
                <w:bCs/>
                <w:sz w:val="24"/>
                <w:szCs w:val="24"/>
              </w:rPr>
            </w:pPr>
            <w:r>
              <w:rPr>
                <w:rFonts w:ascii="宋体" w:hAnsi="宋体" w:eastAsia="宋体" w:cs="宋体"/>
                <w:bCs/>
                <w:sz w:val="24"/>
                <w:szCs w:val="24"/>
              </w:rPr>
              <w:t>b3投标人的投标保证金同一采购包下有其他投标人提交的投标保证金；</w:t>
            </w:r>
          </w:p>
          <w:p>
            <w:pPr>
              <w:pStyle w:val="13"/>
              <w:jc w:val="both"/>
              <w:rPr>
                <w:rFonts w:hint="default" w:ascii="宋体" w:hAnsi="宋体" w:eastAsia="宋体" w:cs="宋体"/>
                <w:bCs/>
                <w:sz w:val="24"/>
                <w:szCs w:val="24"/>
              </w:rPr>
            </w:pPr>
            <w:r>
              <w:rPr>
                <w:rFonts w:ascii="宋体" w:hAnsi="宋体" w:eastAsia="宋体" w:cs="宋体"/>
                <w:bCs/>
                <w:sz w:val="24"/>
                <w:szCs w:val="24"/>
              </w:rPr>
              <w:t>b4不同投标人存在串通投标的其他情形。</w:t>
            </w:r>
          </w:p>
          <w:p>
            <w:pPr>
              <w:pStyle w:val="13"/>
              <w:jc w:val="both"/>
              <w:rPr>
                <w:rFonts w:hint="default" w:ascii="宋体" w:hAnsi="宋体" w:eastAsia="宋体" w:cs="宋体"/>
                <w:bCs/>
                <w:sz w:val="24"/>
                <w:szCs w:val="24"/>
              </w:rPr>
            </w:pPr>
            <w:r>
              <w:rPr>
                <w:rFonts w:ascii="宋体" w:hAnsi="宋体" w:eastAsia="宋体" w:cs="宋体"/>
                <w:bCs/>
                <w:sz w:val="24"/>
                <w:szCs w:val="24"/>
              </w:rPr>
              <w:t>⑦接受联合体投标且投标人为联合体的，投标人应由“联合体牵头方”完成福建省政府采购网上公开信息系统设定的具体操作流程（包括但不限于：招标文件获取、提交投标保证金、编制电子投标文件等）。</w:t>
            </w:r>
          </w:p>
          <w:p>
            <w:pPr>
              <w:pStyle w:val="13"/>
              <w:jc w:val="both"/>
              <w:rPr>
                <w:rFonts w:hint="default" w:ascii="宋体" w:hAnsi="宋体" w:eastAsia="宋体" w:cs="宋体"/>
                <w:bCs/>
                <w:sz w:val="24"/>
                <w:szCs w:val="24"/>
              </w:rPr>
            </w:pPr>
            <w:r>
              <w:rPr>
                <w:rFonts w:ascii="宋体" w:hAnsi="宋体" w:eastAsia="宋体" w:cs="宋体"/>
                <w:bCs/>
                <w:sz w:val="24"/>
                <w:szCs w:val="24"/>
              </w:rPr>
              <w:t>⑧其他：</w:t>
            </w:r>
          </w:p>
          <w:p>
            <w:pPr>
              <w:pStyle w:val="13"/>
              <w:jc w:val="both"/>
              <w:rPr>
                <w:rFonts w:hint="default" w:ascii="宋体" w:hAnsi="宋体" w:eastAsia="宋体" w:cs="宋体"/>
                <w:bCs/>
                <w:sz w:val="24"/>
                <w:szCs w:val="24"/>
              </w:rPr>
            </w:pPr>
            <w:r>
              <w:rPr>
                <w:rFonts w:ascii="宋体" w:hAnsi="宋体" w:eastAsia="宋体" w:cs="宋体"/>
                <w:bCs/>
                <w:sz w:val="24"/>
                <w:szCs w:val="24"/>
              </w:rPr>
              <w:t>无</w:t>
            </w:r>
          </w:p>
        </w:tc>
      </w:tr>
    </w:tbl>
    <w:p>
      <w:pPr>
        <w:pStyle w:val="13"/>
        <w:jc w:val="both"/>
        <w:rPr>
          <w:rFonts w:hint="default"/>
        </w:rPr>
      </w:pPr>
    </w:p>
    <w:p>
      <w:pPr>
        <w:pStyle w:val="13"/>
        <w:jc w:val="both"/>
        <w:rPr>
          <w:rFonts w:hint="default"/>
        </w:rPr>
      </w:pPr>
      <w:r>
        <w:rPr>
          <w:b/>
        </w:rPr>
        <w:t xml:space="preserve"> </w:t>
      </w: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rPr>
      </w:pPr>
      <w:r>
        <w:rPr>
          <w:b/>
          <w:sz w:val="36"/>
        </w:rPr>
        <w:t>第三章 投标人须知</w:t>
      </w:r>
    </w:p>
    <w:p>
      <w:pPr>
        <w:pStyle w:val="13"/>
        <w:ind w:firstLine="480"/>
        <w:jc w:val="both"/>
        <w:outlineLvl w:val="2"/>
        <w:rPr>
          <w:rFonts w:hint="default"/>
        </w:rPr>
      </w:pPr>
      <w:r>
        <w:rPr>
          <w:b/>
          <w:sz w:val="28"/>
        </w:rPr>
        <w:t>一、总则</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1、适用范围</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1.1适用于招标文件载明项目的政府采购活动（以下简称：“本次采购活动”）。</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2、定义</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2.1“采购标的”指招标文件载明的需要采购的货物或服务。</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2.2“潜在投标人”指按照招标文件第一章第7条规定获取招标文件且有意向参加本项目投标的供应商。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2.3“投标人”指按照招标文件第一章第7条规定获取招标文件并参加本项目投标的供应商。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2.4“单位负责人”指单位法定代表人或法律、法规规定代表单位行使职权的主要负责人。</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2.5“投标人代表”指投标人的单位负责人或“单位负责人授权书”中载明的接受授权方。</w:t>
      </w:r>
    </w:p>
    <w:p>
      <w:pPr>
        <w:pStyle w:val="13"/>
        <w:ind w:firstLine="480"/>
        <w:jc w:val="both"/>
        <w:outlineLvl w:val="2"/>
        <w:rPr>
          <w:rFonts w:hint="default"/>
        </w:rPr>
      </w:pPr>
      <w:r>
        <w:rPr>
          <w:b/>
          <w:sz w:val="28"/>
        </w:rPr>
        <w:t>二、投标人</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3、合格投标人</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3.1一般规定</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（1）投标人应遵守政府采购法及实施条例、政府采购招投标管理办法、政府采购质疑和投诉办法及财政部、福建省财政厅有关政府采购文件的规定，同时还应遵守有关法律、法规和规章的强制性规定。</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（2）投标人的资格要求：详见招标文件第一章。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3.2若本项目接受联合体投标且投标人为联合体，则联合体各方应遵守本章第3.1条规定，同时还应遵守下列规定：</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（1）联合体各方应提交联合体协议，联合体协议应符合招标文件规定。</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（2）联合体各方不得再单独参加或与其他供应商另外组成联合体参加同一合同项下的投标。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（3）联合体各方应共同与采购人签订政府采购合同，就政府采购合同约定的事项对采购人承担连带责任。</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（5）联合体一方放弃中标的，视为联合体整体放弃中标，联合体各方承担连带责任。</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（6）如本项目不接受联合体投标而投标人为联合体的，或者本项目接受联合体投标但投标人组成的联合体不符合本章第3.2条规定的，投标无效。</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4、投标费用</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4.1除招标文件另有规定外，投标人应自行承担其参加本项目投标所涉及的一切费用。</w:t>
      </w:r>
    </w:p>
    <w:p>
      <w:pPr>
        <w:pStyle w:val="13"/>
        <w:ind w:firstLine="480"/>
        <w:jc w:val="both"/>
        <w:outlineLvl w:val="2"/>
        <w:rPr>
          <w:rFonts w:hint="default"/>
        </w:rPr>
      </w:pPr>
      <w:r>
        <w:rPr>
          <w:b/>
          <w:sz w:val="28"/>
        </w:rPr>
        <w:t>三、招标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5、招标文件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5.1招标文件由下述部分组成：</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（1）投标邀请</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（2）投标人须知前附表（表1、2）</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（3）投标人须知</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（4）资格审查与评标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（5）招标内容及要求</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（6）政府采购合同（参考文本）</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（7）电子投标文件格式</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（8）按照招标文件规定作为招标文件组成部分的其他内容（若有）</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5.2招标文件的澄清或修改</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w:t>
      </w:r>
      <w:r>
        <w:rPr>
          <w:rFonts w:ascii="宋体" w:hAnsi="宋体" w:eastAsia="宋体" w:cs="宋体"/>
          <w:bCs/>
          <w:sz w:val="24"/>
          <w:szCs w:val="24"/>
          <w:lang w:eastAsia="zh-CN"/>
        </w:rPr>
        <w:t>福建信发招标代理</w:t>
      </w:r>
      <w:r>
        <w:rPr>
          <w:rFonts w:ascii="宋体" w:hAnsi="宋体" w:eastAsia="宋体" w:cs="宋体"/>
          <w:bCs/>
          <w:sz w:val="24"/>
          <w:szCs w:val="24"/>
        </w:rPr>
        <w:t>有限公司可对已发出的招标文件进行必要的澄清或修改，但不得对招标文件载明的采购标的和投标人的资格要求进行改变。</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（2）除本章第5.2条第（3）款规定情形外，澄清或修改的内容可能影响电子投标文件编制的，</w:t>
      </w:r>
      <w:r>
        <w:rPr>
          <w:rFonts w:ascii="宋体" w:hAnsi="宋体" w:eastAsia="宋体" w:cs="宋体"/>
          <w:bCs/>
          <w:sz w:val="24"/>
          <w:szCs w:val="24"/>
          <w:lang w:eastAsia="zh-CN"/>
        </w:rPr>
        <w:t>福建信发招标代理有限公司</w:t>
      </w:r>
      <w:r>
        <w:rPr>
          <w:rFonts w:ascii="宋体" w:hAnsi="宋体" w:eastAsia="宋体" w:cs="宋体"/>
          <w:bCs/>
          <w:sz w:val="24"/>
          <w:szCs w:val="24"/>
        </w:rPr>
        <w:t>将在投标截止时间至少15个日历日前，在招标文件载明的指定媒体以更正公告的形式发布澄清或修改的内容。不足15个日历日的，</w:t>
      </w:r>
      <w:r>
        <w:rPr>
          <w:rFonts w:ascii="宋体" w:hAnsi="宋体" w:eastAsia="宋体" w:cs="宋体"/>
          <w:bCs/>
          <w:sz w:val="24"/>
          <w:szCs w:val="24"/>
          <w:lang w:eastAsia="zh-CN"/>
        </w:rPr>
        <w:t>福建信发招标代理有限公司</w:t>
      </w:r>
      <w:r>
        <w:rPr>
          <w:rFonts w:ascii="宋体" w:hAnsi="宋体" w:eastAsia="宋体" w:cs="宋体"/>
          <w:bCs/>
          <w:sz w:val="24"/>
          <w:szCs w:val="24"/>
        </w:rPr>
        <w:t>将顺延投标截止时间及开标时间，</w:t>
      </w:r>
      <w:r>
        <w:rPr>
          <w:rFonts w:ascii="宋体" w:hAnsi="宋体" w:eastAsia="宋体" w:cs="宋体"/>
          <w:bCs/>
          <w:sz w:val="24"/>
          <w:szCs w:val="24"/>
          <w:lang w:eastAsia="zh-CN"/>
        </w:rPr>
        <w:t>福建信发招标代理有限公司</w:t>
      </w:r>
      <w:r>
        <w:rPr>
          <w:rFonts w:ascii="宋体" w:hAnsi="宋体" w:eastAsia="宋体" w:cs="宋体"/>
          <w:bCs/>
          <w:sz w:val="24"/>
          <w:szCs w:val="24"/>
        </w:rPr>
        <w:t>和投标人受原投标截止时间及开标时间制约的所有权利和义务均延长至新的投标截止时间及开标时间。</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（3）澄清或修改的内容可能改变招标文件载明的采购标的和投标人的资格要求的，本次采购活动结束，</w:t>
      </w:r>
      <w:r>
        <w:rPr>
          <w:rFonts w:ascii="宋体" w:hAnsi="宋体" w:eastAsia="宋体" w:cs="宋体"/>
          <w:bCs/>
          <w:sz w:val="24"/>
          <w:szCs w:val="24"/>
          <w:lang w:eastAsia="zh-CN"/>
        </w:rPr>
        <w:t>福建信发招标代理有限公司</w:t>
      </w:r>
      <w:r>
        <w:rPr>
          <w:rFonts w:ascii="宋体" w:hAnsi="宋体" w:eastAsia="宋体" w:cs="宋体"/>
          <w:bCs/>
          <w:sz w:val="24"/>
          <w:szCs w:val="24"/>
        </w:rPr>
        <w:t>将依法组织后续采购活动（包括但不限于：重新招标、采用其他方式采购等）。</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6、现场考察或开标前答疑会</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6.1是否组织现场考察或召开开标前答疑会：详见招标文件第二章。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7、更正公告</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7.1若</w:t>
      </w:r>
      <w:r>
        <w:rPr>
          <w:rFonts w:ascii="宋体" w:hAnsi="宋体" w:eastAsia="宋体" w:cs="宋体"/>
          <w:bCs/>
          <w:sz w:val="24"/>
          <w:szCs w:val="24"/>
          <w:lang w:eastAsia="zh-CN"/>
        </w:rPr>
        <w:t>福建信发招标代理有限公司</w:t>
      </w:r>
      <w:r>
        <w:rPr>
          <w:rFonts w:ascii="宋体" w:hAnsi="宋体" w:eastAsia="宋体" w:cs="宋体"/>
          <w:bCs/>
          <w:sz w:val="24"/>
          <w:szCs w:val="24"/>
        </w:rPr>
        <w:t>发布更正公告，则更正公告及其所发布的内容或信息（包括但不限于：招标文件的澄清或修改、现场考察或答疑会的有关事宜等）作为招标文件组成部分，对投标人具有约束力。</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7.2更正公告作为</w:t>
      </w:r>
      <w:r>
        <w:rPr>
          <w:rFonts w:ascii="宋体" w:hAnsi="宋体" w:eastAsia="宋体" w:cs="宋体"/>
          <w:bCs/>
          <w:sz w:val="24"/>
          <w:szCs w:val="24"/>
          <w:lang w:eastAsia="zh-CN"/>
        </w:rPr>
        <w:t>福建信发招标代理有限公司</w:t>
      </w:r>
      <w:r>
        <w:rPr>
          <w:rFonts w:ascii="宋体" w:hAnsi="宋体" w:eastAsia="宋体" w:cs="宋体"/>
          <w:bCs/>
          <w:sz w:val="24"/>
          <w:szCs w:val="24"/>
        </w:rPr>
        <w:t>通知所有潜在投标人的书面形式。</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8、终止公告</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8.1若出现因重大变故导致采购任务取消情形，</w:t>
      </w:r>
      <w:r>
        <w:rPr>
          <w:rFonts w:ascii="宋体" w:hAnsi="宋体" w:eastAsia="宋体" w:cs="宋体"/>
          <w:bCs/>
          <w:sz w:val="24"/>
          <w:szCs w:val="24"/>
          <w:lang w:eastAsia="zh-CN"/>
        </w:rPr>
        <w:t>福建信发招标代理有限公司</w:t>
      </w:r>
      <w:r>
        <w:rPr>
          <w:rFonts w:ascii="宋体" w:hAnsi="宋体" w:eastAsia="宋体" w:cs="宋体"/>
          <w:bCs/>
          <w:sz w:val="24"/>
          <w:szCs w:val="24"/>
        </w:rPr>
        <w:t>可终止招标并发布终止公告。</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8.2终止公告作为</w:t>
      </w:r>
      <w:r>
        <w:rPr>
          <w:rFonts w:ascii="宋体" w:hAnsi="宋体" w:eastAsia="宋体" w:cs="宋体"/>
          <w:bCs/>
          <w:sz w:val="24"/>
          <w:szCs w:val="24"/>
          <w:lang w:eastAsia="zh-CN"/>
        </w:rPr>
        <w:t>福建信发招标代理有限公司</w:t>
      </w:r>
      <w:r>
        <w:rPr>
          <w:rFonts w:ascii="宋体" w:hAnsi="宋体" w:eastAsia="宋体" w:cs="宋体"/>
          <w:bCs/>
          <w:sz w:val="24"/>
          <w:szCs w:val="24"/>
        </w:rPr>
        <w:t>通知所有潜在投标人的书面形式。</w:t>
      </w:r>
    </w:p>
    <w:p>
      <w:pPr>
        <w:pStyle w:val="13"/>
        <w:ind w:firstLine="480"/>
        <w:jc w:val="both"/>
        <w:outlineLvl w:val="2"/>
        <w:rPr>
          <w:rFonts w:hint="default"/>
        </w:rPr>
      </w:pPr>
      <w:r>
        <w:rPr>
          <w:b/>
          <w:sz w:val="28"/>
        </w:rPr>
        <w:t>四、投标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9、投标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9.1投标人可对招标文件载明的全部或部分采购包进行投标。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9.2投标人应对同一个采购包内的所有内容进行完整投标，否则投标无效。</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9.3投标人代表只能接受一个投标人的授权参加投标，否则投标无效。</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9.4单位负责人为同一人或存在直接控股、管理关系的不同供应商，不得同时参加同一合同项下的投标，否则投标无效。</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9.5为本项目提供整体设计、规范编制或项目管理、监理、检测等服务的供应商，不得参加本项目除整体设计、规范编制和项目管理、监理、检测等服务外的采购活动，否则投标无效。</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9.6列入失信被执行人、重大税收违法案件当事人名单、政府采购严重违法失信行为记录名单及其他不符合政府采购法第二十二条规定条件的供应商，不得参加投标，否则投标无效。</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9.7有下列情形之一的，视为投标人串通投标，其投标无效：</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（1）不同投标人的电子投标文件由同一单位或个人编制；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（2）不同投标人委托同一单位或个人办理投标事宜；</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（3）不同投标人的电子投标文件载明的项目管理成员或联系人员为同一人；</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（4）不同投标人的电子投标文件异常一致或投标报价呈规律性差异；</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（5）不同投标人的电子投标文件相互混装；</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（6）不同投标人的投标保证金从同一单位或个人的账户转出；</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（7）有关法律、法规和规章及招标文件规定的其他串通投标情形。</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10、电子投标文件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10.1电子投标文件的编制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（1）投标人应先仔细阅读招标文件的全部内容后，再进行电子投标文件的编制。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（2）电子投标文件应按照本章第10.2条规定编制其组成部分。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（3）电子投标文件应满足招标文件提出的实质性要求和条件，并保证其所提交的全部资料是不可割离且真实、有效、准确、完整和不具有任何误导性的，否则造成不利后果由投标人承担责任。</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10.2电子投标文件由下述部分组成：</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（1）资格及资信证明部分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①投标函</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②投标人的资格及资信证明文件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③投标保证金</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（2）报价部分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①开标一览表</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②投标分项报价表</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③招标文件规定的价格扣除证明材料（若有）</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④招标文件规定的加分证明材料（若有）</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（3）技术商务部分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①标的说明一览表</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②技术和服务要求响应表</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③商务条件响应表</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④投标人提交的其他资料（若有）</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⑤招标文件规定作为电子投标文件组成部分的其他内容（若有）</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10.3电子投标文件的语言</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（1）除招标文件另有规定外，电子投标文件应使用中文文本，若有不同文本，以中文文本为准。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10.4投标文件的份数：详见招标文件第二章。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10.5电子投标文件的格式</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（1）除招标文件另有规定外，电子投标文件应使用招标文件第七章规定的格式。</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（2）除招标文件另有规定外，电子投标文件应使用不能擦去的墨料或墨水打印、书写或复印。</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（3）除招标文件另有规定外，电子投标文件应使用人民币作为计量货币。</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（4）除招标文件另有规定外，签署、盖章应遵守下列规定：</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①电子投标文件应加盖投标人的单位公章。若投标人代表为单位授权的委托代理人，应提供“单位授权书”。</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②电子投标文件应没有涂改或行间插字，除非这些改动是根据</w:t>
      </w:r>
      <w:r>
        <w:rPr>
          <w:rFonts w:ascii="宋体" w:hAnsi="宋体" w:eastAsia="宋体" w:cs="宋体"/>
          <w:bCs/>
          <w:sz w:val="24"/>
          <w:szCs w:val="24"/>
          <w:lang w:eastAsia="zh-CN"/>
        </w:rPr>
        <w:t>福建信发招标代理有限公司</w:t>
      </w:r>
      <w:r>
        <w:rPr>
          <w:rFonts w:ascii="宋体" w:hAnsi="宋体" w:eastAsia="宋体" w:cs="宋体"/>
          <w:bCs/>
          <w:sz w:val="24"/>
          <w:szCs w:val="24"/>
        </w:rPr>
        <w:t>的指示进行的，或是为改正投标人造成的应修改的错误而进行的。若有前述改动，应按照下列规定之一对改动处进行处理：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a.投标人代表签字确认；</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b.加盖投标人的单位公章或校正章。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10.6投标报价</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（1）投标报价超出最高限价将导致投标无效。</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（2）最高限价由采购人根据价格测算情况，在预算金额的额度内合理设定。最高限价不得超出预算金额。</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（3）除招标文件另有规定外，电子投标文件不能出现任何选择性的投标报价，即每一个采购包和品目号的采购标的都只能有一个投标报价。任何选择性的投标报价将导致投标无效。</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10.7分包</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（1）是否允许中标人将本项目的非主体、非关键性工作进行分包：详见招标文件第二章。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（3）招标文件允许中标人将非主体、非关键性工作进行分包的项目，有下列情形之一的，中标人不得分包：</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①电子投标文件中未载明分包承担主体；</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②电子投标文件载明的分包承担主体不具备相应资质条件；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③电子投标文件载明的分包承担主体拟再次分包；</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④享受中小企业扶持政策获得政府采购合同的，小微企业不得将合同分包给大中型企业，中型企业不得将合同分包给大型企业。</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10.8投标有效期</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（1）招标文件载明的投标有效期：详见招标文件第二章。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（2）电子投标文件承诺的投标有效期不得少于招标文件载明的投标有效期，否则投标无效。</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（3）根据本次采购活动的需要，</w:t>
      </w:r>
      <w:r>
        <w:rPr>
          <w:rFonts w:ascii="宋体" w:hAnsi="宋体" w:eastAsia="宋体" w:cs="宋体"/>
          <w:bCs/>
          <w:sz w:val="24"/>
          <w:szCs w:val="24"/>
          <w:lang w:eastAsia="zh-CN"/>
        </w:rPr>
        <w:t>福建信发招标代理有限公司</w:t>
      </w:r>
      <w:r>
        <w:rPr>
          <w:rFonts w:ascii="宋体" w:hAnsi="宋体" w:eastAsia="宋体" w:cs="宋体"/>
          <w:bCs/>
          <w:sz w:val="24"/>
          <w:szCs w:val="24"/>
        </w:rPr>
        <w:t>可于投标有效期届满之前书面要求投标人延长投标有效期，投标人应在</w:t>
      </w:r>
      <w:r>
        <w:rPr>
          <w:rFonts w:ascii="宋体" w:hAnsi="宋体" w:eastAsia="宋体" w:cs="宋体"/>
          <w:bCs/>
          <w:sz w:val="24"/>
          <w:szCs w:val="24"/>
          <w:lang w:eastAsia="zh-CN"/>
        </w:rPr>
        <w:t>福建信发招标代理有限公司</w:t>
      </w:r>
      <w:r>
        <w:rPr>
          <w:rFonts w:ascii="宋体" w:hAnsi="宋体" w:eastAsia="宋体" w:cs="宋体"/>
          <w:bCs/>
          <w:sz w:val="24"/>
          <w:szCs w:val="24"/>
        </w:rPr>
        <w:t>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10.9投标保证金</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（1）投标保证金作为投标人按照招标文件规定履行相应投标责任、义务的约束及担保。</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（2）投标人以电子保函形式提交投标保证金的，保函的有效期应等于或长于电子投标文件承诺的投标有效期，否则投标无效。</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（3）提交</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①投标人以汇款形式缴纳投标保证金的，应从其银行账户（基本存款账户）按照下列方式：公对公转账方式向招标文件载明的投标保证金账户提交投标保证金，具体金额详见招标文件第一章。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投标人以电子保函形式提交投标保证金的，可在招标文件载明的投标截止时间前通过福建省政府采购平台“保函服务”栏目办理电子保函并在电汇或银行转账单上注明（项目编号）；在投标截止时间之前将电子保函文件放入投标文件中，否则视为未提交投标保证金。</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③若本项目接受联合体投标且投标人为联合体，则联合体中的牵头方应按照本章第10.9条第（3）款第①、②点规定提交投标保证金。</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※除招标文件另有规定外，未按照上述规定提交投标保证金将导致资格审查不合格。</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（4）退还</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①在投标截止时间前撤回已提交的电子投标文件的投标人，其投标保证金将在</w:t>
      </w:r>
      <w:r>
        <w:rPr>
          <w:rFonts w:ascii="宋体" w:hAnsi="宋体" w:eastAsia="宋体" w:cs="宋体"/>
          <w:bCs/>
          <w:sz w:val="24"/>
          <w:szCs w:val="24"/>
          <w:lang w:eastAsia="zh-CN"/>
        </w:rPr>
        <w:t>福建信发招标代理有限公司</w:t>
      </w:r>
      <w:r>
        <w:rPr>
          <w:rFonts w:ascii="宋体" w:hAnsi="宋体" w:eastAsia="宋体" w:cs="宋体"/>
          <w:bCs/>
          <w:sz w:val="24"/>
          <w:szCs w:val="24"/>
        </w:rPr>
        <w:t>收到投标人书面撤回通知之日起5个工作日内退回原账户。</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②未中标人的投标保证金将在中标通知书发出之日起5个工作日内退回原账户。</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③中标人的投标保证金将在政府采购合同签订之日起5个工作日内退回原账户；合同签订之日以福建省政府采购网上公开信息系统记载的为准。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④终止招标的，</w:t>
      </w:r>
      <w:r>
        <w:rPr>
          <w:rFonts w:ascii="宋体" w:hAnsi="宋体" w:eastAsia="宋体" w:cs="宋体"/>
          <w:bCs/>
          <w:sz w:val="24"/>
          <w:szCs w:val="24"/>
          <w:lang w:eastAsia="zh-CN"/>
        </w:rPr>
        <w:t>福建信发招标代理有限公司</w:t>
      </w:r>
      <w:r>
        <w:rPr>
          <w:rFonts w:ascii="宋体" w:hAnsi="宋体" w:eastAsia="宋体" w:cs="宋体"/>
          <w:bCs/>
          <w:sz w:val="24"/>
          <w:szCs w:val="24"/>
        </w:rPr>
        <w:t>将在终止公告发布之日起5个工作日内退回已收取的投标保证金及其在银行产生的孳息。</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⑤除招标文件另有规定外，质疑或投诉涉及的投标人，若投标保证金尚未退还，则待质疑或投诉处理完毕后不计利息原额退还。</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※本章第10.9条第（4）款第①、②、③点规定的投标保证金退还时限不包括因投标人自身原因导致无法及时退还而增加的时间。</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（6）有下列情形之一的，投标保证金将不予退还或通过投标保函进行索赔：</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①投标人串通投标；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②投标人提供虚假材料；</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③投标人采取不正当手段诋毁、排挤其他投标人；</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④投标截止时间后，投标人在投标有效期内撤销电子投标文件；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⑤招标文件规定的其他不予退还情形；</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⑥中标人有下列情形之一的：</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a.除不可抗力外，因中标人自身原因未在中标通知书要求的期限内与采购人签订政府采购合同；</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b.未按照招标文件、投标文件的约定签订政府采购合同或提交履约保证金。</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※若上述投标保证金不予退还情形给采购人（采购代理机构）造成损失，则投标人还要承担相应的赔偿责任。</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10.10电子投标文件的提交</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（1）一个投标人只能提交一个电子投标文件，并按照招标文件第一章规定在系统上完成上传、解密操作。</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10.11电子投标文件的补充、修改或撤回</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（1）投标截止时间前，投标人可对所提交的电子投标文件进行补充、修改或撤回，并书面通知</w:t>
      </w:r>
      <w:r>
        <w:rPr>
          <w:rFonts w:ascii="宋体" w:hAnsi="宋体" w:eastAsia="宋体" w:cs="宋体"/>
          <w:bCs/>
          <w:sz w:val="24"/>
          <w:szCs w:val="24"/>
          <w:lang w:eastAsia="zh-CN"/>
        </w:rPr>
        <w:t>福建信发招标代理有限公司</w:t>
      </w:r>
      <w:r>
        <w:rPr>
          <w:rFonts w:ascii="宋体" w:hAnsi="宋体" w:eastAsia="宋体" w:cs="宋体"/>
          <w:bCs/>
          <w:sz w:val="24"/>
          <w:szCs w:val="24"/>
        </w:rPr>
        <w:t>。</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（2）补充、修改的内容应按照本章第10.5条第（4）款规定进行签署、盖章，并按照本章第10.10条规定提交，否则将被拒收。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※按照上述规定提交的补充、修改内容作为电子投标文件组成部分。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10.12除招标文件另有规定外，有下列情形之一的，投标无效：</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（1）电子投标文件未按照招标文件要求签署、盖章；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（2）不符合招标文件中规定的资格要求；</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（3）投标报价超过招标文件中规定的预算金额或最高限价；</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（4）电子投标文件含有采购人不能接受的附加条件；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（5）有关法律、法规和规章及招标文件规定的其他无效情形。</w:t>
      </w:r>
    </w:p>
    <w:p>
      <w:pPr>
        <w:pStyle w:val="13"/>
        <w:jc w:val="both"/>
        <w:outlineLvl w:val="2"/>
        <w:rPr>
          <w:rFonts w:hint="default"/>
        </w:rPr>
      </w:pPr>
      <w:r>
        <w:rPr>
          <w:b/>
          <w:sz w:val="28"/>
        </w:rPr>
        <w:t>五、开标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11、开标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11.1</w:t>
      </w:r>
      <w:r>
        <w:rPr>
          <w:rFonts w:ascii="宋体" w:hAnsi="宋体" w:eastAsia="宋体" w:cs="宋体"/>
          <w:bCs/>
          <w:sz w:val="24"/>
          <w:szCs w:val="24"/>
          <w:lang w:eastAsia="zh-CN"/>
        </w:rPr>
        <w:t>福建信发招标代理有限公司</w:t>
      </w:r>
      <w:r>
        <w:rPr>
          <w:rFonts w:ascii="宋体" w:hAnsi="宋体" w:eastAsia="宋体" w:cs="宋体"/>
          <w:bCs/>
          <w:sz w:val="24"/>
          <w:szCs w:val="24"/>
        </w:rPr>
        <w:t>将在招标文件载明的开标时间及地点主持召开开标会，并邀请投标人参加。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11.2开标会的主持人、唱标人、记录人及其他工作人员（若有）均由</w:t>
      </w:r>
      <w:r>
        <w:rPr>
          <w:rFonts w:ascii="宋体" w:hAnsi="宋体" w:eastAsia="宋体" w:cs="宋体"/>
          <w:bCs/>
          <w:sz w:val="24"/>
          <w:szCs w:val="24"/>
          <w:lang w:eastAsia="zh-CN"/>
        </w:rPr>
        <w:t>福建信发招标代理有限公司</w:t>
      </w:r>
      <w:r>
        <w:rPr>
          <w:rFonts w:ascii="宋体" w:hAnsi="宋体" w:eastAsia="宋体" w:cs="宋体"/>
          <w:bCs/>
          <w:sz w:val="24"/>
          <w:szCs w:val="24"/>
        </w:rPr>
        <w:t>派出，现场监督人员（若有）可由有关方面派出。</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11.4开标会应遵守下列规定：</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唱标时，唱标人将依次宣布“投标人名称”、“各投标人关于电子投标文件补充、修改或撤回的书面通知（若有）”、“各投标人的投标报价”和招标文件规定的需要宣布的其他内容（包括但不限于：开标一览表中的内容、唱标人认为需要宣布的内容等）。</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（3）唱标结束后，参加现场开标会的投标人代表应对开标记录进行签字确认，通过远程参与开标流程的投标人须在系统远程签章开启后，在系统规定时间内对开标结果进行签章确认。</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（5）若投标人未到开标现场参加开标会，也未通过远程参加开标会的，视同认可开标结果。</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若出现本章第11.4条第（3）、（4）、（5）款规定情形之一，则投标人不得在开标会后就开标过程和开标记录涉及或可能涉及的有关事由（包括但不限于：“投标报价”、“电子投标文件的格式”、“电子投标文件的提交”、“电子投标文件的补充、修改或撤回”等）向</w:t>
      </w:r>
      <w:r>
        <w:rPr>
          <w:rFonts w:ascii="宋体" w:hAnsi="宋体" w:eastAsia="宋体" w:cs="宋体"/>
          <w:bCs/>
          <w:sz w:val="24"/>
          <w:szCs w:val="24"/>
          <w:lang w:eastAsia="zh-CN"/>
        </w:rPr>
        <w:t>福建信发招标代理有限公司</w:t>
      </w:r>
      <w:r>
        <w:rPr>
          <w:rFonts w:ascii="宋体" w:hAnsi="宋体" w:eastAsia="宋体" w:cs="宋体"/>
          <w:bCs/>
          <w:sz w:val="24"/>
          <w:szCs w:val="24"/>
        </w:rPr>
        <w:t>提出任何疑义或要求（包括质疑）。</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11.5投标截止时间后，参加投标的投标人不足三家的，不进行开标。同时，本次采购活动结束，</w:t>
      </w:r>
      <w:r>
        <w:rPr>
          <w:rFonts w:ascii="宋体" w:hAnsi="宋体" w:eastAsia="宋体" w:cs="宋体"/>
          <w:bCs/>
          <w:sz w:val="24"/>
          <w:szCs w:val="24"/>
          <w:lang w:eastAsia="zh-CN"/>
        </w:rPr>
        <w:t>福建信发招标代理有限公司</w:t>
      </w:r>
      <w:r>
        <w:rPr>
          <w:rFonts w:ascii="宋体" w:hAnsi="宋体" w:eastAsia="宋体" w:cs="宋体"/>
          <w:bCs/>
          <w:sz w:val="24"/>
          <w:szCs w:val="24"/>
        </w:rPr>
        <w:t>将依法组织后续采购活动（包括但不限于：重新招标、采用其他方式采购等）。</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11.6投标截止时间后撤销投标的处理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投标截止时间后，投标人在投标有效期内撤销投标的，其撤销投标的行为无效。</w:t>
      </w:r>
    </w:p>
    <w:p>
      <w:pPr>
        <w:pStyle w:val="13"/>
        <w:jc w:val="both"/>
        <w:outlineLvl w:val="2"/>
        <w:rPr>
          <w:rFonts w:hint="default"/>
        </w:rPr>
      </w:pPr>
      <w:r>
        <w:rPr>
          <w:b/>
          <w:sz w:val="28"/>
        </w:rPr>
        <w:t>六、中标与政府采购合同</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12、中标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12.1本项目推荐的中标候选人家数：详见招标文件第二章。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12.2本项目中标人的确定：详见招标文件第二章。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12.3中标公告</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（1）中标人确定之日起2个工作日内，</w:t>
      </w:r>
      <w:r>
        <w:rPr>
          <w:rFonts w:ascii="宋体" w:hAnsi="宋体" w:eastAsia="宋体" w:cs="宋体"/>
          <w:bCs/>
          <w:sz w:val="24"/>
          <w:szCs w:val="24"/>
          <w:lang w:eastAsia="zh-CN"/>
        </w:rPr>
        <w:t>福建信发招标代理有限公司</w:t>
      </w:r>
      <w:r>
        <w:rPr>
          <w:rFonts w:ascii="宋体" w:hAnsi="宋体" w:eastAsia="宋体" w:cs="宋体"/>
          <w:bCs/>
          <w:sz w:val="24"/>
          <w:szCs w:val="24"/>
        </w:rPr>
        <w:t>将在招标文件载明的指定媒体以中标公告的形式发布中标结果。</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（2）中标公告的公告期限为1个工作日。</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12.4中标通知书</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（1）中标公告发布的同时，</w:t>
      </w:r>
      <w:r>
        <w:rPr>
          <w:rFonts w:ascii="宋体" w:hAnsi="宋体" w:eastAsia="宋体" w:cs="宋体"/>
          <w:bCs/>
          <w:sz w:val="24"/>
          <w:szCs w:val="24"/>
          <w:lang w:eastAsia="zh-CN"/>
        </w:rPr>
        <w:t>福建信发招标代理有限公司</w:t>
      </w:r>
      <w:r>
        <w:rPr>
          <w:rFonts w:ascii="宋体" w:hAnsi="宋体" w:eastAsia="宋体" w:cs="宋体"/>
          <w:bCs/>
          <w:sz w:val="24"/>
          <w:szCs w:val="24"/>
        </w:rPr>
        <w:t>将向中标人发出中标通知书。</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（2）中标通知书发出后，采购人不得违法改变中标结果，中标人无正当理由不得放弃中标。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13、政府采购合同</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13.1签订政府采购合同应遵守政府采购法及实施条例的规定，不得对招标文件确定的事项和中标人的电子投标文件作实质性修改。采购人不得向中标人提出任何不合理的要求作为政府采购合同的签订条件。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13.2签订时限：详见须知前附表1的13.2。</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13.3政府采购合同的履行、违约责任和解决争议的方法等适用民法典。</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13.4采购人与中标人应根据政府采购合同的约定依法履行合同义务。</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13.5政府采购合同履行过程中，采购人若需追加与合同标的相同的货物或服务，则追加采购金额不得超过原合同采购金额的10%。</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13.6中标人在政府采购合同履行过程中应遵守有关法律、法规和规章的强制性规定（即使前述强制性规定有可能在招标文件中未予列明）。</w:t>
      </w:r>
    </w:p>
    <w:p>
      <w:pPr>
        <w:pStyle w:val="13"/>
        <w:jc w:val="both"/>
        <w:outlineLvl w:val="2"/>
        <w:rPr>
          <w:rFonts w:hint="default"/>
        </w:rPr>
      </w:pPr>
      <w:r>
        <w:rPr>
          <w:b/>
          <w:sz w:val="28"/>
        </w:rPr>
        <w:t>七、询问、质疑与投诉</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14、询问</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14.1潜在投标人或投标人对本次采购活动的有关事项若有疑问，可向</w:t>
      </w:r>
      <w:r>
        <w:rPr>
          <w:rFonts w:ascii="宋体" w:hAnsi="宋体" w:eastAsia="宋体" w:cs="宋体"/>
          <w:bCs/>
          <w:sz w:val="24"/>
          <w:szCs w:val="24"/>
          <w:lang w:eastAsia="zh-CN"/>
        </w:rPr>
        <w:t>福建信发招标代理有限公司</w:t>
      </w:r>
      <w:r>
        <w:rPr>
          <w:rFonts w:ascii="宋体" w:hAnsi="宋体" w:eastAsia="宋体" w:cs="宋体"/>
          <w:bCs/>
          <w:sz w:val="24"/>
          <w:szCs w:val="24"/>
        </w:rPr>
        <w:t>提出询问，</w:t>
      </w:r>
      <w:r>
        <w:rPr>
          <w:rFonts w:ascii="宋体" w:hAnsi="宋体" w:eastAsia="宋体" w:cs="宋体"/>
          <w:bCs/>
          <w:sz w:val="24"/>
          <w:szCs w:val="24"/>
          <w:lang w:eastAsia="zh-CN"/>
        </w:rPr>
        <w:t>福建信发招标代理有限公司</w:t>
      </w:r>
      <w:r>
        <w:rPr>
          <w:rFonts w:ascii="宋体" w:hAnsi="宋体" w:eastAsia="宋体" w:cs="宋体"/>
          <w:bCs/>
          <w:sz w:val="24"/>
          <w:szCs w:val="24"/>
        </w:rPr>
        <w:t>将按照政府采购法及实施条例的有关规定进行答复。</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15、质疑</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15.1针对同一采购程序环节的质疑应在政府采购法及实施条例的时限内一次性提出，对一个项目的不同采购包提出质疑的，应当将各采购包质疑事项集中在一份质疑函中提出，并同时符合下列条件：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（1）对招标文件提出质疑的，质疑人应为潜在投标人，且两者的身份、名称等均应保持一致。对采购过程、结果提出质疑的，质疑人应为投标人，且两者的身份、名称等均应保持一致。</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（2）质疑人应按照招标文件第二章规定方式提交质疑函。</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（3）质疑函应包括下列主要内容：</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①质疑人的基本信息，至少包括：全称、地址、邮政编码等；</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②所质疑项目的基本信息，至少包括：项目编号、项目名称等；</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③所质疑的具体事项（以下简称：“质疑事项”）；</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④针对质疑事项提出的明确请求，前述明确请求指质疑人提出质疑的目的以及希望</w:t>
      </w:r>
      <w:r>
        <w:rPr>
          <w:rFonts w:ascii="宋体" w:hAnsi="宋体" w:eastAsia="宋体" w:cs="宋体"/>
          <w:bCs/>
          <w:sz w:val="24"/>
          <w:szCs w:val="24"/>
          <w:lang w:eastAsia="zh-CN"/>
        </w:rPr>
        <w:t>福建信发招标代理有限公司</w:t>
      </w:r>
      <w:r>
        <w:rPr>
          <w:rFonts w:ascii="宋体" w:hAnsi="宋体" w:eastAsia="宋体" w:cs="宋体"/>
          <w:bCs/>
          <w:sz w:val="24"/>
          <w:szCs w:val="24"/>
        </w:rPr>
        <w:t>对其质疑作出的处理结果，如：暂停招标投标活动、修改招标文件、停止或纠正违法违规行为、中标结果无效、废标、重新招标等；</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⑤针对质疑事项导致质疑人自身权益受到损害的必要证明材料，至少包括：</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a.质疑人代表的身份证明材料：</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a2若本项目接受自然人投标且质疑人为自然人的，提供本人的身份证复印件。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b.其他证明材料（即事实依据和必要的法律依据）包括但不限于下列材料：</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b1所质疑的具体事项是与自己有利害关系的证明材料；</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b2质疑函所述事实存在的证明材料，如：采购文件、采购过程或中标结果违法违规或不符合采购文件要求等证明材料；</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b3依法应终止采购程序的证明材料；</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b4应重新采购的证明材料；</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b5采购文件、采购过程或中标、成交结果损害自己合法权益的证明材料等；</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⑥质疑人代表及其联系方法的信息，至少包括：姓名、手机、电子信箱、邮寄地址等。</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⑦提出质疑的日期。</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※质疑人为法人或其他组织的，质疑函应由单位负责人或委托代理人签字或盖章，并加盖投标人的单位公章。质疑人为自然人的，质疑函应由本人签字。</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15.2对不符合本章第15.1条规定的质疑，将按照下列规定进行处理：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（1）不符合其中第（1）、（2）条规定的，书面告知质疑人不予受理及其理由。</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（2）不符合其中第（3）条规定的，书面告知质疑人修改、补充后在规定时限内重新提交质疑函。</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15.3对符合本章第15.1条规定的质疑，将按照政府采购法及实施条例、政府采购质疑和投诉办法的有关规定进行答复。</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15.4招标文件的质疑：详见招标文件第二章。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16、投诉</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16.1若对质疑答复不满意或质疑答复未在答复期限内作出，质疑人可在答复期限届满之日起15个工作日内按照政府采购质疑和投诉办法的有关规定向招标文件第二章载明的本项目监督管理部门提起投诉。</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16.2投诉应有明确的请求和必要的证明材料，投诉的事项不得超出已质疑事项的范围。</w:t>
      </w:r>
    </w:p>
    <w:p>
      <w:pPr>
        <w:pStyle w:val="13"/>
        <w:jc w:val="both"/>
        <w:outlineLvl w:val="2"/>
        <w:rPr>
          <w:rFonts w:hint="default"/>
        </w:rPr>
      </w:pPr>
      <w:r>
        <w:rPr>
          <w:b/>
          <w:sz w:val="28"/>
        </w:rPr>
        <w:t>八、政府采购政策</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17、政府采购政策由财政部根据国家的经济和社会发展政策并会同国家有关部委制定，包括但不限于下列具体政策要求：</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17.1进口产品指通过中国海关报关验放进入中国境内且产自关境外的产品，其中：</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（2）凡在海关特殊监管区域内企业生产或加工（包括从境外进口料件）销往境内其他地区的产品，不作为政府采购项下进口产品。</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（3）对从境外进入海关特殊监管区域，再经办理报关手续后从海关特殊监管区进入境内其他地区的产品，认定为进口产品。</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（4）招标文件列明不允许或未列明允许进口产品参加投标的，均视为拒绝进口产品参加投标。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17.3列入国家质检总局、国家认监委《第一批信息安全产品强制性认证目录》（以下简称“信息安全产品目录”）内的信息安全产品，应获得强制性产品认证证书（即中国信息安全认证中心颁发的《中国国家信息安全产品认证证书》）和加施中国强制性认证标志。未列入信息安全产品目录的产品，不属于政府强制采购的信息安全产品范围。</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17.4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（1）中小企业指符合下列条件的中型、小型、微型企业：</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②符合中小企业划分标准的个体工商户，在政府采购活动中视同中小企业。</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（2）在政府采购活动中，供应商提供的货物、工程或者服务符合下列情形的，享受本办法规定的中小企业扶持政策：</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①在货物采购项目中，货物由中小企业制造，即货物由中小企业生产且使用该中小企业商号或者注册商标；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②在工程采购项目中，工程由中小企业承建，即工程施工单位为中小企业；</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③在服务采购项目中，服务由中小企业承接，即提供服务的人员为中小企业依照《中华人民共和国劳动合同法》订立劳动合同的从业人员。</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在货物采购项目中，供应商提供的货物既有中小企业制造货物，也有大型企业制造货物的，不享受本办法规定的中小企业扶持政策。</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以联合体形式参加政府采购活动，联合体各方均为中小企业的，联合体视同中小企业。其中，联合体各方均为小微企业的，联合体视同小微企业。</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（3）投标人应当按照招标文件明确的采购标的对应行业的划分标准出具中小企业声明函。</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①监狱企业参加采购活动时，应提供由省级以上监狱管理局、戒毒管理局（含新疆生产建设兵团）出具的属于监狱企业的证明文件。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②监狱企业视同小型、微型企业。</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（5）残疾人福利性单位指同时符合下列条件的单位：</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①安置的残疾人占本单位在职职工人数的比例不低于25%（含25%），并且安置的残疾人人数不少于10人（含10人）；</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②依法与安置的每位残疾人签订了一年以上（含一年）的劳动合同或服务协议；</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③为安置的每位残疾人按月足额缴纳了基本养老保险、基本医疗保险、失业保险、工伤保险和生育保险等社会保险费；</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④通过银行等金融机构向安置的每位残疾人，按月支付了不低于单位所在区县适用的经省级人民政府批准的月最低工资标准的工资；</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⑤提供本单位制造的货物、承担的工程或服务，或提供其他残疾人福利性单位制造的货物（不包括使用非残疾人福利性单位注册商标的货物）。</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符合上述条件的残疾人福利性单位参加采购活动时，应提供《残疾人福利性单位声明函》，并对声明的真实性负责。残疾人福利性单位视同小型、微型企业。残疾人福利性单位属于小型、微型企业的，不重复享受政策。</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17.5信用记录指由财政部确定的有关网站提供的相关主体信用信息。信用记录的查询及使用应符合财政部文件（财库[2016]125号）规定。</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17.6为落实政府采购政策需满足的要求：详见招标文件第一章。</w:t>
      </w:r>
    </w:p>
    <w:p>
      <w:pPr>
        <w:pStyle w:val="13"/>
        <w:jc w:val="both"/>
        <w:outlineLvl w:val="2"/>
        <w:rPr>
          <w:rFonts w:hint="default"/>
        </w:rPr>
      </w:pPr>
      <w:r>
        <w:rPr>
          <w:b/>
          <w:sz w:val="28"/>
        </w:rPr>
        <w:t>九、本项目的有关信息</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18、本项目的有关信息，包括但不限于：招标公告、更正公告（若有）、招标文件、招标文件的澄清或修改（若有）、中标公告、终止公告（若有）、废标公告（若有）等都将在招标文件载明的指定媒体发布。</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18.1指定媒体：详见招标文件第二章。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18.2本项目的潜在投标人或投标人应随时关注指定媒体，否则产生不利后果由其自行承担。</w:t>
      </w:r>
    </w:p>
    <w:p>
      <w:pPr>
        <w:pStyle w:val="13"/>
        <w:jc w:val="both"/>
        <w:outlineLvl w:val="2"/>
        <w:rPr>
          <w:rFonts w:hint="default"/>
        </w:rPr>
      </w:pPr>
      <w:r>
        <w:rPr>
          <w:b/>
          <w:sz w:val="28"/>
        </w:rPr>
        <w:t>十、其他事项</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19、其他事项：</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19.1本项目中如涉及商品包装和快递包装的，其包装需求标准应不低于《关于印发〈商品包装政府采购需求标准(试行)〉、〈快递包装政府采购需求标准(试行)〉的通知》（财办库〔2020〕</w:t>
      </w:r>
      <w:r>
        <w:rPr>
          <w:rFonts w:ascii="宋体" w:hAnsi="宋体" w:eastAsia="宋体" w:cs="宋体"/>
          <w:bCs/>
          <w:sz w:val="24"/>
          <w:szCs w:val="24"/>
        </w:rPr>
        <w:tab/>
      </w:r>
      <w:r>
        <w:rPr>
          <w:rFonts w:ascii="宋体" w:hAnsi="宋体" w:eastAsia="宋体" w:cs="宋体"/>
          <w:bCs/>
          <w:sz w:val="24"/>
          <w:szCs w:val="24"/>
        </w:rPr>
        <w:tab/>
      </w:r>
      <w:r>
        <w:rPr>
          <w:rFonts w:ascii="宋体" w:hAnsi="宋体" w:eastAsia="宋体" w:cs="宋体"/>
          <w:bCs/>
          <w:sz w:val="24"/>
          <w:szCs w:val="24"/>
        </w:rPr>
        <w:t xml:space="preserve"> 123号）规定的包装要求，其他包装需求详见招标文件具体规定。采购人、中标人双方签订合同及验收环节，应包含上述包装要求的条款。</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19.2其他：详见招标文件第二章。</w:t>
      </w:r>
    </w:p>
    <w:p>
      <w:pPr>
        <w:pStyle w:val="13"/>
        <w:jc w:val="both"/>
        <w:rPr>
          <w:rFonts w:hint="default"/>
        </w:rPr>
      </w:pPr>
    </w:p>
    <w:p>
      <w:pPr>
        <w:pStyle w:val="13"/>
        <w:jc w:val="both"/>
        <w:rPr>
          <w:rFonts w:hint="default"/>
        </w:rPr>
      </w:pPr>
      <w:r>
        <w:rPr>
          <w:b/>
        </w:rPr>
        <w:t xml:space="preserve"> </w:t>
      </w: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rPr>
      </w:pPr>
      <w:r>
        <w:rPr>
          <w:b/>
          <w:sz w:val="36"/>
        </w:rPr>
        <w:t>第四章 资格审查与评标</w:t>
      </w:r>
    </w:p>
    <w:p>
      <w:pPr>
        <w:pStyle w:val="13"/>
        <w:jc w:val="both"/>
        <w:outlineLvl w:val="2"/>
        <w:rPr>
          <w:rFonts w:hint="default"/>
        </w:rPr>
      </w:pPr>
      <w:r>
        <w:rPr>
          <w:b/>
          <w:sz w:val="28"/>
        </w:rPr>
        <w:t>一、资格审查</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1、开标结束后，由</w:t>
      </w:r>
      <w:r>
        <w:rPr>
          <w:rFonts w:ascii="宋体" w:hAnsi="宋体" w:eastAsia="宋体" w:cs="宋体"/>
          <w:bCs/>
          <w:sz w:val="24"/>
          <w:szCs w:val="24"/>
          <w:lang w:eastAsia="zh-CN"/>
        </w:rPr>
        <w:t>福建信发招标代理有限公司</w:t>
      </w:r>
      <w:r>
        <w:rPr>
          <w:rFonts w:ascii="宋体" w:hAnsi="宋体" w:eastAsia="宋体" w:cs="宋体"/>
          <w:bCs/>
          <w:sz w:val="24"/>
          <w:szCs w:val="24"/>
        </w:rPr>
        <w:t>负责资格审查小组的组建及资格审查工作的组织。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1.1资格审查小组</w:t>
      </w:r>
    </w:p>
    <w:p>
      <w:pPr>
        <w:pStyle w:val="13"/>
        <w:ind w:firstLine="480"/>
        <w:jc w:val="both"/>
        <w:rPr>
          <w:rFonts w:hint="default" w:ascii="宋体" w:hAnsi="宋体" w:eastAsia="宋体" w:cs="宋体"/>
          <w:bCs/>
          <w:sz w:val="24"/>
          <w:szCs w:val="24"/>
        </w:rPr>
      </w:pP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资格审查小组由3人组成，并负责具体审查事务，其中由采购人派出的采购人代表至少1人，由</w:t>
      </w:r>
      <w:r>
        <w:rPr>
          <w:rFonts w:ascii="宋体" w:hAnsi="宋体" w:eastAsia="宋体" w:cs="宋体"/>
          <w:bCs/>
          <w:sz w:val="24"/>
          <w:szCs w:val="24"/>
          <w:lang w:eastAsia="zh-CN"/>
        </w:rPr>
        <w:t>福建信发招标代理有限公司</w:t>
      </w:r>
      <w:r>
        <w:rPr>
          <w:rFonts w:ascii="宋体" w:hAnsi="宋体" w:eastAsia="宋体" w:cs="宋体"/>
          <w:bCs/>
          <w:sz w:val="24"/>
          <w:szCs w:val="24"/>
        </w:rPr>
        <w:t>派出的工作人员至少1人，其余1人可为采购人代表或</w:t>
      </w:r>
      <w:r>
        <w:rPr>
          <w:rFonts w:ascii="宋体" w:hAnsi="宋体" w:eastAsia="宋体" w:cs="宋体"/>
          <w:bCs/>
          <w:sz w:val="24"/>
          <w:szCs w:val="24"/>
          <w:lang w:eastAsia="zh-CN"/>
        </w:rPr>
        <w:t>福建信发招标代理有限公司</w:t>
      </w:r>
      <w:r>
        <w:rPr>
          <w:rFonts w:ascii="宋体" w:hAnsi="宋体" w:eastAsia="宋体" w:cs="宋体"/>
          <w:bCs/>
          <w:sz w:val="24"/>
          <w:szCs w:val="24"/>
        </w:rPr>
        <w:t>的工作人员。</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1.2资格审查的依据是招标文件和电子投标文件。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1.3资格审查的范围及内容：电子投标文件（资格及资信证明部分），具体如下：</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（1）“投标函”；</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（2）“投标人的资格及资信证明文件”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①一般资格证明文件：</w:t>
      </w:r>
    </w:p>
    <w:p>
      <w:pPr>
        <w:pStyle w:val="13"/>
        <w:jc w:val="both"/>
        <w:rPr>
          <w:rFonts w:hint="default"/>
        </w:rPr>
      </w:pP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采购包1：</w:t>
      </w:r>
    </w:p>
    <w:tbl>
      <w:tblPr>
        <w:tblStyle w:val="11"/>
        <w:tblpPr w:leftFromText="180" w:rightFromText="180" w:vertAnchor="text" w:horzAnchor="page" w:tblpX="1938" w:tblpY="32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3322"/>
        <w:gridCol w:w="42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pStyle w:val="13"/>
              <w:jc w:val="both"/>
              <w:rPr>
                <w:rFonts w:hint="default" w:ascii="宋体" w:hAnsi="宋体" w:eastAsia="宋体" w:cs="宋体"/>
                <w:bCs/>
                <w:sz w:val="24"/>
                <w:szCs w:val="24"/>
              </w:rPr>
            </w:pPr>
            <w:r>
              <w:rPr>
                <w:rFonts w:ascii="宋体" w:hAnsi="宋体" w:eastAsia="宋体" w:cs="宋体"/>
                <w:bCs/>
                <w:sz w:val="24"/>
                <w:szCs w:val="24"/>
              </w:rPr>
              <w:t>序号</w:t>
            </w:r>
          </w:p>
        </w:tc>
        <w:tc>
          <w:tcPr>
            <w:tcW w:w="3322" w:type="dxa"/>
          </w:tcPr>
          <w:p>
            <w:pPr>
              <w:pStyle w:val="13"/>
              <w:jc w:val="both"/>
              <w:rPr>
                <w:rFonts w:hint="default" w:ascii="宋体" w:hAnsi="宋体" w:eastAsia="宋体" w:cs="宋体"/>
                <w:bCs/>
                <w:sz w:val="24"/>
                <w:szCs w:val="24"/>
              </w:rPr>
            </w:pPr>
            <w:r>
              <w:rPr>
                <w:rFonts w:ascii="宋体" w:hAnsi="宋体" w:eastAsia="宋体" w:cs="宋体"/>
                <w:bCs/>
                <w:sz w:val="24"/>
                <w:szCs w:val="24"/>
              </w:rPr>
              <w:t>资格审查要求概况</w:t>
            </w:r>
          </w:p>
        </w:tc>
        <w:tc>
          <w:tcPr>
            <w:tcW w:w="4299" w:type="dxa"/>
          </w:tcPr>
          <w:p>
            <w:pPr>
              <w:pStyle w:val="13"/>
              <w:jc w:val="both"/>
              <w:rPr>
                <w:rFonts w:hint="default" w:ascii="宋体" w:hAnsi="宋体" w:eastAsia="宋体" w:cs="宋体"/>
                <w:bCs/>
                <w:sz w:val="24"/>
                <w:szCs w:val="24"/>
              </w:rPr>
            </w:pPr>
            <w:r>
              <w:rPr>
                <w:rFonts w:ascii="宋体" w:hAnsi="宋体" w:eastAsia="宋体" w:cs="宋体"/>
                <w:bCs/>
                <w:sz w:val="24"/>
                <w:szCs w:val="24"/>
              </w:rPr>
              <w:t>评审点具体描述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pStyle w:val="13"/>
              <w:jc w:val="both"/>
              <w:rPr>
                <w:rFonts w:hint="default" w:ascii="宋体" w:hAnsi="宋体" w:eastAsia="宋体" w:cs="宋体"/>
                <w:bCs/>
                <w:sz w:val="24"/>
                <w:szCs w:val="24"/>
              </w:rPr>
            </w:pPr>
            <w:r>
              <w:rPr>
                <w:rFonts w:ascii="宋体" w:hAnsi="宋体" w:eastAsia="宋体" w:cs="宋体"/>
                <w:bCs/>
                <w:sz w:val="24"/>
                <w:szCs w:val="24"/>
              </w:rPr>
              <w:t>1</w:t>
            </w:r>
          </w:p>
        </w:tc>
        <w:tc>
          <w:tcPr>
            <w:tcW w:w="3322" w:type="dxa"/>
          </w:tcPr>
          <w:p>
            <w:pPr>
              <w:pStyle w:val="13"/>
              <w:jc w:val="both"/>
              <w:rPr>
                <w:rFonts w:hint="default" w:ascii="宋体" w:hAnsi="宋体" w:eastAsia="宋体" w:cs="宋体"/>
                <w:bCs/>
                <w:sz w:val="24"/>
                <w:szCs w:val="24"/>
              </w:rPr>
            </w:pPr>
            <w:r>
              <w:rPr>
                <w:rFonts w:ascii="宋体" w:hAnsi="宋体" w:eastAsia="宋体" w:cs="宋体"/>
                <w:bCs/>
                <w:sz w:val="24"/>
                <w:szCs w:val="24"/>
              </w:rPr>
              <w:t>单位授权书</w:t>
            </w:r>
          </w:p>
        </w:tc>
        <w:tc>
          <w:tcPr>
            <w:tcW w:w="4299" w:type="dxa"/>
          </w:tcPr>
          <w:p>
            <w:pPr>
              <w:pStyle w:val="13"/>
              <w:jc w:val="both"/>
              <w:rPr>
                <w:rFonts w:hint="default" w:ascii="宋体" w:hAnsi="宋体" w:eastAsia="宋体" w:cs="宋体"/>
                <w:bCs/>
                <w:sz w:val="24"/>
                <w:szCs w:val="24"/>
              </w:rPr>
            </w:pPr>
            <w:r>
              <w:rPr>
                <w:rFonts w:ascii="宋体" w:hAnsi="宋体" w:eastAsia="宋体" w:cs="宋体"/>
                <w:bCs/>
                <w:sz w:val="24"/>
                <w:szCs w:val="24"/>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pStyle w:val="13"/>
              <w:jc w:val="both"/>
              <w:rPr>
                <w:rFonts w:hint="default" w:ascii="宋体" w:hAnsi="宋体" w:eastAsia="宋体" w:cs="宋体"/>
                <w:bCs/>
                <w:sz w:val="24"/>
                <w:szCs w:val="24"/>
              </w:rPr>
            </w:pPr>
            <w:r>
              <w:rPr>
                <w:rFonts w:ascii="宋体" w:hAnsi="宋体" w:eastAsia="宋体" w:cs="宋体"/>
                <w:bCs/>
                <w:sz w:val="24"/>
                <w:szCs w:val="24"/>
              </w:rPr>
              <w:t>2</w:t>
            </w:r>
          </w:p>
        </w:tc>
        <w:tc>
          <w:tcPr>
            <w:tcW w:w="3322" w:type="dxa"/>
          </w:tcPr>
          <w:p>
            <w:pPr>
              <w:pStyle w:val="13"/>
              <w:jc w:val="both"/>
              <w:rPr>
                <w:rFonts w:hint="default" w:ascii="宋体" w:hAnsi="宋体" w:eastAsia="宋体" w:cs="宋体"/>
                <w:bCs/>
                <w:sz w:val="24"/>
                <w:szCs w:val="24"/>
              </w:rPr>
            </w:pPr>
            <w:r>
              <w:rPr>
                <w:rFonts w:ascii="宋体" w:hAnsi="宋体" w:eastAsia="宋体" w:cs="宋体"/>
                <w:bCs/>
                <w:sz w:val="24"/>
                <w:szCs w:val="24"/>
              </w:rPr>
              <w:t>营业执照等证明文件</w:t>
            </w:r>
          </w:p>
        </w:tc>
        <w:tc>
          <w:tcPr>
            <w:tcW w:w="4299" w:type="dxa"/>
          </w:tcPr>
          <w:p>
            <w:pPr>
              <w:pStyle w:val="13"/>
              <w:jc w:val="both"/>
              <w:rPr>
                <w:rFonts w:hint="default" w:ascii="宋体" w:hAnsi="宋体" w:eastAsia="宋体" w:cs="宋体"/>
                <w:bCs/>
                <w:sz w:val="24"/>
                <w:szCs w:val="24"/>
              </w:rPr>
            </w:pPr>
            <w:r>
              <w:rPr>
                <w:rFonts w:ascii="宋体" w:hAnsi="宋体" w:eastAsia="宋体" w:cs="宋体"/>
                <w:bCs/>
                <w:sz w:val="24"/>
                <w:szCs w:val="24"/>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pStyle w:val="13"/>
              <w:jc w:val="both"/>
              <w:rPr>
                <w:rFonts w:hint="default" w:ascii="宋体" w:hAnsi="宋体" w:eastAsia="宋体" w:cs="宋体"/>
                <w:bCs/>
                <w:sz w:val="24"/>
                <w:szCs w:val="24"/>
              </w:rPr>
            </w:pPr>
            <w:r>
              <w:rPr>
                <w:rFonts w:ascii="宋体" w:hAnsi="宋体" w:eastAsia="宋体" w:cs="宋体"/>
                <w:bCs/>
                <w:sz w:val="24"/>
                <w:szCs w:val="24"/>
              </w:rPr>
              <w:t>3</w:t>
            </w:r>
          </w:p>
        </w:tc>
        <w:tc>
          <w:tcPr>
            <w:tcW w:w="3322" w:type="dxa"/>
          </w:tcPr>
          <w:p>
            <w:pPr>
              <w:pStyle w:val="13"/>
              <w:jc w:val="both"/>
              <w:rPr>
                <w:rFonts w:hint="default" w:ascii="宋体" w:hAnsi="宋体" w:eastAsia="宋体" w:cs="宋体"/>
                <w:bCs/>
                <w:sz w:val="24"/>
                <w:szCs w:val="24"/>
              </w:rPr>
            </w:pPr>
            <w:r>
              <w:rPr>
                <w:rFonts w:ascii="宋体" w:hAnsi="宋体" w:eastAsia="宋体" w:cs="宋体"/>
                <w:bCs/>
                <w:sz w:val="24"/>
                <w:szCs w:val="24"/>
              </w:rPr>
              <w:t>提供财务状况报告(财务报告、或资信证明）</w:t>
            </w:r>
          </w:p>
        </w:tc>
        <w:tc>
          <w:tcPr>
            <w:tcW w:w="4299" w:type="dxa"/>
          </w:tcPr>
          <w:p>
            <w:pPr>
              <w:pStyle w:val="13"/>
              <w:jc w:val="both"/>
              <w:rPr>
                <w:rFonts w:hint="default" w:ascii="宋体" w:hAnsi="宋体" w:eastAsia="宋体" w:cs="宋体"/>
                <w:bCs/>
                <w:sz w:val="24"/>
                <w:szCs w:val="24"/>
              </w:rPr>
            </w:pPr>
            <w:r>
              <w:rPr>
                <w:rFonts w:ascii="宋体" w:hAnsi="宋体" w:eastAsia="宋体" w:cs="宋体"/>
                <w:bCs/>
                <w:sz w:val="24"/>
                <w:szCs w:val="24"/>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pStyle w:val="13"/>
              <w:jc w:val="both"/>
              <w:rPr>
                <w:rFonts w:hint="default" w:ascii="宋体" w:hAnsi="宋体" w:eastAsia="宋体" w:cs="宋体"/>
                <w:bCs/>
                <w:sz w:val="24"/>
                <w:szCs w:val="24"/>
              </w:rPr>
            </w:pPr>
            <w:r>
              <w:rPr>
                <w:rFonts w:ascii="宋体" w:hAnsi="宋体" w:eastAsia="宋体" w:cs="宋体"/>
                <w:bCs/>
                <w:sz w:val="24"/>
                <w:szCs w:val="24"/>
              </w:rPr>
              <w:t>4</w:t>
            </w:r>
          </w:p>
        </w:tc>
        <w:tc>
          <w:tcPr>
            <w:tcW w:w="3322" w:type="dxa"/>
          </w:tcPr>
          <w:p>
            <w:pPr>
              <w:pStyle w:val="13"/>
              <w:jc w:val="both"/>
              <w:rPr>
                <w:rFonts w:hint="default" w:ascii="宋体" w:hAnsi="宋体" w:eastAsia="宋体" w:cs="宋体"/>
                <w:bCs/>
                <w:sz w:val="24"/>
                <w:szCs w:val="24"/>
              </w:rPr>
            </w:pPr>
            <w:r>
              <w:rPr>
                <w:rFonts w:ascii="宋体" w:hAnsi="宋体" w:eastAsia="宋体" w:cs="宋体"/>
                <w:bCs/>
                <w:sz w:val="24"/>
                <w:szCs w:val="24"/>
              </w:rPr>
              <w:t>依法缴纳税收证明材料</w:t>
            </w:r>
          </w:p>
        </w:tc>
        <w:tc>
          <w:tcPr>
            <w:tcW w:w="4299" w:type="dxa"/>
          </w:tcPr>
          <w:p>
            <w:pPr>
              <w:pStyle w:val="13"/>
              <w:jc w:val="both"/>
              <w:rPr>
                <w:rFonts w:hint="default" w:ascii="宋体" w:hAnsi="宋体" w:eastAsia="宋体" w:cs="宋体"/>
                <w:bCs/>
                <w:sz w:val="24"/>
                <w:szCs w:val="24"/>
              </w:rPr>
            </w:pPr>
            <w:r>
              <w:rPr>
                <w:rFonts w:ascii="宋体" w:hAnsi="宋体" w:eastAsia="宋体" w:cs="宋体"/>
                <w:bCs/>
                <w:sz w:val="24"/>
                <w:szCs w:val="24"/>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pStyle w:val="13"/>
              <w:jc w:val="both"/>
              <w:rPr>
                <w:rFonts w:hint="default" w:ascii="宋体" w:hAnsi="宋体" w:eastAsia="宋体" w:cs="宋体"/>
                <w:bCs/>
                <w:sz w:val="24"/>
                <w:szCs w:val="24"/>
              </w:rPr>
            </w:pPr>
            <w:r>
              <w:rPr>
                <w:rFonts w:ascii="宋体" w:hAnsi="宋体" w:eastAsia="宋体" w:cs="宋体"/>
                <w:bCs/>
                <w:sz w:val="24"/>
                <w:szCs w:val="24"/>
              </w:rPr>
              <w:t>5</w:t>
            </w:r>
          </w:p>
        </w:tc>
        <w:tc>
          <w:tcPr>
            <w:tcW w:w="3322" w:type="dxa"/>
          </w:tcPr>
          <w:p>
            <w:pPr>
              <w:pStyle w:val="13"/>
              <w:jc w:val="both"/>
              <w:rPr>
                <w:rFonts w:hint="default" w:ascii="宋体" w:hAnsi="宋体" w:eastAsia="宋体" w:cs="宋体"/>
                <w:bCs/>
                <w:sz w:val="24"/>
                <w:szCs w:val="24"/>
              </w:rPr>
            </w:pPr>
            <w:r>
              <w:rPr>
                <w:rFonts w:ascii="宋体" w:hAnsi="宋体" w:eastAsia="宋体" w:cs="宋体"/>
                <w:bCs/>
                <w:sz w:val="24"/>
                <w:szCs w:val="24"/>
              </w:rPr>
              <w:t>依法缴纳社会保障资金证明材料</w:t>
            </w:r>
          </w:p>
        </w:tc>
        <w:tc>
          <w:tcPr>
            <w:tcW w:w="4299" w:type="dxa"/>
          </w:tcPr>
          <w:p>
            <w:pPr>
              <w:pStyle w:val="13"/>
              <w:jc w:val="both"/>
              <w:rPr>
                <w:rFonts w:hint="default" w:ascii="宋体" w:hAnsi="宋体" w:eastAsia="宋体" w:cs="宋体"/>
                <w:bCs/>
                <w:sz w:val="24"/>
                <w:szCs w:val="24"/>
              </w:rPr>
            </w:pPr>
            <w:r>
              <w:rPr>
                <w:rFonts w:ascii="宋体" w:hAnsi="宋体" w:eastAsia="宋体" w:cs="宋体"/>
                <w:bCs/>
                <w:sz w:val="24"/>
                <w:szCs w:val="24"/>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pStyle w:val="13"/>
              <w:jc w:val="both"/>
              <w:rPr>
                <w:rFonts w:hint="default" w:ascii="宋体" w:hAnsi="宋体" w:eastAsia="宋体" w:cs="宋体"/>
                <w:bCs/>
                <w:sz w:val="24"/>
                <w:szCs w:val="24"/>
              </w:rPr>
            </w:pPr>
            <w:r>
              <w:rPr>
                <w:rFonts w:ascii="宋体" w:hAnsi="宋体" w:eastAsia="宋体" w:cs="宋体"/>
                <w:bCs/>
                <w:sz w:val="24"/>
                <w:szCs w:val="24"/>
              </w:rPr>
              <w:t>6</w:t>
            </w:r>
          </w:p>
        </w:tc>
        <w:tc>
          <w:tcPr>
            <w:tcW w:w="3322" w:type="dxa"/>
          </w:tcPr>
          <w:p>
            <w:pPr>
              <w:pStyle w:val="13"/>
              <w:jc w:val="both"/>
              <w:rPr>
                <w:rFonts w:hint="default" w:ascii="宋体" w:hAnsi="宋体" w:eastAsia="宋体" w:cs="宋体"/>
                <w:bCs/>
                <w:sz w:val="24"/>
                <w:szCs w:val="24"/>
              </w:rPr>
            </w:pPr>
            <w:r>
              <w:rPr>
                <w:rFonts w:ascii="宋体" w:hAnsi="宋体" w:eastAsia="宋体" w:cs="宋体"/>
                <w:bCs/>
                <w:sz w:val="24"/>
                <w:szCs w:val="24"/>
              </w:rPr>
              <w:t>具备履行合同所必需设备和专业技术能力的声明函(若有)</w:t>
            </w:r>
          </w:p>
        </w:tc>
        <w:tc>
          <w:tcPr>
            <w:tcW w:w="4299" w:type="dxa"/>
          </w:tcPr>
          <w:p>
            <w:pPr>
              <w:pStyle w:val="13"/>
              <w:jc w:val="both"/>
              <w:rPr>
                <w:rFonts w:hint="default" w:ascii="宋体" w:hAnsi="宋体" w:eastAsia="宋体" w:cs="宋体"/>
                <w:bCs/>
                <w:sz w:val="24"/>
                <w:szCs w:val="24"/>
              </w:rPr>
            </w:pPr>
            <w:r>
              <w:rPr>
                <w:rFonts w:ascii="宋体" w:hAnsi="宋体" w:eastAsia="宋体" w:cs="宋体"/>
                <w:bCs/>
                <w:sz w:val="24"/>
                <w:szCs w:val="24"/>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pStyle w:val="13"/>
              <w:jc w:val="both"/>
              <w:rPr>
                <w:rFonts w:hint="default" w:ascii="宋体" w:hAnsi="宋体" w:eastAsia="宋体" w:cs="宋体"/>
                <w:bCs/>
                <w:sz w:val="24"/>
                <w:szCs w:val="24"/>
              </w:rPr>
            </w:pPr>
            <w:r>
              <w:rPr>
                <w:rFonts w:ascii="宋体" w:hAnsi="宋体" w:eastAsia="宋体" w:cs="宋体"/>
                <w:bCs/>
                <w:sz w:val="24"/>
                <w:szCs w:val="24"/>
              </w:rPr>
              <w:t>7</w:t>
            </w:r>
          </w:p>
        </w:tc>
        <w:tc>
          <w:tcPr>
            <w:tcW w:w="3322" w:type="dxa"/>
          </w:tcPr>
          <w:p>
            <w:pPr>
              <w:pStyle w:val="13"/>
              <w:jc w:val="both"/>
              <w:rPr>
                <w:rFonts w:hint="default" w:ascii="宋体" w:hAnsi="宋体" w:eastAsia="宋体" w:cs="宋体"/>
                <w:bCs/>
                <w:sz w:val="24"/>
                <w:szCs w:val="24"/>
              </w:rPr>
            </w:pPr>
            <w:r>
              <w:rPr>
                <w:rFonts w:ascii="宋体" w:hAnsi="宋体" w:eastAsia="宋体" w:cs="宋体"/>
                <w:bCs/>
                <w:sz w:val="24"/>
                <w:szCs w:val="24"/>
              </w:rPr>
              <w:t>参加采购活动前三年内在经营活动中没有重大违法记录的声明</w:t>
            </w:r>
          </w:p>
        </w:tc>
        <w:tc>
          <w:tcPr>
            <w:tcW w:w="4299" w:type="dxa"/>
          </w:tcPr>
          <w:p>
            <w:pPr>
              <w:pStyle w:val="13"/>
              <w:jc w:val="both"/>
              <w:rPr>
                <w:rFonts w:hint="default" w:ascii="宋体" w:hAnsi="宋体" w:eastAsia="宋体" w:cs="宋体"/>
                <w:bCs/>
                <w:sz w:val="24"/>
                <w:szCs w:val="24"/>
              </w:rPr>
            </w:pPr>
            <w:r>
              <w:rPr>
                <w:rFonts w:ascii="宋体" w:hAnsi="宋体" w:eastAsia="宋体" w:cs="宋体"/>
                <w:bCs/>
                <w:sz w:val="24"/>
                <w:szCs w:val="24"/>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pStyle w:val="13"/>
              <w:jc w:val="both"/>
              <w:rPr>
                <w:rFonts w:hint="default" w:ascii="宋体" w:hAnsi="宋体" w:eastAsia="宋体" w:cs="宋体"/>
                <w:bCs/>
                <w:sz w:val="24"/>
                <w:szCs w:val="24"/>
              </w:rPr>
            </w:pPr>
            <w:r>
              <w:rPr>
                <w:rFonts w:ascii="宋体" w:hAnsi="宋体" w:eastAsia="宋体" w:cs="宋体"/>
                <w:bCs/>
                <w:sz w:val="24"/>
                <w:szCs w:val="24"/>
              </w:rPr>
              <w:t>8</w:t>
            </w:r>
          </w:p>
        </w:tc>
        <w:tc>
          <w:tcPr>
            <w:tcW w:w="3322" w:type="dxa"/>
          </w:tcPr>
          <w:p>
            <w:pPr>
              <w:pStyle w:val="13"/>
              <w:jc w:val="both"/>
              <w:rPr>
                <w:rFonts w:hint="default" w:ascii="宋体" w:hAnsi="宋体" w:eastAsia="宋体" w:cs="宋体"/>
                <w:bCs/>
                <w:sz w:val="24"/>
                <w:szCs w:val="24"/>
              </w:rPr>
            </w:pPr>
            <w:r>
              <w:rPr>
                <w:rFonts w:ascii="宋体" w:hAnsi="宋体" w:eastAsia="宋体" w:cs="宋体"/>
                <w:bCs/>
                <w:sz w:val="24"/>
                <w:szCs w:val="24"/>
              </w:rPr>
              <w:t>信用记录查询结果</w:t>
            </w:r>
          </w:p>
        </w:tc>
        <w:tc>
          <w:tcPr>
            <w:tcW w:w="4299" w:type="dxa"/>
          </w:tcPr>
          <w:p>
            <w:pPr>
              <w:pStyle w:val="13"/>
              <w:jc w:val="both"/>
              <w:rPr>
                <w:rFonts w:hint="default" w:ascii="宋体" w:hAnsi="宋体" w:eastAsia="宋体" w:cs="宋体"/>
                <w:bCs/>
                <w:sz w:val="24"/>
                <w:szCs w:val="24"/>
              </w:rPr>
            </w:pPr>
            <w:r>
              <w:rPr>
                <w:rFonts w:ascii="宋体" w:hAnsi="宋体" w:eastAsia="宋体" w:cs="宋体"/>
                <w:bCs/>
                <w:sz w:val="24"/>
                <w:szCs w:val="24"/>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pStyle w:val="13"/>
              <w:jc w:val="both"/>
              <w:rPr>
                <w:rFonts w:hint="default" w:ascii="宋体" w:hAnsi="宋体" w:eastAsia="宋体" w:cs="宋体"/>
                <w:bCs/>
                <w:sz w:val="24"/>
                <w:szCs w:val="24"/>
              </w:rPr>
            </w:pPr>
            <w:r>
              <w:rPr>
                <w:rFonts w:ascii="宋体" w:hAnsi="宋体" w:eastAsia="宋体" w:cs="宋体"/>
                <w:bCs/>
                <w:sz w:val="24"/>
                <w:szCs w:val="24"/>
              </w:rPr>
              <w:t>9</w:t>
            </w:r>
          </w:p>
        </w:tc>
        <w:tc>
          <w:tcPr>
            <w:tcW w:w="3322" w:type="dxa"/>
          </w:tcPr>
          <w:p>
            <w:pPr>
              <w:pStyle w:val="13"/>
              <w:jc w:val="both"/>
              <w:rPr>
                <w:rFonts w:hint="default" w:ascii="宋体" w:hAnsi="宋体" w:eastAsia="宋体" w:cs="宋体"/>
                <w:bCs/>
                <w:sz w:val="24"/>
                <w:szCs w:val="24"/>
              </w:rPr>
            </w:pPr>
            <w:r>
              <w:rPr>
                <w:rFonts w:ascii="宋体" w:hAnsi="宋体" w:eastAsia="宋体" w:cs="宋体"/>
                <w:bCs/>
                <w:sz w:val="24"/>
                <w:szCs w:val="24"/>
              </w:rPr>
              <w:t>中小企业声明函（以资格条件落实中小企业扶持政策时适用 ）</w:t>
            </w:r>
          </w:p>
        </w:tc>
        <w:tc>
          <w:tcPr>
            <w:tcW w:w="4299" w:type="dxa"/>
          </w:tcPr>
          <w:p>
            <w:pPr>
              <w:pStyle w:val="13"/>
              <w:jc w:val="both"/>
              <w:rPr>
                <w:rFonts w:hint="default" w:ascii="宋体" w:hAnsi="宋体" w:eastAsia="宋体" w:cs="宋体"/>
                <w:bCs/>
                <w:sz w:val="24"/>
                <w:szCs w:val="24"/>
              </w:rPr>
            </w:pPr>
            <w:r>
              <w:rPr>
                <w:rFonts w:ascii="宋体" w:hAnsi="宋体" w:eastAsia="宋体" w:cs="宋体"/>
                <w:bCs/>
                <w:sz w:val="24"/>
                <w:szCs w:val="24"/>
              </w:rPr>
              <w:t xml:space="preserve">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w:t>
            </w:r>
            <w:r>
              <w:rPr>
                <w:rFonts w:ascii="宋体" w:hAnsi="宋体" w:eastAsia="宋体" w:cs="宋体"/>
                <w:bCs/>
                <w:sz w:val="24"/>
                <w:szCs w:val="24"/>
                <w:highlight w:val="none"/>
              </w:rPr>
              <w:t>⑤以合同分包形式落实中小企业预留份额时，还需提供《分包意向协议》。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Pr>
          <w:p>
            <w:pPr>
              <w:pStyle w:val="13"/>
              <w:jc w:val="both"/>
              <w:rPr>
                <w:rFonts w:hint="default" w:ascii="宋体" w:hAnsi="宋体" w:eastAsia="宋体" w:cs="宋体"/>
                <w:bCs/>
                <w:sz w:val="24"/>
                <w:szCs w:val="24"/>
              </w:rPr>
            </w:pPr>
            <w:r>
              <w:rPr>
                <w:rFonts w:ascii="宋体" w:hAnsi="宋体" w:eastAsia="宋体" w:cs="宋体"/>
                <w:bCs/>
                <w:sz w:val="24"/>
                <w:szCs w:val="24"/>
              </w:rPr>
              <w:t>10</w:t>
            </w:r>
          </w:p>
        </w:tc>
        <w:tc>
          <w:tcPr>
            <w:tcW w:w="3322" w:type="dxa"/>
          </w:tcPr>
          <w:p>
            <w:pPr>
              <w:pStyle w:val="13"/>
              <w:jc w:val="both"/>
              <w:rPr>
                <w:rFonts w:hint="default" w:ascii="宋体" w:hAnsi="宋体" w:eastAsia="宋体" w:cs="宋体"/>
                <w:bCs/>
                <w:sz w:val="24"/>
                <w:szCs w:val="24"/>
              </w:rPr>
            </w:pPr>
            <w:r>
              <w:rPr>
                <w:rFonts w:ascii="宋体" w:hAnsi="宋体" w:eastAsia="宋体" w:cs="宋体"/>
                <w:bCs/>
                <w:sz w:val="24"/>
                <w:szCs w:val="24"/>
              </w:rPr>
              <w:t>联合体协议（若有）</w:t>
            </w:r>
          </w:p>
        </w:tc>
        <w:tc>
          <w:tcPr>
            <w:tcW w:w="4299" w:type="dxa"/>
          </w:tcPr>
          <w:p>
            <w:pPr>
              <w:pStyle w:val="13"/>
              <w:jc w:val="both"/>
              <w:rPr>
                <w:rFonts w:hint="default" w:ascii="宋体" w:hAnsi="宋体" w:eastAsia="宋体" w:cs="宋体"/>
                <w:bCs/>
                <w:sz w:val="24"/>
                <w:szCs w:val="24"/>
              </w:rPr>
            </w:pPr>
            <w:r>
              <w:rPr>
                <w:rFonts w:ascii="宋体" w:hAnsi="宋体" w:eastAsia="宋体" w:cs="宋体"/>
                <w:bCs/>
                <w:sz w:val="24"/>
                <w:szCs w:val="24"/>
              </w:rPr>
              <w:t>①招标文件接受联合体投标且投标人为联合体的，投标人应提供本协议；否则无须提供。 ②本协议由委托代理人签字或盖章的，应按照招标文件第七章载明的格式提供“单位授权书”。</w:t>
            </w:r>
          </w:p>
        </w:tc>
      </w:tr>
    </w:tbl>
    <w:p>
      <w:pPr>
        <w:pStyle w:val="13"/>
        <w:ind w:firstLine="480"/>
        <w:jc w:val="both"/>
        <w:rPr>
          <w:rFonts w:hint="default" w:ascii="宋体" w:hAnsi="宋体" w:eastAsia="宋体" w:cs="宋体"/>
          <w:bCs/>
          <w:sz w:val="24"/>
          <w:szCs w:val="24"/>
        </w:rPr>
      </w:pPr>
      <w:r>
        <w:rPr>
          <w:rFonts w:ascii="宋体" w:hAnsi="宋体" w:eastAsia="宋体" w:cs="宋体"/>
          <w:bCs/>
          <w:sz w:val="24"/>
          <w:szCs w:val="24"/>
        </w:rPr>
        <w:t>※备注说明</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①投标人应根据自身实际情况提供上述资格要求的证明材料，格式可参考招标文件第七章提供。</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②投标人提供的相应证明材料复印件均应符合：内容完整、清晰、整洁，并由投标人加盖其单位公章。</w:t>
      </w:r>
    </w:p>
    <w:p>
      <w:pPr>
        <w:pStyle w:val="13"/>
        <w:ind w:firstLine="480"/>
        <w:jc w:val="both"/>
        <w:rPr>
          <w:rFonts w:hint="default"/>
        </w:rPr>
      </w:pPr>
      <w:r>
        <w:rPr>
          <w:rFonts w:ascii="宋体" w:hAnsi="宋体" w:eastAsia="宋体" w:cs="宋体"/>
          <w:bCs/>
          <w:sz w:val="24"/>
          <w:szCs w:val="24"/>
        </w:rPr>
        <w:t>②.其他资格证明文件：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采购包1：</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67"/>
        <w:gridCol w:w="57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7" w:type="dxa"/>
          </w:tcPr>
          <w:p>
            <w:pPr>
              <w:pStyle w:val="13"/>
              <w:rPr>
                <w:rFonts w:hint="default" w:ascii="宋体" w:hAnsi="宋体" w:eastAsia="宋体" w:cs="宋体"/>
                <w:bCs/>
                <w:sz w:val="24"/>
                <w:szCs w:val="24"/>
              </w:rPr>
            </w:pPr>
            <w:r>
              <w:rPr>
                <w:rFonts w:ascii="宋体" w:hAnsi="宋体" w:eastAsia="宋体" w:cs="宋体"/>
                <w:bCs/>
                <w:sz w:val="24"/>
                <w:szCs w:val="24"/>
              </w:rPr>
              <w:t>资格审查要求概况</w:t>
            </w:r>
          </w:p>
        </w:tc>
        <w:tc>
          <w:tcPr>
            <w:tcW w:w="5739"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评审点具体描述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7" w:type="dxa"/>
          </w:tcPr>
          <w:p>
            <w:pPr>
              <w:pStyle w:val="13"/>
              <w:rPr>
                <w:rFonts w:hint="default" w:ascii="宋体" w:hAnsi="宋体" w:eastAsia="宋体" w:cs="宋体"/>
                <w:bCs/>
                <w:sz w:val="24"/>
                <w:szCs w:val="24"/>
              </w:rPr>
            </w:pPr>
            <w:r>
              <w:rPr>
                <w:rFonts w:ascii="宋体" w:hAnsi="宋体" w:eastAsia="宋体" w:cs="宋体"/>
                <w:bCs/>
                <w:sz w:val="24"/>
                <w:szCs w:val="24"/>
              </w:rPr>
              <w:t>财务状况报告补充说明</w:t>
            </w:r>
          </w:p>
        </w:tc>
        <w:tc>
          <w:tcPr>
            <w:tcW w:w="5739" w:type="dxa"/>
          </w:tcPr>
          <w:p>
            <w:pPr>
              <w:pStyle w:val="13"/>
              <w:jc w:val="both"/>
              <w:rPr>
                <w:rFonts w:hint="default" w:ascii="宋体" w:hAnsi="宋体" w:eastAsia="宋体" w:cs="宋体"/>
                <w:bCs/>
                <w:sz w:val="24"/>
                <w:szCs w:val="24"/>
              </w:rPr>
            </w:pPr>
            <w:r>
              <w:rPr>
                <w:rFonts w:ascii="宋体" w:hAnsi="宋体" w:eastAsia="宋体" w:cs="宋体"/>
                <w:bCs/>
                <w:sz w:val="24"/>
                <w:szCs w:val="24"/>
              </w:rPr>
              <w:t>每年1-6月期间开标的项目，投标人也可提供上上年度的年度财务报告。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67" w:type="dxa"/>
          </w:tcPr>
          <w:p>
            <w:pPr>
              <w:pStyle w:val="13"/>
              <w:rPr>
                <w:rFonts w:hint="default" w:ascii="宋体" w:hAnsi="宋体" w:eastAsia="宋体" w:cs="宋体"/>
                <w:bCs/>
                <w:sz w:val="24"/>
                <w:szCs w:val="24"/>
              </w:rPr>
            </w:pPr>
            <w:r>
              <w:rPr>
                <w:rFonts w:ascii="宋体" w:hAnsi="宋体" w:eastAsia="宋体" w:cs="宋体"/>
                <w:bCs/>
                <w:sz w:val="24"/>
                <w:szCs w:val="24"/>
              </w:rPr>
              <w:t>本采购包属于专门面向中小企业采购。</w:t>
            </w:r>
          </w:p>
        </w:tc>
        <w:tc>
          <w:tcPr>
            <w:tcW w:w="5739" w:type="dxa"/>
          </w:tcPr>
          <w:p>
            <w:pPr>
              <w:pStyle w:val="13"/>
              <w:jc w:val="both"/>
              <w:rPr>
                <w:rFonts w:hint="default" w:ascii="宋体" w:hAnsi="宋体" w:eastAsia="宋体" w:cs="宋体"/>
                <w:bCs/>
                <w:sz w:val="24"/>
                <w:szCs w:val="24"/>
              </w:rPr>
            </w:pPr>
            <w:r>
              <w:rPr>
                <w:rFonts w:ascii="宋体" w:hAnsi="宋体" w:eastAsia="宋体" w:cs="宋体"/>
                <w:bCs/>
                <w:sz w:val="24"/>
                <w:szCs w:val="24"/>
              </w:rPr>
              <w:t>（1）本采购包落实中小企业扶持政策要求的方式：预留份额专门面向中小企业采购。 （2）预留比例：中小企业承担的部分不低于投标总额的</w:t>
            </w:r>
            <w:r>
              <w:rPr>
                <w:rFonts w:ascii="宋体" w:hAnsi="宋体" w:eastAsia="宋体" w:cs="宋体"/>
                <w:bCs/>
                <w:sz w:val="24"/>
                <w:szCs w:val="24"/>
                <w:lang w:eastAsia="zh-CN"/>
              </w:rPr>
              <w:t>4</w:t>
            </w:r>
            <w:r>
              <w:rPr>
                <w:rFonts w:ascii="宋体" w:hAnsi="宋体" w:eastAsia="宋体" w:cs="宋体"/>
                <w:bCs/>
                <w:sz w:val="24"/>
                <w:szCs w:val="24"/>
              </w:rPr>
              <w:t>0%。 （3）投标人需按第五章补充条款要求提供相关材料，否则投标无效。</w:t>
            </w:r>
          </w:p>
        </w:tc>
      </w:tr>
    </w:tbl>
    <w:p>
      <w:pPr>
        <w:pStyle w:val="13"/>
        <w:ind w:firstLine="480"/>
        <w:jc w:val="both"/>
        <w:rPr>
          <w:rFonts w:hint="default" w:ascii="宋体" w:hAnsi="宋体" w:eastAsia="宋体" w:cs="宋体"/>
          <w:bCs/>
          <w:sz w:val="24"/>
          <w:szCs w:val="24"/>
        </w:rPr>
      </w:pPr>
      <w:r>
        <w:rPr>
          <w:rFonts w:ascii="宋体" w:hAnsi="宋体" w:eastAsia="宋体" w:cs="宋体"/>
          <w:bCs/>
          <w:sz w:val="24"/>
          <w:szCs w:val="24"/>
        </w:rPr>
        <w:t>（3）投标保证金。</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1.4有下列情形之一的，资格审查不合格：</w:t>
      </w:r>
    </w:p>
    <w:tbl>
      <w:tblPr>
        <w:tblStyle w:val="11"/>
        <w:tblW w:w="0" w:type="auto"/>
        <w:tblInd w:w="0" w:type="dxa"/>
        <w:tblLayout w:type="autofit"/>
        <w:tblCellMar>
          <w:top w:w="0" w:type="dxa"/>
          <w:left w:w="108" w:type="dxa"/>
          <w:bottom w:w="0" w:type="dxa"/>
          <w:right w:w="108" w:type="dxa"/>
        </w:tblCellMar>
      </w:tblPr>
      <w:tblGrid>
        <w:gridCol w:w="8306"/>
      </w:tblGrid>
      <w:tr>
        <w:tblPrEx>
          <w:tblCellMar>
            <w:top w:w="0" w:type="dxa"/>
            <w:left w:w="108" w:type="dxa"/>
            <w:bottom w:w="0" w:type="dxa"/>
            <w:right w:w="108" w:type="dxa"/>
          </w:tblCellMar>
        </w:tblPrEx>
        <w:tc>
          <w:tcPr>
            <w:tcW w:w="8306"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明细</w:t>
            </w:r>
          </w:p>
        </w:tc>
      </w:tr>
      <w:tr>
        <w:tblPrEx>
          <w:tblCellMar>
            <w:top w:w="0" w:type="dxa"/>
            <w:left w:w="108" w:type="dxa"/>
            <w:bottom w:w="0" w:type="dxa"/>
            <w:right w:w="108" w:type="dxa"/>
          </w:tblCellMar>
        </w:tblPrEx>
        <w:tc>
          <w:tcPr>
            <w:tcW w:w="8306"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未按照招标文件规定提交投标函</w:t>
            </w:r>
          </w:p>
        </w:tc>
      </w:tr>
      <w:tr>
        <w:tblPrEx>
          <w:tblCellMar>
            <w:top w:w="0" w:type="dxa"/>
            <w:left w:w="108" w:type="dxa"/>
            <w:bottom w:w="0" w:type="dxa"/>
            <w:right w:w="108" w:type="dxa"/>
          </w:tblCellMar>
        </w:tblPrEx>
        <w:tc>
          <w:tcPr>
            <w:tcW w:w="8306"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未按照招标文件规定提交投标人的资格及资信文件</w:t>
            </w:r>
          </w:p>
        </w:tc>
      </w:tr>
      <w:tr>
        <w:tblPrEx>
          <w:tblCellMar>
            <w:top w:w="0" w:type="dxa"/>
            <w:left w:w="108" w:type="dxa"/>
            <w:bottom w:w="0" w:type="dxa"/>
            <w:right w:w="108" w:type="dxa"/>
          </w:tblCellMar>
        </w:tblPrEx>
        <w:tc>
          <w:tcPr>
            <w:tcW w:w="8306"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未按照招标文件规定提交投标保证金</w:t>
            </w:r>
          </w:p>
        </w:tc>
      </w:tr>
    </w:tbl>
    <w:p>
      <w:pPr>
        <w:pStyle w:val="13"/>
        <w:jc w:val="both"/>
        <w:rPr>
          <w:rFonts w:hint="default" w:ascii="宋体" w:hAnsi="宋体" w:eastAsia="宋体" w:cs="宋体"/>
          <w:bCs/>
          <w:sz w:val="24"/>
          <w:szCs w:val="24"/>
        </w:rPr>
      </w:pP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采购包1：</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资格审查不合格项：无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1.5若本项目接受联合体投标且投标人为联合体，联合体中有同类资质的供应商按照联合体分工承担相同工作的，应先按照资质等级较低的供应商确定资质等级，再按照本章第1.2、1.3、1.4条规定进行资格审查。</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2、资格审查情况不得私自外泄，有关信息由</w:t>
      </w:r>
      <w:r>
        <w:rPr>
          <w:rFonts w:ascii="宋体" w:hAnsi="宋体" w:eastAsia="宋体" w:cs="宋体"/>
          <w:bCs/>
          <w:sz w:val="24"/>
          <w:szCs w:val="24"/>
          <w:lang w:eastAsia="zh-CN"/>
        </w:rPr>
        <w:t>福建信发招标代理有限公司</w:t>
      </w:r>
      <w:r>
        <w:rPr>
          <w:rFonts w:ascii="宋体" w:hAnsi="宋体" w:eastAsia="宋体" w:cs="宋体"/>
          <w:bCs/>
          <w:sz w:val="24"/>
          <w:szCs w:val="24"/>
        </w:rPr>
        <w:t>统一对外发布。</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3、资格审查合格的投标人不足三家的，不进行评标。同时，本次采购活动结束，</w:t>
      </w:r>
      <w:r>
        <w:rPr>
          <w:rFonts w:ascii="宋体" w:hAnsi="宋体" w:eastAsia="宋体" w:cs="宋体"/>
          <w:bCs/>
          <w:sz w:val="24"/>
          <w:szCs w:val="24"/>
          <w:lang w:eastAsia="zh-CN"/>
        </w:rPr>
        <w:t>福建信发招标代理有限公司</w:t>
      </w:r>
      <w:r>
        <w:rPr>
          <w:rFonts w:ascii="宋体" w:hAnsi="宋体" w:eastAsia="宋体" w:cs="宋体"/>
          <w:bCs/>
          <w:sz w:val="24"/>
          <w:szCs w:val="24"/>
        </w:rPr>
        <w:t>将依法组织后续采购活动（包括但不限于：重新招标、采用其他方式采购等）。</w:t>
      </w:r>
    </w:p>
    <w:p>
      <w:pPr>
        <w:pStyle w:val="13"/>
        <w:jc w:val="both"/>
        <w:outlineLvl w:val="2"/>
        <w:rPr>
          <w:rFonts w:hint="default"/>
        </w:rPr>
      </w:pPr>
      <w:r>
        <w:rPr>
          <w:b/>
          <w:sz w:val="28"/>
        </w:rPr>
        <w:t>二、评标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4、资格审查结束后，由</w:t>
      </w:r>
      <w:r>
        <w:rPr>
          <w:rFonts w:ascii="宋体" w:hAnsi="宋体" w:eastAsia="宋体" w:cs="宋体"/>
          <w:bCs/>
          <w:sz w:val="24"/>
          <w:szCs w:val="24"/>
          <w:lang w:eastAsia="zh-CN"/>
        </w:rPr>
        <w:t>福建信发招标代理有限公司</w:t>
      </w:r>
      <w:r>
        <w:rPr>
          <w:rFonts w:ascii="宋体" w:hAnsi="宋体" w:eastAsia="宋体" w:cs="宋体"/>
          <w:bCs/>
          <w:sz w:val="24"/>
          <w:szCs w:val="24"/>
        </w:rPr>
        <w:t>负责评标委员会的组建及评标工作的组织。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5、评标委员会</w:t>
      </w:r>
    </w:p>
    <w:p>
      <w:pPr>
        <w:pStyle w:val="13"/>
        <w:ind w:firstLine="480"/>
        <w:jc w:val="both"/>
        <w:rPr>
          <w:rFonts w:hint="default" w:ascii="宋体" w:hAnsi="宋体" w:eastAsia="宋体" w:cs="宋体"/>
          <w:bCs/>
          <w:sz w:val="24"/>
          <w:szCs w:val="24"/>
        </w:rPr>
      </w:pPr>
    </w:p>
    <w:p>
      <w:pPr>
        <w:pStyle w:val="13"/>
        <w:ind w:firstLine="480"/>
        <w:jc w:val="both"/>
        <w:rPr>
          <w:rFonts w:hint="default" w:ascii="宋体" w:hAnsi="宋体" w:eastAsia="宋体" w:cs="宋体"/>
          <w:bCs/>
          <w:sz w:val="24"/>
          <w:szCs w:val="24"/>
        </w:rPr>
      </w:pP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由采购人代表和评审专家两部分共5人组成，其中由福建省政府采购评审专家库产生的评审专家4人，由采购人派出的采购人代表1人。</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5.2评标委员会负责具体评标事务，并按照下列原则依法独立履行有关职责：</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（1）评标应保护国家利益、社会公共利益和各方当事人合法权益，提高采购效益，保证项目质量。</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（2）评标应遵循公平、公正、科学、严谨和择优原则。</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（3）评标的依据是招标文件和电子投标文件。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（4）应按照招标文件规定推荐中标候选人或确定中标人。</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（5）评标应遵守下列评标纪律：</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①评标情况不得私自外泄，有关信息由</w:t>
      </w:r>
      <w:r>
        <w:rPr>
          <w:rFonts w:ascii="宋体" w:hAnsi="宋体" w:eastAsia="宋体" w:cs="宋体"/>
          <w:bCs/>
          <w:sz w:val="24"/>
          <w:szCs w:val="24"/>
          <w:lang w:eastAsia="zh-CN"/>
        </w:rPr>
        <w:t>福建信发招标代理有限公司</w:t>
      </w:r>
      <w:r>
        <w:rPr>
          <w:rFonts w:ascii="宋体" w:hAnsi="宋体" w:eastAsia="宋体" w:cs="宋体"/>
          <w:bCs/>
          <w:sz w:val="24"/>
          <w:szCs w:val="24"/>
        </w:rPr>
        <w:t>统一对外发布。</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②对</w:t>
      </w:r>
      <w:r>
        <w:rPr>
          <w:rFonts w:ascii="宋体" w:hAnsi="宋体" w:eastAsia="宋体" w:cs="宋体"/>
          <w:bCs/>
          <w:sz w:val="24"/>
          <w:szCs w:val="24"/>
          <w:lang w:eastAsia="zh-CN"/>
        </w:rPr>
        <w:t>福建信发招标代理有限公司</w:t>
      </w:r>
      <w:r>
        <w:rPr>
          <w:rFonts w:ascii="宋体" w:hAnsi="宋体" w:eastAsia="宋体" w:cs="宋体"/>
          <w:bCs/>
          <w:sz w:val="24"/>
          <w:szCs w:val="24"/>
        </w:rPr>
        <w:t>或投标人提供的要求保密的资料，不得摘记翻印和外传。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③不得收受投标人或有关人员的任何礼物，不得串联鼓动其他人袒护某投标人。若与投标人存在利害关系，则应主动声明并回避。</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④全体评委应按照招标文件规定进行评标，一切认定事项应查有实据且不得弄虚作假。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⑤评标中应充分发扬民主，推荐中标候选人或确定中标人后要服从评标报告。</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※对违反评标纪律的评委，将取消其评委资格，对评标工作造成严重损失者将予以通报批评乃至追究法律责任。</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6、评标程序</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6.1评标前的准备工作</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（1）全体评委应认真审阅招标文件，了解评委应履行或遵守的职责、义务和评标纪律。</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（2）参加评标委员会的采购人代表可对本项目的背景和采购需求进行介绍，介绍材料应以书面形式提交（随采购文件一并存档），介绍内容不得含有歧视性、倾向性意见，不得超出招标文件所述范围。</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6.2符合性审查</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（1）评标委员会依据招标文件的实质性要求，对通过资格审查的电子投标文件进行符合性审查，以确定其是否满足招标文件的实质性要求。</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（2）满足招标文件的实质性要求指电子投标文件对招标文件实质性要求的响应不存在重大偏差或保留。</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（5）评标委员会对所有投标人都执行相同的程序和标准。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（6）有下列情形之一的，符合性审查不合格：</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①项目一般情形：</w:t>
      </w:r>
    </w:p>
    <w:p>
      <w:pPr>
        <w:pStyle w:val="13"/>
        <w:jc w:val="both"/>
        <w:rPr>
          <w:rFonts w:hint="default" w:ascii="宋体" w:hAnsi="宋体" w:eastAsia="宋体" w:cs="宋体"/>
          <w:bCs/>
          <w:sz w:val="24"/>
          <w:szCs w:val="24"/>
        </w:rPr>
      </w:pP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采购包1：</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8"/>
        <w:gridCol w:w="3115"/>
        <w:gridCol w:w="4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序号</w:t>
            </w:r>
          </w:p>
        </w:tc>
        <w:tc>
          <w:tcPr>
            <w:tcW w:w="3115"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符合审查要求概况</w:t>
            </w:r>
          </w:p>
        </w:tc>
        <w:tc>
          <w:tcPr>
            <w:tcW w:w="4153"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评审点具体描述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1</w:t>
            </w:r>
          </w:p>
        </w:tc>
        <w:tc>
          <w:tcPr>
            <w:tcW w:w="3115"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情形1</w:t>
            </w:r>
          </w:p>
        </w:tc>
        <w:tc>
          <w:tcPr>
            <w:tcW w:w="4153" w:type="dxa"/>
          </w:tcPr>
          <w:p>
            <w:pPr>
              <w:pStyle w:val="13"/>
              <w:jc w:val="both"/>
              <w:rPr>
                <w:rFonts w:hint="default" w:ascii="宋体" w:hAnsi="宋体" w:eastAsia="宋体" w:cs="宋体"/>
                <w:bCs/>
                <w:sz w:val="24"/>
                <w:szCs w:val="24"/>
              </w:rPr>
            </w:pPr>
            <w:r>
              <w:rPr>
                <w:rFonts w:ascii="宋体" w:hAnsi="宋体" w:eastAsia="宋体" w:cs="宋体"/>
                <w:bCs/>
                <w:sz w:val="24"/>
                <w:szCs w:val="24"/>
              </w:rPr>
              <w:t>违反招标文件中载明“投标无效”条款的规定；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2</w:t>
            </w:r>
          </w:p>
        </w:tc>
        <w:tc>
          <w:tcPr>
            <w:tcW w:w="3115"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情形2</w:t>
            </w:r>
          </w:p>
        </w:tc>
        <w:tc>
          <w:tcPr>
            <w:tcW w:w="4153" w:type="dxa"/>
          </w:tcPr>
          <w:p>
            <w:pPr>
              <w:pStyle w:val="13"/>
              <w:jc w:val="both"/>
              <w:rPr>
                <w:rFonts w:hint="default" w:ascii="宋体" w:hAnsi="宋体" w:eastAsia="宋体" w:cs="宋体"/>
                <w:bCs/>
                <w:sz w:val="24"/>
                <w:szCs w:val="24"/>
              </w:rPr>
            </w:pPr>
            <w:r>
              <w:rPr>
                <w:rFonts w:ascii="宋体" w:hAnsi="宋体" w:eastAsia="宋体" w:cs="宋体"/>
                <w:bCs/>
                <w:sz w:val="24"/>
                <w:szCs w:val="24"/>
              </w:rPr>
              <w:t>属于招标文件第三章第10.12条规定的投标无效情形；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3</w:t>
            </w:r>
          </w:p>
        </w:tc>
        <w:tc>
          <w:tcPr>
            <w:tcW w:w="3115"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情形3</w:t>
            </w:r>
          </w:p>
        </w:tc>
        <w:tc>
          <w:tcPr>
            <w:tcW w:w="4153" w:type="dxa"/>
          </w:tcPr>
          <w:p>
            <w:pPr>
              <w:pStyle w:val="13"/>
              <w:jc w:val="both"/>
              <w:rPr>
                <w:rFonts w:hint="default" w:ascii="宋体" w:hAnsi="宋体" w:eastAsia="宋体" w:cs="宋体"/>
                <w:bCs/>
                <w:sz w:val="24"/>
                <w:szCs w:val="24"/>
              </w:rPr>
            </w:pPr>
            <w:r>
              <w:rPr>
                <w:rFonts w:ascii="宋体" w:hAnsi="宋体" w:eastAsia="宋体" w:cs="宋体"/>
                <w:bCs/>
                <w:sz w:val="24"/>
                <w:szCs w:val="24"/>
              </w:rPr>
              <w:t>投标文件对招标文件实质性要求的响应存在重大偏离或保留。</w:t>
            </w:r>
          </w:p>
        </w:tc>
      </w:tr>
    </w:tbl>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②本项目规定的其他情形：</w:t>
      </w:r>
    </w:p>
    <w:p>
      <w:pPr>
        <w:pStyle w:val="13"/>
        <w:ind w:firstLine="480"/>
        <w:jc w:val="both"/>
        <w:rPr>
          <w:rFonts w:hint="default" w:ascii="宋体" w:hAnsi="宋体" w:eastAsia="宋体" w:cs="宋体"/>
          <w:bCs/>
          <w:sz w:val="24"/>
          <w:szCs w:val="24"/>
        </w:rPr>
      </w:pPr>
    </w:p>
    <w:p>
      <w:pPr>
        <w:pStyle w:val="13"/>
        <w:ind w:firstLine="480"/>
        <w:jc w:val="both"/>
        <w:rPr>
          <w:rFonts w:hint="default" w:ascii="宋体" w:hAnsi="宋体" w:eastAsia="宋体" w:cs="宋体"/>
          <w:bCs/>
          <w:sz w:val="24"/>
          <w:szCs w:val="24"/>
        </w:rPr>
      </w:pPr>
    </w:p>
    <w:p>
      <w:pPr>
        <w:pStyle w:val="13"/>
        <w:ind w:firstLine="480"/>
        <w:jc w:val="both"/>
        <w:rPr>
          <w:rFonts w:hint="default" w:ascii="宋体" w:hAnsi="宋体" w:eastAsia="宋体" w:cs="宋体"/>
          <w:bCs/>
          <w:sz w:val="24"/>
          <w:szCs w:val="24"/>
        </w:rPr>
      </w:pP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采购包1：</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技术符合性</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3"/>
        <w:gridCol w:w="4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3"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情形</w:t>
            </w:r>
          </w:p>
        </w:tc>
        <w:tc>
          <w:tcPr>
            <w:tcW w:w="4153"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3"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其他情形</w:t>
            </w:r>
          </w:p>
        </w:tc>
        <w:tc>
          <w:tcPr>
            <w:tcW w:w="4153" w:type="dxa"/>
          </w:tcPr>
          <w:p>
            <w:pPr>
              <w:pStyle w:val="13"/>
              <w:jc w:val="both"/>
              <w:rPr>
                <w:rFonts w:hint="default" w:ascii="宋体" w:hAnsi="宋体" w:eastAsia="宋体" w:cs="宋体"/>
                <w:bCs/>
                <w:sz w:val="24"/>
                <w:szCs w:val="24"/>
              </w:rPr>
            </w:pPr>
            <w:r>
              <w:rPr>
                <w:rFonts w:ascii="宋体" w:hAnsi="宋体" w:eastAsia="宋体" w:cs="宋体"/>
                <w:bCs/>
                <w:sz w:val="24"/>
                <w:szCs w:val="24"/>
                <w:lang w:eastAsia="zh-CN"/>
              </w:rPr>
              <w:t>（1）</w:t>
            </w:r>
            <w:r>
              <w:rPr>
                <w:rFonts w:ascii="宋体" w:hAnsi="宋体" w:eastAsia="宋体" w:cs="宋体"/>
                <w:bCs/>
                <w:sz w:val="24"/>
                <w:szCs w:val="24"/>
              </w:rPr>
              <w:t>投标人技术部分的实际得分少于招标文件设定的技术部分总分50%的，其投标无效。（2）技术部分中不得出现报价部分的全部或部分的投标报价信息（或组成资料），否则符合性审查不合格。 （3）不满足</w:t>
            </w:r>
            <w:r>
              <w:rPr>
                <w:rFonts w:ascii="宋体" w:hAnsi="宋体" w:eastAsia="宋体" w:cs="宋体"/>
                <w:bCs/>
                <w:sz w:val="24"/>
                <w:szCs w:val="24"/>
                <w:lang w:eastAsia="zh-CN"/>
              </w:rPr>
              <w:t>采购</w:t>
            </w:r>
            <w:r>
              <w:rPr>
                <w:rFonts w:ascii="宋体" w:hAnsi="宋体" w:eastAsia="宋体" w:cs="宋体"/>
                <w:bCs/>
                <w:sz w:val="24"/>
                <w:szCs w:val="24"/>
              </w:rPr>
              <w:t>文件第</w:t>
            </w:r>
            <w:r>
              <w:rPr>
                <w:rFonts w:ascii="宋体" w:hAnsi="宋体" w:eastAsia="宋体" w:cs="宋体"/>
                <w:bCs/>
                <w:sz w:val="24"/>
                <w:szCs w:val="24"/>
                <w:lang w:eastAsia="zh-CN"/>
              </w:rPr>
              <w:t>五</w:t>
            </w:r>
            <w:r>
              <w:rPr>
                <w:rFonts w:ascii="宋体" w:hAnsi="宋体" w:eastAsia="宋体" w:cs="宋体"/>
                <w:bCs/>
                <w:sz w:val="24"/>
                <w:szCs w:val="24"/>
              </w:rPr>
              <w:t>章“技术和服务要求”中带★号的条款。 （4）</w:t>
            </w:r>
            <w:r>
              <w:rPr>
                <w:rFonts w:ascii="宋体" w:hAnsi="宋体" w:eastAsia="宋体" w:cs="宋体"/>
                <w:bCs/>
                <w:sz w:val="24"/>
                <w:szCs w:val="24"/>
                <w:lang w:eastAsia="zh-CN"/>
              </w:rPr>
              <w:t>投标</w:t>
            </w:r>
            <w:r>
              <w:rPr>
                <w:rFonts w:ascii="宋体" w:hAnsi="宋体" w:eastAsia="宋体" w:cs="宋体"/>
                <w:bCs/>
                <w:sz w:val="24"/>
                <w:szCs w:val="24"/>
              </w:rPr>
              <w:t>文件中提供虚假或失实资料的。 （5）不符合</w:t>
            </w:r>
            <w:r>
              <w:rPr>
                <w:rFonts w:ascii="宋体" w:hAnsi="宋体" w:eastAsia="宋体" w:cs="宋体"/>
                <w:bCs/>
                <w:sz w:val="24"/>
                <w:szCs w:val="24"/>
                <w:lang w:eastAsia="zh-CN"/>
              </w:rPr>
              <w:t>招标</w:t>
            </w:r>
            <w:r>
              <w:rPr>
                <w:rFonts w:ascii="宋体" w:hAnsi="宋体" w:eastAsia="宋体" w:cs="宋体"/>
                <w:bCs/>
                <w:sz w:val="24"/>
                <w:szCs w:val="24"/>
              </w:rPr>
              <w:t>文件中规定的其它实质性要求条款的。</w:t>
            </w:r>
          </w:p>
        </w:tc>
      </w:tr>
    </w:tbl>
    <w:p>
      <w:pPr>
        <w:pStyle w:val="13"/>
        <w:ind w:firstLine="480"/>
        <w:jc w:val="both"/>
        <w:rPr>
          <w:rFonts w:hint="default" w:ascii="宋体" w:hAnsi="宋体" w:eastAsia="宋体" w:cs="宋体"/>
          <w:bCs/>
          <w:sz w:val="24"/>
          <w:szCs w:val="24"/>
        </w:rPr>
      </w:pP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商务符合性：无</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53"/>
        <w:gridCol w:w="4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3"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情形</w:t>
            </w:r>
          </w:p>
        </w:tc>
        <w:tc>
          <w:tcPr>
            <w:tcW w:w="4153"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53"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其他情形</w:t>
            </w:r>
          </w:p>
        </w:tc>
        <w:tc>
          <w:tcPr>
            <w:tcW w:w="4153" w:type="dxa"/>
          </w:tcPr>
          <w:p>
            <w:pPr>
              <w:pStyle w:val="13"/>
              <w:jc w:val="both"/>
              <w:rPr>
                <w:rFonts w:hint="default" w:ascii="宋体" w:hAnsi="宋体" w:eastAsia="宋体" w:cs="宋体"/>
                <w:bCs/>
                <w:sz w:val="24"/>
                <w:szCs w:val="24"/>
              </w:rPr>
            </w:pPr>
            <w:r>
              <w:rPr>
                <w:rFonts w:ascii="宋体" w:hAnsi="宋体" w:eastAsia="宋体" w:cs="宋体"/>
                <w:bCs/>
                <w:sz w:val="24"/>
                <w:szCs w:val="24"/>
              </w:rPr>
              <w:t>（1）商务部分响应中若出现负偏离或未完全响应将导致投标无效。 （2）商务部分中不得出现报价部分的全部或部分的投标报价信息（或组成资料），否则符合性审查不合格。 （3）</w:t>
            </w:r>
            <w:r>
              <w:rPr>
                <w:rFonts w:ascii="宋体" w:hAnsi="宋体" w:eastAsia="宋体" w:cs="宋体"/>
                <w:bCs/>
                <w:sz w:val="24"/>
                <w:szCs w:val="24"/>
                <w:lang w:eastAsia="zh-CN"/>
              </w:rPr>
              <w:t>招标</w:t>
            </w:r>
            <w:r>
              <w:rPr>
                <w:rFonts w:ascii="宋体" w:hAnsi="宋体" w:eastAsia="宋体" w:cs="宋体"/>
                <w:bCs/>
                <w:sz w:val="24"/>
                <w:szCs w:val="24"/>
              </w:rPr>
              <w:t>文件中提供虚假或失实资料的。</w:t>
            </w:r>
          </w:p>
        </w:tc>
      </w:tr>
    </w:tbl>
    <w:p>
      <w:pPr>
        <w:pStyle w:val="13"/>
        <w:ind w:firstLine="480"/>
        <w:jc w:val="both"/>
        <w:rPr>
          <w:rFonts w:hint="default" w:ascii="宋体" w:hAnsi="宋体" w:eastAsia="宋体" w:cs="宋体"/>
          <w:bCs/>
          <w:sz w:val="24"/>
          <w:szCs w:val="24"/>
        </w:rPr>
      </w:pP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附加符合性：无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价格符合性：无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6.3澄清有关问题</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（1）对通过符合性审查的电子投标文件中含义不明确、同类问题表述不一致或有明显文字和计算错误的内容，评标委员会将以书面形式要求投标人作出必要的澄清、说明或补正。</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（3）电子投标文件报价出现前后不一致的，除招标文件另有规定外，按照下列规定修正：</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①开标一览表内容与电子投标文件中相应内容不一致的，以开标一览表为准；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②大写金额和小写金额不一致的，以大写金额为准；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③单价金额小数点或百分比有明显错位的，以开标一览表的总价为准，并修改单价；</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④总价金额与按照单价汇总金额不一致的，以单价金额计算结果为准。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※同时出现两种以上不一致的，按照前款规定的顺序修正。修正后的报价应按照本章第6.3条第（1）、（2）款规定经投标人确认后产生约束力，投标人不确认的，其投标无效。</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（4）关于细微偏差</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②评标委员会将以书面形式要求存在细微偏差的投标人在评标委员会规定的时间内予以补正。若无法补正，则评标委员会将按照不利于投标人的内容进行认定。</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（5）关于投标描述（即电子投标文件中描述的内容）</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①投标描述前后不一致且不涉及证明材料的：按照本章第6.3条第（1）、（2）款规定执行。</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②投标描述与证明材料不一致或多份证明材料之间不一致的：</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a.评标委员会将要求投标人进行书面澄清，并按照不利于投标人的内容进行评标。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6.4比较与评价</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（1）按照本章第7条载明的评标方法和标准，对符合性审查合格的电子投标文件进行比较与评价。</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（2）关于相同品牌产品（政府采购服务类项目不适用本条款规定）</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a.招标文件规定的方式：</w:t>
      </w:r>
    </w:p>
    <w:p>
      <w:pPr>
        <w:pStyle w:val="13"/>
        <w:ind w:firstLine="480"/>
        <w:jc w:val="both"/>
        <w:rPr>
          <w:rFonts w:hint="default" w:ascii="宋体" w:hAnsi="宋体" w:eastAsia="宋体" w:cs="宋体"/>
          <w:bCs/>
          <w:sz w:val="24"/>
          <w:szCs w:val="24"/>
        </w:rPr>
      </w:pP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b.招标文件未规定的，采取随机抽取方式确定，其他投标无效。</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a.招标文件规定的方式：</w:t>
      </w:r>
    </w:p>
    <w:p>
      <w:pPr>
        <w:pStyle w:val="13"/>
        <w:ind w:firstLine="480"/>
        <w:jc w:val="both"/>
        <w:rPr>
          <w:rFonts w:hint="default" w:ascii="宋体" w:hAnsi="宋体" w:eastAsia="宋体" w:cs="宋体"/>
          <w:bCs/>
          <w:sz w:val="24"/>
          <w:szCs w:val="24"/>
        </w:rPr>
      </w:pP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b.招标文件未规定的，采取随机抽取方式确定，其他同品牌投标人不作为中标候选人。</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③非单一产品采购项目，多家投标人提供的核心产品品牌相同的，按照本章第6.4条第（2）款第①、②规定处理。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（3）漏（缺）项</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①招标文件中要求列入报价的费用（含配置、功能），漏（缺）项的报价视为已经包括在投标总价中。</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②对多报项及赠送项的价格评标时不予核减，全部进入评标价评议。</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6.5推荐中标候选人：详见本章第7.2条规定。</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6.6编写评标报告</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（1）评标报告由评标委员会负责编写。</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（2）评标报告应包括下列内容：</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①招标公告刊登的媒体名称、开标日期和地点；</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②投标人名单和评标委员会成员名单；</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③评标方法和标准；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④开标记录和评标情况及说明，包括无效投标人名单及原因；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⑤评标结果，包括中标候选人名单或确定的中标人；</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⑥其他需要说明的情况，包括但不限于：评标过程中投标人的澄清、说明或补正，评委更换等。</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6.8评委对需要共同认定的事项存在争议的，应按照少数服从多数的原则进行认定。持不同意见的评委应在评标报告上签署不同意见及理由，否则视为同意评标报告。</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6.9在评标过程中发现投标人有下列情形之一的，评标委员会应认定其投标无效，并书面报告本项目监督管理部门：</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（1）恶意串通（包括但不限于招标文件第三章第9.7条规定情形）；</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（2）妨碍其他投标人的竞争行为；</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（3）损害采购人或其他投标人的合法权益。</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6.10评标过程中，有下列情形之一的，应予废标：</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（1）符合性审查合格的投标人不足三家的；</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（2）有关法律、法规和规章规定废标的情形。</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※若废标，则本次采购活动结束，</w:t>
      </w:r>
      <w:r>
        <w:rPr>
          <w:rFonts w:ascii="宋体" w:hAnsi="宋体" w:eastAsia="宋体" w:cs="宋体"/>
          <w:bCs/>
          <w:sz w:val="24"/>
          <w:szCs w:val="24"/>
          <w:lang w:eastAsia="zh-CN"/>
        </w:rPr>
        <w:t>福建信发招标代理有限公司</w:t>
      </w:r>
      <w:r>
        <w:rPr>
          <w:rFonts w:ascii="宋体" w:hAnsi="宋体" w:eastAsia="宋体" w:cs="宋体"/>
          <w:bCs/>
          <w:sz w:val="24"/>
          <w:szCs w:val="24"/>
        </w:rPr>
        <w:t>将依法组织后续采购活动（包括但不限于：重新招标、采用其他方式采购等）。</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7、评标方法和标准</w:t>
      </w:r>
    </w:p>
    <w:p>
      <w:pPr>
        <w:pStyle w:val="13"/>
        <w:ind w:firstLine="480"/>
        <w:jc w:val="both"/>
        <w:rPr>
          <w:rFonts w:hint="default"/>
        </w:rPr>
      </w:pPr>
      <w:r>
        <w:rPr>
          <w:rFonts w:ascii="宋体" w:hAnsi="宋体" w:eastAsia="宋体" w:cs="宋体"/>
          <w:bCs/>
          <w:sz w:val="24"/>
          <w:szCs w:val="24"/>
        </w:rPr>
        <w:t>7.1评标方法：</w:t>
      </w:r>
    </w:p>
    <w:p>
      <w:pPr>
        <w:pStyle w:val="13"/>
        <w:ind w:firstLine="480"/>
        <w:jc w:val="both"/>
        <w:rPr>
          <w:rFonts w:hint="default" w:ascii="宋体" w:hAnsi="宋体" w:eastAsia="宋体" w:cs="宋体"/>
          <w:bCs/>
          <w:sz w:val="24"/>
          <w:szCs w:val="24"/>
        </w:rPr>
      </w:pP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采购包1：综合评分法</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7.2评标标准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采购包1：综合评分法</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（1）投标文件满足招标文件全部实质性要求，且按照评审因素的量化指标评审得分（即评标总得分）最高的投标人为中标候选人。</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2）每个投标人的评标总得分FA＝F1×A1＋F2×A2＋F3×A3＋F4×A4（若有），其中：F1指价格项评审因素得分、F2指技术项评审因素得分、F3指商务项评审因素得分，A1指价格项评审因素所占的权重、A2指技术项评审因素所占的权重、A3指商务项评审因素所占的权重，A1+A2+A3=1、F1×A1＋F2×A2＋F3×A3=100分（满分时），F4×A4为加分项（即优先类节能产品、环境标志产品在采购活动中可享有的加分优惠）。</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各项评审因素的设置如下：</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价格项（F1×A1）满分为30分</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p>
      <w:pPr>
        <w:pStyle w:val="13"/>
        <w:ind w:firstLine="480"/>
        <w:jc w:val="both"/>
        <w:rPr>
          <w:rFonts w:hint="default" w:ascii="宋体" w:hAnsi="宋体" w:eastAsia="宋体" w:cs="宋体"/>
          <w:bCs/>
          <w:sz w:val="24"/>
          <w:szCs w:val="24"/>
        </w:rPr>
      </w:pPr>
      <w:r>
        <w:rPr>
          <w:rFonts w:ascii="宋体" w:hAnsi="宋体" w:eastAsia="宋体" w:cs="宋体"/>
          <w:bCs/>
          <w:sz w:val="24"/>
          <w:szCs w:val="24"/>
        </w:rPr>
        <w:t>价格扣除的规则如下：</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1604"/>
        <w:gridCol w:w="1416"/>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1"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项目</w:t>
            </w:r>
          </w:p>
        </w:tc>
        <w:tc>
          <w:tcPr>
            <w:tcW w:w="1661"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适用对象</w:t>
            </w:r>
          </w:p>
        </w:tc>
        <w:tc>
          <w:tcPr>
            <w:tcW w:w="831"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比例</w:t>
            </w:r>
          </w:p>
        </w:tc>
        <w:tc>
          <w:tcPr>
            <w:tcW w:w="4153" w:type="dxa"/>
          </w:tcPr>
          <w:p>
            <w:pPr>
              <w:pStyle w:val="13"/>
              <w:ind w:firstLine="480"/>
              <w:jc w:val="both"/>
              <w:rPr>
                <w:rFonts w:hint="default" w:ascii="宋体" w:hAnsi="宋体" w:eastAsia="宋体" w:cs="宋体"/>
                <w:bCs/>
                <w:sz w:val="24"/>
                <w:szCs w:val="24"/>
              </w:rPr>
            </w:pPr>
            <w:r>
              <w:rPr>
                <w:rFonts w:ascii="宋体" w:hAnsi="宋体" w:eastAsia="宋体" w:cs="宋体"/>
                <w:bCs/>
                <w:sz w:val="24"/>
                <w:szCs w:val="24"/>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1" w:type="dxa"/>
          </w:tcPr>
          <w:p>
            <w:pPr>
              <w:pStyle w:val="13"/>
              <w:jc w:val="both"/>
              <w:rPr>
                <w:rFonts w:hint="default" w:ascii="宋体" w:hAnsi="宋体" w:eastAsia="宋体" w:cs="宋体"/>
                <w:bCs/>
                <w:sz w:val="24"/>
                <w:szCs w:val="24"/>
                <w:highlight w:val="none"/>
              </w:rPr>
            </w:pPr>
            <w:r>
              <w:rPr>
                <w:rFonts w:ascii="宋体" w:hAnsi="宋体" w:eastAsia="宋体" w:cs="宋体"/>
                <w:bCs/>
                <w:sz w:val="24"/>
                <w:szCs w:val="24"/>
                <w:highlight w:val="none"/>
              </w:rPr>
              <w:t>小型、微型企业，监狱企业，残疾人福利性单位</w:t>
            </w:r>
          </w:p>
        </w:tc>
        <w:tc>
          <w:tcPr>
            <w:tcW w:w="1661" w:type="dxa"/>
          </w:tcPr>
          <w:p>
            <w:pPr>
              <w:pStyle w:val="13"/>
              <w:jc w:val="both"/>
              <w:rPr>
                <w:rFonts w:hint="default" w:ascii="宋体" w:hAnsi="宋体" w:eastAsia="宋体" w:cs="宋体"/>
                <w:bCs/>
                <w:sz w:val="24"/>
                <w:szCs w:val="24"/>
                <w:highlight w:val="none"/>
              </w:rPr>
            </w:pPr>
            <w:r>
              <w:rPr>
                <w:rFonts w:ascii="宋体" w:hAnsi="宋体" w:eastAsia="宋体" w:cs="宋体"/>
                <w:bCs/>
                <w:sz w:val="24"/>
                <w:szCs w:val="24"/>
                <w:highlight w:val="none"/>
              </w:rPr>
              <w:t>投标人或者联合体均为小型、微型企业</w:t>
            </w:r>
          </w:p>
        </w:tc>
        <w:tc>
          <w:tcPr>
            <w:tcW w:w="831" w:type="dxa"/>
          </w:tcPr>
          <w:p>
            <w:pPr>
              <w:pStyle w:val="13"/>
              <w:ind w:firstLine="480"/>
              <w:jc w:val="both"/>
              <w:rPr>
                <w:rFonts w:hint="default" w:ascii="宋体" w:hAnsi="宋体" w:eastAsia="宋体" w:cs="宋体"/>
                <w:bCs/>
                <w:sz w:val="24"/>
                <w:szCs w:val="24"/>
                <w:highlight w:val="none"/>
              </w:rPr>
            </w:pPr>
            <w:r>
              <w:rPr>
                <w:rFonts w:ascii="宋体" w:hAnsi="宋体" w:eastAsia="宋体" w:cs="宋体"/>
                <w:bCs/>
                <w:sz w:val="24"/>
                <w:szCs w:val="24"/>
                <w:highlight w:val="none"/>
              </w:rPr>
              <w:t>15.00%</w:t>
            </w:r>
          </w:p>
        </w:tc>
        <w:tc>
          <w:tcPr>
            <w:tcW w:w="4153" w:type="dxa"/>
          </w:tcPr>
          <w:p>
            <w:pPr>
              <w:pStyle w:val="13"/>
              <w:jc w:val="both"/>
              <w:rPr>
                <w:rFonts w:hint="default" w:ascii="宋体" w:hAnsi="宋体" w:eastAsia="宋体" w:cs="宋体"/>
                <w:bCs/>
                <w:sz w:val="24"/>
                <w:szCs w:val="24"/>
                <w:highlight w:val="none"/>
              </w:rPr>
            </w:pPr>
            <w:r>
              <w:rPr>
                <w:rFonts w:ascii="宋体" w:hAnsi="宋体" w:eastAsia="宋体" w:cs="宋体"/>
                <w:bCs/>
                <w:sz w:val="24"/>
                <w:szCs w:val="24"/>
                <w:highlight w:val="none"/>
              </w:rPr>
              <w:t>本项目以资格条件落实中小企业扶持政策，不再进行价格扣除。</w:t>
            </w:r>
          </w:p>
        </w:tc>
      </w:tr>
    </w:tbl>
    <w:p>
      <w:pPr>
        <w:widowControl/>
        <w:spacing w:line="360" w:lineRule="auto"/>
        <w:jc w:val="left"/>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其他：无</w:t>
      </w:r>
    </w:p>
    <w:p>
      <w:pPr>
        <w:widowControl/>
        <w:spacing w:line="360" w:lineRule="auto"/>
        <w:jc w:val="left"/>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技术项（F2×A2）满分为60分</w:t>
      </w:r>
    </w:p>
    <w:tbl>
      <w:tblPr>
        <w:tblStyle w:val="11"/>
        <w:tblW w:w="89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0"/>
        <w:gridCol w:w="1359"/>
        <w:gridCol w:w="62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350" w:type="dxa"/>
            <w:shd w:val="clear" w:color="auto" w:fill="auto"/>
            <w:vAlign w:val="center"/>
          </w:tcPr>
          <w:p>
            <w:pPr>
              <w:widowControl/>
              <w:spacing w:line="360" w:lineRule="auto"/>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评标项目</w:t>
            </w:r>
          </w:p>
        </w:tc>
        <w:tc>
          <w:tcPr>
            <w:tcW w:w="1359" w:type="dxa"/>
            <w:shd w:val="clear" w:color="auto" w:fill="auto"/>
            <w:vAlign w:val="center"/>
          </w:tcPr>
          <w:p>
            <w:pPr>
              <w:widowControl/>
              <w:spacing w:line="360" w:lineRule="auto"/>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评标分值</w:t>
            </w:r>
          </w:p>
        </w:tc>
        <w:tc>
          <w:tcPr>
            <w:tcW w:w="6271" w:type="dxa"/>
            <w:shd w:val="clear" w:color="auto" w:fill="auto"/>
            <w:vAlign w:val="center"/>
          </w:tcPr>
          <w:p>
            <w:pPr>
              <w:widowControl/>
              <w:spacing w:line="360" w:lineRule="auto"/>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评标方法描述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4" w:hRule="atLeast"/>
          <w:jc w:val="center"/>
        </w:trPr>
        <w:tc>
          <w:tcPr>
            <w:tcW w:w="1350" w:type="dxa"/>
            <w:shd w:val="clear" w:color="auto" w:fill="auto"/>
            <w:vAlign w:val="center"/>
          </w:tcPr>
          <w:p>
            <w:pPr>
              <w:widowControl/>
              <w:spacing w:line="360" w:lineRule="auto"/>
              <w:jc w:val="left"/>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1.基本参数的响应情况</w:t>
            </w:r>
          </w:p>
        </w:tc>
        <w:tc>
          <w:tcPr>
            <w:tcW w:w="1359" w:type="dxa"/>
            <w:shd w:val="clear" w:color="auto" w:fill="auto"/>
            <w:vAlign w:val="center"/>
          </w:tcPr>
          <w:p>
            <w:pPr>
              <w:widowControl/>
              <w:spacing w:line="360" w:lineRule="auto"/>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46</w:t>
            </w:r>
          </w:p>
        </w:tc>
        <w:tc>
          <w:tcPr>
            <w:tcW w:w="6271" w:type="dxa"/>
            <w:shd w:val="clear" w:color="auto" w:fill="auto"/>
            <w:vAlign w:val="center"/>
          </w:tcPr>
          <w:p>
            <w:pPr>
              <w:widowControl/>
              <w:spacing w:line="360" w:lineRule="auto"/>
              <w:jc w:val="left"/>
              <w:rPr>
                <w:rFonts w:eastAsia="宋体"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投标人全部满足招标文件第五章“招标内容及要求”中技术和服务要求的得46分；带“★”标示的共计4项，内容为不允许负偏离的实质性要求，不满足视为无效投标；带“▲”标示的共计31项，不满足或负偏离每一小项扣1分，其他未标示的参数及要求共计1000项,每负偏离一项扣0.015分，扣完为止，正偏离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jc w:val="center"/>
        </w:trPr>
        <w:tc>
          <w:tcPr>
            <w:tcW w:w="1350" w:type="dxa"/>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2.装修效果图</w:t>
            </w:r>
          </w:p>
        </w:tc>
        <w:tc>
          <w:tcPr>
            <w:tcW w:w="1359" w:type="dxa"/>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2</w:t>
            </w:r>
          </w:p>
        </w:tc>
        <w:tc>
          <w:tcPr>
            <w:tcW w:w="6271" w:type="dxa"/>
            <w:shd w:val="clear" w:color="auto" w:fill="auto"/>
            <w:vAlign w:val="center"/>
          </w:tcPr>
          <w:p>
            <w:pPr>
              <w:widowControl/>
              <w:spacing w:line="360" w:lineRule="auto"/>
              <w:jc w:val="left"/>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根据投标人提供的指挥中心的装修效果图</w:t>
            </w:r>
            <w:r>
              <w:rPr>
                <w:rFonts w:hint="eastAsia" w:ascii="宋体" w:hAnsi="宋体" w:eastAsia="宋体" w:cs="宋体"/>
                <w:bCs/>
                <w:kern w:val="0"/>
                <w:sz w:val="24"/>
              </w:rPr>
              <w:t>由评委进行评分：①方案完整、布局合理、符合现场实际情况的得2分</w:t>
            </w:r>
            <w:r>
              <w:rPr>
                <w:rFonts w:hint="eastAsia" w:cs="宋体" w:asciiTheme="minorEastAsia" w:hAnsiTheme="minorEastAsia"/>
                <w:color w:val="000000" w:themeColor="text1"/>
                <w:kern w:val="0"/>
                <w:sz w:val="24"/>
                <w14:textFill>
                  <w14:solidFill>
                    <w14:schemeClr w14:val="tx1"/>
                  </w14:solidFill>
                </w14:textFill>
              </w:rPr>
              <w:t>，</w:t>
            </w:r>
            <w:r>
              <w:rPr>
                <w:rFonts w:hint="eastAsia" w:ascii="宋体" w:hAnsi="宋体" w:eastAsia="宋体" w:cs="宋体"/>
                <w:bCs/>
                <w:kern w:val="0"/>
                <w:sz w:val="24"/>
              </w:rPr>
              <w:t>②方案基本完整、布局基本合理、能够符合现场实际情况的得1分，</w:t>
            </w:r>
            <w:r>
              <w:rPr>
                <w:rFonts w:hint="eastAsia" w:cs="宋体" w:asciiTheme="minorEastAsia" w:hAnsiTheme="minorEastAsia"/>
                <w:color w:val="000000" w:themeColor="text1"/>
                <w:kern w:val="0"/>
                <w:sz w:val="24"/>
                <w14:textFill>
                  <w14:solidFill>
                    <w14:schemeClr w14:val="tx1"/>
                  </w14:solidFill>
                </w14:textFill>
              </w:rPr>
              <w:t>未提供的本项不得分。(投标人可自行与业主项目联系人联系至现场勘查。)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9" w:hRule="atLeast"/>
          <w:jc w:val="center"/>
        </w:trPr>
        <w:tc>
          <w:tcPr>
            <w:tcW w:w="1350" w:type="dxa"/>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3.相关证书</w:t>
            </w:r>
          </w:p>
        </w:tc>
        <w:tc>
          <w:tcPr>
            <w:tcW w:w="1359" w:type="dxa"/>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2</w:t>
            </w:r>
          </w:p>
        </w:tc>
        <w:tc>
          <w:tcPr>
            <w:tcW w:w="6271" w:type="dxa"/>
            <w:shd w:val="clear" w:color="auto" w:fill="auto"/>
          </w:tcPr>
          <w:p>
            <w:pPr>
              <w:widowControl/>
              <w:spacing w:line="360" w:lineRule="auto"/>
              <w:jc w:val="left"/>
              <w:rPr>
                <w:rFonts w:eastAsia="宋体"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所投网络安全产品厂家需具备认证标识为CNAS《业务连续性管理体系认证证书》的，所投网络安全产品厂家为ISCCC认证审计标准《GB/T 35277-2017信息安全技术防病毒网关安全 技术要求和测试评价方法》起草单位。以上两项每提供一项的得1分，满分2分。（须提供相关证书证明或证明材料，未提供的不得分。）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5" w:hRule="atLeast"/>
          <w:jc w:val="center"/>
        </w:trPr>
        <w:tc>
          <w:tcPr>
            <w:tcW w:w="1350" w:type="dxa"/>
            <w:vMerge w:val="restart"/>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r>
              <w:rPr>
                <w:rFonts w:ascii="宋体" w:hAnsi="宋体" w:cs="宋体"/>
                <w:kern w:val="0"/>
                <w:sz w:val="24"/>
              </w:rPr>
              <w:t>4.技术性能和功能的提升</w:t>
            </w:r>
          </w:p>
        </w:tc>
        <w:tc>
          <w:tcPr>
            <w:tcW w:w="1359" w:type="dxa"/>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1</w:t>
            </w:r>
          </w:p>
        </w:tc>
        <w:tc>
          <w:tcPr>
            <w:tcW w:w="6271" w:type="dxa"/>
            <w:shd w:val="clear" w:color="auto" w:fill="auto"/>
          </w:tcPr>
          <w:p>
            <w:pPr>
              <w:widowControl/>
              <w:spacing w:line="360" w:lineRule="auto"/>
              <w:jc w:val="left"/>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投标人所投“4K分布式KVM一体输入/输出节点”设备参数支持输入和输出，即同一个节点即能同时接入信号源编码进入系统内供其他节点调用又能同时接显示器调用系统内其他信号源进行显示，一个节点当两个节点使用，降低项目中节点的用量，节省费用；</w:t>
            </w:r>
            <w:r>
              <w:rPr>
                <w:rFonts w:ascii="宋体" w:hAnsi="宋体" w:cs="宋体"/>
                <w:kern w:val="0"/>
                <w:sz w:val="24"/>
              </w:rPr>
              <w:t>满足以上要求的得</w:t>
            </w:r>
            <w:r>
              <w:rPr>
                <w:rFonts w:hint="eastAsia" w:ascii="宋体" w:hAnsi="宋体" w:cs="宋体"/>
                <w:kern w:val="0"/>
                <w:sz w:val="24"/>
              </w:rPr>
              <w:t>1</w:t>
            </w:r>
            <w:r>
              <w:rPr>
                <w:rFonts w:ascii="宋体" w:hAnsi="宋体" w:cs="宋体"/>
                <w:kern w:val="0"/>
                <w:sz w:val="24"/>
              </w:rPr>
              <w:t>分。</w:t>
            </w:r>
            <w:r>
              <w:rPr>
                <w:rFonts w:hint="eastAsia" w:cs="宋体" w:asciiTheme="minorEastAsia" w:hAnsiTheme="minorEastAsia"/>
                <w:color w:val="000000" w:themeColor="text1"/>
                <w:kern w:val="0"/>
                <w:sz w:val="24"/>
                <w14:textFill>
                  <w14:solidFill>
                    <w14:schemeClr w14:val="tx1"/>
                  </w14:solidFill>
                </w14:textFill>
              </w:rPr>
              <w:t>（须提供CMA、ilac-MRA、CNAS认证的</w:t>
            </w:r>
            <w:r>
              <w:rPr>
                <w:rFonts w:hint="eastAsia"/>
              </w:rPr>
              <w:t>具有检测资质</w:t>
            </w:r>
            <w:r>
              <w:rPr>
                <w:rFonts w:hint="eastAsia" w:cs="宋体" w:asciiTheme="minorEastAsia" w:hAnsiTheme="minorEastAsia"/>
                <w:color w:val="000000" w:themeColor="text1"/>
                <w:kern w:val="0"/>
                <w:sz w:val="24"/>
                <w14:textFill>
                  <w14:solidFill>
                    <w14:schemeClr w14:val="tx1"/>
                  </w14:solidFill>
                </w14:textFill>
              </w:rPr>
              <w:t>检测机构出具的检测报告复印件，否则不得分。）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9" w:hRule="atLeast"/>
          <w:jc w:val="center"/>
        </w:trPr>
        <w:tc>
          <w:tcPr>
            <w:tcW w:w="1350" w:type="dxa"/>
            <w:vMerge w:val="continue"/>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p>
        </w:tc>
        <w:tc>
          <w:tcPr>
            <w:tcW w:w="1359" w:type="dxa"/>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1</w:t>
            </w:r>
          </w:p>
        </w:tc>
        <w:tc>
          <w:tcPr>
            <w:tcW w:w="6271" w:type="dxa"/>
            <w:shd w:val="clear" w:color="auto" w:fill="auto"/>
          </w:tcPr>
          <w:p>
            <w:pPr>
              <w:widowControl/>
              <w:spacing w:line="360" w:lineRule="auto"/>
              <w:jc w:val="left"/>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投标人所投“可视化运维管理平台”软件支持C/S及B/S架构，支持安卓、iOS、windows等操作系统，支持国产化操作系统，支持中标麒麟、统信OS、银河麒麟、凝思磐石等，支持浏览器直接输入IP地址登录进行全系统的可视化管理操作；</w:t>
            </w:r>
            <w:r>
              <w:rPr>
                <w:rFonts w:ascii="宋体" w:hAnsi="宋体" w:cs="宋体"/>
                <w:kern w:val="0"/>
                <w:sz w:val="24"/>
              </w:rPr>
              <w:t>满足以上要求的得</w:t>
            </w:r>
            <w:r>
              <w:rPr>
                <w:rFonts w:hint="eastAsia" w:ascii="宋体" w:hAnsi="宋体" w:cs="宋体"/>
                <w:kern w:val="0"/>
                <w:sz w:val="24"/>
              </w:rPr>
              <w:t>1</w:t>
            </w:r>
            <w:r>
              <w:rPr>
                <w:rFonts w:ascii="宋体" w:hAnsi="宋体" w:cs="宋体"/>
                <w:kern w:val="0"/>
                <w:sz w:val="24"/>
              </w:rPr>
              <w:t>分。</w:t>
            </w:r>
            <w:r>
              <w:rPr>
                <w:rFonts w:hint="eastAsia" w:cs="宋体" w:asciiTheme="minorEastAsia" w:hAnsiTheme="minorEastAsia"/>
                <w:color w:val="000000" w:themeColor="text1"/>
                <w:kern w:val="0"/>
                <w:sz w:val="24"/>
                <w14:textFill>
                  <w14:solidFill>
                    <w14:schemeClr w14:val="tx1"/>
                  </w14:solidFill>
                </w14:textFill>
              </w:rPr>
              <w:t>（须提供CMA、ilac-MRA、CNAS认证的</w:t>
            </w:r>
            <w:r>
              <w:rPr>
                <w:rFonts w:hint="eastAsia"/>
              </w:rPr>
              <w:t>具有检测资质</w:t>
            </w:r>
            <w:r>
              <w:rPr>
                <w:rFonts w:hint="eastAsia" w:cs="宋体" w:asciiTheme="minorEastAsia" w:hAnsiTheme="minorEastAsia"/>
                <w:color w:val="000000" w:themeColor="text1"/>
                <w:kern w:val="0"/>
                <w:sz w:val="24"/>
                <w14:textFill>
                  <w14:solidFill>
                    <w14:schemeClr w14:val="tx1"/>
                  </w14:solidFill>
                </w14:textFill>
              </w:rPr>
              <w:t>检测机构出具的检测报告复印件，否则不得分。）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 w:hRule="atLeast"/>
          <w:jc w:val="center"/>
        </w:trPr>
        <w:tc>
          <w:tcPr>
            <w:tcW w:w="1350" w:type="dxa"/>
            <w:vMerge w:val="continue"/>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p>
        </w:tc>
        <w:tc>
          <w:tcPr>
            <w:tcW w:w="1359" w:type="dxa"/>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1</w:t>
            </w:r>
          </w:p>
        </w:tc>
        <w:tc>
          <w:tcPr>
            <w:tcW w:w="6271" w:type="dxa"/>
            <w:shd w:val="clear" w:color="auto" w:fill="auto"/>
          </w:tcPr>
          <w:p>
            <w:pPr>
              <w:widowControl/>
              <w:spacing w:line="360" w:lineRule="auto"/>
              <w:jc w:val="left"/>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投标人所投“可视化运维管理平台”软件支持统一平台管理可视化KVM系统、分布式系统、分布式中控系统、环境控制系统、分布式音频系统等，可实现音频、视频、控制等内容在同一个触控交互界面上，对系统内的设备进行统一管理；</w:t>
            </w:r>
            <w:r>
              <w:rPr>
                <w:rFonts w:ascii="宋体" w:hAnsi="宋体" w:cs="宋体"/>
                <w:kern w:val="0"/>
                <w:sz w:val="24"/>
              </w:rPr>
              <w:t>满足以上要求的得</w:t>
            </w:r>
            <w:r>
              <w:rPr>
                <w:rFonts w:hint="eastAsia" w:ascii="宋体" w:hAnsi="宋体" w:cs="宋体"/>
                <w:kern w:val="0"/>
                <w:sz w:val="24"/>
              </w:rPr>
              <w:t>1</w:t>
            </w:r>
            <w:r>
              <w:rPr>
                <w:rFonts w:ascii="宋体" w:hAnsi="宋体" w:cs="宋体"/>
                <w:kern w:val="0"/>
                <w:sz w:val="24"/>
              </w:rPr>
              <w:t>分，否则不得分。</w:t>
            </w:r>
            <w:r>
              <w:rPr>
                <w:rFonts w:hint="eastAsia" w:cs="宋体" w:asciiTheme="minorEastAsia" w:hAnsiTheme="minorEastAsia"/>
                <w:color w:val="000000" w:themeColor="text1"/>
                <w:kern w:val="0"/>
                <w:sz w:val="24"/>
                <w14:textFill>
                  <w14:solidFill>
                    <w14:schemeClr w14:val="tx1"/>
                  </w14:solidFill>
                </w14:textFill>
              </w:rPr>
              <w:t>（须提供CMA、ilac-MRA、CNAS认证的</w:t>
            </w:r>
            <w:r>
              <w:rPr>
                <w:rFonts w:hint="eastAsia"/>
              </w:rPr>
              <w:t>具有检测资质</w:t>
            </w:r>
            <w:r>
              <w:rPr>
                <w:rFonts w:hint="eastAsia" w:cs="宋体" w:asciiTheme="minorEastAsia" w:hAnsiTheme="minorEastAsia"/>
                <w:color w:val="000000" w:themeColor="text1"/>
                <w:kern w:val="0"/>
                <w:sz w:val="24"/>
                <w14:textFill>
                  <w14:solidFill>
                    <w14:schemeClr w14:val="tx1"/>
                  </w14:solidFill>
                </w14:textFill>
              </w:rPr>
              <w:t>检测机构出具的检测报告复印件，否则不得分。）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7" w:hRule="atLeast"/>
          <w:jc w:val="center"/>
        </w:trPr>
        <w:tc>
          <w:tcPr>
            <w:tcW w:w="1350" w:type="dxa"/>
            <w:vMerge w:val="continue"/>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p>
        </w:tc>
        <w:tc>
          <w:tcPr>
            <w:tcW w:w="1359" w:type="dxa"/>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1</w:t>
            </w:r>
          </w:p>
        </w:tc>
        <w:tc>
          <w:tcPr>
            <w:tcW w:w="6271" w:type="dxa"/>
            <w:shd w:val="clear" w:color="auto" w:fill="auto"/>
          </w:tcPr>
          <w:p>
            <w:pPr>
              <w:widowControl/>
              <w:spacing w:line="360" w:lineRule="auto"/>
              <w:jc w:val="left"/>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投标人所投“分布式智能控制系统”设备端口具备ESD15K防护；系统具备死机自动重启功能；确保系统稳定可靠；</w:t>
            </w:r>
            <w:r>
              <w:rPr>
                <w:rFonts w:ascii="宋体" w:hAnsi="宋体" w:cs="宋体"/>
                <w:kern w:val="0"/>
                <w:sz w:val="24"/>
              </w:rPr>
              <w:t>满足以上要求的得</w:t>
            </w:r>
            <w:r>
              <w:rPr>
                <w:rFonts w:hint="eastAsia" w:ascii="宋体" w:hAnsi="宋体" w:cs="宋体"/>
                <w:kern w:val="0"/>
                <w:sz w:val="24"/>
              </w:rPr>
              <w:t>1</w:t>
            </w:r>
            <w:r>
              <w:rPr>
                <w:rFonts w:ascii="宋体" w:hAnsi="宋体" w:cs="宋体"/>
                <w:kern w:val="0"/>
                <w:sz w:val="24"/>
              </w:rPr>
              <w:t>分。</w:t>
            </w:r>
            <w:r>
              <w:rPr>
                <w:rFonts w:hint="eastAsia" w:cs="宋体" w:asciiTheme="minorEastAsia" w:hAnsiTheme="minorEastAsia"/>
                <w:color w:val="000000" w:themeColor="text1"/>
                <w:kern w:val="0"/>
                <w:sz w:val="24"/>
                <w14:textFill>
                  <w14:solidFill>
                    <w14:schemeClr w14:val="tx1"/>
                  </w14:solidFill>
                </w14:textFill>
              </w:rPr>
              <w:t xml:space="preserve"> （须提供CMA、ilac-MRA、CNAS认证的</w:t>
            </w:r>
            <w:r>
              <w:rPr>
                <w:rFonts w:hint="eastAsia"/>
              </w:rPr>
              <w:t>具有检测资质</w:t>
            </w:r>
            <w:r>
              <w:rPr>
                <w:rFonts w:hint="eastAsia" w:cs="宋体" w:asciiTheme="minorEastAsia" w:hAnsiTheme="minorEastAsia"/>
                <w:color w:val="000000" w:themeColor="text1"/>
                <w:kern w:val="0"/>
                <w:sz w:val="24"/>
                <w14:textFill>
                  <w14:solidFill>
                    <w14:schemeClr w14:val="tx1"/>
                  </w14:solidFill>
                </w14:textFill>
              </w:rPr>
              <w:t>检测机构出具的检测报告复印件，否则不得分。）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5" w:hRule="atLeast"/>
          <w:jc w:val="center"/>
        </w:trPr>
        <w:tc>
          <w:tcPr>
            <w:tcW w:w="1350" w:type="dxa"/>
            <w:vMerge w:val="continue"/>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p>
        </w:tc>
        <w:tc>
          <w:tcPr>
            <w:tcW w:w="1359" w:type="dxa"/>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1</w:t>
            </w:r>
          </w:p>
        </w:tc>
        <w:tc>
          <w:tcPr>
            <w:tcW w:w="6271" w:type="dxa"/>
            <w:shd w:val="clear" w:color="auto" w:fill="auto"/>
          </w:tcPr>
          <w:p>
            <w:pPr>
              <w:widowControl/>
              <w:spacing w:line="360" w:lineRule="auto"/>
              <w:jc w:val="left"/>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投标人所投“8路电源时序器”设备可设置机器地址，多台联机，只需设置一台为主机，其余都设置为副机，用控制信号线将主机与副机连接起来，就可实现多路顺序开关，多路定时开关，当需关机时，只需关主机电源开关就能控制副机关机；设定主副机，最大可级连10台副机，总控可达140路输出；</w:t>
            </w:r>
            <w:r>
              <w:rPr>
                <w:rFonts w:ascii="宋体" w:hAnsi="宋体" w:cs="宋体"/>
                <w:kern w:val="0"/>
                <w:sz w:val="24"/>
              </w:rPr>
              <w:t>满足以上要求的得</w:t>
            </w:r>
            <w:r>
              <w:rPr>
                <w:rFonts w:hint="eastAsia" w:ascii="宋体" w:hAnsi="宋体" w:cs="宋体"/>
                <w:kern w:val="0"/>
                <w:sz w:val="24"/>
              </w:rPr>
              <w:t>1</w:t>
            </w:r>
            <w:r>
              <w:rPr>
                <w:rFonts w:ascii="宋体" w:hAnsi="宋体" w:cs="宋体"/>
                <w:kern w:val="0"/>
                <w:sz w:val="24"/>
              </w:rPr>
              <w:t>分。</w:t>
            </w:r>
            <w:r>
              <w:rPr>
                <w:rFonts w:hint="eastAsia" w:cs="宋体" w:asciiTheme="minorEastAsia" w:hAnsiTheme="minorEastAsia"/>
                <w:color w:val="000000" w:themeColor="text1"/>
                <w:kern w:val="0"/>
                <w:sz w:val="24"/>
                <w14:textFill>
                  <w14:solidFill>
                    <w14:schemeClr w14:val="tx1"/>
                  </w14:solidFill>
                </w14:textFill>
              </w:rPr>
              <w:t>（须提供满足此参数功能的具有CNAS或CMA认可标识章的</w:t>
            </w:r>
            <w:r>
              <w:rPr>
                <w:rFonts w:hint="eastAsia"/>
              </w:rPr>
              <w:t>具有检测资质</w:t>
            </w:r>
            <w:r>
              <w:rPr>
                <w:rFonts w:hint="eastAsia" w:cs="宋体" w:asciiTheme="minorEastAsia" w:hAnsiTheme="minorEastAsia"/>
                <w:color w:val="000000" w:themeColor="text1"/>
                <w:kern w:val="0"/>
                <w:sz w:val="24"/>
                <w14:textFill>
                  <w14:solidFill>
                    <w14:schemeClr w14:val="tx1"/>
                  </w14:solidFill>
                </w14:textFill>
              </w:rPr>
              <w:t>检测机构出具的检验报告复印件，否则不得分。）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9" w:hRule="atLeast"/>
          <w:jc w:val="center"/>
        </w:trPr>
        <w:tc>
          <w:tcPr>
            <w:tcW w:w="1350" w:type="dxa"/>
            <w:vMerge w:val="continue"/>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p>
        </w:tc>
        <w:tc>
          <w:tcPr>
            <w:tcW w:w="1359" w:type="dxa"/>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1</w:t>
            </w:r>
          </w:p>
        </w:tc>
        <w:tc>
          <w:tcPr>
            <w:tcW w:w="6271" w:type="dxa"/>
            <w:shd w:val="clear" w:color="auto" w:fill="auto"/>
          </w:tcPr>
          <w:p>
            <w:pPr>
              <w:widowControl/>
              <w:spacing w:line="360" w:lineRule="auto"/>
              <w:jc w:val="left"/>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投标人所投“视频会议服务器”设备支持服务器集群技术，可实现多台服务器互为热备，当某台服务器发生重启时，管理平台自动将会议调度到其他服务器，无需重新建会及手动更改配置，备份切换时，会议不中断，音视频恢复时间&lt;5 秒，支持不少于5W个账号注册，</w:t>
            </w:r>
            <w:r>
              <w:rPr>
                <w:rFonts w:ascii="宋体" w:hAnsi="宋体" w:cs="宋体"/>
                <w:kern w:val="0"/>
                <w:sz w:val="24"/>
              </w:rPr>
              <w:t>满足以上要求的得</w:t>
            </w:r>
            <w:r>
              <w:rPr>
                <w:rFonts w:hint="eastAsia" w:ascii="宋体" w:hAnsi="宋体" w:cs="宋体"/>
                <w:kern w:val="0"/>
                <w:sz w:val="24"/>
              </w:rPr>
              <w:t>1</w:t>
            </w:r>
            <w:r>
              <w:rPr>
                <w:rFonts w:ascii="宋体" w:hAnsi="宋体" w:cs="宋体"/>
                <w:kern w:val="0"/>
                <w:sz w:val="24"/>
              </w:rPr>
              <w:t>分。</w:t>
            </w:r>
            <w:r>
              <w:rPr>
                <w:rFonts w:hint="eastAsia" w:cs="宋体" w:asciiTheme="minorEastAsia" w:hAnsiTheme="minorEastAsia"/>
                <w:color w:val="000000" w:themeColor="text1"/>
                <w:kern w:val="0"/>
                <w:sz w:val="24"/>
                <w14:textFill>
                  <w14:solidFill>
                    <w14:schemeClr w14:val="tx1"/>
                  </w14:solidFill>
                </w14:textFill>
              </w:rPr>
              <w:t>（须提供CNAS认证的检验（检测）机构出具的有效检验（检测）报告复印件，否则不得分。）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7" w:hRule="atLeast"/>
          <w:jc w:val="center"/>
        </w:trPr>
        <w:tc>
          <w:tcPr>
            <w:tcW w:w="1350" w:type="dxa"/>
            <w:vMerge w:val="continue"/>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p>
        </w:tc>
        <w:tc>
          <w:tcPr>
            <w:tcW w:w="1359" w:type="dxa"/>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1</w:t>
            </w:r>
          </w:p>
        </w:tc>
        <w:tc>
          <w:tcPr>
            <w:tcW w:w="6271" w:type="dxa"/>
            <w:shd w:val="clear" w:color="auto" w:fill="auto"/>
          </w:tcPr>
          <w:p>
            <w:pPr>
              <w:widowControl/>
              <w:spacing w:line="360" w:lineRule="auto"/>
              <w:jc w:val="left"/>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投标人所投“分体式视频会议终端”设备支持外接视频会议话机，视频会议话机支持全向至少5米拾音距离，集成不少于5寸电容触摸屏；</w:t>
            </w:r>
            <w:r>
              <w:rPr>
                <w:rFonts w:ascii="宋体" w:hAnsi="宋体" w:cs="宋体"/>
                <w:kern w:val="0"/>
                <w:sz w:val="24"/>
              </w:rPr>
              <w:t>满足以上要求的得</w:t>
            </w:r>
            <w:r>
              <w:rPr>
                <w:rFonts w:hint="eastAsia" w:ascii="宋体" w:hAnsi="宋体" w:cs="宋体"/>
                <w:kern w:val="0"/>
                <w:sz w:val="24"/>
              </w:rPr>
              <w:t>1</w:t>
            </w:r>
            <w:r>
              <w:rPr>
                <w:rFonts w:ascii="宋体" w:hAnsi="宋体" w:cs="宋体"/>
                <w:kern w:val="0"/>
                <w:sz w:val="24"/>
              </w:rPr>
              <w:t>分。</w:t>
            </w:r>
            <w:r>
              <w:rPr>
                <w:rFonts w:hint="eastAsia" w:cs="宋体" w:asciiTheme="minorEastAsia" w:hAnsiTheme="minorEastAsia"/>
                <w:color w:val="000000" w:themeColor="text1"/>
                <w:kern w:val="0"/>
                <w:sz w:val="24"/>
                <w14:textFill>
                  <w14:solidFill>
                    <w14:schemeClr w14:val="tx1"/>
                  </w14:solidFill>
                </w14:textFill>
              </w:rPr>
              <w:t>（须提供CNAS认证的检验（检测）机构出具的有效检验（检测）报告复印，否则不得分。）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1350" w:type="dxa"/>
            <w:vMerge w:val="continue"/>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p>
        </w:tc>
        <w:tc>
          <w:tcPr>
            <w:tcW w:w="1359" w:type="dxa"/>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1</w:t>
            </w:r>
          </w:p>
        </w:tc>
        <w:tc>
          <w:tcPr>
            <w:tcW w:w="6271" w:type="dxa"/>
            <w:shd w:val="clear" w:color="auto" w:fill="auto"/>
          </w:tcPr>
          <w:p>
            <w:pPr>
              <w:widowControl/>
              <w:spacing w:line="360" w:lineRule="auto"/>
              <w:jc w:val="left"/>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投标人所投“政务内网入侵防御系统”设备系统应支持WEB登录图像验证码功能，防止暴力破解。同时支持基于动态口令卡的双因子认证，增强配置管理的安全性。</w:t>
            </w:r>
            <w:r>
              <w:rPr>
                <w:rFonts w:ascii="宋体" w:hAnsi="宋体" w:cs="宋体"/>
                <w:kern w:val="0"/>
                <w:sz w:val="24"/>
              </w:rPr>
              <w:t>满足以上要求的得</w:t>
            </w:r>
            <w:r>
              <w:rPr>
                <w:rFonts w:hint="eastAsia" w:ascii="宋体" w:hAnsi="宋体" w:cs="宋体"/>
                <w:kern w:val="0"/>
                <w:sz w:val="24"/>
              </w:rPr>
              <w:t>1</w:t>
            </w:r>
            <w:r>
              <w:rPr>
                <w:rFonts w:ascii="宋体" w:hAnsi="宋体" w:cs="宋体"/>
                <w:kern w:val="0"/>
                <w:sz w:val="24"/>
              </w:rPr>
              <w:t>分。</w:t>
            </w:r>
            <w:r>
              <w:rPr>
                <w:rFonts w:hint="eastAsia" w:cs="宋体" w:asciiTheme="minorEastAsia" w:hAnsiTheme="minorEastAsia"/>
                <w:color w:val="000000" w:themeColor="text1"/>
                <w:kern w:val="0"/>
                <w:sz w:val="24"/>
                <w14:textFill>
                  <w14:solidFill>
                    <w14:schemeClr w14:val="tx1"/>
                  </w14:solidFill>
                </w14:textFill>
              </w:rPr>
              <w:t>（须提供具有CNAS、CMA、ilac-MRA认证的检测机构出具的检测报告复印件，提供报告查询截图，否则不得分。）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 w:hRule="atLeast"/>
          <w:jc w:val="center"/>
        </w:trPr>
        <w:tc>
          <w:tcPr>
            <w:tcW w:w="1350" w:type="dxa"/>
            <w:vMerge w:val="continue"/>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p>
        </w:tc>
        <w:tc>
          <w:tcPr>
            <w:tcW w:w="1359" w:type="dxa"/>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1</w:t>
            </w:r>
          </w:p>
        </w:tc>
        <w:tc>
          <w:tcPr>
            <w:tcW w:w="6271" w:type="dxa"/>
            <w:shd w:val="clear" w:color="auto" w:fill="auto"/>
          </w:tcPr>
          <w:p>
            <w:pPr>
              <w:widowControl/>
              <w:spacing w:line="360" w:lineRule="auto"/>
              <w:jc w:val="left"/>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投标人所投“信息网节点路由器”设备支持国密算法，SAC应用阻断，URL过滤，防火墙功能，</w:t>
            </w:r>
            <w:r>
              <w:rPr>
                <w:rFonts w:ascii="宋体" w:hAnsi="宋体" w:cs="宋体"/>
                <w:kern w:val="0"/>
                <w:sz w:val="24"/>
              </w:rPr>
              <w:t>满足以上要求的得</w:t>
            </w:r>
            <w:r>
              <w:rPr>
                <w:rFonts w:hint="eastAsia" w:ascii="宋体" w:hAnsi="宋体" w:cs="宋体"/>
                <w:kern w:val="0"/>
                <w:sz w:val="24"/>
              </w:rPr>
              <w:t>1</w:t>
            </w:r>
            <w:r>
              <w:rPr>
                <w:rFonts w:ascii="宋体" w:hAnsi="宋体" w:cs="宋体"/>
                <w:kern w:val="0"/>
                <w:sz w:val="24"/>
              </w:rPr>
              <w:t>分。</w:t>
            </w:r>
            <w:r>
              <w:rPr>
                <w:rFonts w:hint="eastAsia" w:ascii="宋体" w:hAnsi="宋体" w:cs="宋体"/>
                <w:kern w:val="0"/>
                <w:sz w:val="24"/>
              </w:rPr>
              <w:t>（须</w:t>
            </w:r>
            <w:r>
              <w:rPr>
                <w:rFonts w:hint="eastAsia" w:cs="宋体" w:asciiTheme="minorEastAsia" w:hAnsiTheme="minorEastAsia"/>
                <w:color w:val="000000" w:themeColor="text1"/>
                <w:kern w:val="0"/>
                <w:sz w:val="24"/>
                <w14:textFill>
                  <w14:solidFill>
                    <w14:schemeClr w14:val="tx1"/>
                  </w14:solidFill>
                </w14:textFill>
              </w:rPr>
              <w:t>提供CNAS、CMA、CAICT认证检测机构出具的测试报告证明，否则不得分。）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0" w:hRule="atLeast"/>
          <w:jc w:val="center"/>
        </w:trPr>
        <w:tc>
          <w:tcPr>
            <w:tcW w:w="1350" w:type="dxa"/>
            <w:vMerge w:val="continue"/>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p>
        </w:tc>
        <w:tc>
          <w:tcPr>
            <w:tcW w:w="1359" w:type="dxa"/>
            <w:shd w:val="clear" w:color="auto" w:fill="auto"/>
            <w:vAlign w:val="center"/>
          </w:tcPr>
          <w:p>
            <w:pPr>
              <w:jc w:val="center"/>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1</w:t>
            </w:r>
          </w:p>
        </w:tc>
        <w:tc>
          <w:tcPr>
            <w:tcW w:w="6271" w:type="dxa"/>
            <w:shd w:val="clear" w:color="auto" w:fill="auto"/>
          </w:tcPr>
          <w:p>
            <w:pPr>
              <w:widowControl/>
              <w:spacing w:line="360" w:lineRule="auto"/>
              <w:jc w:val="left"/>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投标人所投“视频终端”设备采用分体式结构，支持国产自主操作系统、国产自主编解码芯片且设备的主要元器件采用国产元器件，包括但不限于音频解码器、CPU处理单元、时钟芯片等，</w:t>
            </w:r>
            <w:r>
              <w:rPr>
                <w:rFonts w:ascii="宋体" w:hAnsi="宋体" w:cs="宋体"/>
                <w:kern w:val="0"/>
                <w:sz w:val="24"/>
              </w:rPr>
              <w:t>满足以上要求的得</w:t>
            </w:r>
            <w:r>
              <w:rPr>
                <w:rFonts w:hint="eastAsia" w:ascii="宋体" w:hAnsi="宋体" w:cs="宋体"/>
                <w:kern w:val="0"/>
                <w:sz w:val="24"/>
              </w:rPr>
              <w:t>1</w:t>
            </w:r>
            <w:r>
              <w:rPr>
                <w:rFonts w:ascii="宋体" w:hAnsi="宋体" w:cs="宋体"/>
                <w:kern w:val="0"/>
                <w:sz w:val="24"/>
              </w:rPr>
              <w:t>分。</w:t>
            </w:r>
            <w:r>
              <w:rPr>
                <w:rFonts w:hint="eastAsia" w:ascii="宋体" w:hAnsi="宋体" w:cs="宋体"/>
                <w:kern w:val="0"/>
                <w:sz w:val="24"/>
              </w:rPr>
              <w:t>（须</w:t>
            </w:r>
            <w:r>
              <w:rPr>
                <w:rFonts w:hint="eastAsia" w:cs="宋体" w:asciiTheme="minorEastAsia" w:hAnsiTheme="minorEastAsia"/>
                <w:color w:val="000000" w:themeColor="text1"/>
                <w:kern w:val="0"/>
                <w:sz w:val="24"/>
                <w14:textFill>
                  <w14:solidFill>
                    <w14:schemeClr w14:val="tx1"/>
                  </w14:solidFill>
                </w14:textFill>
              </w:rPr>
              <w:t>提供CNAS、CMA、CAICT认证检测机构出具的测试报告证明，否则不得分。）</w:t>
            </w:r>
          </w:p>
        </w:tc>
      </w:tr>
    </w:tbl>
    <w:p>
      <w:pPr>
        <w:pStyle w:val="13"/>
        <w:jc w:val="both"/>
        <w:rPr>
          <w:rFonts w:hint="default"/>
          <w:b/>
        </w:rPr>
      </w:pPr>
    </w:p>
    <w:p>
      <w:pPr>
        <w:widowControl/>
        <w:spacing w:line="360" w:lineRule="auto"/>
        <w:jc w:val="left"/>
        <w:rPr>
          <w:rFonts w:cs="宋体" w:asciiTheme="minorEastAsia" w:hAnsiTheme="minorEastAsia"/>
          <w:color w:val="000000" w:themeColor="text1"/>
          <w:kern w:val="0"/>
          <w:sz w:val="24"/>
          <w14:textFill>
            <w14:solidFill>
              <w14:schemeClr w14:val="tx1"/>
            </w14:solidFill>
          </w14:textFill>
        </w:rPr>
      </w:pPr>
    </w:p>
    <w:p>
      <w:pPr>
        <w:widowControl/>
        <w:spacing w:line="360" w:lineRule="auto"/>
        <w:jc w:val="left"/>
        <w:rPr>
          <w:rFonts w:cs="宋体" w:asciiTheme="minorEastAsia" w:hAnsiTheme="minorEastAsia"/>
          <w:color w:val="000000" w:themeColor="text1"/>
          <w:kern w:val="0"/>
          <w:sz w:val="24"/>
          <w14:textFill>
            <w14:solidFill>
              <w14:schemeClr w14:val="tx1"/>
            </w14:solidFill>
          </w14:textFill>
        </w:rPr>
      </w:pPr>
      <w:r>
        <w:rPr>
          <w:rFonts w:hint="eastAsia" w:cs="宋体" w:asciiTheme="minorEastAsia" w:hAnsiTheme="minorEastAsia"/>
          <w:color w:val="000000" w:themeColor="text1"/>
          <w:kern w:val="0"/>
          <w:sz w:val="24"/>
          <w14:textFill>
            <w14:solidFill>
              <w14:schemeClr w14:val="tx1"/>
            </w14:solidFill>
          </w14:textFill>
        </w:rPr>
        <w:t>商务项（F3×A3）满分为10分</w:t>
      </w:r>
    </w:p>
    <w:tbl>
      <w:tblPr>
        <w:tblStyle w:val="11"/>
        <w:tblW w:w="88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0"/>
        <w:gridCol w:w="1380"/>
        <w:gridCol w:w="6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360" w:type="dxa"/>
            <w:shd w:val="clear" w:color="auto" w:fill="auto"/>
            <w:vAlign w:val="center"/>
          </w:tcPr>
          <w:p>
            <w:pPr>
              <w:widowControl/>
              <w:spacing w:line="360" w:lineRule="auto"/>
              <w:jc w:val="center"/>
              <w:rPr>
                <w:rFonts w:ascii="宋体" w:hAnsi="宋体" w:eastAsia="宋体" w:cs="宋体"/>
                <w:b/>
                <w:bCs/>
                <w:color w:val="000000" w:themeColor="text1"/>
                <w:kern w:val="0"/>
                <w:sz w:val="24"/>
                <w14:textFill>
                  <w14:solidFill>
                    <w14:schemeClr w14:val="tx1"/>
                  </w14:solidFill>
                </w14:textFill>
              </w:rPr>
            </w:pPr>
            <w:r>
              <w:rPr>
                <w:rFonts w:hint="eastAsia" w:ascii="宋体" w:hAnsi="宋体" w:eastAsia="宋体" w:cs="宋体"/>
                <w:b/>
                <w:bCs/>
                <w:color w:val="000000" w:themeColor="text1"/>
                <w:kern w:val="0"/>
                <w:sz w:val="24"/>
                <w14:textFill>
                  <w14:solidFill>
                    <w14:schemeClr w14:val="tx1"/>
                  </w14:solidFill>
                </w14:textFill>
              </w:rPr>
              <w:t>评标项目</w:t>
            </w:r>
          </w:p>
        </w:tc>
        <w:tc>
          <w:tcPr>
            <w:tcW w:w="1380" w:type="dxa"/>
            <w:shd w:val="clear" w:color="auto" w:fill="auto"/>
            <w:vAlign w:val="center"/>
          </w:tcPr>
          <w:p>
            <w:pPr>
              <w:widowControl/>
              <w:spacing w:line="360" w:lineRule="auto"/>
              <w:jc w:val="center"/>
              <w:rPr>
                <w:rFonts w:ascii="宋体" w:hAnsi="宋体" w:eastAsia="宋体" w:cs="宋体"/>
                <w:b/>
                <w:bCs/>
                <w:color w:val="000000" w:themeColor="text1"/>
                <w:kern w:val="0"/>
                <w:sz w:val="24"/>
                <w14:textFill>
                  <w14:solidFill>
                    <w14:schemeClr w14:val="tx1"/>
                  </w14:solidFill>
                </w14:textFill>
              </w:rPr>
            </w:pPr>
            <w:r>
              <w:rPr>
                <w:rFonts w:hint="eastAsia" w:ascii="宋体" w:hAnsi="宋体" w:eastAsia="宋体" w:cs="宋体"/>
                <w:b/>
                <w:bCs/>
                <w:color w:val="000000" w:themeColor="text1"/>
                <w:kern w:val="0"/>
                <w:sz w:val="24"/>
                <w14:textFill>
                  <w14:solidFill>
                    <w14:schemeClr w14:val="tx1"/>
                  </w14:solidFill>
                </w14:textFill>
              </w:rPr>
              <w:t>评标分值</w:t>
            </w:r>
          </w:p>
        </w:tc>
        <w:tc>
          <w:tcPr>
            <w:tcW w:w="6120" w:type="dxa"/>
            <w:shd w:val="clear" w:color="auto" w:fill="auto"/>
            <w:vAlign w:val="center"/>
          </w:tcPr>
          <w:p>
            <w:pPr>
              <w:widowControl/>
              <w:spacing w:line="360" w:lineRule="auto"/>
              <w:jc w:val="center"/>
              <w:rPr>
                <w:rFonts w:ascii="宋体" w:hAnsi="宋体" w:eastAsia="宋体" w:cs="宋体"/>
                <w:b/>
                <w:bCs/>
                <w:color w:val="000000" w:themeColor="text1"/>
                <w:kern w:val="0"/>
                <w:sz w:val="24"/>
                <w14:textFill>
                  <w14:solidFill>
                    <w14:schemeClr w14:val="tx1"/>
                  </w14:solidFill>
                </w14:textFill>
              </w:rPr>
            </w:pPr>
            <w:r>
              <w:rPr>
                <w:rFonts w:hint="eastAsia" w:ascii="宋体" w:hAnsi="宋体" w:eastAsia="宋体" w:cs="宋体"/>
                <w:b/>
                <w:bCs/>
                <w:color w:val="000000" w:themeColor="text1"/>
                <w:kern w:val="0"/>
                <w:sz w:val="24"/>
                <w14:textFill>
                  <w14:solidFill>
                    <w14:schemeClr w14:val="tx1"/>
                  </w14:solidFill>
                </w14:textFill>
              </w:rPr>
              <w:t>评标方法描述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360" w:type="dxa"/>
            <w:vMerge w:val="restart"/>
            <w:shd w:val="clear" w:color="auto" w:fill="auto"/>
            <w:vAlign w:val="center"/>
          </w:tcPr>
          <w:p>
            <w:pPr>
              <w:widowControl/>
              <w:spacing w:line="360" w:lineRule="auto"/>
              <w:jc w:val="center"/>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企业实力</w:t>
            </w:r>
          </w:p>
        </w:tc>
        <w:tc>
          <w:tcPr>
            <w:tcW w:w="1380" w:type="dxa"/>
            <w:shd w:val="clear" w:color="auto" w:fill="auto"/>
            <w:vAlign w:val="center"/>
          </w:tcPr>
          <w:p>
            <w:pPr>
              <w:widowControl/>
              <w:spacing w:line="360" w:lineRule="auto"/>
              <w:jc w:val="center"/>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2</w:t>
            </w:r>
          </w:p>
        </w:tc>
        <w:tc>
          <w:tcPr>
            <w:tcW w:w="6120" w:type="dxa"/>
            <w:shd w:val="clear" w:color="auto" w:fill="auto"/>
            <w:vAlign w:val="center"/>
          </w:tcPr>
          <w:p>
            <w:pPr>
              <w:widowControl/>
              <w:spacing w:line="360" w:lineRule="auto"/>
              <w:jc w:val="left"/>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投标人或其总公司具有有效的信息系统服务交付能力等级一级（五星）证书、信息系统建设和服务能力等级CS4或以上等级证书。每提供一项</w:t>
            </w:r>
            <w:r>
              <w:rPr>
                <w:rFonts w:hint="eastAsia" w:ascii="宋体" w:hAnsi="宋体" w:cs="宋体"/>
                <w:color w:val="000000" w:themeColor="text1"/>
                <w:kern w:val="0"/>
                <w:sz w:val="24"/>
                <w14:textFill>
                  <w14:solidFill>
                    <w14:schemeClr w14:val="tx1"/>
                  </w14:solidFill>
                </w14:textFill>
              </w:rPr>
              <w:t>的</w:t>
            </w:r>
            <w:r>
              <w:rPr>
                <w:rFonts w:hint="eastAsia" w:ascii="宋体" w:hAnsi="宋体" w:eastAsia="宋体" w:cs="宋体"/>
                <w:color w:val="000000" w:themeColor="text1"/>
                <w:kern w:val="0"/>
                <w:sz w:val="24"/>
                <w14:textFill>
                  <w14:solidFill>
                    <w14:schemeClr w14:val="tx1"/>
                  </w14:solidFill>
                </w14:textFill>
              </w:rPr>
              <w:t>得1分，满分2分。</w:t>
            </w:r>
            <w:r>
              <w:rPr>
                <w:rFonts w:hint="eastAsia" w:ascii="宋体" w:hAnsi="宋体" w:cs="宋体"/>
                <w:color w:val="000000" w:themeColor="text1"/>
                <w:kern w:val="0"/>
                <w:sz w:val="24"/>
                <w14:textFill>
                  <w14:solidFill>
                    <w14:schemeClr w14:val="tx1"/>
                  </w14:solidFill>
                </w14:textFill>
              </w:rPr>
              <w:t>（</w:t>
            </w:r>
            <w:r>
              <w:rPr>
                <w:rFonts w:hint="eastAsia" w:ascii="宋体" w:hAnsi="宋体" w:eastAsia="宋体" w:cs="宋体"/>
                <w:color w:val="000000" w:themeColor="text1"/>
                <w:kern w:val="0"/>
                <w:sz w:val="24"/>
                <w14:textFill>
                  <w14:solidFill>
                    <w14:schemeClr w14:val="tx1"/>
                  </w14:solidFill>
                </w14:textFill>
              </w:rPr>
              <w:t>须提供有效证书复印件，</w:t>
            </w:r>
            <w:r>
              <w:rPr>
                <w:rFonts w:hint="eastAsia" w:ascii="宋体" w:hAnsi="宋体" w:cs="宋体"/>
                <w:color w:val="000000" w:themeColor="text1"/>
                <w:kern w:val="0"/>
                <w:sz w:val="24"/>
                <w14:textFill>
                  <w14:solidFill>
                    <w14:schemeClr w14:val="tx1"/>
                  </w14:solidFill>
                </w14:textFill>
              </w:rPr>
              <w:t>否则</w:t>
            </w:r>
            <w:r>
              <w:rPr>
                <w:rFonts w:hint="eastAsia" w:ascii="宋体" w:hAnsi="宋体" w:eastAsia="宋体" w:cs="宋体"/>
                <w:color w:val="000000" w:themeColor="text1"/>
                <w:kern w:val="0"/>
                <w:sz w:val="24"/>
                <w14:textFill>
                  <w14:solidFill>
                    <w14:schemeClr w14:val="tx1"/>
                  </w14:solidFill>
                </w14:textFill>
              </w:rPr>
              <w:t>不得分。</w:t>
            </w:r>
            <w:r>
              <w:rPr>
                <w:rFonts w:hint="eastAsia" w:ascii="宋体" w:hAnsi="宋体" w:cs="宋体"/>
                <w:color w:val="000000" w:themeColor="text1"/>
                <w:kern w:val="0"/>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360" w:type="dxa"/>
            <w:vMerge w:val="continue"/>
            <w:vAlign w:val="center"/>
          </w:tcPr>
          <w:p>
            <w:pPr>
              <w:widowControl/>
              <w:spacing w:line="360" w:lineRule="auto"/>
              <w:jc w:val="left"/>
              <w:rPr>
                <w:rFonts w:ascii="宋体" w:hAnsi="宋体" w:eastAsia="宋体" w:cs="宋体"/>
                <w:color w:val="000000" w:themeColor="text1"/>
                <w:kern w:val="0"/>
                <w:sz w:val="24"/>
                <w14:textFill>
                  <w14:solidFill>
                    <w14:schemeClr w14:val="tx1"/>
                  </w14:solidFill>
                </w14:textFill>
              </w:rPr>
            </w:pPr>
          </w:p>
        </w:tc>
        <w:tc>
          <w:tcPr>
            <w:tcW w:w="1380" w:type="dxa"/>
            <w:shd w:val="clear" w:color="auto" w:fill="auto"/>
            <w:vAlign w:val="center"/>
          </w:tcPr>
          <w:p>
            <w:pPr>
              <w:widowControl/>
              <w:spacing w:line="360" w:lineRule="auto"/>
              <w:jc w:val="center"/>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3</w:t>
            </w:r>
          </w:p>
        </w:tc>
        <w:tc>
          <w:tcPr>
            <w:tcW w:w="6120" w:type="dxa"/>
            <w:shd w:val="clear" w:color="auto" w:fill="auto"/>
            <w:vAlign w:val="center"/>
          </w:tcPr>
          <w:p>
            <w:pPr>
              <w:widowControl/>
              <w:spacing w:line="360" w:lineRule="auto"/>
              <w:jc w:val="left"/>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kern w:val="0"/>
                <w:sz w:val="24"/>
              </w:rPr>
              <w:t>投标人或其总公司具有①质量管理体系认证、②环境管理体系认证证书、③职业健康安全管理体系认证证书，为满足项目需求，管理体系覆盖范围</w:t>
            </w:r>
            <w:r>
              <w:rPr>
                <w:rFonts w:hint="eastAsia" w:ascii="宋体" w:hAnsi="宋体" w:cs="宋体"/>
                <w:kern w:val="0"/>
                <w:sz w:val="24"/>
              </w:rPr>
              <w:t>不限于</w:t>
            </w:r>
            <w:r>
              <w:rPr>
                <w:rFonts w:hint="eastAsia" w:ascii="宋体" w:hAnsi="宋体" w:eastAsia="宋体" w:cs="宋体"/>
                <w:kern w:val="0"/>
                <w:sz w:val="24"/>
              </w:rPr>
              <w:t>软件、系统集成的设计开发、实施及售后服务；安全技术防范工程（系统）的设计、施工（安装）、维护；网络信息安全产品的销售与服务；数据中心系统的（设计、施工、维护）等内容，投标人所提供证书完整覆盖以上内容的，每提供一份的得1分，满分3分</w:t>
            </w:r>
            <w:r>
              <w:rPr>
                <w:rFonts w:hint="eastAsia" w:ascii="宋体" w:hAnsi="宋体" w:cs="宋体"/>
                <w:kern w:val="0"/>
                <w:sz w:val="24"/>
              </w:rPr>
              <w:t>。</w:t>
            </w:r>
            <w:r>
              <w:rPr>
                <w:rFonts w:hint="eastAsia" w:ascii="宋体" w:hAnsi="宋体" w:eastAsia="宋体" w:cs="宋体"/>
                <w:kern w:val="0"/>
                <w:sz w:val="24"/>
              </w:rPr>
              <w:t>（须提供证书复印件及该证书在平台（http://cx.cnca.cn）上证书状态为“有效”的查询结果网页或截图打印件</w:t>
            </w:r>
            <w:r>
              <w:rPr>
                <w:rFonts w:hint="eastAsia" w:ascii="宋体" w:hAnsi="宋体" w:cs="宋体"/>
                <w:kern w:val="0"/>
                <w:sz w:val="24"/>
              </w:rPr>
              <w:t>，</w:t>
            </w:r>
            <w:r>
              <w:rPr>
                <w:rFonts w:hint="eastAsia" w:ascii="宋体" w:hAnsi="宋体" w:eastAsia="宋体" w:cs="宋体"/>
                <w:kern w:val="0"/>
                <w:sz w:val="24"/>
              </w:rPr>
              <w:t>否则不得分。</w:t>
            </w:r>
            <w:r>
              <w:rPr>
                <w:rFonts w:hint="eastAsia" w:ascii="宋体" w:hAnsi="宋体" w:cs="宋体"/>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360" w:type="dxa"/>
            <w:vMerge w:val="continue"/>
            <w:vAlign w:val="center"/>
          </w:tcPr>
          <w:p>
            <w:pPr>
              <w:widowControl/>
              <w:spacing w:line="360" w:lineRule="auto"/>
              <w:jc w:val="left"/>
              <w:rPr>
                <w:rFonts w:ascii="宋体" w:hAnsi="宋体" w:eastAsia="宋体" w:cs="宋体"/>
                <w:color w:val="000000" w:themeColor="text1"/>
                <w:kern w:val="0"/>
                <w:sz w:val="24"/>
                <w14:textFill>
                  <w14:solidFill>
                    <w14:schemeClr w14:val="tx1"/>
                  </w14:solidFill>
                </w14:textFill>
              </w:rPr>
            </w:pPr>
          </w:p>
        </w:tc>
        <w:tc>
          <w:tcPr>
            <w:tcW w:w="1380" w:type="dxa"/>
            <w:shd w:val="clear" w:color="auto" w:fill="auto"/>
            <w:vAlign w:val="center"/>
          </w:tcPr>
          <w:p>
            <w:pPr>
              <w:widowControl/>
              <w:spacing w:line="360" w:lineRule="auto"/>
              <w:jc w:val="center"/>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1</w:t>
            </w:r>
          </w:p>
        </w:tc>
        <w:tc>
          <w:tcPr>
            <w:tcW w:w="6120" w:type="dxa"/>
            <w:shd w:val="clear" w:color="auto" w:fill="auto"/>
            <w:vAlign w:val="center"/>
          </w:tcPr>
          <w:p>
            <w:pPr>
              <w:widowControl/>
              <w:spacing w:line="360" w:lineRule="auto"/>
              <w:jc w:val="left"/>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投标人</w:t>
            </w:r>
            <w:r>
              <w:rPr>
                <w:rFonts w:hint="eastAsia" w:ascii="宋体" w:hAnsi="宋体" w:eastAsia="宋体" w:cs="宋体"/>
                <w:color w:val="000000" w:themeColor="text1"/>
                <w:kern w:val="0"/>
                <w:sz w:val="24"/>
                <w:szCs w:val="24"/>
                <w:highlight w:val="none"/>
                <w14:textFill>
                  <w14:solidFill>
                    <w14:schemeClr w14:val="tx1"/>
                  </w14:solidFill>
                </w14:textFill>
              </w:rPr>
              <w:t>或其总公司具有有效的信息系统安全集成服务二级及以上证书</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ITSS信息技术服务标准符合性证书(运行维护服务一级)二级以上证书，每提供一份的得0.5分，满分1分。（须提供认证证书的</w:t>
            </w:r>
            <w:r>
              <w:rPr>
                <w:rFonts w:hint="eastAsia" w:ascii="宋体" w:hAnsi="宋体" w:cs="宋体"/>
                <w:color w:val="000000" w:themeColor="text1"/>
                <w:kern w:val="0"/>
                <w:sz w:val="24"/>
                <w:szCs w:val="24"/>
                <w:highlight w:val="none"/>
                <w:lang w:eastAsia="zh-CN"/>
                <w14:textFill>
                  <w14:solidFill>
                    <w14:schemeClr w14:val="tx1"/>
                  </w14:solidFill>
                </w14:textFill>
              </w:rPr>
              <w:t>复印</w:t>
            </w:r>
            <w:r>
              <w:rPr>
                <w:rFonts w:hint="eastAsia" w:ascii="宋体" w:hAnsi="宋体" w:eastAsia="宋体" w:cs="宋体"/>
                <w:color w:val="000000" w:themeColor="text1"/>
                <w:kern w:val="0"/>
                <w:sz w:val="24"/>
                <w:szCs w:val="24"/>
                <w:highlight w:val="none"/>
                <w14:textFill>
                  <w14:solidFill>
                    <w14:schemeClr w14:val="tx1"/>
                  </w14:solidFill>
                </w14:textFill>
              </w:rPr>
              <w:t>件，</w:t>
            </w:r>
            <w:r>
              <w:rPr>
                <w:rFonts w:hint="eastAsia" w:ascii="宋体" w:hAnsi="宋体" w:eastAsia="宋体" w:cs="宋体"/>
                <w:kern w:val="0"/>
                <w:sz w:val="24"/>
                <w:szCs w:val="24"/>
                <w:highlight w:val="none"/>
              </w:rPr>
              <w:t>否则不得分。</w:t>
            </w:r>
            <w:r>
              <w:rPr>
                <w:rFonts w:hint="eastAsia" w:ascii="宋体" w:hAnsi="宋体" w:eastAsia="宋体" w:cs="宋体"/>
                <w:color w:val="000000" w:themeColor="text1"/>
                <w:kern w:val="0"/>
                <w:sz w:val="24"/>
                <w:szCs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360" w:type="dxa"/>
            <w:vAlign w:val="center"/>
          </w:tcPr>
          <w:p>
            <w:pPr>
              <w:widowControl/>
              <w:spacing w:line="360" w:lineRule="auto"/>
              <w:jc w:val="left"/>
              <w:rPr>
                <w:rFonts w:ascii="宋体" w:hAnsi="宋体" w:eastAsia="宋体" w:cs="宋体"/>
                <w:color w:val="000000" w:themeColor="text1"/>
                <w:kern w:val="0"/>
                <w:sz w:val="24"/>
                <w14:textFill>
                  <w14:solidFill>
                    <w14:schemeClr w14:val="tx1"/>
                  </w14:solidFill>
                </w14:textFill>
              </w:rPr>
            </w:pPr>
          </w:p>
        </w:tc>
        <w:tc>
          <w:tcPr>
            <w:tcW w:w="1380" w:type="dxa"/>
            <w:shd w:val="clear" w:color="auto" w:fill="auto"/>
            <w:vAlign w:val="center"/>
          </w:tcPr>
          <w:p>
            <w:pPr>
              <w:widowControl/>
              <w:spacing w:line="360" w:lineRule="auto"/>
              <w:jc w:val="center"/>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1</w:t>
            </w:r>
          </w:p>
        </w:tc>
        <w:tc>
          <w:tcPr>
            <w:tcW w:w="6120" w:type="dxa"/>
            <w:shd w:val="clear" w:color="auto" w:fill="auto"/>
            <w:vAlign w:val="center"/>
          </w:tcPr>
          <w:p>
            <w:pPr>
              <w:widowControl/>
              <w:spacing w:line="360" w:lineRule="auto"/>
              <w:jc w:val="left"/>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投标人或其总公司具有售后服务符合GB/T 27922-2011《商品售后服务评价体系》标准五星或五星以上的售后服务认证证书的得1分。（须提供有效认证证书复印件，否则不得分。）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360" w:type="dxa"/>
            <w:vMerge w:val="restart"/>
            <w:shd w:val="clear" w:color="auto" w:fill="auto"/>
            <w:vAlign w:val="center"/>
          </w:tcPr>
          <w:p>
            <w:pPr>
              <w:widowControl/>
              <w:spacing w:line="360" w:lineRule="auto"/>
              <w:jc w:val="center"/>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人员实力</w:t>
            </w:r>
          </w:p>
        </w:tc>
        <w:tc>
          <w:tcPr>
            <w:tcW w:w="1380" w:type="dxa"/>
            <w:shd w:val="clear" w:color="auto" w:fill="auto"/>
            <w:vAlign w:val="center"/>
          </w:tcPr>
          <w:p>
            <w:pPr>
              <w:widowControl/>
              <w:spacing w:line="360" w:lineRule="auto"/>
              <w:jc w:val="center"/>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2</w:t>
            </w:r>
          </w:p>
        </w:tc>
        <w:tc>
          <w:tcPr>
            <w:tcW w:w="6120" w:type="dxa"/>
            <w:shd w:val="clear" w:color="000000" w:fill="auto"/>
            <w:vAlign w:val="center"/>
          </w:tcPr>
          <w:p>
            <w:pPr>
              <w:widowControl/>
              <w:spacing w:line="360" w:lineRule="auto"/>
              <w:jc w:val="left"/>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投标人拟投入本项目的项目经理具有信息系统项目管理师（高级）证书、注册信息安全人员(CISP)证书、信息技术应用创新专业人员、ITIL初级或以上证书</w:t>
            </w:r>
            <w:r>
              <w:rPr>
                <w:rFonts w:hint="eastAsia" w:ascii="宋体" w:hAnsi="宋体" w:eastAsia="宋体" w:cs="宋体"/>
                <w:color w:val="000000" w:themeColor="text1"/>
                <w:kern w:val="0"/>
                <w:sz w:val="24"/>
                <w:highlight w:val="none"/>
                <w14:textFill>
                  <w14:solidFill>
                    <w14:schemeClr w14:val="tx1"/>
                  </w14:solidFill>
                </w14:textFill>
              </w:rPr>
              <w:t>， 同时满足4份</w:t>
            </w:r>
            <w:r>
              <w:rPr>
                <w:rFonts w:hint="eastAsia" w:ascii="宋体" w:hAnsi="宋体" w:eastAsia="宋体" w:cs="宋体"/>
                <w:color w:val="000000" w:themeColor="text1"/>
                <w:kern w:val="0"/>
                <w:sz w:val="24"/>
                <w:highlight w:val="none"/>
                <w:lang w:val="en-US" w:eastAsia="zh-CN"/>
                <w14:textFill>
                  <w14:solidFill>
                    <w14:schemeClr w14:val="tx1"/>
                  </w14:solidFill>
                </w14:textFill>
              </w:rPr>
              <w:t>证书的得</w:t>
            </w:r>
            <w:r>
              <w:rPr>
                <w:rFonts w:hint="eastAsia" w:ascii="宋体" w:hAnsi="宋体" w:eastAsia="宋体" w:cs="宋体"/>
                <w:color w:val="000000" w:themeColor="text1"/>
                <w:kern w:val="0"/>
                <w:sz w:val="24"/>
                <w:highlight w:val="none"/>
                <w14:textFill>
                  <w14:solidFill>
                    <w14:schemeClr w14:val="tx1"/>
                  </w14:solidFill>
                </w14:textFill>
              </w:rPr>
              <w:t>2分，3份</w:t>
            </w:r>
            <w:r>
              <w:rPr>
                <w:rFonts w:hint="eastAsia" w:ascii="宋体" w:hAnsi="宋体" w:eastAsia="宋体" w:cs="宋体"/>
                <w:color w:val="000000" w:themeColor="text1"/>
                <w:kern w:val="0"/>
                <w:sz w:val="24"/>
                <w:highlight w:val="none"/>
                <w:lang w:val="en-US" w:eastAsia="zh-CN"/>
                <w14:textFill>
                  <w14:solidFill>
                    <w14:schemeClr w14:val="tx1"/>
                  </w14:solidFill>
                </w14:textFill>
              </w:rPr>
              <w:t>的</w:t>
            </w:r>
            <w:r>
              <w:rPr>
                <w:rFonts w:hint="eastAsia" w:ascii="宋体" w:hAnsi="宋体" w:eastAsia="宋体" w:cs="宋体"/>
                <w:color w:val="000000" w:themeColor="text1"/>
                <w:kern w:val="0"/>
                <w:sz w:val="24"/>
                <w:highlight w:val="none"/>
                <w14:textFill>
                  <w14:solidFill>
                    <w14:schemeClr w14:val="tx1"/>
                  </w14:solidFill>
                </w14:textFill>
              </w:rPr>
              <w:t>得1分，2份</w:t>
            </w:r>
            <w:r>
              <w:rPr>
                <w:rFonts w:hint="eastAsia" w:ascii="宋体" w:hAnsi="宋体" w:eastAsia="宋体" w:cs="宋体"/>
                <w:color w:val="000000" w:themeColor="text1"/>
                <w:kern w:val="0"/>
                <w:sz w:val="24"/>
                <w:highlight w:val="none"/>
                <w:lang w:val="en-US" w:eastAsia="zh-CN"/>
                <w14:textFill>
                  <w14:solidFill>
                    <w14:schemeClr w14:val="tx1"/>
                  </w14:solidFill>
                </w14:textFill>
              </w:rPr>
              <w:t>的</w:t>
            </w:r>
            <w:r>
              <w:rPr>
                <w:rFonts w:hint="eastAsia" w:ascii="宋体" w:hAnsi="宋体" w:eastAsia="宋体" w:cs="宋体"/>
                <w:color w:val="000000" w:themeColor="text1"/>
                <w:kern w:val="0"/>
                <w:sz w:val="24"/>
                <w:highlight w:val="none"/>
                <w14:textFill>
                  <w14:solidFill>
                    <w14:schemeClr w14:val="tx1"/>
                  </w14:solidFill>
                </w14:textFill>
              </w:rPr>
              <w:t>得0.5分，其他情况不得分。</w:t>
            </w:r>
            <w:r>
              <w:rPr>
                <w:rFonts w:hint="eastAsia" w:ascii="宋体" w:hAnsi="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14:textFill>
                  <w14:solidFill>
                    <w14:schemeClr w14:val="tx1"/>
                  </w14:solidFill>
                </w14:textFill>
              </w:rPr>
              <w:t>须提供有效的资质证件</w:t>
            </w:r>
            <w:r>
              <w:rPr>
                <w:rFonts w:hint="eastAsia" w:ascii="宋体" w:hAnsi="宋体" w:cs="宋体"/>
                <w:color w:val="000000" w:themeColor="text1"/>
                <w:kern w:val="0"/>
                <w:sz w:val="24"/>
                <w:highlight w:val="none"/>
                <w14:textFill>
                  <w14:solidFill>
                    <w14:schemeClr w14:val="tx1"/>
                  </w14:solidFill>
                </w14:textFill>
              </w:rPr>
              <w:t>复印件</w:t>
            </w:r>
            <w:r>
              <w:rPr>
                <w:rFonts w:hint="eastAsia" w:ascii="宋体" w:hAnsi="宋体" w:eastAsia="宋体" w:cs="宋体"/>
                <w:color w:val="000000" w:themeColor="text1"/>
                <w:kern w:val="0"/>
                <w:sz w:val="24"/>
                <w:highlight w:val="none"/>
                <w14:textFill>
                  <w14:solidFill>
                    <w14:schemeClr w14:val="tx1"/>
                  </w14:solidFill>
                </w14:textFill>
              </w:rPr>
              <w:t>及在投标截止时间前六个月</w:t>
            </w:r>
            <w:r>
              <w:rPr>
                <w:rFonts w:hint="eastAsia" w:ascii="宋体" w:hAnsi="宋体" w:eastAsia="宋体" w:cs="宋体"/>
                <w:color w:val="000000" w:themeColor="text1"/>
                <w:kern w:val="0"/>
                <w:sz w:val="24"/>
                <w:highlight w:val="none"/>
                <w:lang w:val="en-US" w:eastAsia="zh-CN"/>
                <w14:textFill>
                  <w14:solidFill>
                    <w14:schemeClr w14:val="tx1"/>
                  </w14:solidFill>
                </w14:textFill>
              </w:rPr>
              <w:t>任意一个月</w:t>
            </w:r>
            <w:r>
              <w:rPr>
                <w:rFonts w:hint="eastAsia" w:ascii="宋体" w:hAnsi="宋体" w:eastAsia="宋体" w:cs="宋体"/>
                <w:color w:val="000000" w:themeColor="text1"/>
                <w:kern w:val="0"/>
                <w:sz w:val="24"/>
                <w:highlight w:val="none"/>
                <w14:textFill>
                  <w14:solidFill>
                    <w14:schemeClr w14:val="tx1"/>
                  </w14:solidFill>
                </w14:textFill>
              </w:rPr>
              <w:t>（不含投标截止时间当月）投标人为其缴纳社保的证明材料</w:t>
            </w:r>
            <w:r>
              <w:rPr>
                <w:rFonts w:hint="eastAsia" w:ascii="宋体" w:hAnsi="宋体" w:cs="宋体"/>
                <w:color w:val="000000" w:themeColor="text1"/>
                <w:kern w:val="0"/>
                <w:sz w:val="24"/>
                <w:highlight w:val="none"/>
                <w14:textFill>
                  <w14:solidFill>
                    <w14:schemeClr w14:val="tx1"/>
                  </w14:solidFill>
                </w14:textFill>
              </w:rPr>
              <w:t>，否则不得分。】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1360" w:type="dxa"/>
            <w:vMerge w:val="continue"/>
            <w:vAlign w:val="center"/>
          </w:tcPr>
          <w:p>
            <w:pPr>
              <w:widowControl/>
              <w:spacing w:line="360" w:lineRule="auto"/>
              <w:jc w:val="left"/>
              <w:rPr>
                <w:rFonts w:ascii="宋体" w:hAnsi="宋体" w:eastAsia="宋体" w:cs="宋体"/>
                <w:color w:val="000000" w:themeColor="text1"/>
                <w:kern w:val="0"/>
                <w:sz w:val="24"/>
                <w14:textFill>
                  <w14:solidFill>
                    <w14:schemeClr w14:val="tx1"/>
                  </w14:solidFill>
                </w14:textFill>
              </w:rPr>
            </w:pPr>
          </w:p>
        </w:tc>
        <w:tc>
          <w:tcPr>
            <w:tcW w:w="1380" w:type="dxa"/>
            <w:shd w:val="clear" w:color="auto" w:fill="auto"/>
            <w:vAlign w:val="center"/>
          </w:tcPr>
          <w:p>
            <w:pPr>
              <w:widowControl/>
              <w:spacing w:line="360" w:lineRule="auto"/>
              <w:jc w:val="center"/>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1</w:t>
            </w:r>
          </w:p>
        </w:tc>
        <w:tc>
          <w:tcPr>
            <w:tcW w:w="6120" w:type="dxa"/>
            <w:shd w:val="clear" w:color="auto" w:fill="auto"/>
            <w:vAlign w:val="center"/>
          </w:tcPr>
          <w:p>
            <w:pPr>
              <w:widowControl/>
              <w:spacing w:line="360" w:lineRule="auto"/>
              <w:jc w:val="left"/>
              <w:rPr>
                <w:rFonts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投标人拟投入本项目的技术负责人具有PMP项目管理师证书、高级工程师、安全评价师，</w:t>
            </w:r>
            <w:r>
              <w:rPr>
                <w:rFonts w:hint="eastAsia" w:ascii="宋体" w:hAnsi="宋体" w:eastAsia="宋体" w:cs="宋体"/>
                <w:color w:val="000000" w:themeColor="text1"/>
                <w:kern w:val="0"/>
                <w:sz w:val="24"/>
                <w:highlight w:val="none"/>
                <w:lang w:val="en-US" w:eastAsia="zh-CN"/>
                <w14:textFill>
                  <w14:solidFill>
                    <w14:schemeClr w14:val="tx1"/>
                  </w14:solidFill>
                </w14:textFill>
              </w:rPr>
              <w:t>同时满足</w:t>
            </w:r>
            <w:r>
              <w:rPr>
                <w:rFonts w:hint="eastAsia" w:ascii="宋体" w:hAnsi="宋体" w:eastAsia="宋体" w:cs="宋体"/>
                <w:color w:val="000000" w:themeColor="text1"/>
                <w:kern w:val="0"/>
                <w:sz w:val="24"/>
                <w:highlight w:val="none"/>
                <w14:textFill>
                  <w14:solidFill>
                    <w14:schemeClr w14:val="tx1"/>
                  </w14:solidFill>
                </w14:textFill>
              </w:rPr>
              <w:t>提供三份</w:t>
            </w:r>
            <w:r>
              <w:rPr>
                <w:rFonts w:hint="eastAsia" w:ascii="宋体" w:hAnsi="宋体" w:eastAsia="宋体" w:cs="宋体"/>
                <w:color w:val="000000" w:themeColor="text1"/>
                <w:kern w:val="0"/>
                <w:sz w:val="24"/>
                <w:highlight w:val="none"/>
                <w:lang w:val="en-US" w:eastAsia="zh-CN"/>
                <w14:textFill>
                  <w14:solidFill>
                    <w14:schemeClr w14:val="tx1"/>
                  </w14:solidFill>
                </w14:textFill>
              </w:rPr>
              <w:t>证书的</w:t>
            </w:r>
            <w:r>
              <w:rPr>
                <w:rFonts w:hint="eastAsia" w:ascii="宋体" w:hAnsi="宋体" w:eastAsia="宋体" w:cs="宋体"/>
                <w:color w:val="000000" w:themeColor="text1"/>
                <w:kern w:val="0"/>
                <w:sz w:val="24"/>
                <w:highlight w:val="none"/>
                <w14:textFill>
                  <w14:solidFill>
                    <w14:schemeClr w14:val="tx1"/>
                  </w14:solidFill>
                </w14:textFill>
              </w:rPr>
              <w:t>得1分，提供两份</w:t>
            </w:r>
            <w:r>
              <w:rPr>
                <w:rFonts w:hint="eastAsia" w:ascii="宋体" w:hAnsi="宋体" w:eastAsia="宋体" w:cs="宋体"/>
                <w:color w:val="000000" w:themeColor="text1"/>
                <w:kern w:val="0"/>
                <w:sz w:val="24"/>
                <w:highlight w:val="none"/>
                <w:lang w:val="en-US" w:eastAsia="zh-CN"/>
                <w14:textFill>
                  <w14:solidFill>
                    <w14:schemeClr w14:val="tx1"/>
                  </w14:solidFill>
                </w14:textFill>
              </w:rPr>
              <w:t>的</w:t>
            </w:r>
            <w:r>
              <w:rPr>
                <w:rFonts w:hint="eastAsia" w:ascii="宋体" w:hAnsi="宋体" w:eastAsia="宋体" w:cs="宋体"/>
                <w:color w:val="000000" w:themeColor="text1"/>
                <w:kern w:val="0"/>
                <w:sz w:val="24"/>
                <w:highlight w:val="none"/>
                <w14:textFill>
                  <w14:solidFill>
                    <w14:schemeClr w14:val="tx1"/>
                  </w14:solidFill>
                </w14:textFill>
              </w:rPr>
              <w:t>得0.5分，其他不得分。。</w:t>
            </w:r>
            <w:r>
              <w:rPr>
                <w:rFonts w:hint="eastAsia" w:ascii="宋体" w:hAnsi="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14:textFill>
                  <w14:solidFill>
                    <w14:schemeClr w14:val="tx1"/>
                  </w14:solidFill>
                </w14:textFill>
              </w:rPr>
              <w:t>须提供有效的资质证件</w:t>
            </w:r>
            <w:r>
              <w:rPr>
                <w:rFonts w:hint="eastAsia" w:ascii="宋体" w:hAnsi="宋体" w:cs="宋体"/>
                <w:color w:val="000000" w:themeColor="text1"/>
                <w:kern w:val="0"/>
                <w:sz w:val="24"/>
                <w:highlight w:val="none"/>
                <w14:textFill>
                  <w14:solidFill>
                    <w14:schemeClr w14:val="tx1"/>
                  </w14:solidFill>
                </w14:textFill>
              </w:rPr>
              <w:t>复印件</w:t>
            </w:r>
            <w:r>
              <w:rPr>
                <w:rFonts w:hint="eastAsia" w:ascii="宋体" w:hAnsi="宋体" w:eastAsia="宋体" w:cs="宋体"/>
                <w:color w:val="000000" w:themeColor="text1"/>
                <w:kern w:val="0"/>
                <w:sz w:val="24"/>
                <w:highlight w:val="none"/>
                <w14:textFill>
                  <w14:solidFill>
                    <w14:schemeClr w14:val="tx1"/>
                  </w14:solidFill>
                </w14:textFill>
              </w:rPr>
              <w:t>及在投标截止时间前六个月</w:t>
            </w:r>
            <w:r>
              <w:rPr>
                <w:rFonts w:hint="eastAsia" w:ascii="宋体" w:hAnsi="宋体" w:eastAsia="宋体" w:cs="宋体"/>
                <w:color w:val="000000" w:themeColor="text1"/>
                <w:kern w:val="0"/>
                <w:sz w:val="24"/>
                <w:highlight w:val="none"/>
                <w:lang w:val="en-US" w:eastAsia="zh-CN"/>
                <w14:textFill>
                  <w14:solidFill>
                    <w14:schemeClr w14:val="tx1"/>
                  </w14:solidFill>
                </w14:textFill>
              </w:rPr>
              <w:t>任意一个月</w:t>
            </w:r>
            <w:r>
              <w:rPr>
                <w:rFonts w:hint="eastAsia" w:ascii="宋体" w:hAnsi="宋体" w:eastAsia="宋体" w:cs="宋体"/>
                <w:color w:val="000000" w:themeColor="text1"/>
                <w:kern w:val="0"/>
                <w:sz w:val="24"/>
                <w:highlight w:val="none"/>
                <w14:textFill>
                  <w14:solidFill>
                    <w14:schemeClr w14:val="tx1"/>
                  </w14:solidFill>
                </w14:textFill>
              </w:rPr>
              <w:t>（不含投标截止时间当月）投标人为其缴纳社保的证明材料</w:t>
            </w:r>
            <w:r>
              <w:rPr>
                <w:rFonts w:hint="eastAsia" w:ascii="宋体" w:hAnsi="宋体" w:cs="宋体"/>
                <w:color w:val="000000" w:themeColor="text1"/>
                <w:kern w:val="0"/>
                <w:sz w:val="24"/>
                <w:highlight w:val="none"/>
                <w14:textFill>
                  <w14:solidFill>
                    <w14:schemeClr w14:val="tx1"/>
                  </w14:solidFill>
                </w14:textFill>
              </w:rPr>
              <w:t>，否则不得分。】</w:t>
            </w:r>
          </w:p>
        </w:tc>
      </w:tr>
    </w:tbl>
    <w:p>
      <w:pPr>
        <w:pStyle w:val="13"/>
        <w:jc w:val="both"/>
        <w:rPr>
          <w:rFonts w:hint="default" w:cs="宋体" w:asciiTheme="minorEastAsia" w:hAnsiTheme="minorEastAsia"/>
          <w:color w:val="000000" w:themeColor="text1"/>
          <w:sz w:val="24"/>
          <w:szCs w:val="24"/>
          <w:lang w:eastAsia="zh-CN"/>
          <w14:textFill>
            <w14:solidFill>
              <w14:schemeClr w14:val="tx1"/>
            </w14:solidFill>
          </w14:textFill>
        </w:rPr>
      </w:pPr>
    </w:p>
    <w:p>
      <w:pPr>
        <w:pStyle w:val="13"/>
        <w:jc w:val="both"/>
        <w:rPr>
          <w:rFonts w:hint="default" w:cs="宋体" w:asciiTheme="minorEastAsia" w:hAnsiTheme="minorEastAsia"/>
          <w:color w:val="000000" w:themeColor="text1"/>
          <w:sz w:val="24"/>
          <w:szCs w:val="24"/>
          <w:lang w:eastAsia="zh-CN"/>
          <w14:textFill>
            <w14:solidFill>
              <w14:schemeClr w14:val="tx1"/>
            </w14:solidFill>
          </w14:textFill>
        </w:rPr>
      </w:pPr>
      <w:r>
        <w:rPr>
          <w:rFonts w:cs="宋体" w:asciiTheme="minorEastAsia" w:hAnsiTheme="minorEastAsia"/>
          <w:color w:val="000000" w:themeColor="text1"/>
          <w:sz w:val="24"/>
          <w:szCs w:val="24"/>
          <w:lang w:eastAsia="zh-CN"/>
          <w14:textFill>
            <w14:solidFill>
              <w14:schemeClr w14:val="tx1"/>
            </w14:solidFill>
          </w14:textFill>
        </w:rPr>
        <w:t>加分项（F4×A4）</w:t>
      </w:r>
    </w:p>
    <w:tbl>
      <w:tblPr>
        <w:tblStyle w:val="11"/>
        <w:tblW w:w="8838"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4"/>
        <w:gridCol w:w="1396"/>
        <w:gridCol w:w="58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tcPr>
          <w:p>
            <w:pPr>
              <w:pStyle w:val="13"/>
              <w:jc w:val="both"/>
              <w:rPr>
                <w:rFonts w:hint="default" w:cs="宋体" w:asciiTheme="minorEastAsia" w:hAnsiTheme="minorEastAsia"/>
                <w:color w:val="000000" w:themeColor="text1"/>
                <w:sz w:val="24"/>
                <w:szCs w:val="24"/>
                <w:lang w:eastAsia="zh-CN"/>
                <w14:textFill>
                  <w14:solidFill>
                    <w14:schemeClr w14:val="tx1"/>
                  </w14:solidFill>
                </w14:textFill>
              </w:rPr>
            </w:pPr>
            <w:bookmarkStart w:id="15" w:name="_GoBack"/>
            <w:r>
              <w:rPr>
                <w:rFonts w:cs="宋体" w:asciiTheme="minorEastAsia" w:hAnsiTheme="minorEastAsia"/>
                <w:color w:val="000000" w:themeColor="text1"/>
                <w:sz w:val="24"/>
                <w:szCs w:val="24"/>
                <w:lang w:eastAsia="zh-CN"/>
                <w14:textFill>
                  <w14:solidFill>
                    <w14:schemeClr w14:val="tx1"/>
                  </w14:solidFill>
                </w14:textFill>
              </w:rPr>
              <w:t>项目</w:t>
            </w:r>
          </w:p>
        </w:tc>
        <w:tc>
          <w:tcPr>
            <w:tcW w:w="1396" w:type="dxa"/>
          </w:tcPr>
          <w:p>
            <w:pPr>
              <w:pStyle w:val="13"/>
              <w:jc w:val="both"/>
              <w:rPr>
                <w:rFonts w:hint="default" w:cs="宋体" w:asciiTheme="minorEastAsia" w:hAnsiTheme="minorEastAsia"/>
                <w:color w:val="000000" w:themeColor="text1"/>
                <w:sz w:val="24"/>
                <w:szCs w:val="24"/>
                <w:lang w:eastAsia="zh-CN"/>
                <w14:textFill>
                  <w14:solidFill>
                    <w14:schemeClr w14:val="tx1"/>
                  </w14:solidFill>
                </w14:textFill>
              </w:rPr>
            </w:pPr>
            <w:r>
              <w:rPr>
                <w:rFonts w:cs="宋体" w:asciiTheme="minorEastAsia" w:hAnsiTheme="minorEastAsia"/>
                <w:color w:val="000000" w:themeColor="text1"/>
                <w:sz w:val="24"/>
                <w:szCs w:val="24"/>
                <w:lang w:eastAsia="zh-CN"/>
                <w14:textFill>
                  <w14:solidFill>
                    <w14:schemeClr w14:val="tx1"/>
                  </w14:solidFill>
                </w14:textFill>
              </w:rPr>
              <w:t>分值</w:t>
            </w:r>
          </w:p>
        </w:tc>
        <w:tc>
          <w:tcPr>
            <w:tcW w:w="5838" w:type="dxa"/>
          </w:tcPr>
          <w:p>
            <w:pPr>
              <w:pStyle w:val="13"/>
              <w:jc w:val="both"/>
              <w:rPr>
                <w:rFonts w:hint="default" w:cs="宋体" w:asciiTheme="minorEastAsia" w:hAnsiTheme="minorEastAsia"/>
                <w:color w:val="000000" w:themeColor="text1"/>
                <w:sz w:val="24"/>
                <w:szCs w:val="24"/>
                <w:lang w:eastAsia="zh-CN"/>
                <w14:textFill>
                  <w14:solidFill>
                    <w14:schemeClr w14:val="tx1"/>
                  </w14:solidFill>
                </w14:textFill>
              </w:rPr>
            </w:pPr>
            <w:r>
              <w:rPr>
                <w:rFonts w:cs="宋体" w:asciiTheme="minorEastAsia" w:hAnsiTheme="minorEastAsia"/>
                <w:color w:val="000000" w:themeColor="text1"/>
                <w:sz w:val="24"/>
                <w:szCs w:val="24"/>
                <w:lang w:eastAsia="zh-CN"/>
                <w14:textFill>
                  <w14:solidFill>
                    <w14:schemeClr w14:val="tx1"/>
                  </w14:solidFill>
                </w14:textFill>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4" w:type="dxa"/>
          </w:tcPr>
          <w:p>
            <w:pPr>
              <w:pStyle w:val="13"/>
              <w:jc w:val="both"/>
              <w:rPr>
                <w:rFonts w:hint="default" w:cs="宋体" w:asciiTheme="minorEastAsia" w:hAnsiTheme="minorEastAsia"/>
                <w:color w:val="000000" w:themeColor="text1"/>
                <w:sz w:val="24"/>
                <w:szCs w:val="24"/>
                <w:lang w:eastAsia="zh-CN"/>
                <w14:textFill>
                  <w14:solidFill>
                    <w14:schemeClr w14:val="tx1"/>
                  </w14:solidFill>
                </w14:textFill>
              </w:rPr>
            </w:pPr>
            <w:r>
              <w:rPr>
                <w:rFonts w:cs="宋体" w:asciiTheme="minorEastAsia" w:hAnsiTheme="minorEastAsia"/>
                <w:color w:val="000000" w:themeColor="text1"/>
                <w:sz w:val="24"/>
                <w:szCs w:val="24"/>
                <w:lang w:eastAsia="zh-CN"/>
                <w14:textFill>
                  <w14:solidFill>
                    <w14:schemeClr w14:val="tx1"/>
                  </w14:solidFill>
                </w14:textFill>
              </w:rPr>
              <w:t>节能、环境标志产品</w:t>
            </w:r>
          </w:p>
        </w:tc>
        <w:tc>
          <w:tcPr>
            <w:tcW w:w="1396" w:type="dxa"/>
          </w:tcPr>
          <w:p>
            <w:pPr>
              <w:pStyle w:val="13"/>
              <w:jc w:val="right"/>
              <w:rPr>
                <w:rFonts w:hint="default" w:cs="宋体" w:asciiTheme="minorEastAsia" w:hAnsiTheme="minorEastAsia"/>
                <w:color w:val="000000" w:themeColor="text1"/>
                <w:sz w:val="24"/>
                <w:szCs w:val="24"/>
                <w:lang w:val="en-US" w:eastAsia="zh-CN"/>
                <w14:textFill>
                  <w14:solidFill>
                    <w14:schemeClr w14:val="tx1"/>
                  </w14:solidFill>
                </w14:textFill>
              </w:rPr>
            </w:pPr>
            <w:r>
              <w:rPr>
                <w:rFonts w:hint="eastAsia" w:cs="宋体" w:asciiTheme="minorEastAsia" w:hAnsiTheme="minorEastAsia"/>
                <w:color w:val="000000" w:themeColor="text1"/>
                <w:sz w:val="24"/>
                <w:szCs w:val="24"/>
                <w:lang w:val="en-US" w:eastAsia="zh-CN"/>
                <w14:textFill>
                  <w14:solidFill>
                    <w14:schemeClr w14:val="tx1"/>
                  </w14:solidFill>
                </w14:textFill>
              </w:rPr>
              <w:t>7.2</w:t>
            </w:r>
          </w:p>
        </w:tc>
        <w:tc>
          <w:tcPr>
            <w:tcW w:w="5838" w:type="dxa"/>
          </w:tcPr>
          <w:p>
            <w:pPr>
              <w:pStyle w:val="13"/>
              <w:jc w:val="both"/>
              <w:rPr>
                <w:rFonts w:hint="default" w:cs="宋体" w:asciiTheme="minorEastAsia" w:hAnsiTheme="minorEastAsia"/>
                <w:color w:val="000000" w:themeColor="text1"/>
                <w:sz w:val="24"/>
                <w:szCs w:val="24"/>
                <w:lang w:eastAsia="zh-CN"/>
                <w14:textFill>
                  <w14:solidFill>
                    <w14:schemeClr w14:val="tx1"/>
                  </w14:solidFill>
                </w14:textFill>
              </w:rPr>
            </w:pPr>
            <w:r>
              <w:rPr>
                <w:rFonts w:cs="宋体" w:asciiTheme="minorEastAsia" w:hAnsiTheme="minorEastAsia"/>
                <w:color w:val="000000" w:themeColor="text1"/>
                <w:sz w:val="24"/>
                <w:szCs w:val="24"/>
                <w:lang w:eastAsia="zh-CN"/>
                <w14:textFill>
                  <w14:solidFill>
                    <w14:schemeClr w14:val="tx1"/>
                  </w14:solidFill>
                </w14:textFill>
              </w:rPr>
              <w:t>1、投标人所投节能产品属于《关于印发节能产品政府采购品目清单的通知》（财库〔2019〕19号）内的产品、所投环境标志产品属于《关于印发环境标志产品政府采购品目清单的通知》（财库〔2019〕18号）内的产品，方可享受加分。 2、（2）若同一采购包内节能、环境标志产品报价总金额低于该采购包报价总金额20%（含20%），将分别给予节能、环境标志产品价格项（F1，按照满分计）和技术项（F2，按照满分计）4%的加分； （2）若同一采购包内节能、环境标志产品报价总金额占该采购包报价总金额20%-50%（含50%），将分别给予节能、环境标志产品价格项（F1，按照满分计）和技术项（F2，按照满分计）6%的加分； （3）若同一采购包内节能、环境标志产品报价总金额超过该采购包报价总金额50%，将分别给予节能、环境标志产品价格项（F1，按照满分计）和技术项（F2，按照满分计）8%的加分。 3、若节能、环境标志产品仅是构成投标产品的部件、组件或零件，则该投标产品不享受鼓励优惠政策。同一品目中各认证证书不重复计算加分。强制类节能产品不享受加分。</w:t>
            </w:r>
          </w:p>
        </w:tc>
      </w:tr>
      <w:bookmarkEnd w:id="15"/>
    </w:tbl>
    <w:p>
      <w:pPr>
        <w:pStyle w:val="13"/>
        <w:jc w:val="both"/>
        <w:rPr>
          <w:rFonts w:hint="default" w:cs="宋体" w:asciiTheme="minorEastAsia" w:hAnsiTheme="minorEastAsia"/>
          <w:color w:val="000000" w:themeColor="text1"/>
          <w:sz w:val="24"/>
          <w:szCs w:val="24"/>
          <w:lang w:eastAsia="zh-CN"/>
          <w14:textFill>
            <w14:solidFill>
              <w14:schemeClr w14:val="tx1"/>
            </w14:solidFill>
          </w14:textFill>
        </w:rPr>
      </w:pPr>
      <w:r>
        <w:rPr>
          <w:rFonts w:cs="宋体" w:asciiTheme="minorEastAsia" w:hAnsiTheme="minorEastAsia"/>
          <w:color w:val="000000" w:themeColor="text1"/>
          <w:sz w:val="24"/>
          <w:szCs w:val="24"/>
          <w:lang w:eastAsia="zh-CN"/>
          <w14:textFill>
            <w14:solidFill>
              <w14:schemeClr w14:val="tx1"/>
            </w14:solidFill>
          </w14:textFill>
        </w:rPr>
        <w:t>（4）中标候选人排列规则顺序如下：</w:t>
      </w:r>
    </w:p>
    <w:p>
      <w:pPr>
        <w:pStyle w:val="13"/>
        <w:jc w:val="both"/>
        <w:rPr>
          <w:rFonts w:hint="default" w:cs="宋体" w:asciiTheme="minorEastAsia" w:hAnsiTheme="minorEastAsia"/>
          <w:color w:val="000000" w:themeColor="text1"/>
          <w:sz w:val="24"/>
          <w:szCs w:val="24"/>
          <w:lang w:eastAsia="zh-CN"/>
          <w14:textFill>
            <w14:solidFill>
              <w14:schemeClr w14:val="tx1"/>
            </w14:solidFill>
          </w14:textFill>
        </w:rPr>
      </w:pPr>
      <w:r>
        <w:rPr>
          <w:rFonts w:cs="宋体" w:asciiTheme="minorEastAsia" w:hAnsiTheme="minorEastAsia"/>
          <w:color w:val="000000" w:themeColor="text1"/>
          <w:sz w:val="24"/>
          <w:szCs w:val="24"/>
          <w:lang w:eastAsia="zh-CN"/>
          <w14:textFill>
            <w14:solidFill>
              <w14:schemeClr w14:val="tx1"/>
            </w14:solidFill>
          </w14:textFill>
        </w:rPr>
        <w:t>a.按照评标总得分（FA）由高到低顺序排列。</w:t>
      </w:r>
    </w:p>
    <w:p>
      <w:pPr>
        <w:pStyle w:val="13"/>
        <w:jc w:val="both"/>
        <w:rPr>
          <w:rFonts w:hint="default" w:cs="宋体" w:asciiTheme="minorEastAsia" w:hAnsiTheme="minorEastAsia"/>
          <w:color w:val="000000" w:themeColor="text1"/>
          <w:sz w:val="24"/>
          <w:szCs w:val="24"/>
          <w:lang w:eastAsia="zh-CN"/>
          <w14:textFill>
            <w14:solidFill>
              <w14:schemeClr w14:val="tx1"/>
            </w14:solidFill>
          </w14:textFill>
        </w:rPr>
      </w:pPr>
      <w:r>
        <w:rPr>
          <w:rFonts w:cs="宋体" w:asciiTheme="minorEastAsia" w:hAnsiTheme="minorEastAsia"/>
          <w:color w:val="000000" w:themeColor="text1"/>
          <w:sz w:val="24"/>
          <w:szCs w:val="24"/>
          <w:lang w:eastAsia="zh-CN"/>
          <w14:textFill>
            <w14:solidFill>
              <w14:schemeClr w14:val="tx1"/>
            </w14:solidFill>
          </w14:textFill>
        </w:rPr>
        <w:t>b.评标总得分（FA）相同的，按照评标价（即价格扣除后的投标报价）由低到高顺序排列。</w:t>
      </w:r>
    </w:p>
    <w:p>
      <w:pPr>
        <w:pStyle w:val="13"/>
        <w:jc w:val="both"/>
        <w:rPr>
          <w:rFonts w:hint="default" w:cs="宋体" w:asciiTheme="minorEastAsia" w:hAnsiTheme="minorEastAsia"/>
          <w:color w:val="000000" w:themeColor="text1"/>
          <w:sz w:val="24"/>
          <w:szCs w:val="24"/>
          <w:lang w:eastAsia="zh-CN"/>
          <w14:textFill>
            <w14:solidFill>
              <w14:schemeClr w14:val="tx1"/>
            </w14:solidFill>
          </w14:textFill>
        </w:rPr>
      </w:pPr>
      <w:r>
        <w:rPr>
          <w:rFonts w:cs="宋体" w:asciiTheme="minorEastAsia" w:hAnsiTheme="minorEastAsia"/>
          <w:color w:val="000000" w:themeColor="text1"/>
          <w:sz w:val="24"/>
          <w:szCs w:val="24"/>
          <w:lang w:eastAsia="zh-CN"/>
          <w14:textFill>
            <w14:solidFill>
              <w14:schemeClr w14:val="tx1"/>
            </w14:solidFill>
          </w14:textFill>
        </w:rPr>
        <w:t>c.评标总得分（FA）且评标价（即价格扣除后的投标报价）相同的并列。</w:t>
      </w:r>
    </w:p>
    <w:p>
      <w:pPr>
        <w:pStyle w:val="13"/>
        <w:ind w:firstLine="480"/>
        <w:jc w:val="both"/>
        <w:rPr>
          <w:rFonts w:hint="default" w:cs="宋体" w:asciiTheme="minorEastAsia" w:hAnsiTheme="minorEastAsia"/>
          <w:color w:val="000000" w:themeColor="text1"/>
          <w:sz w:val="24"/>
          <w:szCs w:val="24"/>
          <w:lang w:eastAsia="zh-CN"/>
          <w14:textFill>
            <w14:solidFill>
              <w14:schemeClr w14:val="tx1"/>
            </w14:solidFill>
          </w14:textFill>
        </w:rPr>
      </w:pPr>
      <w:r>
        <w:rPr>
          <w:rFonts w:cs="宋体" w:asciiTheme="minorEastAsia" w:hAnsiTheme="minorEastAsia"/>
          <w:color w:val="000000" w:themeColor="text1"/>
          <w:sz w:val="24"/>
          <w:szCs w:val="24"/>
          <w:lang w:eastAsia="zh-CN"/>
          <w14:textFill>
            <w14:solidFill>
              <w14:schemeClr w14:val="tx1"/>
            </w14:solidFill>
          </w14:textFill>
        </w:rPr>
        <w:t>8、其他规定</w:t>
      </w:r>
    </w:p>
    <w:p>
      <w:pPr>
        <w:pStyle w:val="13"/>
        <w:ind w:firstLine="480"/>
        <w:jc w:val="both"/>
        <w:rPr>
          <w:rFonts w:hint="default" w:cs="宋体" w:asciiTheme="minorEastAsia" w:hAnsiTheme="minorEastAsia"/>
          <w:color w:val="000000" w:themeColor="text1"/>
          <w:sz w:val="24"/>
          <w:szCs w:val="24"/>
          <w:lang w:eastAsia="zh-CN"/>
          <w14:textFill>
            <w14:solidFill>
              <w14:schemeClr w14:val="tx1"/>
            </w14:solidFill>
          </w14:textFill>
        </w:rPr>
      </w:pPr>
      <w:r>
        <w:rPr>
          <w:rFonts w:cs="宋体" w:asciiTheme="minorEastAsia" w:hAnsiTheme="minorEastAsia"/>
          <w:color w:val="000000" w:themeColor="text1"/>
          <w:sz w:val="24"/>
          <w:szCs w:val="24"/>
          <w:lang w:eastAsia="zh-CN"/>
          <w14:textFill>
            <w14:solidFill>
              <w14:schemeClr w14:val="tx1"/>
            </w14:solidFill>
          </w14:textFill>
        </w:rPr>
        <w:t>8.1评标应全程保密且不得透露给任一投标人或与评标工作无关的人员。</w:t>
      </w:r>
    </w:p>
    <w:p>
      <w:pPr>
        <w:pStyle w:val="13"/>
        <w:ind w:firstLine="480"/>
        <w:jc w:val="both"/>
        <w:rPr>
          <w:rFonts w:hint="default" w:cs="宋体" w:asciiTheme="minorEastAsia" w:hAnsiTheme="minorEastAsia"/>
          <w:color w:val="000000" w:themeColor="text1"/>
          <w:sz w:val="24"/>
          <w:szCs w:val="24"/>
          <w:lang w:eastAsia="zh-CN"/>
          <w14:textFill>
            <w14:solidFill>
              <w14:schemeClr w14:val="tx1"/>
            </w14:solidFill>
          </w14:textFill>
        </w:rPr>
      </w:pPr>
      <w:r>
        <w:rPr>
          <w:rFonts w:cs="宋体" w:asciiTheme="minorEastAsia" w:hAnsiTheme="minorEastAsia"/>
          <w:color w:val="000000" w:themeColor="text1"/>
          <w:sz w:val="24"/>
          <w:szCs w:val="24"/>
          <w:lang w:eastAsia="zh-CN"/>
          <w14:textFill>
            <w14:solidFill>
              <w14:schemeClr w14:val="tx1"/>
            </w14:solidFill>
          </w14:textFill>
        </w:rPr>
        <w:t>8.2评标将进行全程实时录音录像，录音录像资料随采购文件一并存档。</w:t>
      </w:r>
    </w:p>
    <w:p>
      <w:pPr>
        <w:pStyle w:val="13"/>
        <w:ind w:firstLine="480"/>
        <w:jc w:val="both"/>
        <w:rPr>
          <w:rFonts w:hint="default" w:cs="宋体" w:asciiTheme="minorEastAsia" w:hAnsiTheme="minorEastAsia"/>
          <w:color w:val="000000" w:themeColor="text1"/>
          <w:sz w:val="24"/>
          <w:szCs w:val="24"/>
          <w:lang w:eastAsia="zh-CN"/>
          <w14:textFill>
            <w14:solidFill>
              <w14:schemeClr w14:val="tx1"/>
            </w14:solidFill>
          </w14:textFill>
        </w:rPr>
      </w:pPr>
      <w:r>
        <w:rPr>
          <w:rFonts w:cs="宋体" w:asciiTheme="minorEastAsia" w:hAnsiTheme="minorEastAsia"/>
          <w:color w:val="000000" w:themeColor="text1"/>
          <w:sz w:val="24"/>
          <w:szCs w:val="24"/>
          <w:lang w:eastAsia="zh-CN"/>
          <w14:textFill>
            <w14:solidFill>
              <w14:schemeClr w14:val="tx1"/>
            </w14:solidFill>
          </w14:textFill>
        </w:rPr>
        <w:t>8.3若投标人有任何试图干扰具体评标事务，影响评标委员会独立履行职责的行为，其投标无效且不予退还投标保证金或通过投标保函进行索赔。情节严重的，由财政部门列入不良行为记录。</w:t>
      </w:r>
    </w:p>
    <w:p>
      <w:pPr>
        <w:pStyle w:val="13"/>
        <w:ind w:firstLine="480"/>
        <w:jc w:val="both"/>
        <w:rPr>
          <w:rFonts w:hint="default" w:cs="宋体" w:asciiTheme="minorEastAsia" w:hAnsiTheme="minorEastAsia"/>
          <w:color w:val="000000" w:themeColor="text1"/>
          <w:sz w:val="24"/>
          <w:szCs w:val="24"/>
          <w:lang w:eastAsia="zh-CN"/>
          <w14:textFill>
            <w14:solidFill>
              <w14:schemeClr w14:val="tx1"/>
            </w14:solidFill>
          </w14:textFill>
        </w:rPr>
      </w:pPr>
      <w:r>
        <w:rPr>
          <w:rFonts w:cs="宋体" w:asciiTheme="minorEastAsia" w:hAnsiTheme="minorEastAsia"/>
          <w:color w:val="000000" w:themeColor="text1"/>
          <w:sz w:val="24"/>
          <w:szCs w:val="24"/>
          <w:lang w:eastAsia="zh-CN"/>
          <w14:textFill>
            <w14:solidFill>
              <w14:schemeClr w14:val="tx1"/>
            </w14:solidFill>
          </w14:textFill>
        </w:rPr>
        <w:t>8.4其他：</w:t>
      </w:r>
    </w:p>
    <w:p>
      <w:pPr>
        <w:pStyle w:val="13"/>
        <w:ind w:firstLine="480"/>
        <w:jc w:val="both"/>
        <w:rPr>
          <w:rFonts w:hint="default"/>
        </w:rPr>
      </w:pPr>
    </w:p>
    <w:p>
      <w:pPr>
        <w:pStyle w:val="13"/>
        <w:jc w:val="both"/>
        <w:rPr>
          <w:rFonts w:hint="default"/>
        </w:rPr>
      </w:pPr>
      <w:r>
        <w:rPr>
          <w:b/>
        </w:rPr>
        <w:t>无</w:t>
      </w:r>
    </w:p>
    <w:p>
      <w:pPr>
        <w:pStyle w:val="13"/>
        <w:jc w:val="center"/>
        <w:outlineLvl w:val="1"/>
        <w:rPr>
          <w:rFonts w:hint="default"/>
          <w:b/>
          <w:sz w:val="36"/>
        </w:rPr>
      </w:pPr>
    </w:p>
    <w:p>
      <w:pPr>
        <w:pStyle w:val="13"/>
        <w:jc w:val="both"/>
        <w:outlineLvl w:val="1"/>
        <w:rPr>
          <w:rFonts w:hint="default"/>
          <w:b/>
          <w:sz w:val="36"/>
        </w:rPr>
      </w:pPr>
    </w:p>
    <w:p>
      <w:pPr>
        <w:spacing w:line="360" w:lineRule="auto"/>
        <w:rPr>
          <w:rFonts w:asciiTheme="minorEastAsia" w:hAnsiTheme="minorEastAsia"/>
          <w:color w:val="000000" w:themeColor="text1"/>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widowControl/>
        <w:spacing w:before="75" w:after="75"/>
        <w:ind w:firstLine="2570" w:firstLineChars="800"/>
        <w:jc w:val="both"/>
        <w:rPr>
          <w:rFonts w:ascii="宋体" w:hAnsi="宋体" w:cs="宋体"/>
          <w:kern w:val="0"/>
          <w:sz w:val="24"/>
        </w:rPr>
      </w:pPr>
      <w:r>
        <w:rPr>
          <w:rFonts w:ascii="宋体" w:hAnsi="宋体" w:cs="宋体"/>
          <w:b/>
          <w:bCs/>
          <w:kern w:val="0"/>
          <w:sz w:val="32"/>
        </w:rPr>
        <w:t>第五章 招标内容及要求</w:t>
      </w:r>
    </w:p>
    <w:p>
      <w:pPr>
        <w:widowControl/>
        <w:numPr>
          <w:ilvl w:val="0"/>
          <w:numId w:val="2"/>
        </w:numPr>
        <w:spacing w:before="75" w:after="75"/>
        <w:jc w:val="left"/>
        <w:outlineLvl w:val="1"/>
        <w:rPr>
          <w:rFonts w:ascii="宋体" w:hAnsi="宋体" w:cs="宋体"/>
          <w:b/>
          <w:bCs/>
          <w:kern w:val="0"/>
          <w:sz w:val="24"/>
        </w:rPr>
      </w:pPr>
      <w:r>
        <w:rPr>
          <w:rFonts w:hint="eastAsia" w:ascii="宋体" w:hAnsi="宋体" w:cs="宋体"/>
          <w:b/>
          <w:bCs/>
          <w:kern w:val="0"/>
          <w:sz w:val="24"/>
        </w:rPr>
        <w:t>项目概况</w:t>
      </w:r>
    </w:p>
    <w:p>
      <w:pPr>
        <w:widowControl/>
        <w:spacing w:before="75" w:after="75"/>
        <w:ind w:firstLine="480" w:firstLineChars="200"/>
        <w:jc w:val="left"/>
        <w:outlineLvl w:val="1"/>
        <w:rPr>
          <w:rFonts w:ascii="宋体" w:hAnsi="宋体" w:cs="宋体"/>
          <w:kern w:val="0"/>
          <w:sz w:val="24"/>
        </w:rPr>
      </w:pPr>
      <w:r>
        <w:rPr>
          <w:rFonts w:hint="eastAsia" w:ascii="宋体" w:hAnsi="宋体" w:cs="宋体"/>
          <w:kern w:val="0"/>
          <w:sz w:val="24"/>
        </w:rPr>
        <w:t>永春县应急管理局拟在永春县桃城镇下州路69号选址建设县应急指挥中心，通过优化场地功能分区设置，升级信息化硬件设备，打造满足应急指挥要求的硬件环境。本项目建设建筑面积约676平米，根据功能区域划分成重点区域和配套区域和其它区域。重点区域包括应急指挥中心、会商室、联勤值班室、机房设备间、控制室，配套区域包括厨房、餐厅，其它区域包括走廊及公共区域。</w:t>
      </w:r>
    </w:p>
    <w:p>
      <w:pPr>
        <w:widowControl/>
        <w:numPr>
          <w:ilvl w:val="0"/>
          <w:numId w:val="3"/>
        </w:numPr>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基础建设包括：</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1.1场地基础装修装饰：包含有门窗工程、墙面工程、地面工程、吊顶工程、给排水工程、餐厨工程等；</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1.2照明系统：各区域日常照明、应急照明等；</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1.3空调系统：包括指挥中心、联勤值班室、会商室、餐厅等空调；</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1.4新风系统：包括指挥中心的新风设备等。</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1.5办公设施：指挥中心操作席、各区域办公桌椅、办公终端等；</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1.6消防系统：本工程利旧原有永春县检察院大楼原有消防水设施，在指挥中心新增一个消防栓。在指挥中心、联勤办公室、会商室、厨房及值班室内新增设置火灾自动报警系统。</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在一层的值班室内配置一台火灾报警主机可实现集中控制，可向探测器供电，并具有用来接收火灾信号并启动火灾报警装置、能通过火警发送装置启动火灾报警信号，火灾报警控制器自动的监视系统的正确运行和对特定故障给出声、光报警等功能。</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在指挥中心、联勤办公室、会商室、厨房及值班室内的不同区域，根据消防验收规范设置感烟探测器、手动火灾报警按钮、消火栓按钮、消防警铃、声光报警器等消防配套设备。当火情发送时通过火灾探测器变成电信号，传输到火灾报警控制器，并同时显示出火灾发生的部位、时间等，使人们能够及时发现火灾，并及时采取有效措施。</w:t>
      </w:r>
    </w:p>
    <w:p>
      <w:pPr>
        <w:widowControl/>
        <w:spacing w:before="100" w:beforeAutospacing="1" w:after="100" w:afterAutospacing="1"/>
        <w:ind w:firstLine="480" w:firstLineChars="200"/>
        <w:jc w:val="left"/>
      </w:pPr>
      <w:r>
        <w:rPr>
          <w:rFonts w:hint="eastAsia" w:ascii="宋体" w:hAnsi="宋体" w:cs="宋体"/>
          <w:kern w:val="0"/>
          <w:sz w:val="24"/>
        </w:rPr>
        <w:t>1.7门禁系统：在指挥中心、联勤值班室、机房设备间建设门禁系统，实现人员出入权限控制及出入信息记录，方便内部员工出入，杜绝外来人员随意进出，为用户提供一个高效和安全的工作环境。</w:t>
      </w:r>
    </w:p>
    <w:p>
      <w:pPr>
        <w:widowControl/>
        <w:numPr>
          <w:ilvl w:val="0"/>
          <w:numId w:val="3"/>
        </w:numPr>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信息化建设</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信息化建设主要包括大屏幕显示系统、分布式坐席管理系统、音响扩声系统、无纸化会议系统、视频会议系统、机房建设、视频监控系统、中央控制系统、网络安全系统、综合布线。</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2.1大屏显示系统：应急指挥中心采用2*4的80寸激光高清显示单元；联勤值班室采用2*3的70寸激光高清显示单元；会商室采用86寸智慧触摸屏。满足各场所功能需求。</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2.2分布式座席管理系统：建设一套分布式管理系统，包括可视化多媒体信号输入（输出）节点、可视化业务 KVM 协作管理输入（输出）节点、分布式调度和图像综合管理平台等，满足指挥中心、会商室、联勤值班室分布式管理、协同操作、图像切换/推送上墙等功能。</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 xml:space="preserve">2.3音响扩声系统：建设音频扩声系统，涵盖指挥中心、会商室、联勤值班室，包括拾音设备、扬声器、功放、音频处理器等，满足拾音与扩声需求，使场地具备良好的声学效果。 </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2.4无纸化会议系统：会商室会议桌建设一套无纸化会议系统，包括无纸化升降一体机、无纸化服务管理平台等，满足签到、发言、表决等会议讨论需求，实现会议进程的无纸化。</w:t>
      </w:r>
    </w:p>
    <w:p>
      <w:pPr>
        <w:widowControl/>
        <w:spacing w:before="100" w:beforeAutospacing="1" w:after="100" w:afterAutospacing="1"/>
        <w:ind w:firstLine="480" w:firstLineChars="200"/>
        <w:jc w:val="left"/>
        <w:rPr>
          <w:rFonts w:ascii="宋体" w:hAnsi="宋体" w:cs="宋体"/>
          <w:kern w:val="0"/>
          <w:sz w:val="24"/>
          <w:highlight w:val="yellow"/>
        </w:rPr>
      </w:pPr>
      <w:r>
        <w:rPr>
          <w:rFonts w:hint="eastAsia" w:ascii="宋体" w:hAnsi="宋体" w:cs="宋体"/>
          <w:kern w:val="0"/>
          <w:sz w:val="24"/>
        </w:rPr>
        <w:t>2.5视频会议系统：建设一套视频会议系统，包括会议管理平台、MCU、会议摄像头、数字阵列麦克风等，满足与横向部门，与市、乡镇的视频会商功能。</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 xml:space="preserve">2.6机房建设：合理规划设备安装位置，应预留足够的空间作安装、维护及操作之用。房间装修必需使用阻燃材料，耐火等级符合国家相关标准规定。机房门大小应满足系统设备安装时运输需要。机房墙壁及天花板应进行表面处理，防止尘埃脱落，机房应安装防静电活动地板。 </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机房安装防雷和接地线，设置防雷保安器，防止感应雷，要求防雷接地和机房接地分别安装，且相隔一定的距离；机房设置七氟丙烷气体灭火消防设施，能够自动检测火情、自动报警，并自动灭火；机房及相关的工作房间和辅助房应采用具有耐火等级的建筑材料；机房应采取区域隔离防火措施，将重要设备与其他设备隔离开。配备空调系统，以保持房间恒湿、恒温的工作环境；在机房供电线路上配置稳压器和过电压防护设备；提供短期的备用电力供应，满足关键设备在断电情况下的正常运行要求。设置冗余或并行的电力电缆线路为计算机系统供电；建立备用供电系统。铺设线缆要求电源线和通信线缆隔离铺设，避免互相干扰。对关键设备和磁介质实施电磁屏蔽。</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2.7视频监控系统：在指挥中心、会商室、联勤值班室、控制室建设视频监控系统，监控人员进出情况，可以对前端图像进行实时监视。通过在监控终端电脑登录NVR的监控管理系统，查看实时的监控视频，也可以调看历史录像。</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 xml:space="preserve">2.8综合布线系统：所有区域的网络布线、电话布线等，包括理线架、桥架、面板等，满足场地的网络、语音使用需求。 </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2.9中央控制系统：在指挥中心建设中央控制系统，通过中央控制对大屏幕显示、会讨、音响等系统设备进行控制。所有操作包括设备电源开关及信号输入输出全部集成在一个可移动的控制触摸屏上。</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2.10网络安全系统：在一层数据机房内建设三套网络安全系统，对政务内网、政务外网、互联网来自外部网络黑客的入侵攻击以及网络病毒传播进行抵御，还要防范内部用户的越权访问对系统重要数据的完整性、机密性以及系统服务可用性造成破坏的风险。</w:t>
      </w:r>
    </w:p>
    <w:p>
      <w:pPr>
        <w:widowControl/>
        <w:numPr>
          <w:ilvl w:val="0"/>
          <w:numId w:val="3"/>
        </w:numPr>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应急指挥信息网</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根据泉州市应急管理局统筹部署及相关任务书要求落实本级应急指挥信息网节点建设工作，接入指挥中心、值班室等办公终端，通过新购、升级、替换等方式完善本级视频终端等配套设施，通过级联方式逐级接入省级应急指挥视频调度系统，并结合永春县实际拓展应急指挥信息网相关业务应用。</w:t>
      </w:r>
    </w:p>
    <w:p>
      <w:pPr>
        <w:pStyle w:val="2"/>
        <w:ind w:left="0" w:leftChars="0"/>
        <w:sectPr>
          <w:pgSz w:w="11906" w:h="16838"/>
          <w:pgMar w:top="1440" w:right="1800" w:bottom="1440" w:left="1800" w:header="851" w:footer="992" w:gutter="0"/>
          <w:cols w:space="425" w:num="1"/>
          <w:docGrid w:type="lines" w:linePitch="312" w:charSpace="0"/>
        </w:sectPr>
      </w:pPr>
    </w:p>
    <w:p>
      <w:pPr>
        <w:pStyle w:val="13"/>
        <w:jc w:val="both"/>
        <w:outlineLvl w:val="2"/>
        <w:rPr>
          <w:rFonts w:hint="default"/>
        </w:rPr>
      </w:pPr>
      <w:r>
        <w:rPr>
          <w:b/>
          <w:sz w:val="28"/>
          <w:lang w:eastAsia="zh-CN"/>
        </w:rPr>
        <w:t>二、技术和服务</w:t>
      </w:r>
      <w:r>
        <w:rPr>
          <w:b/>
          <w:sz w:val="28"/>
        </w:rPr>
        <w:t>要求（以“★”标示的内容为不允许负偏离的实质性要求）</w:t>
      </w:r>
    </w:p>
    <w:p>
      <w:pPr>
        <w:pStyle w:val="3"/>
        <w:ind w:left="0"/>
        <w:jc w:val="both"/>
        <w:rPr>
          <w:rFonts w:ascii="宋体" w:hAnsi="宋体" w:eastAsia="宋体" w:cs="宋体"/>
          <w:kern w:val="0"/>
          <w:sz w:val="24"/>
          <w:szCs w:val="24"/>
        </w:rPr>
      </w:pPr>
      <w:r>
        <w:rPr>
          <w:rFonts w:hint="eastAsia" w:ascii="宋体" w:hAnsi="宋体" w:eastAsia="宋体" w:cs="宋体"/>
          <w:kern w:val="0"/>
          <w:sz w:val="24"/>
          <w:szCs w:val="24"/>
        </w:rPr>
        <w:t>（一）采购清单</w:t>
      </w:r>
    </w:p>
    <w:p>
      <w:pPr>
        <w:pStyle w:val="3"/>
        <w:jc w:val="both"/>
        <w:rPr>
          <w:rFonts w:ascii="宋体" w:hAnsi="宋体" w:eastAsia="宋体" w:cs="宋体"/>
          <w:kern w:val="0"/>
          <w:sz w:val="24"/>
          <w:szCs w:val="24"/>
        </w:rPr>
      </w:pPr>
      <w:bookmarkStart w:id="0" w:name="_Toc57658261"/>
      <w:bookmarkStart w:id="1" w:name="_Toc127463061"/>
      <w:r>
        <w:rPr>
          <w:rFonts w:hint="eastAsia" w:ascii="宋体" w:hAnsi="宋体" w:eastAsia="宋体" w:cs="宋体"/>
          <w:kern w:val="0"/>
          <w:sz w:val="24"/>
          <w:szCs w:val="24"/>
        </w:rPr>
        <w:t>1、场地基础</w:t>
      </w:r>
      <w:bookmarkEnd w:id="0"/>
      <w:r>
        <w:rPr>
          <w:rFonts w:hint="eastAsia" w:ascii="宋体" w:hAnsi="宋体" w:eastAsia="宋体" w:cs="宋体"/>
          <w:kern w:val="0"/>
          <w:sz w:val="24"/>
          <w:szCs w:val="24"/>
        </w:rPr>
        <w:t>装修装饰</w:t>
      </w:r>
      <w:bookmarkEnd w:id="1"/>
    </w:p>
    <w:tbl>
      <w:tblPr>
        <w:tblStyle w:val="11"/>
        <w:tblW w:w="0" w:type="auto"/>
        <w:tblInd w:w="91" w:type="dxa"/>
        <w:tblLayout w:type="autofit"/>
        <w:tblCellMar>
          <w:top w:w="0" w:type="dxa"/>
          <w:left w:w="108" w:type="dxa"/>
          <w:bottom w:w="0" w:type="dxa"/>
          <w:right w:w="108" w:type="dxa"/>
        </w:tblCellMar>
      </w:tblPr>
      <w:tblGrid>
        <w:gridCol w:w="698"/>
        <w:gridCol w:w="1224"/>
        <w:gridCol w:w="5542"/>
        <w:gridCol w:w="698"/>
        <w:gridCol w:w="1056"/>
        <w:gridCol w:w="545"/>
      </w:tblGrid>
      <w:tr>
        <w:tblPrEx>
          <w:tblCellMar>
            <w:top w:w="0" w:type="dxa"/>
            <w:left w:w="108" w:type="dxa"/>
            <w:bottom w:w="0" w:type="dxa"/>
            <w:right w:w="108" w:type="dxa"/>
          </w:tblCellMar>
        </w:tblPrEx>
        <w:trPr>
          <w:trHeight w:val="482" w:hRule="atLeast"/>
          <w:tblHeader/>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序号</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名称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特征描述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单位</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数量</w:t>
            </w:r>
          </w:p>
        </w:tc>
        <w:tc>
          <w:tcPr>
            <w:tcW w:w="0" w:type="auto"/>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备注</w:t>
            </w: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指挥大厅</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防静电活动地板</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(1)架空 200 高，木基层板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(2)地板用防静电地板</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(3)防静电地板：600*600*35mm</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m2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220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墙面工程</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(1)轻钢龙骨基础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(2)防火岩棉</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(3)木饰面装饰板（科技木）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(4)不锈钢装饰线条</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m2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440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天棚吊顶</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(1)轻钢龙骨基础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(2)阻燃板基层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(3)硅酸钙板吊顶（含叠级造型）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(4)无机防火涂料</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m2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220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金属踢脚线</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(1)200mm 高不锈钢踢脚线</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m</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91.1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门窗工程</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单开门，双开门，推拉门</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项</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电气部分</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筒灯、灯带，强电线缆，开关，插座</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220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会商室</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地面工程</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(1)800*800 全抛釉面砖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(2)20mm 水泥砂浆找平层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47.46</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墙面工程</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(1)轻钢龙骨基础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(2)防火岩棉</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(3)木饰面装饰板（科技木）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(4)不锈钢装饰线条</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118.65</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天棚吊顶 </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(1)轻钢龙骨基础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(2)阻燃板基层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(3)硅酸钙板吊顶（含叠级造型）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(4)无机防火涂料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47.46</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金属踢脚线 </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(1)200mm 高不锈钢踢脚线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26</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木质门 </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(1)实木门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扇</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电气部分</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筒灯、灯带，强电线缆，开关，插座</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47.46</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联勤值班室</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地面工程</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(1)800*800 全抛釉面砖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(2)20mm 水泥砂浆找平层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49.21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墙面工程</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(1)轻钢龙骨基础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(2)防火岩棉</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(3)木饰面装饰板（科技木）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(4)不锈钢装饰线条</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123.025</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天棚吊顶 </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(1)轻钢龙骨基础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(2)阻燃板基层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(3)硅酸钙板吊顶（含叠级造型）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(4)无机防火涂料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49.21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金属踢脚线 </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(1)200mm 高不锈钢踢脚线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28.2</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木质门 </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(1)实木门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扇</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电气部分</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筒灯、灯带，强电线缆，开关，插座</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49.21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检修通道及控制室</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地面工程</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(1)800*800 全抛釉面砖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(2)20mm 水泥砂浆找平层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20.6</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墙面工程</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(1)轻钢龙骨基础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(2)防火岩棉</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(3)木饰面装饰板（科技木）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(4)不锈钢装饰线条</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51.5</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天棚吊顶 </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(1)轻钢龙骨基础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(2)阻燃板基层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(3)硅酸钙板吊顶（含叠级造型）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(4)无机防火涂料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20.6</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金属踢脚线 </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(1)200mm 高不锈钢踢脚线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28.2</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木质门 </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(1)实木门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扇</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电气部分</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筒灯、灯带，强电线缆，开关，插座</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20.6</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走廊、卫生间及配电房</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地面工程</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(1)800*800 全抛釉面砖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(2)20mm 水泥砂浆找平层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130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墙面工程</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1、60mm、120mm红机砖，2、大田石凤32.5R水泥、红机砖，淡水沙；3、新旧墙交接用钢筋条或钢钉处理防发裂；</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325</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天棚吊顶 </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(1)轻钢龙骨基础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(2)阻燃板基层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(3)硅酸钙板吊顶（含叠级造型）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(4)无机防火涂料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130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金属踢脚线 </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(1)200mm 高不锈钢踢脚线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28.2</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门窗工程</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(1)实木门 ，窗户</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项</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电气部分</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筒灯、灯带，强电线缆，开关，插座</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130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7</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卫具部分</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蹲盆、卫生间洗手盆、小便斗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项</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8</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水卫及给排水工程</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卫生间及给排水工程</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项</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餐厨部分（厨房、公共餐厅、包间）</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拆除工程</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拆除原有超市墙面，地面，吊顶及垃圾清运</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728</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　</w:t>
            </w:r>
          </w:p>
        </w:tc>
      </w:tr>
      <w:tr>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地面工程</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(1)800*800 全抛釉面砖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(2)20mm 水泥砂浆找平层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200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墙面工程</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(1)轻钢龙骨基础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(2)防火岩棉</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(3)木饰面装饰板（科技木）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(4)不锈钢装饰线条</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450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天棚吊顶 </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  轻钢龙骨基础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(2)铝扣板吊顶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200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门窗工程</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(1)实木门 ，窗户</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项</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电气部分</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筒灯、灯带，强电线缆，开关，插座</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m2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200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7</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水卫及给排水工程</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卫生间及给排水工程</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项</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bl>
    <w:p/>
    <w:p>
      <w:pPr>
        <w:pStyle w:val="4"/>
        <w:spacing w:before="120" w:after="120" w:line="360" w:lineRule="auto"/>
        <w:rPr>
          <w:rFonts w:ascii="宋体" w:hAnsi="宋体" w:eastAsia="宋体" w:cs="宋体"/>
          <w:kern w:val="0"/>
          <w:sz w:val="24"/>
          <w:szCs w:val="24"/>
        </w:rPr>
      </w:pPr>
      <w:bookmarkStart w:id="2" w:name="_Toc127463062"/>
      <w:r>
        <w:rPr>
          <w:rFonts w:hint="eastAsia" w:ascii="宋体" w:hAnsi="宋体" w:eastAsia="宋体" w:cs="宋体"/>
          <w:kern w:val="0"/>
          <w:sz w:val="24"/>
          <w:szCs w:val="24"/>
        </w:rPr>
        <w:t>2、场地基础配套设施</w:t>
      </w:r>
      <w:bookmarkEnd w:id="2"/>
    </w:p>
    <w:tbl>
      <w:tblPr>
        <w:tblStyle w:val="11"/>
        <w:tblW w:w="0" w:type="auto"/>
        <w:tblInd w:w="91" w:type="dxa"/>
        <w:tblLayout w:type="autofit"/>
        <w:tblCellMar>
          <w:top w:w="0" w:type="dxa"/>
          <w:left w:w="108" w:type="dxa"/>
          <w:bottom w:w="0" w:type="dxa"/>
          <w:right w:w="108" w:type="dxa"/>
        </w:tblCellMar>
      </w:tblPr>
      <w:tblGrid>
        <w:gridCol w:w="698"/>
        <w:gridCol w:w="2518"/>
        <w:gridCol w:w="4010"/>
        <w:gridCol w:w="698"/>
        <w:gridCol w:w="698"/>
        <w:gridCol w:w="1141"/>
      </w:tblGrid>
      <w:tr>
        <w:tblPrEx>
          <w:tblCellMar>
            <w:top w:w="0" w:type="dxa"/>
            <w:left w:w="108" w:type="dxa"/>
            <w:bottom w:w="0" w:type="dxa"/>
            <w:right w:w="108" w:type="dxa"/>
          </w:tblCellMar>
        </w:tblPrEx>
        <w:trPr>
          <w:trHeight w:val="482" w:hRule="atLeast"/>
          <w:tblHeader/>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序号</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名称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特征描述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单位</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数量</w:t>
            </w:r>
          </w:p>
        </w:tc>
        <w:tc>
          <w:tcPr>
            <w:tcW w:w="0" w:type="auto"/>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备注</w:t>
            </w: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一、空调系统</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一拖四吸顶空调10匹</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10匹空调</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3匹立式空调</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3匹空调</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2匹壁挂空调</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2匹空调</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二、新风系统</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新风主机</w:t>
            </w:r>
          </w:p>
        </w:tc>
        <w:tc>
          <w:tcPr>
            <w:tcW w:w="0" w:type="auto"/>
            <w:tcBorders>
              <w:top w:val="nil"/>
              <w:left w:val="nil"/>
              <w:bottom w:val="single" w:color="auto" w:sz="4" w:space="0"/>
              <w:right w:val="single" w:color="auto" w:sz="4" w:space="0"/>
            </w:tcBorders>
            <w:shd w:val="clear" w:color="auto" w:fill="auto"/>
            <w:vAlign w:val="bottom"/>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900×1040×460mm，G=3500m³/h，Pj=240Pa，N=750W；三级过滤</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bottom"/>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控制器</w:t>
            </w:r>
          </w:p>
        </w:tc>
        <w:tc>
          <w:tcPr>
            <w:tcW w:w="0" w:type="auto"/>
            <w:tcBorders>
              <w:top w:val="nil"/>
              <w:left w:val="nil"/>
              <w:bottom w:val="single" w:color="auto" w:sz="4" w:space="0"/>
              <w:right w:val="single" w:color="auto" w:sz="4" w:space="0"/>
            </w:tcBorders>
            <w:shd w:val="clear" w:color="auto" w:fill="auto"/>
            <w:vAlign w:val="bottom"/>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RS485接口和协议，实时监测CO2浓度、PM2.5浓度</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bottom"/>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风管</w:t>
            </w:r>
          </w:p>
        </w:tc>
        <w:tc>
          <w:tcPr>
            <w:tcW w:w="0" w:type="auto"/>
            <w:tcBorders>
              <w:top w:val="nil"/>
              <w:left w:val="nil"/>
              <w:bottom w:val="single" w:color="auto" w:sz="4" w:space="0"/>
              <w:right w:val="single" w:color="auto" w:sz="4" w:space="0"/>
            </w:tcBorders>
            <w:shd w:val="clear" w:color="auto" w:fill="auto"/>
            <w:vAlign w:val="bottom"/>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材质：镀锌钢板，尺寸：500×350mm，保温：20橡塑板，小于10米</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平方</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150</w:t>
            </w:r>
          </w:p>
        </w:tc>
        <w:tc>
          <w:tcPr>
            <w:tcW w:w="0" w:type="auto"/>
            <w:tcBorders>
              <w:top w:val="nil"/>
              <w:left w:val="nil"/>
              <w:bottom w:val="single" w:color="auto" w:sz="4" w:space="0"/>
              <w:right w:val="single" w:color="auto" w:sz="4" w:space="0"/>
            </w:tcBorders>
            <w:shd w:val="clear" w:color="auto" w:fill="auto"/>
            <w:vAlign w:val="bottom"/>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辅材</w:t>
            </w:r>
          </w:p>
        </w:tc>
        <w:tc>
          <w:tcPr>
            <w:tcW w:w="0" w:type="auto"/>
            <w:tcBorders>
              <w:top w:val="nil"/>
              <w:left w:val="nil"/>
              <w:bottom w:val="single" w:color="auto" w:sz="4" w:space="0"/>
              <w:right w:val="single" w:color="auto" w:sz="4" w:space="0"/>
            </w:tcBorders>
            <w:shd w:val="clear" w:color="auto" w:fill="auto"/>
            <w:vAlign w:val="bottom"/>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过滤器、防火阀、百叶、调节阀等</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项</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bottom"/>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三、办公设施</w:t>
            </w: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家具</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大会议桌</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12人位，宽度 2.4 米，长度6米</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张</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大会议桌</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11人位，宽度 1.3 米，长度 3.43米</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张</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3 人位会议桌</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宽度0.6米，长度2.4米</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张</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8</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2人位会议桌</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宽度0.6米，长度1.6米</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张</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16</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办公椅</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定制</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张</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90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办公沙发茶几组合</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定制</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消防系统</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消防报警主机</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1、本控制器为小点数系列产品，有多种容量配置方式可供选择；</w:t>
            </w:r>
            <w:r>
              <w:rPr>
                <w:rFonts w:hint="eastAsia" w:ascii="宋体" w:hAnsi="宋体" w:eastAsia="宋体" w:cs="宋体"/>
                <w:kern w:val="0"/>
                <w:sz w:val="24"/>
              </w:rPr>
              <w:br w:type="textWrapping"/>
            </w:r>
            <w:r>
              <w:rPr>
                <w:rFonts w:hint="eastAsia" w:ascii="宋体" w:hAnsi="宋体" w:eastAsia="宋体" w:cs="宋体"/>
                <w:kern w:val="0"/>
                <w:sz w:val="24"/>
              </w:rPr>
              <w:t>2、不论对联动类还是报警类总线设备，控制器都设有不掉电备份，保证系统调试完成时注册到的设备全部受到监控；</w:t>
            </w:r>
            <w:r>
              <w:rPr>
                <w:rFonts w:hint="eastAsia" w:ascii="宋体" w:hAnsi="宋体" w:eastAsia="宋体" w:cs="宋体"/>
                <w:kern w:val="0"/>
                <w:sz w:val="24"/>
              </w:rPr>
              <w:br w:type="textWrapping"/>
            </w:r>
            <w:r>
              <w:rPr>
                <w:rFonts w:hint="eastAsia" w:ascii="宋体" w:hAnsi="宋体" w:eastAsia="宋体" w:cs="宋体"/>
                <w:kern w:val="0"/>
                <w:sz w:val="24"/>
              </w:rPr>
              <w:t>3、本控制器开机自检时，不仅自动检测本机设备（指示灯、功能键等），同时还逐条检测外部设备的注册信息及联动公式信息，如信息发生变化系统将做相应的处理；</w:t>
            </w:r>
            <w:r>
              <w:rPr>
                <w:rFonts w:hint="eastAsia" w:ascii="宋体" w:hAnsi="宋体" w:eastAsia="宋体" w:cs="宋体"/>
                <w:kern w:val="0"/>
                <w:sz w:val="24"/>
              </w:rPr>
              <w:br w:type="textWrapping"/>
            </w:r>
            <w:r>
              <w:rPr>
                <w:rFonts w:hint="eastAsia" w:ascii="宋体" w:hAnsi="宋体" w:eastAsia="宋体" w:cs="宋体"/>
                <w:kern w:val="0"/>
                <w:sz w:val="24"/>
              </w:rPr>
              <w:t>4、本控制器最多可配置6路多线制控制卡，控制卡不需与切换模块配接使用就可实现对输出线断路、短路检测功能，这些检测功能可最大限度的保障控制模块本身及其与重要设备之间连接的可靠性；</w:t>
            </w:r>
            <w:r>
              <w:rPr>
                <w:rFonts w:hint="eastAsia" w:ascii="宋体" w:hAnsi="宋体" w:eastAsia="宋体" w:cs="宋体"/>
                <w:kern w:val="0"/>
                <w:sz w:val="24"/>
              </w:rPr>
              <w:br w:type="textWrapping"/>
            </w:r>
            <w:r>
              <w:rPr>
                <w:rFonts w:hint="eastAsia" w:ascii="宋体" w:hAnsi="宋体" w:eastAsia="宋体" w:cs="宋体"/>
                <w:kern w:val="0"/>
                <w:sz w:val="24"/>
              </w:rPr>
              <w:t>5、本控制器对具有特殊重要意义的气体喷洒设备提供了独立的控制密码和联动编程空间，并有相应的声光指示，使气体喷洒设备受到了更严格的监控；</w:t>
            </w:r>
            <w:r>
              <w:rPr>
                <w:rFonts w:hint="eastAsia" w:ascii="宋体" w:hAnsi="宋体" w:eastAsia="宋体" w:cs="宋体"/>
                <w:kern w:val="0"/>
                <w:sz w:val="24"/>
              </w:rPr>
              <w:br w:type="textWrapping"/>
            </w:r>
            <w:r>
              <w:rPr>
                <w:rFonts w:hint="eastAsia" w:ascii="宋体" w:hAnsi="宋体" w:eastAsia="宋体" w:cs="宋体"/>
                <w:kern w:val="0"/>
                <w:sz w:val="24"/>
              </w:rPr>
              <w:t>6、本控制器可外接火灾报警显示盘及彩色CRT显示系统并标配手动盘及多线制控制卡等设备，满足各种系统配置要求；</w:t>
            </w:r>
            <w:r>
              <w:rPr>
                <w:rFonts w:hint="eastAsia" w:ascii="宋体" w:hAnsi="宋体" w:eastAsia="宋体" w:cs="宋体"/>
                <w:kern w:val="0"/>
                <w:sz w:val="24"/>
              </w:rPr>
              <w:br w:type="textWrapping"/>
            </w:r>
            <w:r>
              <w:rPr>
                <w:rFonts w:hint="eastAsia" w:ascii="宋体" w:hAnsi="宋体" w:eastAsia="宋体" w:cs="宋体"/>
                <w:kern w:val="0"/>
                <w:sz w:val="24"/>
              </w:rPr>
              <w:t>7、本控制器具有强大的面板控制及操作功能，各种功能设置全面、简单、方便；</w:t>
            </w:r>
            <w:r>
              <w:rPr>
                <w:rFonts w:hint="eastAsia" w:ascii="宋体" w:hAnsi="宋体" w:eastAsia="宋体" w:cs="宋体"/>
                <w:kern w:val="0"/>
                <w:sz w:val="24"/>
              </w:rPr>
              <w:br w:type="textWrapping"/>
            </w:r>
            <w:r>
              <w:rPr>
                <w:rFonts w:hint="eastAsia" w:ascii="宋体" w:hAnsi="宋体" w:eastAsia="宋体" w:cs="宋体"/>
                <w:kern w:val="0"/>
                <w:sz w:val="24"/>
              </w:rPr>
              <w:t>8、液晶屏规格：240×160点，可同屏显示150个汉字信息；</w:t>
            </w:r>
            <w:r>
              <w:rPr>
                <w:rFonts w:hint="eastAsia" w:ascii="宋体" w:hAnsi="宋体" w:eastAsia="宋体" w:cs="宋体"/>
                <w:kern w:val="0"/>
                <w:sz w:val="24"/>
              </w:rPr>
              <w:br w:type="textWrapping"/>
            </w:r>
            <w:r>
              <w:rPr>
                <w:rFonts w:hint="eastAsia" w:ascii="宋体" w:hAnsi="宋体" w:eastAsia="宋体" w:cs="宋体"/>
                <w:kern w:val="0"/>
                <w:sz w:val="24"/>
              </w:rPr>
              <w:t>9、控制器容量：a.最大容量为242个地址编码点</w:t>
            </w:r>
            <w:r>
              <w:rPr>
                <w:rFonts w:hint="eastAsia" w:ascii="宋体" w:hAnsi="宋体" w:eastAsia="宋体" w:cs="宋体"/>
                <w:kern w:val="0"/>
                <w:sz w:val="24"/>
              </w:rPr>
              <w:br w:type="textWrapping"/>
            </w:r>
            <w:r>
              <w:rPr>
                <w:rFonts w:hint="eastAsia" w:ascii="宋体" w:hAnsi="宋体" w:eastAsia="宋体" w:cs="宋体"/>
                <w:kern w:val="0"/>
                <w:sz w:val="24"/>
              </w:rPr>
              <w:t>b.可外接64台火灾显示盘；联网时最多可接32台其它类型控制器</w:t>
            </w:r>
            <w:r>
              <w:rPr>
                <w:rFonts w:hint="eastAsia" w:ascii="宋体" w:hAnsi="宋体" w:eastAsia="宋体" w:cs="宋体"/>
                <w:kern w:val="0"/>
                <w:sz w:val="24"/>
              </w:rPr>
              <w:br w:type="textWrapping"/>
            </w:r>
            <w:r>
              <w:rPr>
                <w:rFonts w:hint="eastAsia" w:ascii="宋体" w:hAnsi="宋体" w:eastAsia="宋体" w:cs="宋体"/>
                <w:kern w:val="0"/>
                <w:sz w:val="24"/>
              </w:rPr>
              <w:t>c.30个直接手动操作总线制控制点</w:t>
            </w:r>
            <w:r>
              <w:rPr>
                <w:rFonts w:hint="eastAsia" w:ascii="宋体" w:hAnsi="宋体" w:eastAsia="宋体" w:cs="宋体"/>
                <w:kern w:val="0"/>
                <w:sz w:val="24"/>
              </w:rPr>
              <w:br w:type="textWrapping"/>
            </w:r>
            <w:r>
              <w:rPr>
                <w:rFonts w:hint="eastAsia" w:ascii="宋体" w:hAnsi="宋体" w:eastAsia="宋体" w:cs="宋体"/>
                <w:kern w:val="0"/>
                <w:sz w:val="24"/>
              </w:rPr>
              <w:t>d.配置6个多线制控制点；</w:t>
            </w:r>
            <w:r>
              <w:rPr>
                <w:rFonts w:hint="eastAsia" w:ascii="宋体" w:hAnsi="宋体" w:eastAsia="宋体" w:cs="宋体"/>
                <w:kern w:val="0"/>
                <w:sz w:val="24"/>
              </w:rPr>
              <w:br w:type="textWrapping"/>
            </w:r>
            <w:r>
              <w:rPr>
                <w:rFonts w:hint="eastAsia" w:ascii="宋体" w:hAnsi="宋体" w:eastAsia="宋体" w:cs="宋体"/>
                <w:kern w:val="0"/>
                <w:sz w:val="24"/>
              </w:rPr>
              <w:t>10、线制：a.控制器与探测器间采用无极性信号二总线连接</w:t>
            </w:r>
            <w:r>
              <w:rPr>
                <w:rFonts w:hint="eastAsia" w:ascii="宋体" w:hAnsi="宋体" w:eastAsia="宋体" w:cs="宋体"/>
                <w:kern w:val="0"/>
                <w:sz w:val="24"/>
              </w:rPr>
              <w:br w:type="textWrapping"/>
            </w:r>
            <w:r>
              <w:rPr>
                <w:rFonts w:hint="eastAsia" w:ascii="宋体" w:hAnsi="宋体" w:eastAsia="宋体" w:cs="宋体"/>
                <w:kern w:val="0"/>
                <w:sz w:val="24"/>
              </w:rPr>
              <w:t>b.多线制控制点与现场设备采用四线直接连接，其中两线用于控制启停设备，另两线用于接收现场设备的反馈信号，输出控制和反馈输入均具有检线功能</w:t>
            </w:r>
            <w:r>
              <w:rPr>
                <w:rFonts w:hint="eastAsia" w:ascii="宋体" w:hAnsi="宋体" w:eastAsia="宋体" w:cs="宋体"/>
                <w:kern w:val="0"/>
                <w:sz w:val="24"/>
              </w:rPr>
              <w:br w:type="textWrapping"/>
            </w:r>
            <w:r>
              <w:rPr>
                <w:rFonts w:hint="eastAsia" w:ascii="宋体" w:hAnsi="宋体" w:eastAsia="宋体" w:cs="宋体"/>
                <w:kern w:val="0"/>
                <w:sz w:val="24"/>
              </w:rPr>
              <w:t>c.控制器与各类编码模块采用四总线连接（无极性信号二总线、无极性DC24V电源线）</w:t>
            </w:r>
            <w:r>
              <w:rPr>
                <w:rFonts w:hint="eastAsia" w:ascii="宋体" w:hAnsi="宋体" w:eastAsia="宋体" w:cs="宋体"/>
                <w:kern w:val="0"/>
                <w:sz w:val="24"/>
              </w:rPr>
              <w:br w:type="textWrapping"/>
            </w:r>
            <w:r>
              <w:rPr>
                <w:rFonts w:hint="eastAsia" w:ascii="宋体" w:hAnsi="宋体" w:eastAsia="宋体" w:cs="宋体"/>
                <w:kern w:val="0"/>
                <w:sz w:val="24"/>
              </w:rPr>
              <w:t>d.控制器与火灾显示盘采用四总线连接（有极性通讯二总线、无极性DC24V电源线）</w:t>
            </w:r>
            <w:r>
              <w:rPr>
                <w:rFonts w:hint="eastAsia" w:ascii="宋体" w:hAnsi="宋体" w:eastAsia="宋体" w:cs="宋体"/>
                <w:kern w:val="0"/>
                <w:sz w:val="24"/>
              </w:rPr>
              <w:br w:type="textWrapping"/>
            </w:r>
            <w:r>
              <w:rPr>
                <w:rFonts w:hint="eastAsia" w:ascii="宋体" w:hAnsi="宋体" w:eastAsia="宋体" w:cs="宋体"/>
                <w:kern w:val="0"/>
                <w:sz w:val="24"/>
              </w:rPr>
              <w:t>e.与彩色CRT系统通过RS-232标准接口连接，最大连接线长度不宜超过15m；</w:t>
            </w:r>
            <w:r>
              <w:rPr>
                <w:rFonts w:hint="eastAsia" w:ascii="宋体" w:hAnsi="宋体" w:eastAsia="宋体" w:cs="宋体"/>
                <w:kern w:val="0"/>
                <w:sz w:val="24"/>
              </w:rPr>
              <w:br w:type="textWrapping"/>
            </w:r>
            <w:r>
              <w:rPr>
                <w:rFonts w:hint="eastAsia" w:ascii="宋体" w:hAnsi="宋体" w:eastAsia="宋体" w:cs="宋体"/>
                <w:kern w:val="0"/>
                <w:sz w:val="24"/>
              </w:rPr>
              <w:t>11、电源：主电为交流220V电压变化范围＋10%～－15%，内装DC12V10Ah密封铅电池作备电</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烟感探测器</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技术参数</w:t>
            </w:r>
            <w:r>
              <w:rPr>
                <w:rFonts w:hint="eastAsia" w:ascii="宋体" w:hAnsi="宋体" w:eastAsia="宋体" w:cs="宋体"/>
                <w:kern w:val="0"/>
                <w:sz w:val="24"/>
              </w:rPr>
              <w:br w:type="textWrapping"/>
            </w:r>
            <w:r>
              <w:rPr>
                <w:rFonts w:hint="eastAsia" w:ascii="宋体" w:hAnsi="宋体" w:eastAsia="宋体" w:cs="宋体"/>
                <w:kern w:val="0"/>
                <w:sz w:val="24"/>
              </w:rPr>
              <w:t>工作电压  DC24V(DC19V-DC28V)</w:t>
            </w:r>
            <w:r>
              <w:rPr>
                <w:rFonts w:hint="eastAsia" w:ascii="宋体" w:hAnsi="宋体" w:eastAsia="宋体" w:cs="宋体"/>
                <w:kern w:val="0"/>
                <w:sz w:val="24"/>
              </w:rPr>
              <w:br w:type="textWrapping"/>
            </w:r>
            <w:r>
              <w:rPr>
                <w:rFonts w:hint="eastAsia" w:ascii="宋体" w:hAnsi="宋体" w:eastAsia="宋体" w:cs="宋体"/>
                <w:kern w:val="0"/>
                <w:sz w:val="24"/>
              </w:rPr>
              <w:t>工作温度 -10~+60℃</w:t>
            </w:r>
            <w:r>
              <w:rPr>
                <w:rFonts w:hint="eastAsia" w:ascii="宋体" w:hAnsi="宋体" w:eastAsia="宋体" w:cs="宋体"/>
                <w:kern w:val="0"/>
                <w:sz w:val="24"/>
              </w:rPr>
              <w:br w:type="textWrapping"/>
            </w:r>
            <w:r>
              <w:rPr>
                <w:rFonts w:hint="eastAsia" w:ascii="宋体" w:hAnsi="宋体" w:eastAsia="宋体" w:cs="宋体"/>
                <w:kern w:val="0"/>
                <w:sz w:val="24"/>
              </w:rPr>
              <w:t>贮存温度 -30~+75℃</w:t>
            </w:r>
            <w:r>
              <w:rPr>
                <w:rFonts w:hint="eastAsia" w:ascii="宋体" w:hAnsi="宋体" w:eastAsia="宋体" w:cs="宋体"/>
                <w:kern w:val="0"/>
                <w:sz w:val="24"/>
              </w:rPr>
              <w:br w:type="textWrapping"/>
            </w:r>
            <w:r>
              <w:rPr>
                <w:rFonts w:hint="eastAsia" w:ascii="宋体" w:hAnsi="宋体" w:eastAsia="宋体" w:cs="宋体"/>
                <w:kern w:val="0"/>
                <w:sz w:val="24"/>
              </w:rPr>
              <w:t>相对湿度 ≤95%(40±2℃)</w:t>
            </w:r>
            <w:r>
              <w:rPr>
                <w:rFonts w:hint="eastAsia" w:ascii="宋体" w:hAnsi="宋体" w:eastAsia="宋体" w:cs="宋体"/>
                <w:kern w:val="0"/>
                <w:sz w:val="24"/>
              </w:rPr>
              <w:br w:type="textWrapping"/>
            </w:r>
            <w:r>
              <w:rPr>
                <w:rFonts w:hint="eastAsia" w:ascii="宋体" w:hAnsi="宋体" w:eastAsia="宋体" w:cs="宋体"/>
                <w:kern w:val="0"/>
                <w:sz w:val="24"/>
              </w:rPr>
              <w:t>监视电流 ≤0.3mA （24V）</w:t>
            </w:r>
            <w:r>
              <w:rPr>
                <w:rFonts w:hint="eastAsia" w:ascii="宋体" w:hAnsi="宋体" w:eastAsia="宋体" w:cs="宋体"/>
                <w:kern w:val="0"/>
                <w:sz w:val="24"/>
              </w:rPr>
              <w:br w:type="textWrapping"/>
            </w:r>
            <w:r>
              <w:rPr>
                <w:rFonts w:hint="eastAsia" w:ascii="宋体" w:hAnsi="宋体" w:eastAsia="宋体" w:cs="宋体"/>
                <w:kern w:val="0"/>
                <w:sz w:val="24"/>
              </w:rPr>
              <w:t>报警电流 ≤1mA （24V）</w:t>
            </w:r>
            <w:r>
              <w:rPr>
                <w:rFonts w:hint="eastAsia" w:ascii="宋体" w:hAnsi="宋体" w:eastAsia="宋体" w:cs="宋体"/>
                <w:kern w:val="0"/>
                <w:sz w:val="24"/>
              </w:rPr>
              <w:br w:type="textWrapping"/>
            </w:r>
            <w:r>
              <w:rPr>
                <w:rFonts w:hint="eastAsia" w:ascii="宋体" w:hAnsi="宋体" w:eastAsia="宋体" w:cs="宋体"/>
                <w:kern w:val="0"/>
                <w:sz w:val="24"/>
              </w:rPr>
              <w:t>确 认 灯 监视状态瞬时微亮，报警常亮（红色）</w:t>
            </w:r>
            <w:r>
              <w:rPr>
                <w:rFonts w:hint="eastAsia" w:ascii="宋体" w:hAnsi="宋体" w:eastAsia="宋体" w:cs="宋体"/>
                <w:kern w:val="0"/>
                <w:sz w:val="24"/>
              </w:rPr>
              <w:br w:type="textWrapping"/>
            </w:r>
            <w:r>
              <w:rPr>
                <w:rFonts w:hint="eastAsia" w:ascii="宋体" w:hAnsi="宋体" w:eastAsia="宋体" w:cs="宋体"/>
                <w:kern w:val="0"/>
                <w:sz w:val="24"/>
              </w:rPr>
              <w:t>外形尺寸 Φ100mm × 46mm（含底座）</w:t>
            </w:r>
            <w:r>
              <w:rPr>
                <w:rFonts w:hint="eastAsia" w:ascii="宋体" w:hAnsi="宋体" w:eastAsia="宋体" w:cs="宋体"/>
                <w:kern w:val="0"/>
                <w:sz w:val="24"/>
              </w:rPr>
              <w:br w:type="textWrapping"/>
            </w:r>
            <w:r>
              <w:rPr>
                <w:rFonts w:hint="eastAsia" w:ascii="宋体" w:hAnsi="宋体" w:eastAsia="宋体" w:cs="宋体"/>
                <w:kern w:val="0"/>
                <w:sz w:val="24"/>
              </w:rPr>
              <w:t>编码方式 使用专用电子编码器</w:t>
            </w:r>
            <w:r>
              <w:rPr>
                <w:rFonts w:hint="eastAsia" w:ascii="宋体" w:hAnsi="宋体" w:eastAsia="宋体" w:cs="宋体"/>
                <w:kern w:val="0"/>
                <w:sz w:val="24"/>
              </w:rPr>
              <w:br w:type="textWrapping"/>
            </w:r>
            <w:r>
              <w:rPr>
                <w:rFonts w:hint="eastAsia" w:ascii="宋体" w:hAnsi="宋体" w:eastAsia="宋体" w:cs="宋体"/>
                <w:kern w:val="0"/>
                <w:sz w:val="24"/>
              </w:rPr>
              <w:t>编码范围 1-200</w:t>
            </w:r>
            <w:r>
              <w:rPr>
                <w:rFonts w:hint="eastAsia" w:ascii="宋体" w:hAnsi="宋体" w:eastAsia="宋体" w:cs="宋体"/>
                <w:kern w:val="0"/>
                <w:sz w:val="24"/>
              </w:rPr>
              <w:br w:type="textWrapping"/>
            </w:r>
            <w:r>
              <w:rPr>
                <w:rFonts w:hint="eastAsia" w:ascii="宋体" w:hAnsi="宋体" w:eastAsia="宋体" w:cs="宋体"/>
                <w:kern w:val="0"/>
                <w:sz w:val="24"/>
              </w:rPr>
              <w:t>保护面积 60-80m2</w:t>
            </w:r>
            <w:r>
              <w:rPr>
                <w:rFonts w:hint="eastAsia" w:ascii="宋体" w:hAnsi="宋体" w:eastAsia="宋体" w:cs="宋体"/>
                <w:kern w:val="0"/>
                <w:sz w:val="24"/>
              </w:rPr>
              <w:br w:type="textWrapping"/>
            </w:r>
            <w:r>
              <w:rPr>
                <w:rFonts w:hint="eastAsia" w:ascii="宋体" w:hAnsi="宋体" w:eastAsia="宋体" w:cs="宋体"/>
                <w:kern w:val="0"/>
                <w:sz w:val="24"/>
              </w:rPr>
              <w:t>线 制 二总线，无极性</w:t>
            </w:r>
            <w:r>
              <w:rPr>
                <w:rFonts w:hint="eastAsia" w:ascii="宋体" w:hAnsi="宋体" w:eastAsia="宋体" w:cs="宋体"/>
                <w:kern w:val="0"/>
                <w:sz w:val="24"/>
              </w:rPr>
              <w:br w:type="textWrapping"/>
            </w:r>
            <w:r>
              <w:rPr>
                <w:rFonts w:hint="eastAsia" w:ascii="宋体" w:hAnsi="宋体" w:eastAsia="宋体" w:cs="宋体"/>
                <w:kern w:val="0"/>
                <w:sz w:val="24"/>
              </w:rPr>
              <w:t>最远传输距离 1500m</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30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火灾声光报警器报警设备</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工作电压  DC19-28V(无极性) 动作电流 ≤50mA(24V)</w:t>
            </w:r>
            <w:r>
              <w:rPr>
                <w:rFonts w:hint="eastAsia" w:ascii="宋体" w:hAnsi="宋体" w:eastAsia="宋体" w:cs="宋体"/>
                <w:kern w:val="0"/>
                <w:sz w:val="24"/>
              </w:rPr>
              <w:br w:type="textWrapping"/>
            </w:r>
            <w:r>
              <w:rPr>
                <w:rFonts w:hint="eastAsia" w:ascii="宋体" w:hAnsi="宋体" w:eastAsia="宋体" w:cs="宋体"/>
                <w:kern w:val="0"/>
                <w:sz w:val="24"/>
              </w:rPr>
              <w:t>工作温度 -10℃－50℃ 报警音量 ＞90dB</w:t>
            </w:r>
            <w:r>
              <w:rPr>
                <w:rFonts w:hint="eastAsia" w:ascii="宋体" w:hAnsi="宋体" w:eastAsia="宋体" w:cs="宋体"/>
                <w:kern w:val="0"/>
                <w:sz w:val="24"/>
              </w:rPr>
              <w:br w:type="textWrapping"/>
            </w:r>
            <w:r>
              <w:rPr>
                <w:rFonts w:hint="eastAsia" w:ascii="宋体" w:hAnsi="宋体" w:eastAsia="宋体" w:cs="宋体"/>
                <w:kern w:val="0"/>
                <w:sz w:val="24"/>
              </w:rPr>
              <w:t>储存温度 -20℃－50℃ 警灯频闪周期 ≥1.5秒</w:t>
            </w:r>
            <w:r>
              <w:rPr>
                <w:rFonts w:hint="eastAsia" w:ascii="宋体" w:hAnsi="宋体" w:eastAsia="宋体" w:cs="宋体"/>
                <w:kern w:val="0"/>
                <w:sz w:val="24"/>
              </w:rPr>
              <w:br w:type="textWrapping"/>
            </w:r>
            <w:r>
              <w:rPr>
                <w:rFonts w:hint="eastAsia" w:ascii="宋体" w:hAnsi="宋体" w:eastAsia="宋体" w:cs="宋体"/>
                <w:kern w:val="0"/>
                <w:sz w:val="24"/>
              </w:rPr>
              <w:t>相对湿度 ≤95%(40±2℃) 外形尺寸 98mm×68mm</w:t>
            </w:r>
            <w:r>
              <w:rPr>
                <w:rFonts w:hint="eastAsia" w:ascii="宋体" w:hAnsi="宋体" w:eastAsia="宋体" w:cs="宋体"/>
                <w:kern w:val="0"/>
                <w:sz w:val="24"/>
              </w:rPr>
              <w:br w:type="textWrapping"/>
            </w:r>
            <w:r>
              <w:rPr>
                <w:rFonts w:hint="eastAsia" w:ascii="宋体" w:hAnsi="宋体" w:eastAsia="宋体" w:cs="宋体"/>
                <w:kern w:val="0"/>
                <w:sz w:val="24"/>
              </w:rPr>
              <w:t>监视电流 ≤1.5mA(24V) 线制 四总线制</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30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紧急报警按钮</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工作电压 信号总线电压：24V</w:t>
            </w:r>
            <w:r>
              <w:rPr>
                <w:rFonts w:hint="eastAsia" w:ascii="宋体" w:hAnsi="宋体" w:eastAsia="宋体" w:cs="宋体"/>
                <w:kern w:val="0"/>
                <w:sz w:val="24"/>
              </w:rPr>
              <w:br w:type="textWrapping"/>
            </w:r>
            <w:r>
              <w:rPr>
                <w:rFonts w:hint="eastAsia" w:ascii="宋体" w:hAnsi="宋体" w:eastAsia="宋体" w:cs="宋体"/>
                <w:kern w:val="0"/>
                <w:sz w:val="24"/>
              </w:rPr>
              <w:t>允许范围：16V~28V</w:t>
            </w:r>
            <w:r>
              <w:rPr>
                <w:rFonts w:hint="eastAsia" w:ascii="宋体" w:hAnsi="宋体" w:eastAsia="宋体" w:cs="宋体"/>
                <w:kern w:val="0"/>
                <w:sz w:val="24"/>
              </w:rPr>
              <w:br w:type="textWrapping"/>
            </w:r>
            <w:r>
              <w:rPr>
                <w:rFonts w:hint="eastAsia" w:ascii="宋体" w:hAnsi="宋体" w:eastAsia="宋体" w:cs="宋体"/>
                <w:kern w:val="0"/>
                <w:sz w:val="24"/>
              </w:rPr>
              <w:t>工作电流 监视电流≤0.6mA</w:t>
            </w:r>
            <w:r>
              <w:rPr>
                <w:rFonts w:hint="eastAsia" w:ascii="宋体" w:hAnsi="宋体" w:eastAsia="宋体" w:cs="宋体"/>
                <w:kern w:val="0"/>
                <w:sz w:val="24"/>
              </w:rPr>
              <w:br w:type="textWrapping"/>
            </w:r>
            <w:r>
              <w:rPr>
                <w:rFonts w:hint="eastAsia" w:ascii="宋体" w:hAnsi="宋体" w:eastAsia="宋体" w:cs="宋体"/>
                <w:kern w:val="0"/>
                <w:sz w:val="24"/>
              </w:rPr>
              <w:t>报警电流≤1.8mA 输出容量 额定DC30V/100mA无源输出触点信号，接触电阻≤0.1</w:t>
            </w:r>
            <w:r>
              <w:rPr>
                <w:rFonts w:hint="eastAsia" w:ascii="宋体" w:hAnsi="宋体" w:eastAsia="宋体" w:cs="宋体"/>
                <w:kern w:val="0"/>
                <w:sz w:val="24"/>
              </w:rPr>
              <w:br w:type="textWrapping"/>
            </w:r>
            <w:r>
              <w:rPr>
                <w:rFonts w:hint="eastAsia" w:ascii="宋体" w:hAnsi="宋体" w:eastAsia="宋体" w:cs="宋体"/>
                <w:kern w:val="0"/>
                <w:sz w:val="24"/>
              </w:rPr>
              <w:t>启动零件型式 可重复使用型 启动方式 人工按下按片</w:t>
            </w:r>
            <w:r>
              <w:rPr>
                <w:rFonts w:hint="eastAsia" w:ascii="宋体" w:hAnsi="宋体" w:eastAsia="宋体" w:cs="宋体"/>
                <w:kern w:val="0"/>
                <w:sz w:val="24"/>
              </w:rPr>
              <w:br w:type="textWrapping"/>
            </w:r>
            <w:r>
              <w:rPr>
                <w:rFonts w:hint="eastAsia" w:ascii="宋体" w:hAnsi="宋体" w:eastAsia="宋体" w:cs="宋体"/>
                <w:kern w:val="0"/>
                <w:sz w:val="24"/>
              </w:rPr>
              <w:t>复位方式 用专用钥匙复位 指示灯 红色，正常巡检时约3s闪亮一次，报警后点亮</w:t>
            </w:r>
            <w:r>
              <w:rPr>
                <w:rFonts w:hint="eastAsia" w:ascii="宋体" w:hAnsi="宋体" w:eastAsia="宋体" w:cs="宋体"/>
                <w:kern w:val="0"/>
                <w:sz w:val="24"/>
              </w:rPr>
              <w:br w:type="textWrapping"/>
            </w:r>
            <w:r>
              <w:rPr>
                <w:rFonts w:hint="eastAsia" w:ascii="宋体" w:hAnsi="宋体" w:eastAsia="宋体" w:cs="宋体"/>
                <w:kern w:val="0"/>
                <w:sz w:val="24"/>
              </w:rPr>
              <w:t>编码方式 电子编码，编码范围在1～242之间任意设定 线制 与控制器无极性二线制连接</w:t>
            </w:r>
            <w:r>
              <w:rPr>
                <w:rFonts w:hint="eastAsia" w:ascii="宋体" w:hAnsi="宋体" w:eastAsia="宋体" w:cs="宋体"/>
                <w:kern w:val="0"/>
                <w:sz w:val="24"/>
              </w:rPr>
              <w:br w:type="textWrapping"/>
            </w:r>
            <w:r>
              <w:rPr>
                <w:rFonts w:hint="eastAsia" w:ascii="宋体" w:hAnsi="宋体" w:eastAsia="宋体" w:cs="宋体"/>
                <w:kern w:val="0"/>
                <w:sz w:val="24"/>
              </w:rPr>
              <w:t>使用环境 类型：户内</w:t>
            </w:r>
            <w:r>
              <w:rPr>
                <w:rFonts w:hint="eastAsia" w:ascii="宋体" w:hAnsi="宋体" w:eastAsia="宋体" w:cs="宋体"/>
                <w:kern w:val="0"/>
                <w:sz w:val="24"/>
              </w:rPr>
              <w:br w:type="textWrapping"/>
            </w:r>
            <w:r>
              <w:rPr>
                <w:rFonts w:hint="eastAsia" w:ascii="宋体" w:hAnsi="宋体" w:eastAsia="宋体" w:cs="宋体"/>
                <w:kern w:val="0"/>
                <w:sz w:val="24"/>
              </w:rPr>
              <w:t>温度：-10℃～+55℃ 相对湿度 ≤95%，不凝露</w:t>
            </w:r>
            <w:r>
              <w:rPr>
                <w:rFonts w:hint="eastAsia" w:ascii="宋体" w:hAnsi="宋体" w:eastAsia="宋体" w:cs="宋体"/>
                <w:kern w:val="0"/>
                <w:sz w:val="24"/>
              </w:rPr>
              <w:br w:type="textWrapping"/>
            </w:r>
            <w:r>
              <w:rPr>
                <w:rFonts w:hint="eastAsia" w:ascii="宋体" w:hAnsi="宋体" w:eastAsia="宋体" w:cs="宋体"/>
                <w:kern w:val="0"/>
                <w:sz w:val="24"/>
              </w:rPr>
              <w:t>外形尺寸 95.4mm×98.4mm×45.5mm (带底壳) 外壳防护等级 IP40</w:t>
            </w:r>
            <w:r>
              <w:rPr>
                <w:rFonts w:hint="eastAsia" w:ascii="宋体" w:hAnsi="宋体" w:eastAsia="宋体" w:cs="宋体"/>
                <w:kern w:val="0"/>
                <w:sz w:val="24"/>
              </w:rPr>
              <w:br w:type="textWrapping"/>
            </w:r>
            <w:r>
              <w:rPr>
                <w:rFonts w:hint="eastAsia" w:ascii="宋体" w:hAnsi="宋体" w:eastAsia="宋体" w:cs="宋体"/>
                <w:kern w:val="0"/>
                <w:sz w:val="24"/>
              </w:rPr>
              <w:t>壳体材料和颜色 ABS，红色 安装孔距 60mm</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辅材</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管线</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项</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门禁系统</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人脸识别一体机</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设备采用液晶屏，屏幕比例9:16，分辨率720*1280；</w:t>
            </w:r>
          </w:p>
          <w:p>
            <w:pPr>
              <w:widowControl/>
              <w:jc w:val="left"/>
              <w:rPr>
                <w:rFonts w:ascii="宋体" w:hAnsi="宋体" w:eastAsia="宋体" w:cs="宋体"/>
                <w:kern w:val="0"/>
                <w:sz w:val="24"/>
              </w:rPr>
            </w:pPr>
            <w:r>
              <w:rPr>
                <w:rFonts w:hint="eastAsia" w:ascii="宋体" w:hAnsi="宋体" w:eastAsia="宋体" w:cs="宋体"/>
                <w:kern w:val="0"/>
                <w:sz w:val="24"/>
              </w:rPr>
              <w:t>设备采用星光级图像传感器，支持在暗光或无光环境下人脸识别；</w:t>
            </w:r>
          </w:p>
          <w:p>
            <w:pPr>
              <w:widowControl/>
              <w:jc w:val="left"/>
              <w:rPr>
                <w:rFonts w:ascii="宋体" w:hAnsi="宋体" w:eastAsia="宋体" w:cs="宋体"/>
                <w:kern w:val="0"/>
                <w:sz w:val="24"/>
              </w:rPr>
            </w:pPr>
            <w:r>
              <w:rPr>
                <w:rFonts w:hint="eastAsia" w:ascii="宋体" w:hAnsi="宋体" w:eastAsia="宋体" w:cs="宋体"/>
                <w:kern w:val="0"/>
                <w:sz w:val="24"/>
              </w:rPr>
              <w:t>物理接口 LAN*1、RS485*1、Wiegand * 1(支持接收/发送设置)、USB2.0*1、电锁*1、门磁*1</w:t>
            </w:r>
          </w:p>
          <w:p>
            <w:pPr>
              <w:widowControl/>
              <w:jc w:val="left"/>
              <w:rPr>
                <w:rFonts w:ascii="宋体" w:hAnsi="宋体" w:eastAsia="宋体" w:cs="宋体"/>
                <w:kern w:val="0"/>
                <w:sz w:val="24"/>
              </w:rPr>
            </w:pPr>
            <w:r>
              <w:rPr>
                <w:rFonts w:hint="eastAsia" w:ascii="宋体" w:hAnsi="宋体" w:eastAsia="宋体" w:cs="宋体"/>
                <w:kern w:val="0"/>
                <w:sz w:val="24"/>
              </w:rPr>
              <w:t>报警输入*2、报警输出*1、开门按钮*1个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部署位置为机房设备间、应急指挥大厅、会商室、值班室+联勤办公区。</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门禁机箱和电源</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1、尺寸： 273mm*228mm*65mm</w:t>
            </w:r>
            <w:r>
              <w:rPr>
                <w:rFonts w:hint="eastAsia" w:ascii="宋体" w:hAnsi="宋体" w:eastAsia="宋体" w:cs="宋体"/>
                <w:kern w:val="0"/>
                <w:sz w:val="24"/>
              </w:rPr>
              <w:br w:type="textWrapping"/>
            </w:r>
            <w:r>
              <w:rPr>
                <w:rFonts w:hint="eastAsia" w:ascii="宋体" w:hAnsi="宋体" w:eastAsia="宋体" w:cs="宋体"/>
                <w:kern w:val="0"/>
                <w:sz w:val="24"/>
              </w:rPr>
              <w:t>2、功率：30－60W</w:t>
            </w:r>
            <w:r>
              <w:rPr>
                <w:rFonts w:hint="eastAsia" w:ascii="宋体" w:hAnsi="宋体" w:eastAsia="宋体" w:cs="宋体"/>
                <w:kern w:val="0"/>
                <w:sz w:val="24"/>
              </w:rPr>
              <w:br w:type="textWrapping"/>
            </w:r>
            <w:r>
              <w:rPr>
                <w:rFonts w:hint="eastAsia" w:ascii="宋体" w:hAnsi="宋体" w:eastAsia="宋体" w:cs="宋体"/>
                <w:kern w:val="0"/>
                <w:sz w:val="24"/>
              </w:rPr>
              <w:t>3、输出电压：12VDC （11－14V可微调）</w:t>
            </w:r>
            <w:r>
              <w:rPr>
                <w:rFonts w:hint="eastAsia" w:ascii="宋体" w:hAnsi="宋体" w:eastAsia="宋体" w:cs="宋体"/>
                <w:kern w:val="0"/>
                <w:sz w:val="24"/>
              </w:rPr>
              <w:br w:type="textWrapping"/>
            </w:r>
            <w:r>
              <w:rPr>
                <w:rFonts w:hint="eastAsia" w:ascii="宋体" w:hAnsi="宋体" w:eastAsia="宋体" w:cs="宋体"/>
                <w:kern w:val="0"/>
                <w:sz w:val="24"/>
              </w:rPr>
              <w:t>4、额定电流：5A</w:t>
            </w:r>
            <w:r>
              <w:rPr>
                <w:rFonts w:hint="eastAsia" w:ascii="宋体" w:hAnsi="宋体" w:eastAsia="宋体" w:cs="宋体"/>
                <w:kern w:val="0"/>
                <w:sz w:val="24"/>
              </w:rPr>
              <w:br w:type="textWrapping"/>
            </w:r>
            <w:r>
              <w:rPr>
                <w:rFonts w:hint="eastAsia" w:ascii="宋体" w:hAnsi="宋体" w:eastAsia="宋体" w:cs="宋体"/>
                <w:kern w:val="0"/>
                <w:sz w:val="24"/>
              </w:rPr>
              <w:t>5、可外接蓄电池规格：7AH</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磁力锁（单门）</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1.工作电压：DC12V±10%</w:t>
            </w:r>
            <w:r>
              <w:rPr>
                <w:rFonts w:hint="eastAsia" w:ascii="宋体" w:hAnsi="宋体" w:eastAsia="宋体" w:cs="宋体"/>
                <w:kern w:val="0"/>
                <w:sz w:val="24"/>
              </w:rPr>
              <w:br w:type="textWrapping"/>
            </w:r>
            <w:r>
              <w:rPr>
                <w:rFonts w:hint="eastAsia" w:ascii="宋体" w:hAnsi="宋体" w:eastAsia="宋体" w:cs="宋体"/>
                <w:kern w:val="0"/>
                <w:sz w:val="24"/>
              </w:rPr>
              <w:t>2.工作电流：700mA</w:t>
            </w:r>
            <w:r>
              <w:rPr>
                <w:rFonts w:hint="eastAsia" w:ascii="宋体" w:hAnsi="宋体" w:eastAsia="宋体" w:cs="宋体"/>
                <w:kern w:val="0"/>
                <w:sz w:val="24"/>
              </w:rPr>
              <w:br w:type="textWrapping"/>
            </w:r>
            <w:r>
              <w:rPr>
                <w:rFonts w:hint="eastAsia" w:ascii="宋体" w:hAnsi="宋体" w:eastAsia="宋体" w:cs="宋体"/>
                <w:kern w:val="0"/>
                <w:sz w:val="24"/>
              </w:rPr>
              <w:t>3.工作环境湿度：&lt;90%</w:t>
            </w:r>
            <w:r>
              <w:rPr>
                <w:rFonts w:hint="eastAsia" w:ascii="宋体" w:hAnsi="宋体" w:eastAsia="宋体" w:cs="宋体"/>
                <w:kern w:val="0"/>
                <w:sz w:val="24"/>
              </w:rPr>
              <w:br w:type="textWrapping"/>
            </w:r>
            <w:r>
              <w:rPr>
                <w:rFonts w:hint="eastAsia" w:ascii="宋体" w:hAnsi="宋体" w:eastAsia="宋体" w:cs="宋体"/>
                <w:kern w:val="0"/>
                <w:sz w:val="24"/>
              </w:rPr>
              <w:t>4.工作环境温度：-20℃~50℃</w:t>
            </w:r>
            <w:r>
              <w:rPr>
                <w:rFonts w:hint="eastAsia" w:ascii="宋体" w:hAnsi="宋体" w:eastAsia="宋体" w:cs="宋体"/>
                <w:kern w:val="0"/>
                <w:sz w:val="24"/>
              </w:rPr>
              <w:br w:type="textWrapping"/>
            </w:r>
            <w:r>
              <w:rPr>
                <w:rFonts w:hint="eastAsia" w:ascii="宋体" w:hAnsi="宋体" w:eastAsia="宋体" w:cs="宋体"/>
                <w:kern w:val="0"/>
                <w:sz w:val="24"/>
              </w:rPr>
              <w:t>5.吸    力：560KG</w:t>
            </w:r>
            <w:r>
              <w:rPr>
                <w:rFonts w:hint="eastAsia" w:ascii="宋体" w:hAnsi="宋体" w:eastAsia="宋体" w:cs="宋体"/>
                <w:kern w:val="0"/>
                <w:sz w:val="24"/>
              </w:rPr>
              <w:br w:type="textWrapping"/>
            </w:r>
            <w:r>
              <w:rPr>
                <w:rFonts w:hint="eastAsia" w:ascii="宋体" w:hAnsi="宋体" w:eastAsia="宋体" w:cs="宋体"/>
                <w:kern w:val="0"/>
                <w:sz w:val="24"/>
              </w:rPr>
              <w:t>6.开锁方式：通电上锁，断电开锁</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把</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磁力锁（双门）</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1.工作电压：DC12V±10%</w:t>
            </w:r>
            <w:r>
              <w:rPr>
                <w:rFonts w:hint="eastAsia" w:ascii="宋体" w:hAnsi="宋体" w:eastAsia="宋体" w:cs="宋体"/>
                <w:kern w:val="0"/>
                <w:sz w:val="24"/>
              </w:rPr>
              <w:br w:type="textWrapping"/>
            </w:r>
            <w:r>
              <w:rPr>
                <w:rFonts w:hint="eastAsia" w:ascii="宋体" w:hAnsi="宋体" w:eastAsia="宋体" w:cs="宋体"/>
                <w:kern w:val="0"/>
                <w:sz w:val="24"/>
              </w:rPr>
              <w:t>2.工作电流：700mA</w:t>
            </w:r>
            <w:r>
              <w:rPr>
                <w:rFonts w:hint="eastAsia" w:ascii="宋体" w:hAnsi="宋体" w:eastAsia="宋体" w:cs="宋体"/>
                <w:kern w:val="0"/>
                <w:sz w:val="24"/>
              </w:rPr>
              <w:br w:type="textWrapping"/>
            </w:r>
            <w:r>
              <w:rPr>
                <w:rFonts w:hint="eastAsia" w:ascii="宋体" w:hAnsi="宋体" w:eastAsia="宋体" w:cs="宋体"/>
                <w:kern w:val="0"/>
                <w:sz w:val="24"/>
              </w:rPr>
              <w:t>3.工作环境湿度：&lt;90%</w:t>
            </w:r>
            <w:r>
              <w:rPr>
                <w:rFonts w:hint="eastAsia" w:ascii="宋体" w:hAnsi="宋体" w:eastAsia="宋体" w:cs="宋体"/>
                <w:kern w:val="0"/>
                <w:sz w:val="24"/>
              </w:rPr>
              <w:br w:type="textWrapping"/>
            </w:r>
            <w:r>
              <w:rPr>
                <w:rFonts w:hint="eastAsia" w:ascii="宋体" w:hAnsi="宋体" w:eastAsia="宋体" w:cs="宋体"/>
                <w:kern w:val="0"/>
                <w:sz w:val="24"/>
              </w:rPr>
              <w:t>4.工作环境温度：-20℃~50℃</w:t>
            </w:r>
            <w:r>
              <w:rPr>
                <w:rFonts w:hint="eastAsia" w:ascii="宋体" w:hAnsi="宋体" w:eastAsia="宋体" w:cs="宋体"/>
                <w:kern w:val="0"/>
                <w:sz w:val="24"/>
              </w:rPr>
              <w:br w:type="textWrapping"/>
            </w:r>
            <w:r>
              <w:rPr>
                <w:rFonts w:hint="eastAsia" w:ascii="宋体" w:hAnsi="宋体" w:eastAsia="宋体" w:cs="宋体"/>
                <w:kern w:val="0"/>
                <w:sz w:val="24"/>
              </w:rPr>
              <w:t>5.吸    力：560KG</w:t>
            </w:r>
            <w:r>
              <w:rPr>
                <w:rFonts w:hint="eastAsia" w:ascii="宋体" w:hAnsi="宋体" w:eastAsia="宋体" w:cs="宋体"/>
                <w:kern w:val="0"/>
                <w:sz w:val="24"/>
              </w:rPr>
              <w:br w:type="textWrapping"/>
            </w:r>
            <w:r>
              <w:rPr>
                <w:rFonts w:hint="eastAsia" w:ascii="宋体" w:hAnsi="宋体" w:eastAsia="宋体" w:cs="宋体"/>
                <w:kern w:val="0"/>
                <w:sz w:val="24"/>
              </w:rPr>
              <w:t>6.开锁方式：通电上锁，断电开锁</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把</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出门按钮</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1.PC防火阻燃材料</w:t>
            </w:r>
            <w:r>
              <w:rPr>
                <w:rFonts w:hint="eastAsia" w:ascii="宋体" w:hAnsi="宋体" w:eastAsia="宋体" w:cs="宋体"/>
                <w:kern w:val="0"/>
                <w:sz w:val="24"/>
              </w:rPr>
              <w:br w:type="textWrapping"/>
            </w:r>
            <w:r>
              <w:rPr>
                <w:rFonts w:hint="eastAsia" w:ascii="宋体" w:hAnsi="宋体" w:eastAsia="宋体" w:cs="宋体"/>
                <w:kern w:val="0"/>
                <w:sz w:val="24"/>
              </w:rPr>
              <w:t>2.规格：86*86*20mm</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人脸采集器</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1.通讯方式：USB 即插即用</w:t>
            </w:r>
            <w:r>
              <w:rPr>
                <w:rFonts w:hint="eastAsia" w:ascii="宋体" w:hAnsi="宋体" w:eastAsia="宋体" w:cs="宋体"/>
                <w:kern w:val="0"/>
                <w:sz w:val="24"/>
              </w:rPr>
              <w:br w:type="textWrapping"/>
            </w:r>
            <w:r>
              <w:rPr>
                <w:rFonts w:hint="eastAsia" w:ascii="宋体" w:hAnsi="宋体" w:eastAsia="宋体" w:cs="宋体"/>
                <w:kern w:val="0"/>
                <w:sz w:val="24"/>
              </w:rPr>
              <w:t>2.供电：USB直接供电 ( 5VDC &lt;100毫安)</w:t>
            </w:r>
            <w:r>
              <w:rPr>
                <w:rFonts w:hint="eastAsia" w:ascii="宋体" w:hAnsi="宋体" w:eastAsia="宋体" w:cs="宋体"/>
                <w:kern w:val="0"/>
                <w:sz w:val="24"/>
              </w:rPr>
              <w:br w:type="textWrapping"/>
            </w:r>
            <w:r>
              <w:rPr>
                <w:rFonts w:hint="eastAsia" w:ascii="宋体" w:hAnsi="宋体" w:eastAsia="宋体" w:cs="宋体"/>
                <w:kern w:val="0"/>
                <w:sz w:val="24"/>
              </w:rPr>
              <w:t>3.输出格式：计算机标准键盘格式 wiegand26标准8位卡号</w:t>
            </w:r>
            <w:r>
              <w:rPr>
                <w:rFonts w:hint="eastAsia" w:ascii="宋体" w:hAnsi="宋体" w:eastAsia="宋体" w:cs="宋体"/>
                <w:kern w:val="0"/>
                <w:sz w:val="24"/>
              </w:rPr>
              <w:br w:type="textWrapping"/>
            </w:r>
            <w:r>
              <w:rPr>
                <w:rFonts w:hint="eastAsia" w:ascii="宋体" w:hAnsi="宋体" w:eastAsia="宋体" w:cs="宋体"/>
                <w:kern w:val="0"/>
                <w:sz w:val="24"/>
              </w:rPr>
              <w:t>4.输入格式：EM ID卡,Mifare one卡 (同时兼容)</w:t>
            </w:r>
            <w:r>
              <w:rPr>
                <w:rFonts w:hint="eastAsia" w:ascii="宋体" w:hAnsi="宋体" w:eastAsia="宋体" w:cs="宋体"/>
                <w:kern w:val="0"/>
                <w:sz w:val="24"/>
              </w:rPr>
              <w:br w:type="textWrapping"/>
            </w:r>
            <w:r>
              <w:rPr>
                <w:rFonts w:hint="eastAsia" w:ascii="宋体" w:hAnsi="宋体" w:eastAsia="宋体" w:cs="宋体"/>
                <w:kern w:val="0"/>
                <w:sz w:val="24"/>
              </w:rPr>
              <w:t>5.读卡距离：1-6厘米 (该参数为实际距离,感应的距离和卡片的类型相关)</w:t>
            </w:r>
            <w:r>
              <w:rPr>
                <w:rFonts w:hint="eastAsia" w:ascii="宋体" w:hAnsi="宋体" w:eastAsia="宋体" w:cs="宋体"/>
                <w:kern w:val="0"/>
                <w:sz w:val="24"/>
              </w:rPr>
              <w:br w:type="textWrapping"/>
            </w:r>
            <w:r>
              <w:rPr>
                <w:rFonts w:hint="eastAsia" w:ascii="宋体" w:hAnsi="宋体" w:eastAsia="宋体" w:cs="宋体"/>
                <w:kern w:val="0"/>
                <w:sz w:val="24"/>
              </w:rPr>
              <w:t>6.外观尺寸：106mm * 82mm * 25mm</w:t>
            </w:r>
            <w:r>
              <w:rPr>
                <w:rFonts w:hint="eastAsia" w:ascii="宋体" w:hAnsi="宋体" w:eastAsia="宋体" w:cs="宋体"/>
                <w:kern w:val="0"/>
                <w:sz w:val="24"/>
              </w:rPr>
              <w:br w:type="textWrapping"/>
            </w:r>
            <w:r>
              <w:rPr>
                <w:rFonts w:hint="eastAsia" w:ascii="宋体" w:hAnsi="宋体" w:eastAsia="宋体" w:cs="宋体"/>
                <w:kern w:val="0"/>
                <w:sz w:val="24"/>
              </w:rPr>
              <w:t>7.工作温度：-40℃至70℃</w:t>
            </w:r>
            <w:r>
              <w:rPr>
                <w:rFonts w:hint="eastAsia" w:ascii="宋体" w:hAnsi="宋体" w:eastAsia="宋体" w:cs="宋体"/>
                <w:kern w:val="0"/>
                <w:sz w:val="24"/>
              </w:rPr>
              <w:br w:type="textWrapping"/>
            </w:r>
            <w:r>
              <w:rPr>
                <w:rFonts w:hint="eastAsia" w:ascii="宋体" w:hAnsi="宋体" w:eastAsia="宋体" w:cs="宋体"/>
                <w:kern w:val="0"/>
                <w:sz w:val="24"/>
              </w:rPr>
              <w:t>8.相对湿度：0-95%</w:t>
            </w:r>
            <w:r>
              <w:rPr>
                <w:rFonts w:hint="eastAsia" w:ascii="宋体" w:hAnsi="宋体" w:eastAsia="宋体" w:cs="宋体"/>
                <w:kern w:val="0"/>
                <w:sz w:val="24"/>
              </w:rPr>
              <w:br w:type="textWrapping"/>
            </w:r>
            <w:r>
              <w:rPr>
                <w:rFonts w:hint="eastAsia" w:ascii="宋体" w:hAnsi="宋体" w:eastAsia="宋体" w:cs="宋体"/>
                <w:kern w:val="0"/>
                <w:sz w:val="24"/>
              </w:rPr>
              <w:t>9.尺寸：106mm * 82mm * 25mm</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7</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门禁管理软件</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门禁管理软件，其软件通过搜索对控制器进行快速的添加，通过刷卡添加持卡的用户，添加权限允许并且上传等一系列功能，欢迎大家下载使用哦。</w:t>
            </w:r>
          </w:p>
          <w:p>
            <w:pPr>
              <w:widowControl/>
              <w:jc w:val="left"/>
              <w:rPr>
                <w:rFonts w:ascii="宋体" w:hAnsi="宋体" w:eastAsia="宋体" w:cs="宋体"/>
                <w:kern w:val="0"/>
                <w:sz w:val="24"/>
              </w:rPr>
            </w:pPr>
            <w:r>
              <w:rPr>
                <w:rFonts w:hint="eastAsia" w:ascii="宋体" w:hAnsi="宋体" w:eastAsia="宋体" w:cs="宋体"/>
                <w:kern w:val="0"/>
                <w:sz w:val="24"/>
              </w:rPr>
              <w:t>功能介绍：</w:t>
            </w:r>
          </w:p>
          <w:p>
            <w:pPr>
              <w:widowControl/>
              <w:jc w:val="left"/>
              <w:rPr>
                <w:rFonts w:ascii="宋体" w:hAnsi="宋体" w:eastAsia="宋体" w:cs="宋体"/>
                <w:kern w:val="0"/>
                <w:sz w:val="24"/>
              </w:rPr>
            </w:pPr>
            <w:r>
              <w:rPr>
                <w:rFonts w:hint="eastAsia" w:ascii="宋体" w:hAnsi="宋体" w:eastAsia="宋体" w:cs="宋体"/>
                <w:kern w:val="0"/>
                <w:sz w:val="24"/>
              </w:rPr>
              <w:t>使用的母卡即可快速的进行其他卡的授权</w:t>
            </w:r>
          </w:p>
          <w:p>
            <w:pPr>
              <w:widowControl/>
              <w:jc w:val="left"/>
              <w:rPr>
                <w:rFonts w:ascii="宋体" w:hAnsi="宋体" w:eastAsia="宋体" w:cs="宋体"/>
                <w:kern w:val="0"/>
                <w:sz w:val="24"/>
              </w:rPr>
            </w:pPr>
            <w:r>
              <w:rPr>
                <w:rFonts w:hint="eastAsia" w:ascii="宋体" w:hAnsi="宋体" w:eastAsia="宋体" w:cs="宋体"/>
                <w:kern w:val="0"/>
                <w:sz w:val="24"/>
              </w:rPr>
              <w:t>而且母卡也能单独的进行使用</w:t>
            </w:r>
          </w:p>
          <w:p>
            <w:pPr>
              <w:widowControl/>
              <w:jc w:val="left"/>
              <w:rPr>
                <w:rFonts w:ascii="宋体" w:hAnsi="宋体" w:eastAsia="宋体" w:cs="宋体"/>
                <w:kern w:val="0"/>
                <w:sz w:val="24"/>
              </w:rPr>
            </w:pPr>
            <w:r>
              <w:rPr>
                <w:rFonts w:hint="eastAsia" w:ascii="宋体" w:hAnsi="宋体" w:eastAsia="宋体" w:cs="宋体"/>
                <w:kern w:val="0"/>
                <w:sz w:val="24"/>
              </w:rPr>
              <w:t>并且开门的方式多样化，包括了密码的开门、刷卡的开门</w:t>
            </w:r>
          </w:p>
          <w:p>
            <w:pPr>
              <w:widowControl/>
              <w:jc w:val="left"/>
              <w:rPr>
                <w:rFonts w:ascii="宋体" w:hAnsi="宋体" w:eastAsia="宋体" w:cs="宋体"/>
                <w:kern w:val="0"/>
                <w:sz w:val="24"/>
              </w:rPr>
            </w:pPr>
            <w:r>
              <w:rPr>
                <w:rFonts w:hint="eastAsia" w:ascii="宋体" w:hAnsi="宋体" w:eastAsia="宋体" w:cs="宋体"/>
                <w:kern w:val="0"/>
                <w:sz w:val="24"/>
              </w:rPr>
              <w:t>支持手动的完成对需要的卡进行添加</w:t>
            </w:r>
          </w:p>
          <w:p>
            <w:pPr>
              <w:widowControl/>
              <w:jc w:val="left"/>
              <w:rPr>
                <w:rFonts w:ascii="宋体" w:hAnsi="宋体" w:eastAsia="宋体" w:cs="宋体"/>
                <w:kern w:val="0"/>
                <w:sz w:val="24"/>
              </w:rPr>
            </w:pPr>
            <w:r>
              <w:rPr>
                <w:rFonts w:hint="eastAsia" w:ascii="宋体" w:hAnsi="宋体" w:eastAsia="宋体" w:cs="宋体"/>
                <w:kern w:val="0"/>
                <w:sz w:val="24"/>
              </w:rPr>
              <w:t>对网络的远程开门功能支持</w:t>
            </w:r>
          </w:p>
          <w:p>
            <w:pPr>
              <w:widowControl/>
              <w:jc w:val="left"/>
              <w:rPr>
                <w:rFonts w:ascii="宋体" w:hAnsi="宋体" w:eastAsia="宋体" w:cs="宋体"/>
                <w:kern w:val="0"/>
                <w:sz w:val="24"/>
              </w:rPr>
            </w:pPr>
            <w:r>
              <w:rPr>
                <w:rFonts w:hint="eastAsia" w:ascii="宋体" w:hAnsi="宋体" w:eastAsia="宋体" w:cs="宋体"/>
                <w:kern w:val="0"/>
                <w:sz w:val="24"/>
              </w:rPr>
              <w:t>开门的延迟包括了时间的调整</w:t>
            </w:r>
          </w:p>
          <w:p>
            <w:pPr>
              <w:widowControl/>
              <w:jc w:val="left"/>
              <w:rPr>
                <w:rFonts w:ascii="宋体" w:hAnsi="宋体" w:eastAsia="宋体" w:cs="宋体"/>
                <w:kern w:val="0"/>
                <w:sz w:val="24"/>
              </w:rPr>
            </w:pPr>
            <w:r>
              <w:rPr>
                <w:rFonts w:hint="eastAsia" w:ascii="宋体" w:hAnsi="宋体" w:eastAsia="宋体" w:cs="宋体"/>
                <w:kern w:val="0"/>
                <w:sz w:val="24"/>
              </w:rPr>
              <w:t>拥有的时钟是相当的不错，自带你需要使用的时钟　</w:t>
            </w:r>
          </w:p>
          <w:p>
            <w:pPr>
              <w:pStyle w:val="2"/>
              <w:ind w:left="0" w:leftChars="0"/>
              <w:rPr>
                <w:rFonts w:ascii="宋体" w:hAnsi="宋体" w:eastAsia="宋体" w:cs="宋体"/>
                <w:kern w:val="0"/>
                <w:sz w:val="24"/>
              </w:rPr>
            </w:pPr>
            <w:r>
              <w:rPr>
                <w:rFonts w:hint="eastAsia" w:ascii="宋体" w:hAnsi="宋体" w:eastAsia="宋体" w:cs="宋体"/>
                <w:kern w:val="0"/>
                <w:sz w:val="24"/>
              </w:rPr>
              <w:t>通过搜索对控制器进行快速的添加</w:t>
            </w:r>
          </w:p>
          <w:p>
            <w:pPr>
              <w:pStyle w:val="2"/>
              <w:ind w:left="0" w:leftChars="0"/>
              <w:rPr>
                <w:rFonts w:ascii="宋体" w:hAnsi="宋体" w:eastAsia="宋体" w:cs="宋体"/>
                <w:kern w:val="0"/>
                <w:sz w:val="24"/>
              </w:rPr>
            </w:pPr>
            <w:r>
              <w:rPr>
                <w:rFonts w:hint="eastAsia" w:ascii="宋体" w:hAnsi="宋体" w:eastAsia="宋体" w:cs="宋体"/>
                <w:kern w:val="0"/>
                <w:sz w:val="24"/>
              </w:rPr>
              <w:t>通过刷卡添加持卡的用户</w:t>
            </w:r>
          </w:p>
          <w:p>
            <w:pPr>
              <w:pStyle w:val="2"/>
              <w:ind w:left="0" w:leftChars="0"/>
              <w:rPr>
                <w:rFonts w:ascii="宋体" w:hAnsi="宋体" w:eastAsia="宋体" w:cs="宋体"/>
                <w:kern w:val="0"/>
                <w:sz w:val="24"/>
              </w:rPr>
            </w:pPr>
            <w:r>
              <w:rPr>
                <w:rFonts w:hint="eastAsia" w:ascii="宋体" w:hAnsi="宋体" w:eastAsia="宋体" w:cs="宋体"/>
                <w:kern w:val="0"/>
                <w:sz w:val="24"/>
              </w:rPr>
              <w:t>添加权限允许并且上传</w:t>
            </w:r>
          </w:p>
          <w:p>
            <w:pPr>
              <w:pStyle w:val="2"/>
              <w:ind w:left="0" w:leftChars="0"/>
              <w:rPr>
                <w:rFonts w:ascii="宋体" w:hAnsi="宋体" w:eastAsia="宋体" w:cs="宋体"/>
                <w:kern w:val="0"/>
                <w:sz w:val="24"/>
              </w:rPr>
            </w:pPr>
            <w:r>
              <w:rPr>
                <w:rFonts w:hint="eastAsia" w:ascii="宋体" w:hAnsi="宋体" w:eastAsia="宋体" w:cs="宋体"/>
                <w:kern w:val="0"/>
                <w:sz w:val="24"/>
              </w:rPr>
              <w:t>设置栏目包括了控制器的相关功能设置</w:t>
            </w:r>
          </w:p>
          <w:p>
            <w:pPr>
              <w:pStyle w:val="2"/>
              <w:ind w:left="0" w:leftChars="0"/>
              <w:rPr>
                <w:rFonts w:ascii="宋体" w:hAnsi="宋体" w:eastAsia="宋体" w:cs="宋体"/>
                <w:kern w:val="0"/>
                <w:sz w:val="24"/>
              </w:rPr>
            </w:pPr>
            <w:r>
              <w:rPr>
                <w:rFonts w:hint="eastAsia" w:ascii="宋体" w:hAnsi="宋体" w:eastAsia="宋体" w:cs="宋体"/>
                <w:kern w:val="0"/>
                <w:sz w:val="24"/>
              </w:rPr>
              <w:t>部门的信息添加修改</w:t>
            </w:r>
          </w:p>
          <w:p>
            <w:pPr>
              <w:pStyle w:val="2"/>
              <w:ind w:left="0" w:leftChars="0"/>
              <w:rPr>
                <w:rFonts w:ascii="宋体" w:hAnsi="宋体" w:eastAsia="宋体" w:cs="宋体"/>
                <w:kern w:val="0"/>
                <w:sz w:val="24"/>
              </w:rPr>
            </w:pPr>
            <w:r>
              <w:rPr>
                <w:rFonts w:hint="eastAsia" w:ascii="宋体" w:hAnsi="宋体" w:eastAsia="宋体" w:cs="宋体"/>
                <w:kern w:val="0"/>
                <w:sz w:val="24"/>
              </w:rPr>
              <w:t>用户的相关权限功能进行选择</w:t>
            </w:r>
          </w:p>
          <w:p>
            <w:pPr>
              <w:pStyle w:val="2"/>
              <w:ind w:left="0" w:leftChars="0"/>
              <w:rPr>
                <w:rFonts w:ascii="宋体" w:hAnsi="宋体" w:eastAsia="宋体" w:cs="宋体"/>
                <w:kern w:val="0"/>
                <w:sz w:val="24"/>
              </w:rPr>
            </w:pPr>
            <w:r>
              <w:rPr>
                <w:rFonts w:hint="eastAsia" w:ascii="宋体" w:hAnsi="宋体" w:eastAsia="宋体" w:cs="宋体"/>
                <w:kern w:val="0"/>
                <w:sz w:val="24"/>
              </w:rPr>
              <w:t>支持对高级的部门进行快速的添加</w:t>
            </w:r>
          </w:p>
          <w:p>
            <w:pPr>
              <w:pStyle w:val="2"/>
              <w:ind w:left="0" w:leftChars="0"/>
              <w:rPr>
                <w:rFonts w:ascii="宋体" w:hAnsi="宋体" w:eastAsia="宋体" w:cs="宋体"/>
                <w:kern w:val="0"/>
                <w:sz w:val="24"/>
              </w:rPr>
            </w:pPr>
            <w:r>
              <w:rPr>
                <w:rFonts w:hint="eastAsia" w:ascii="宋体" w:hAnsi="宋体" w:eastAsia="宋体" w:cs="宋体"/>
                <w:kern w:val="0"/>
                <w:sz w:val="24"/>
              </w:rPr>
              <w:t>支持原始记录进行快速的查询</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8</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系统集成服务</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2"/>
              <w:ind w:left="0" w:leftChars="0"/>
              <w:rPr>
                <w:rFonts w:ascii="宋体" w:hAnsi="宋体" w:eastAsia="宋体" w:cs="宋体"/>
                <w:kern w:val="0"/>
                <w:sz w:val="24"/>
                <w:highlight w:val="none"/>
              </w:rPr>
            </w:pPr>
            <w:r>
              <w:rPr>
                <w:rFonts w:hint="eastAsia" w:ascii="宋体" w:hAnsi="宋体" w:eastAsia="宋体" w:cs="宋体"/>
                <w:kern w:val="0"/>
                <w:sz w:val="24"/>
                <w:highlight w:val="none"/>
              </w:rPr>
              <w:t>系统集成服务</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项</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1</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highlight w:val="none"/>
              </w:rPr>
            </w:pPr>
          </w:p>
        </w:tc>
      </w:tr>
    </w:tbl>
    <w:p/>
    <w:p>
      <w:pPr>
        <w:pStyle w:val="4"/>
        <w:spacing w:before="120" w:after="120" w:line="360" w:lineRule="auto"/>
        <w:rPr>
          <w:rFonts w:ascii="宋体" w:hAnsi="宋体" w:eastAsia="宋体" w:cs="宋体"/>
          <w:kern w:val="0"/>
          <w:sz w:val="24"/>
          <w:szCs w:val="24"/>
        </w:rPr>
      </w:pPr>
      <w:bookmarkStart w:id="3" w:name="_Toc127463063"/>
      <w:r>
        <w:rPr>
          <w:rFonts w:hint="eastAsia" w:ascii="宋体" w:hAnsi="宋体" w:eastAsia="宋体" w:cs="宋体"/>
          <w:kern w:val="0"/>
          <w:sz w:val="24"/>
          <w:szCs w:val="24"/>
        </w:rPr>
        <w:t>3、计算机网络系统</w:t>
      </w:r>
      <w:bookmarkEnd w:id="3"/>
    </w:p>
    <w:tbl>
      <w:tblPr>
        <w:tblStyle w:val="11"/>
        <w:tblW w:w="0" w:type="auto"/>
        <w:tblInd w:w="91" w:type="dxa"/>
        <w:tblLayout w:type="autofit"/>
        <w:tblCellMar>
          <w:top w:w="0" w:type="dxa"/>
          <w:left w:w="108" w:type="dxa"/>
          <w:bottom w:w="0" w:type="dxa"/>
          <w:right w:w="108" w:type="dxa"/>
        </w:tblCellMar>
      </w:tblPr>
      <w:tblGrid>
        <w:gridCol w:w="646"/>
        <w:gridCol w:w="646"/>
        <w:gridCol w:w="6748"/>
        <w:gridCol w:w="646"/>
        <w:gridCol w:w="646"/>
        <w:gridCol w:w="431"/>
      </w:tblGrid>
      <w:tr>
        <w:tblPrEx>
          <w:tblCellMar>
            <w:top w:w="0" w:type="dxa"/>
            <w:left w:w="108" w:type="dxa"/>
            <w:bottom w:w="0" w:type="dxa"/>
            <w:right w:w="108" w:type="dxa"/>
          </w:tblCellMar>
        </w:tblPrEx>
        <w:trPr>
          <w:trHeight w:val="482" w:hRule="atLeast"/>
          <w:tblHeader/>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序号</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名称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特征描述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单位</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数量</w:t>
            </w:r>
          </w:p>
        </w:tc>
        <w:tc>
          <w:tcPr>
            <w:tcW w:w="0" w:type="auto"/>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备注</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管理电脑</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1.I5-11400（6核 12线程 主频2.6 三级缓存12MB）/内存8GB(DDR4)/256G SSD/GT730 2G独显/Windows 11 Home 64位(中文版）/USB键盘/USB鼠标/电源300W/3年维保/≥10个USB接口，其中不少于6个USB3.2接口</w:t>
            </w:r>
          </w:p>
          <w:p>
            <w:pPr>
              <w:widowControl/>
              <w:jc w:val="left"/>
              <w:rPr>
                <w:rFonts w:ascii="宋体" w:hAnsi="宋体" w:eastAsia="宋体" w:cs="宋体"/>
                <w:kern w:val="0"/>
                <w:sz w:val="24"/>
              </w:rPr>
            </w:pPr>
            <w:r>
              <w:rPr>
                <w:rFonts w:hint="eastAsia" w:ascii="宋体" w:hAnsi="宋体" w:eastAsia="宋体" w:cs="宋体"/>
                <w:kern w:val="0"/>
                <w:sz w:val="24"/>
              </w:rPr>
              <w:t>2.机箱：≥17L，前置配备与主机一体可拆洗防尘罩</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36</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rPr>
            </w:pPr>
            <w:r>
              <w:rPr>
                <w:rFonts w:hint="eastAsia" w:ascii="宋体" w:hAnsi="宋体" w:eastAsia="宋体" w:cs="宋体"/>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电视机</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运行内存:3GB</w:t>
            </w:r>
            <w:r>
              <w:rPr>
                <w:rFonts w:hint="eastAsia" w:ascii="宋体" w:hAnsi="宋体" w:eastAsia="宋体" w:cs="宋体"/>
                <w:kern w:val="0"/>
                <w:sz w:val="24"/>
              </w:rPr>
              <w:br w:type="textWrapping"/>
            </w:r>
            <w:r>
              <w:rPr>
                <w:rFonts w:hint="eastAsia" w:ascii="宋体" w:hAnsi="宋体" w:eastAsia="宋体" w:cs="宋体"/>
                <w:kern w:val="0"/>
                <w:sz w:val="24"/>
              </w:rPr>
              <w:t>CPU:4核</w:t>
            </w:r>
            <w:r>
              <w:rPr>
                <w:rFonts w:hint="eastAsia" w:ascii="宋体" w:hAnsi="宋体" w:eastAsia="宋体" w:cs="宋体"/>
                <w:kern w:val="0"/>
                <w:sz w:val="24"/>
              </w:rPr>
              <w:br w:type="textWrapping"/>
            </w:r>
            <w:r>
              <w:rPr>
                <w:rFonts w:hint="eastAsia" w:ascii="宋体" w:hAnsi="宋体" w:eastAsia="宋体" w:cs="宋体"/>
                <w:kern w:val="0"/>
                <w:sz w:val="24"/>
              </w:rPr>
              <w:t>存储内存:16GB</w:t>
            </w:r>
          </w:p>
          <w:p>
            <w:pPr>
              <w:widowControl/>
              <w:jc w:val="left"/>
              <w:rPr>
                <w:rFonts w:ascii="宋体" w:hAnsi="宋体" w:eastAsia="宋体" w:cs="宋体"/>
                <w:kern w:val="0"/>
                <w:sz w:val="24"/>
              </w:rPr>
            </w:pPr>
            <w:r>
              <w:rPr>
                <w:rFonts w:hint="eastAsia" w:ascii="宋体" w:hAnsi="宋体" w:eastAsia="宋体" w:cs="宋体"/>
                <w:kern w:val="0"/>
                <w:sz w:val="24"/>
              </w:rPr>
              <w:t>HDR显示:支持</w:t>
            </w:r>
            <w:r>
              <w:rPr>
                <w:rFonts w:hint="eastAsia" w:ascii="宋体" w:hAnsi="宋体" w:eastAsia="宋体" w:cs="宋体"/>
                <w:kern w:val="0"/>
                <w:sz w:val="24"/>
              </w:rPr>
              <w:br w:type="textWrapping"/>
            </w:r>
            <w:r>
              <w:rPr>
                <w:rFonts w:hint="eastAsia" w:ascii="宋体" w:hAnsi="宋体" w:eastAsia="宋体" w:cs="宋体"/>
                <w:kern w:val="0"/>
                <w:sz w:val="24"/>
              </w:rPr>
              <w:t>支持格式（高清）:2160p</w:t>
            </w:r>
            <w:r>
              <w:rPr>
                <w:rFonts w:hint="eastAsia" w:ascii="宋体" w:hAnsi="宋体" w:eastAsia="宋体" w:cs="宋体"/>
                <w:kern w:val="0"/>
                <w:sz w:val="24"/>
              </w:rPr>
              <w:br w:type="textWrapping"/>
            </w:r>
            <w:r>
              <w:rPr>
                <w:rFonts w:hint="eastAsia" w:ascii="宋体" w:hAnsi="宋体" w:eastAsia="宋体" w:cs="宋体"/>
                <w:kern w:val="0"/>
                <w:sz w:val="24"/>
              </w:rPr>
              <w:t>屏幕尺寸:65英寸</w:t>
            </w:r>
            <w:r>
              <w:rPr>
                <w:rFonts w:hint="eastAsia" w:ascii="宋体" w:hAnsi="宋体" w:eastAsia="宋体" w:cs="宋体"/>
                <w:kern w:val="0"/>
                <w:sz w:val="24"/>
              </w:rPr>
              <w:br w:type="textWrapping"/>
            </w:r>
            <w:r>
              <w:rPr>
                <w:rFonts w:hint="eastAsia" w:ascii="宋体" w:hAnsi="宋体" w:eastAsia="宋体" w:cs="宋体"/>
                <w:kern w:val="0"/>
                <w:sz w:val="24"/>
              </w:rPr>
              <w:t>背光方式:其他</w:t>
            </w:r>
            <w:r>
              <w:rPr>
                <w:rFonts w:hint="eastAsia" w:ascii="宋体" w:hAnsi="宋体" w:eastAsia="宋体" w:cs="宋体"/>
                <w:kern w:val="0"/>
                <w:sz w:val="24"/>
              </w:rPr>
              <w:br w:type="textWrapping"/>
            </w:r>
            <w:r>
              <w:rPr>
                <w:rFonts w:hint="eastAsia" w:ascii="宋体" w:hAnsi="宋体" w:eastAsia="宋体" w:cs="宋体"/>
                <w:kern w:val="0"/>
                <w:sz w:val="24"/>
              </w:rPr>
              <w:t>屏幕分辨率:超高清4K</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rPr>
            </w:pPr>
            <w:r>
              <w:rPr>
                <w:rFonts w:hint="eastAsia" w:ascii="宋体" w:hAnsi="宋体" w:eastAsia="宋体" w:cs="宋体"/>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话机</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来电显示；铃声选择；外线转接；</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9</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rPr>
            </w:pPr>
            <w:r>
              <w:rPr>
                <w:rFonts w:hint="eastAsia" w:ascii="宋体" w:hAnsi="宋体" w:eastAsia="宋体" w:cs="宋体"/>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POE交换机</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xml:space="preserve">1.交换容量≥3.36Tbps，转发性能≥126Mpps </w:t>
            </w:r>
          </w:p>
          <w:p>
            <w:pPr>
              <w:widowControl/>
              <w:jc w:val="left"/>
              <w:rPr>
                <w:rFonts w:ascii="宋体" w:hAnsi="宋体" w:eastAsia="宋体" w:cs="宋体"/>
                <w:kern w:val="0"/>
                <w:sz w:val="24"/>
              </w:rPr>
            </w:pPr>
            <w:r>
              <w:rPr>
                <w:rFonts w:hint="eastAsia" w:ascii="宋体" w:hAnsi="宋体" w:eastAsia="宋体" w:cs="宋体"/>
                <w:kern w:val="0"/>
                <w:sz w:val="24"/>
              </w:rPr>
              <w:t>2.路由表容量≥1K（支持OSPF），MAC地址表&gt;=16K</w:t>
            </w:r>
          </w:p>
          <w:p>
            <w:pPr>
              <w:widowControl/>
              <w:jc w:val="left"/>
              <w:rPr>
                <w:rFonts w:ascii="宋体" w:hAnsi="宋体" w:eastAsia="宋体" w:cs="宋体"/>
                <w:kern w:val="0"/>
                <w:sz w:val="24"/>
              </w:rPr>
            </w:pPr>
            <w:r>
              <w:rPr>
                <w:rFonts w:hint="eastAsia" w:ascii="宋体" w:hAnsi="宋体" w:eastAsia="宋体" w:cs="宋体"/>
                <w:kern w:val="0"/>
                <w:sz w:val="24"/>
              </w:rPr>
              <w:t>3.端口数≥24个GE端口（支持POE+供电，供电功率≥370W），≥4个千兆SFP口（combo口）；</w:t>
            </w:r>
          </w:p>
          <w:p>
            <w:pPr>
              <w:widowControl/>
              <w:jc w:val="left"/>
              <w:rPr>
                <w:rFonts w:ascii="宋体" w:hAnsi="宋体" w:eastAsia="宋体" w:cs="宋体"/>
                <w:kern w:val="0"/>
                <w:sz w:val="24"/>
              </w:rPr>
            </w:pPr>
            <w:r>
              <w:rPr>
                <w:rFonts w:hint="eastAsia" w:ascii="宋体" w:hAnsi="宋体" w:eastAsia="宋体" w:cs="宋体"/>
                <w:kern w:val="0"/>
                <w:sz w:val="24"/>
              </w:rPr>
              <w:t xml:space="preserve">4. 实现ERPS功能，可与其他厂商设备混组网，能够快速阻断环路，链路收敛时间≤50ms </w:t>
            </w:r>
          </w:p>
          <w:p>
            <w:pPr>
              <w:widowControl/>
              <w:jc w:val="left"/>
              <w:rPr>
                <w:rFonts w:ascii="宋体" w:hAnsi="宋体" w:eastAsia="宋体" w:cs="宋体"/>
                <w:kern w:val="0"/>
                <w:sz w:val="24"/>
              </w:rPr>
            </w:pPr>
            <w:r>
              <w:rPr>
                <w:rFonts w:hint="eastAsia" w:ascii="宋体" w:hAnsi="宋体" w:eastAsia="宋体" w:cs="宋体"/>
                <w:kern w:val="0"/>
                <w:sz w:val="24"/>
              </w:rPr>
              <w:t>5. 实现CPU保护功能，能限制非法报文对CPU的攻击，保护交换机在各种环境下稳定工作</w:t>
            </w:r>
          </w:p>
          <w:p>
            <w:pPr>
              <w:widowControl/>
              <w:jc w:val="left"/>
              <w:rPr>
                <w:rFonts w:ascii="宋体" w:hAnsi="宋体" w:eastAsia="宋体" w:cs="宋体"/>
                <w:kern w:val="0"/>
                <w:sz w:val="24"/>
              </w:rPr>
            </w:pPr>
            <w:r>
              <w:rPr>
                <w:rFonts w:hint="eastAsia" w:ascii="宋体" w:hAnsi="宋体" w:eastAsia="宋体" w:cs="宋体"/>
                <w:kern w:val="0"/>
                <w:sz w:val="24"/>
              </w:rPr>
              <w:t>6. 支持跨设备链路聚合，单一IP管理，分布式弹性路由，支持通过标准以太端口进行堆叠（万兆或千兆均支持）</w:t>
            </w:r>
          </w:p>
          <w:p>
            <w:pPr>
              <w:widowControl/>
              <w:jc w:val="left"/>
              <w:rPr>
                <w:rFonts w:ascii="宋体" w:hAnsi="宋体" w:eastAsia="宋体" w:cs="宋体"/>
                <w:kern w:val="0"/>
                <w:sz w:val="24"/>
              </w:rPr>
            </w:pPr>
            <w:r>
              <w:rPr>
                <w:rFonts w:hint="eastAsia" w:ascii="宋体" w:hAnsi="宋体" w:eastAsia="宋体" w:cs="宋体"/>
                <w:kern w:val="0"/>
                <w:sz w:val="24"/>
              </w:rPr>
              <w:t>7. 支持基于端口的VLAN，支持基于协议的VLAN；支持基于MAC的VLAN；最大VLAN数(不是VLAN ID)&gt;=4094</w:t>
            </w:r>
          </w:p>
          <w:p>
            <w:pPr>
              <w:widowControl/>
              <w:jc w:val="left"/>
              <w:rPr>
                <w:rFonts w:ascii="宋体" w:hAnsi="宋体" w:eastAsia="宋体" w:cs="宋体"/>
                <w:kern w:val="0"/>
                <w:sz w:val="24"/>
              </w:rPr>
            </w:pPr>
            <w:r>
              <w:rPr>
                <w:rFonts w:hint="eastAsia" w:ascii="宋体" w:hAnsi="宋体" w:eastAsia="宋体" w:cs="宋体"/>
                <w:kern w:val="0"/>
                <w:sz w:val="24"/>
              </w:rPr>
              <w:t>8. 支持本地端口镜像和远程端口镜像RSPAN；支持流镜像</w:t>
            </w:r>
          </w:p>
          <w:p>
            <w:pPr>
              <w:widowControl/>
              <w:jc w:val="left"/>
              <w:rPr>
                <w:rFonts w:ascii="宋体" w:hAnsi="宋体" w:eastAsia="宋体" w:cs="宋体"/>
                <w:kern w:val="0"/>
                <w:sz w:val="24"/>
              </w:rPr>
            </w:pPr>
            <w:r>
              <w:rPr>
                <w:rFonts w:hint="eastAsia" w:ascii="宋体" w:hAnsi="宋体" w:eastAsia="宋体" w:cs="宋体"/>
                <w:kern w:val="0"/>
                <w:sz w:val="24"/>
              </w:rPr>
              <w:t>9. 支持IGMP v1/v2/v3，MLD v1/v2；支持PIM Snooping；支持MSDP，MSDP for IPv6；支持MBGP，MBGP for Ipv6</w:t>
            </w:r>
          </w:p>
          <w:p>
            <w:pPr>
              <w:widowControl/>
              <w:jc w:val="left"/>
              <w:rPr>
                <w:rFonts w:ascii="宋体" w:hAnsi="宋体" w:eastAsia="宋体" w:cs="宋体"/>
                <w:kern w:val="0"/>
                <w:sz w:val="24"/>
              </w:rPr>
            </w:pPr>
            <w:r>
              <w:rPr>
                <w:rFonts w:hint="eastAsia" w:ascii="宋体" w:hAnsi="宋体" w:eastAsia="宋体" w:cs="宋体"/>
                <w:kern w:val="0"/>
                <w:sz w:val="24"/>
              </w:rPr>
              <w:t>10. 支持OPENFLOW 1.3标准支持普通模式和Openflow 模式切换</w:t>
            </w:r>
          </w:p>
          <w:p>
            <w:pPr>
              <w:widowControl/>
              <w:jc w:val="left"/>
              <w:rPr>
                <w:rFonts w:ascii="宋体" w:hAnsi="宋体" w:eastAsia="宋体" w:cs="宋体"/>
                <w:kern w:val="0"/>
                <w:sz w:val="24"/>
              </w:rPr>
            </w:pPr>
            <w:r>
              <w:rPr>
                <w:rFonts w:hint="eastAsia" w:ascii="宋体" w:hAnsi="宋体" w:eastAsia="宋体" w:cs="宋体"/>
                <w:kern w:val="0"/>
                <w:sz w:val="24"/>
              </w:rPr>
              <w:t>11. 支持IPv4静态路由、RIP V1/V2、OSPF；支持IPv6静态路由、RIPng</w:t>
            </w:r>
          </w:p>
          <w:p>
            <w:pPr>
              <w:widowControl/>
              <w:jc w:val="left"/>
              <w:rPr>
                <w:rFonts w:ascii="宋体" w:hAnsi="宋体" w:eastAsia="宋体" w:cs="宋体"/>
                <w:kern w:val="0"/>
                <w:sz w:val="24"/>
              </w:rPr>
            </w:pPr>
            <w:r>
              <w:rPr>
                <w:rFonts w:hint="eastAsia" w:ascii="宋体" w:hAnsi="宋体" w:eastAsia="宋体" w:cs="宋体"/>
                <w:kern w:val="0"/>
                <w:sz w:val="24"/>
              </w:rPr>
              <w:t>12. 支持RRPP（快速环网保护协议），环网故障恢复时间不超过50ms；支持RSTP功能：收敛时间≤50ms；支持PVST功能：收敛时间≤50ms</w:t>
            </w:r>
          </w:p>
          <w:p>
            <w:pPr>
              <w:widowControl/>
              <w:jc w:val="left"/>
              <w:rPr>
                <w:rFonts w:ascii="宋体" w:hAnsi="宋体" w:eastAsia="宋体" w:cs="宋体"/>
                <w:kern w:val="0"/>
                <w:sz w:val="24"/>
              </w:rPr>
            </w:pPr>
            <w:r>
              <w:rPr>
                <w:rFonts w:hint="eastAsia" w:ascii="宋体" w:hAnsi="宋体" w:eastAsia="宋体" w:cs="宋体"/>
                <w:kern w:val="0"/>
                <w:sz w:val="24"/>
              </w:rPr>
              <w:t>13. 支持SNMP V1/V2/V3、RMON、SSHV2；支持OAM(802.1AG， 802.3AH)以太网运行、维护和管理标准</w:t>
            </w:r>
          </w:p>
          <w:p>
            <w:pPr>
              <w:widowControl/>
              <w:jc w:val="left"/>
              <w:rPr>
                <w:rFonts w:ascii="宋体" w:hAnsi="宋体" w:eastAsia="宋体" w:cs="宋体"/>
                <w:kern w:val="0"/>
                <w:sz w:val="24"/>
              </w:rPr>
            </w:pPr>
            <w:r>
              <w:rPr>
                <w:rFonts w:hint="eastAsia" w:ascii="宋体" w:hAnsi="宋体" w:eastAsia="宋体" w:cs="宋体"/>
                <w:kern w:val="0"/>
                <w:sz w:val="24"/>
              </w:rPr>
              <w:t>14.支持云平台连接交换机管理功能；</w:t>
            </w:r>
          </w:p>
          <w:p>
            <w:pPr>
              <w:widowControl/>
              <w:jc w:val="left"/>
              <w:rPr>
                <w:rFonts w:ascii="宋体" w:hAnsi="宋体" w:eastAsia="宋体" w:cs="宋体"/>
                <w:kern w:val="0"/>
                <w:sz w:val="24"/>
              </w:rPr>
            </w:pP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rPr>
            </w:pPr>
            <w:r>
              <w:rPr>
                <w:rFonts w:hint="eastAsia" w:ascii="宋体" w:hAnsi="宋体" w:eastAsia="宋体" w:cs="宋体"/>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无线安全AP</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1.采用双频四流设计，可工作在802.11a/b/g/n/ac/ac wave2/ax模式</w:t>
            </w:r>
          </w:p>
          <w:p>
            <w:pPr>
              <w:widowControl/>
              <w:jc w:val="left"/>
              <w:rPr>
                <w:rFonts w:ascii="宋体" w:hAnsi="宋体" w:eastAsia="宋体" w:cs="宋体"/>
                <w:kern w:val="0"/>
                <w:sz w:val="24"/>
              </w:rPr>
            </w:pPr>
            <w:r>
              <w:rPr>
                <w:rFonts w:hint="eastAsia" w:ascii="宋体" w:hAnsi="宋体" w:eastAsia="宋体" w:cs="宋体"/>
                <w:kern w:val="0"/>
                <w:sz w:val="24"/>
              </w:rPr>
              <w:t>2.整机协商速率≥2.975Gbps，且所有5G频段单频段速率≥2.4Gbps</w:t>
            </w:r>
          </w:p>
          <w:p>
            <w:pPr>
              <w:widowControl/>
              <w:jc w:val="left"/>
              <w:rPr>
                <w:rFonts w:ascii="宋体" w:hAnsi="宋体" w:eastAsia="宋体" w:cs="宋体"/>
                <w:kern w:val="0"/>
                <w:sz w:val="24"/>
              </w:rPr>
            </w:pPr>
            <w:r>
              <w:rPr>
                <w:rFonts w:hint="eastAsia" w:ascii="宋体" w:hAnsi="宋体" w:eastAsia="宋体" w:cs="宋体"/>
                <w:kern w:val="0"/>
                <w:sz w:val="24"/>
              </w:rPr>
              <w:t>3.≥2个接口，其中1个固化2.5G光口，1个固化10M/100M/1000M电口</w:t>
            </w:r>
          </w:p>
          <w:p>
            <w:pPr>
              <w:widowControl/>
              <w:jc w:val="left"/>
              <w:rPr>
                <w:rFonts w:ascii="宋体" w:hAnsi="宋体" w:eastAsia="宋体" w:cs="宋体"/>
                <w:kern w:val="0"/>
                <w:sz w:val="24"/>
              </w:rPr>
            </w:pPr>
            <w:r>
              <w:rPr>
                <w:rFonts w:hint="eastAsia" w:ascii="宋体" w:hAnsi="宋体" w:eastAsia="宋体" w:cs="宋体"/>
                <w:kern w:val="0"/>
                <w:sz w:val="24"/>
              </w:rPr>
              <w:t>4.在网络拥塞情况下，通过对终端发送的报文进行识别，在多业务并行处理时，可以对关键业务（如视频会议、时延敏感类游戏等）优先处理从而实现应用加速，同时双WiFi功能对链路可靠性的提升，保证了用户使用体验。</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rPr>
            </w:pPr>
            <w:r>
              <w:rPr>
                <w:rFonts w:hint="eastAsia" w:ascii="宋体" w:hAnsi="宋体" w:eastAsia="宋体" w:cs="宋体"/>
                <w:kern w:val="0"/>
                <w:sz w:val="24"/>
              </w:rPr>
              <w:t>6</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交换机</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xml:space="preserve">1.交换容量≥3.36Tbps，转发性能≥126Mpps </w:t>
            </w:r>
          </w:p>
          <w:p>
            <w:pPr>
              <w:widowControl/>
              <w:jc w:val="left"/>
              <w:rPr>
                <w:rFonts w:ascii="宋体" w:hAnsi="宋体" w:eastAsia="宋体" w:cs="宋体"/>
                <w:kern w:val="0"/>
                <w:sz w:val="24"/>
              </w:rPr>
            </w:pPr>
            <w:r>
              <w:rPr>
                <w:rFonts w:hint="eastAsia" w:ascii="宋体" w:hAnsi="宋体" w:eastAsia="宋体" w:cs="宋体"/>
                <w:kern w:val="0"/>
                <w:sz w:val="24"/>
              </w:rPr>
              <w:t>2.路由表容量≥1K（支持OSPF），MAC地址表&gt;=16K</w:t>
            </w:r>
          </w:p>
          <w:p>
            <w:pPr>
              <w:widowControl/>
              <w:jc w:val="left"/>
              <w:rPr>
                <w:rFonts w:ascii="宋体" w:hAnsi="宋体" w:eastAsia="宋体" w:cs="宋体"/>
                <w:kern w:val="0"/>
                <w:sz w:val="24"/>
              </w:rPr>
            </w:pPr>
            <w:r>
              <w:rPr>
                <w:rFonts w:hint="eastAsia" w:ascii="宋体" w:hAnsi="宋体" w:eastAsia="宋体" w:cs="宋体"/>
                <w:kern w:val="0"/>
                <w:sz w:val="24"/>
              </w:rPr>
              <w:t>3.端口数≥24个GE端口，≥4个千兆SFP口</w:t>
            </w:r>
          </w:p>
          <w:p>
            <w:pPr>
              <w:widowControl/>
              <w:jc w:val="left"/>
              <w:rPr>
                <w:rFonts w:ascii="宋体" w:hAnsi="宋体" w:eastAsia="宋体" w:cs="宋体"/>
                <w:kern w:val="0"/>
                <w:sz w:val="24"/>
              </w:rPr>
            </w:pPr>
            <w:r>
              <w:rPr>
                <w:rFonts w:hint="eastAsia" w:ascii="宋体" w:hAnsi="宋体" w:eastAsia="宋体" w:cs="宋体"/>
                <w:kern w:val="0"/>
                <w:sz w:val="24"/>
              </w:rPr>
              <w:t xml:space="preserve">4. 实现ERPS功能，可与其他厂商设备混组网，能够快速阻断环路，链路收敛时间≤50ms </w:t>
            </w:r>
          </w:p>
          <w:p>
            <w:pPr>
              <w:widowControl/>
              <w:jc w:val="left"/>
              <w:rPr>
                <w:rFonts w:ascii="宋体" w:hAnsi="宋体" w:eastAsia="宋体" w:cs="宋体"/>
                <w:kern w:val="0"/>
                <w:sz w:val="24"/>
              </w:rPr>
            </w:pPr>
            <w:r>
              <w:rPr>
                <w:rFonts w:hint="eastAsia" w:ascii="宋体" w:hAnsi="宋体" w:eastAsia="宋体" w:cs="宋体"/>
                <w:kern w:val="0"/>
                <w:sz w:val="24"/>
              </w:rPr>
              <w:t>5. 实现CPU保护功能，能限制非法报文对CPU的攻击，保护交换机在各种环境下稳定工作</w:t>
            </w:r>
          </w:p>
          <w:p>
            <w:pPr>
              <w:widowControl/>
              <w:jc w:val="left"/>
              <w:rPr>
                <w:rFonts w:ascii="宋体" w:hAnsi="宋体" w:eastAsia="宋体" w:cs="宋体"/>
                <w:kern w:val="0"/>
                <w:sz w:val="24"/>
              </w:rPr>
            </w:pPr>
            <w:r>
              <w:rPr>
                <w:rFonts w:hint="eastAsia" w:ascii="宋体" w:hAnsi="宋体" w:eastAsia="宋体" w:cs="宋体"/>
                <w:kern w:val="0"/>
                <w:sz w:val="24"/>
              </w:rPr>
              <w:t>6. 支持跨设备链路聚合，单一IP管理，分布式弹性路由，支持通过标准以太端口进行堆叠（万兆或千兆均支持）</w:t>
            </w:r>
          </w:p>
          <w:p>
            <w:pPr>
              <w:widowControl/>
              <w:jc w:val="left"/>
              <w:rPr>
                <w:rFonts w:ascii="宋体" w:hAnsi="宋体" w:eastAsia="宋体" w:cs="宋体"/>
                <w:kern w:val="0"/>
                <w:sz w:val="24"/>
              </w:rPr>
            </w:pPr>
            <w:r>
              <w:rPr>
                <w:rFonts w:hint="eastAsia" w:ascii="宋体" w:hAnsi="宋体" w:eastAsia="宋体" w:cs="宋体"/>
                <w:kern w:val="0"/>
                <w:sz w:val="24"/>
              </w:rPr>
              <w:t>7. 支持基于端口的VLAN，支持基于协议的VLAN；支持基于MAC的VLAN；最大VLAN数(不是VLAN ID)&gt;=4094</w:t>
            </w:r>
          </w:p>
          <w:p>
            <w:pPr>
              <w:widowControl/>
              <w:jc w:val="left"/>
              <w:rPr>
                <w:rFonts w:ascii="宋体" w:hAnsi="宋体" w:eastAsia="宋体" w:cs="宋体"/>
                <w:kern w:val="0"/>
                <w:sz w:val="24"/>
              </w:rPr>
            </w:pPr>
            <w:r>
              <w:rPr>
                <w:rFonts w:hint="eastAsia" w:ascii="宋体" w:hAnsi="宋体" w:eastAsia="宋体" w:cs="宋体"/>
                <w:kern w:val="0"/>
                <w:sz w:val="24"/>
              </w:rPr>
              <w:t>8. 支持本地端口镜像和远程端口镜像RSPAN；支持流镜像</w:t>
            </w:r>
          </w:p>
          <w:p>
            <w:pPr>
              <w:widowControl/>
              <w:jc w:val="left"/>
              <w:rPr>
                <w:rFonts w:ascii="宋体" w:hAnsi="宋体" w:eastAsia="宋体" w:cs="宋体"/>
                <w:kern w:val="0"/>
                <w:sz w:val="24"/>
              </w:rPr>
            </w:pPr>
            <w:r>
              <w:rPr>
                <w:rFonts w:hint="eastAsia" w:ascii="宋体" w:hAnsi="宋体" w:eastAsia="宋体" w:cs="宋体"/>
                <w:kern w:val="0"/>
                <w:sz w:val="24"/>
              </w:rPr>
              <w:t>9. 支持IGMP v1/v2/v3，MLD v1/v2；支持PIM Snooping；支持MSDP，MSDP for IPv6；支持MBGP，MBGP for Ipv6</w:t>
            </w:r>
          </w:p>
          <w:p>
            <w:pPr>
              <w:widowControl/>
              <w:jc w:val="left"/>
              <w:rPr>
                <w:rFonts w:ascii="宋体" w:hAnsi="宋体" w:eastAsia="宋体" w:cs="宋体"/>
                <w:kern w:val="0"/>
                <w:sz w:val="24"/>
              </w:rPr>
            </w:pPr>
            <w:r>
              <w:rPr>
                <w:rFonts w:hint="eastAsia" w:ascii="宋体" w:hAnsi="宋体" w:eastAsia="宋体" w:cs="宋体"/>
                <w:kern w:val="0"/>
                <w:sz w:val="24"/>
              </w:rPr>
              <w:t>10. 支持IPv4静态路由、RIP V1/V2、OSPF；支持IPv6静态路由、RIPng</w:t>
            </w:r>
          </w:p>
          <w:p>
            <w:pPr>
              <w:widowControl/>
              <w:jc w:val="left"/>
              <w:rPr>
                <w:rFonts w:ascii="宋体" w:hAnsi="宋体" w:eastAsia="宋体" w:cs="宋体"/>
                <w:kern w:val="0"/>
                <w:sz w:val="24"/>
              </w:rPr>
            </w:pPr>
            <w:r>
              <w:rPr>
                <w:rFonts w:hint="eastAsia" w:ascii="宋体" w:hAnsi="宋体" w:eastAsia="宋体" w:cs="宋体"/>
                <w:kern w:val="0"/>
                <w:sz w:val="24"/>
              </w:rPr>
              <w:t>11. 支持RRPP（快速环网保护协议），环网故障恢复时间不超过50ms；支持RSTP功能：收敛时间≤50ms；支持PVST功能：收敛时间≤50ms</w:t>
            </w:r>
          </w:p>
          <w:p>
            <w:pPr>
              <w:widowControl/>
              <w:jc w:val="left"/>
              <w:rPr>
                <w:rFonts w:ascii="宋体" w:hAnsi="宋体" w:eastAsia="宋体" w:cs="宋体"/>
                <w:kern w:val="0"/>
                <w:sz w:val="24"/>
              </w:rPr>
            </w:pPr>
            <w:r>
              <w:rPr>
                <w:rFonts w:hint="eastAsia" w:ascii="宋体" w:hAnsi="宋体" w:eastAsia="宋体" w:cs="宋体"/>
                <w:kern w:val="0"/>
                <w:sz w:val="24"/>
              </w:rPr>
              <w:t>12. 支持SNMP V1/V2/V3、RMON、SSHV2；支持OAM(802.1AG， 802.3AH)以太网运行、维护和管理标准</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15</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rPr>
            </w:pPr>
            <w:r>
              <w:rPr>
                <w:rFonts w:hint="eastAsia" w:ascii="宋体" w:hAnsi="宋体" w:eastAsia="宋体" w:cs="宋体"/>
                <w:kern w:val="0"/>
                <w:sz w:val="24"/>
              </w:rPr>
              <w:t>7</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核心交换机</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xml:space="preserve">1.业务插槽数≥3，交换容量≥168Tbps，包转发率≥36000Mpps </w:t>
            </w:r>
          </w:p>
          <w:p>
            <w:pPr>
              <w:widowControl/>
              <w:jc w:val="left"/>
              <w:rPr>
                <w:rFonts w:ascii="宋体" w:hAnsi="宋体" w:eastAsia="宋体" w:cs="宋体"/>
                <w:kern w:val="0"/>
                <w:sz w:val="24"/>
              </w:rPr>
            </w:pPr>
            <w:r>
              <w:rPr>
                <w:rFonts w:hint="eastAsia" w:ascii="宋体" w:hAnsi="宋体" w:eastAsia="宋体" w:cs="宋体"/>
                <w:kern w:val="0"/>
                <w:sz w:val="24"/>
              </w:rPr>
              <w:t>2.主控引擎模块≥2，满足1+1冗余。主控槽位与业务槽位宽度相同的全宽槽位，提供更好的扩展性和可靠性</w:t>
            </w:r>
          </w:p>
          <w:p>
            <w:pPr>
              <w:widowControl/>
              <w:jc w:val="left"/>
              <w:rPr>
                <w:rFonts w:ascii="宋体" w:hAnsi="宋体" w:eastAsia="宋体" w:cs="宋体"/>
                <w:kern w:val="0"/>
                <w:sz w:val="24"/>
              </w:rPr>
            </w:pPr>
            <w:r>
              <w:rPr>
                <w:rFonts w:hint="eastAsia" w:ascii="宋体" w:hAnsi="宋体" w:eastAsia="宋体" w:cs="宋体"/>
                <w:kern w:val="0"/>
                <w:sz w:val="24"/>
              </w:rPr>
              <w:t>3.支持VxLAN ，能够实现基于IPv4/IPv6的VxLAN二三层互通（包括分布式网关或集中式网关），支持VxLAN OAM ping 和 tracert</w:t>
            </w:r>
          </w:p>
          <w:p>
            <w:pPr>
              <w:widowControl/>
              <w:jc w:val="left"/>
              <w:rPr>
                <w:rFonts w:ascii="宋体" w:hAnsi="宋体" w:eastAsia="宋体" w:cs="宋体"/>
                <w:kern w:val="0"/>
                <w:sz w:val="24"/>
              </w:rPr>
            </w:pPr>
            <w:r>
              <w:rPr>
                <w:rFonts w:hint="eastAsia" w:ascii="宋体" w:hAnsi="宋体" w:eastAsia="宋体" w:cs="宋体"/>
                <w:kern w:val="0"/>
                <w:sz w:val="24"/>
              </w:rPr>
              <w:t>4.支持内置智能图形化管理功能，实现纵向虚拟化，对于下联设备具备统一管理的功能，能够通过图形化界面对组内设备进行配置文件一键下发，对拓扑内的设备或设备组批量进行版本升级</w:t>
            </w:r>
          </w:p>
          <w:p>
            <w:pPr>
              <w:widowControl/>
              <w:jc w:val="left"/>
              <w:rPr>
                <w:rFonts w:ascii="宋体" w:hAnsi="宋体" w:eastAsia="宋体" w:cs="宋体"/>
                <w:kern w:val="0"/>
                <w:sz w:val="24"/>
              </w:rPr>
            </w:pPr>
            <w:r>
              <w:rPr>
                <w:rFonts w:hint="eastAsia" w:ascii="宋体" w:hAnsi="宋体" w:eastAsia="宋体" w:cs="宋体"/>
                <w:kern w:val="0"/>
                <w:sz w:val="24"/>
              </w:rPr>
              <w:t>5.支持融合AC功能，无需额外配置单独硬件，在交换机实现对AP的接入控制和管理。</w:t>
            </w:r>
          </w:p>
          <w:p>
            <w:pPr>
              <w:widowControl/>
              <w:jc w:val="left"/>
              <w:rPr>
                <w:rFonts w:ascii="宋体" w:hAnsi="宋体" w:eastAsia="宋体" w:cs="宋体"/>
                <w:kern w:val="0"/>
                <w:sz w:val="24"/>
              </w:rPr>
            </w:pPr>
            <w:r>
              <w:rPr>
                <w:rFonts w:hint="eastAsia" w:ascii="宋体" w:hAnsi="宋体" w:eastAsia="宋体" w:cs="宋体"/>
                <w:kern w:val="0"/>
                <w:sz w:val="24"/>
              </w:rPr>
              <w:t>6.支持FW防火墙和IPS防火墙业务卡</w:t>
            </w:r>
          </w:p>
          <w:p>
            <w:pPr>
              <w:widowControl/>
              <w:jc w:val="left"/>
              <w:rPr>
                <w:rFonts w:ascii="宋体" w:hAnsi="宋体" w:eastAsia="宋体" w:cs="宋体"/>
                <w:kern w:val="0"/>
                <w:sz w:val="24"/>
              </w:rPr>
            </w:pPr>
            <w:r>
              <w:rPr>
                <w:rFonts w:hint="eastAsia" w:ascii="宋体" w:hAnsi="宋体" w:eastAsia="宋体" w:cs="宋体"/>
                <w:kern w:val="0"/>
                <w:sz w:val="24"/>
              </w:rPr>
              <w:t>7.为支持丰富的业务拓展，设备需支持48端口万兆以太网光接口模块、8*40G+8*100G混合板卡、48端口千兆电接口模块</w:t>
            </w:r>
          </w:p>
          <w:p>
            <w:pPr>
              <w:widowControl/>
              <w:jc w:val="left"/>
              <w:rPr>
                <w:rFonts w:ascii="宋体" w:hAnsi="宋体" w:eastAsia="宋体" w:cs="宋体"/>
                <w:kern w:val="0"/>
                <w:sz w:val="24"/>
              </w:rPr>
            </w:pPr>
            <w:r>
              <w:rPr>
                <w:rFonts w:hint="eastAsia" w:ascii="宋体" w:hAnsi="宋体" w:eastAsia="宋体" w:cs="宋体"/>
                <w:kern w:val="0"/>
                <w:sz w:val="24"/>
              </w:rPr>
              <w:t>8.支持主控即正常工作，同时能满足业务转发</w:t>
            </w:r>
          </w:p>
          <w:p>
            <w:pPr>
              <w:widowControl/>
              <w:jc w:val="left"/>
              <w:rPr>
                <w:rFonts w:ascii="宋体" w:hAnsi="宋体" w:eastAsia="宋体" w:cs="宋体"/>
                <w:kern w:val="0"/>
                <w:sz w:val="24"/>
              </w:rPr>
            </w:pPr>
            <w:r>
              <w:rPr>
                <w:rFonts w:hint="eastAsia" w:ascii="宋体" w:hAnsi="宋体" w:eastAsia="宋体" w:cs="宋体"/>
                <w:kern w:val="0"/>
                <w:sz w:val="24"/>
              </w:rPr>
              <w:t>9.单台配置2个主控模块，2个电源模块；千兆电口≥24个，千兆光口≥24个，万兆光口≥8个；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rPr>
            </w:pPr>
            <w:r>
              <w:rPr>
                <w:rFonts w:hint="eastAsia" w:ascii="宋体" w:hAnsi="宋体" w:eastAsia="宋体" w:cs="宋体"/>
                <w:kern w:val="0"/>
                <w:sz w:val="24"/>
              </w:rPr>
              <w:t>8</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服务器机柜</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42U机柜，尺寸：600X800X2055mm</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6</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nil"/>
              <w:right w:val="single" w:color="auto" w:sz="4" w:space="0"/>
            </w:tcBorders>
            <w:shd w:val="clear" w:color="auto" w:fill="auto"/>
            <w:noWrap/>
            <w:vAlign w:val="center"/>
          </w:tcPr>
          <w:p>
            <w:pPr>
              <w:widowControl/>
              <w:jc w:val="center"/>
              <w:rPr>
                <w:rFonts w:ascii="宋体" w:hAnsi="宋体" w:eastAsia="宋体" w:cs="宋体"/>
                <w:kern w:val="0"/>
                <w:sz w:val="24"/>
              </w:rPr>
            </w:pPr>
            <w:r>
              <w:rPr>
                <w:rFonts w:hint="eastAsia" w:ascii="宋体" w:hAnsi="宋体" w:eastAsia="宋体" w:cs="宋体"/>
                <w:kern w:val="0"/>
                <w:sz w:val="24"/>
              </w:rPr>
              <w:t>9</w:t>
            </w:r>
          </w:p>
        </w:tc>
        <w:tc>
          <w:tcPr>
            <w:tcW w:w="0" w:type="auto"/>
            <w:tcBorders>
              <w:top w:val="nil"/>
              <w:left w:val="nil"/>
              <w:bottom w:val="nil"/>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激光多功能一体机</w:t>
            </w:r>
          </w:p>
        </w:tc>
        <w:tc>
          <w:tcPr>
            <w:tcW w:w="0" w:type="auto"/>
            <w:tcBorders>
              <w:top w:val="nil"/>
              <w:left w:val="nil"/>
              <w:bottom w:val="nil"/>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自动进稿器ADF: 35页</w:t>
            </w:r>
            <w:r>
              <w:rPr>
                <w:rFonts w:hint="eastAsia" w:ascii="宋体" w:hAnsi="宋体" w:eastAsia="宋体" w:cs="宋体"/>
                <w:kern w:val="0"/>
                <w:sz w:val="24"/>
              </w:rPr>
              <w:br w:type="textWrapping"/>
            </w:r>
            <w:r>
              <w:rPr>
                <w:rFonts w:hint="eastAsia" w:ascii="宋体" w:hAnsi="宋体" w:eastAsia="宋体" w:cs="宋体"/>
                <w:kern w:val="0"/>
                <w:sz w:val="24"/>
              </w:rPr>
              <w:t>接口: 高速USB2.0 / 10Base-T / 100Base-TX</w:t>
            </w:r>
            <w:r>
              <w:rPr>
                <w:rFonts w:hint="eastAsia" w:ascii="宋体" w:hAnsi="宋体" w:eastAsia="宋体" w:cs="宋体"/>
                <w:kern w:val="0"/>
                <w:sz w:val="24"/>
              </w:rPr>
              <w:br w:type="textWrapping"/>
            </w:r>
            <w:r>
              <w:rPr>
                <w:rFonts w:hint="eastAsia" w:ascii="宋体" w:hAnsi="宋体" w:eastAsia="宋体" w:cs="宋体"/>
                <w:kern w:val="0"/>
                <w:sz w:val="24"/>
              </w:rPr>
              <w:t>液晶显示: 10汉字（20字符）x2行</w:t>
            </w:r>
            <w:r>
              <w:rPr>
                <w:rFonts w:hint="eastAsia" w:ascii="宋体" w:hAnsi="宋体" w:eastAsia="宋体" w:cs="宋体"/>
                <w:kern w:val="0"/>
                <w:sz w:val="24"/>
              </w:rPr>
              <w:br w:type="textWrapping"/>
            </w:r>
            <w:r>
              <w:rPr>
                <w:rFonts w:hint="eastAsia" w:ascii="宋体" w:hAnsi="宋体" w:eastAsia="宋体" w:cs="宋体"/>
                <w:kern w:val="0"/>
                <w:sz w:val="24"/>
              </w:rPr>
              <w:t>介质尺寸: A4,B5(JIS),A5,letter,A5(长边),Executive,A6,16K(195x270mm),16K(184x260mm),16K(197x273mm)</w:t>
            </w:r>
            <w:r>
              <w:rPr>
                <w:rFonts w:hint="eastAsia" w:ascii="宋体" w:hAnsi="宋体" w:eastAsia="宋体" w:cs="宋体"/>
                <w:kern w:val="0"/>
                <w:sz w:val="24"/>
              </w:rPr>
              <w:br w:type="textWrapping"/>
            </w:r>
            <w:r>
              <w:rPr>
                <w:rFonts w:hint="eastAsia" w:ascii="宋体" w:hAnsi="宋体" w:eastAsia="宋体" w:cs="宋体"/>
                <w:kern w:val="0"/>
                <w:sz w:val="24"/>
              </w:rPr>
              <w:t>介质类型: 普通纸、薄纸、再生纸</w:t>
            </w:r>
            <w:r>
              <w:rPr>
                <w:rFonts w:hint="eastAsia" w:ascii="宋体" w:hAnsi="宋体" w:eastAsia="宋体" w:cs="宋体"/>
                <w:kern w:val="0"/>
                <w:sz w:val="24"/>
              </w:rPr>
              <w:br w:type="textWrapping"/>
            </w:r>
            <w:r>
              <w:rPr>
                <w:rFonts w:hint="eastAsia" w:ascii="宋体" w:hAnsi="宋体" w:eastAsia="宋体" w:cs="宋体"/>
                <w:kern w:val="0"/>
                <w:sz w:val="24"/>
              </w:rPr>
              <w:t>选配纸盒输入量: 250页</w:t>
            </w:r>
            <w:r>
              <w:rPr>
                <w:rFonts w:hint="eastAsia" w:ascii="宋体" w:hAnsi="宋体" w:eastAsia="宋体" w:cs="宋体"/>
                <w:kern w:val="0"/>
                <w:sz w:val="24"/>
              </w:rPr>
              <w:br w:type="textWrapping"/>
            </w:r>
            <w:r>
              <w:rPr>
                <w:rFonts w:hint="eastAsia" w:ascii="宋体" w:hAnsi="宋体" w:eastAsia="宋体" w:cs="宋体"/>
                <w:kern w:val="0"/>
                <w:sz w:val="24"/>
              </w:rPr>
              <w:t>纸张处理: 1页</w:t>
            </w:r>
            <w:r>
              <w:rPr>
                <w:rFonts w:hint="eastAsia" w:ascii="宋体" w:hAnsi="宋体" w:eastAsia="宋体" w:cs="宋体"/>
                <w:kern w:val="0"/>
                <w:sz w:val="24"/>
              </w:rPr>
              <w:br w:type="textWrapping"/>
            </w:r>
            <w:r>
              <w:rPr>
                <w:rFonts w:hint="eastAsia" w:ascii="宋体" w:hAnsi="宋体" w:eastAsia="宋体" w:cs="宋体"/>
                <w:kern w:val="0"/>
                <w:sz w:val="24"/>
              </w:rPr>
              <w:t>打印引擎: 黑白激光</w:t>
            </w:r>
            <w:r>
              <w:rPr>
                <w:rFonts w:hint="eastAsia" w:ascii="宋体" w:hAnsi="宋体" w:eastAsia="宋体" w:cs="宋体"/>
                <w:kern w:val="0"/>
                <w:sz w:val="24"/>
              </w:rPr>
              <w:br w:type="textWrapping"/>
            </w:r>
            <w:r>
              <w:rPr>
                <w:rFonts w:hint="eastAsia" w:ascii="宋体" w:hAnsi="宋体" w:eastAsia="宋体" w:cs="宋体"/>
                <w:kern w:val="0"/>
                <w:sz w:val="24"/>
              </w:rPr>
              <w:t>内存: 64MB</w:t>
            </w:r>
            <w:r>
              <w:rPr>
                <w:rFonts w:hint="eastAsia" w:ascii="宋体" w:hAnsi="宋体" w:eastAsia="宋体" w:cs="宋体"/>
                <w:kern w:val="0"/>
                <w:sz w:val="24"/>
              </w:rPr>
              <w:br w:type="textWrapping"/>
            </w:r>
            <w:r>
              <w:rPr>
                <w:rFonts w:hint="eastAsia" w:ascii="宋体" w:hAnsi="宋体" w:eastAsia="宋体" w:cs="宋体"/>
                <w:kern w:val="0"/>
                <w:sz w:val="24"/>
              </w:rPr>
              <w:t>支持操作系统: windows:Windows XP Home Edition, XP Professional Edition, XP Professional x64 Edition, Server 2003, Server 2003 x64 Edition, Vista, Server 2008, Server 2008 R2, 7, 8, 8.1,10 Server 2012, Server 2012 R2;Macintosh:OS X v10.7.5, 10.8.x, 10.9.x (仅下载);linux:CUPS, LPD/LPRng (x86/x64 环境)</w:t>
            </w:r>
            <w:r>
              <w:rPr>
                <w:rFonts w:hint="eastAsia" w:ascii="宋体" w:hAnsi="宋体" w:eastAsia="宋体" w:cs="宋体"/>
                <w:kern w:val="0"/>
                <w:sz w:val="24"/>
              </w:rPr>
              <w:br w:type="textWrapping"/>
            </w:r>
            <w:r>
              <w:rPr>
                <w:rFonts w:hint="eastAsia" w:ascii="宋体" w:hAnsi="宋体" w:eastAsia="宋体" w:cs="宋体"/>
                <w:kern w:val="0"/>
                <w:sz w:val="24"/>
              </w:rPr>
              <w:t>复印速度: 30cpm</w:t>
            </w:r>
            <w:r>
              <w:rPr>
                <w:rFonts w:hint="eastAsia" w:ascii="宋体" w:hAnsi="宋体" w:eastAsia="宋体" w:cs="宋体"/>
                <w:kern w:val="0"/>
                <w:sz w:val="24"/>
              </w:rPr>
              <w:br w:type="textWrapping"/>
            </w:r>
            <w:r>
              <w:rPr>
                <w:rFonts w:hint="eastAsia" w:ascii="宋体" w:hAnsi="宋体" w:eastAsia="宋体" w:cs="宋体"/>
                <w:kern w:val="0"/>
                <w:sz w:val="24"/>
              </w:rPr>
              <w:t>分辨率: 600 x 600 dpi</w:t>
            </w:r>
            <w:r>
              <w:rPr>
                <w:rFonts w:hint="eastAsia" w:ascii="宋体" w:hAnsi="宋体" w:eastAsia="宋体" w:cs="宋体"/>
                <w:kern w:val="0"/>
                <w:sz w:val="24"/>
              </w:rPr>
              <w:br w:type="textWrapping"/>
            </w:r>
            <w:r>
              <w:rPr>
                <w:rFonts w:hint="eastAsia" w:ascii="宋体" w:hAnsi="宋体" w:eastAsia="宋体" w:cs="宋体"/>
                <w:kern w:val="0"/>
                <w:sz w:val="24"/>
              </w:rPr>
              <w:t>放大缩小复印: 25%-400%</w:t>
            </w:r>
            <w:r>
              <w:rPr>
                <w:rFonts w:hint="eastAsia" w:ascii="宋体" w:hAnsi="宋体" w:eastAsia="宋体" w:cs="宋体"/>
                <w:kern w:val="0"/>
                <w:sz w:val="24"/>
              </w:rPr>
              <w:br w:type="textWrapping"/>
            </w:r>
            <w:r>
              <w:rPr>
                <w:rFonts w:hint="eastAsia" w:ascii="宋体" w:hAnsi="宋体" w:eastAsia="宋体" w:cs="宋体"/>
                <w:kern w:val="0"/>
                <w:sz w:val="24"/>
              </w:rPr>
              <w:t>色深: 30位输入/24位输出</w:t>
            </w:r>
            <w:r>
              <w:rPr>
                <w:rFonts w:hint="eastAsia" w:ascii="宋体" w:hAnsi="宋体" w:eastAsia="宋体" w:cs="宋体"/>
                <w:kern w:val="0"/>
                <w:sz w:val="24"/>
              </w:rPr>
              <w:br w:type="textWrapping"/>
            </w:r>
            <w:r>
              <w:rPr>
                <w:rFonts w:hint="eastAsia" w:ascii="宋体" w:hAnsi="宋体" w:eastAsia="宋体" w:cs="宋体"/>
                <w:kern w:val="0"/>
                <w:sz w:val="24"/>
              </w:rPr>
              <w:t>灰度等级: 10位输入/8位输出</w:t>
            </w:r>
            <w:r>
              <w:rPr>
                <w:rFonts w:hint="eastAsia" w:ascii="宋体" w:hAnsi="宋体" w:eastAsia="宋体" w:cs="宋体"/>
                <w:kern w:val="0"/>
                <w:sz w:val="24"/>
              </w:rPr>
              <w:br w:type="textWrapping"/>
            </w:r>
            <w:r>
              <w:rPr>
                <w:rFonts w:hint="eastAsia" w:ascii="宋体" w:hAnsi="宋体" w:eastAsia="宋体" w:cs="宋体"/>
                <w:kern w:val="0"/>
                <w:sz w:val="24"/>
              </w:rPr>
              <w:t>扫描分辨率(插值): 高达 19,200 x 19,200 dpi</w:t>
            </w:r>
            <w:r>
              <w:rPr>
                <w:rFonts w:hint="eastAsia" w:ascii="宋体" w:hAnsi="宋体" w:eastAsia="宋体" w:cs="宋体"/>
                <w:kern w:val="0"/>
                <w:sz w:val="24"/>
              </w:rPr>
              <w:br w:type="textWrapping"/>
            </w:r>
            <w:r>
              <w:rPr>
                <w:rFonts w:hint="eastAsia" w:ascii="宋体" w:hAnsi="宋体" w:eastAsia="宋体" w:cs="宋体"/>
                <w:kern w:val="0"/>
                <w:sz w:val="24"/>
              </w:rPr>
              <w:t>扫描分辨率(光学): 高达 600 x 2400 dpi自动双面打印速度: 15面/分钟</w:t>
            </w:r>
            <w:r>
              <w:rPr>
                <w:rFonts w:hint="eastAsia" w:ascii="宋体" w:hAnsi="宋体" w:eastAsia="宋体" w:cs="宋体"/>
                <w:kern w:val="0"/>
                <w:sz w:val="24"/>
              </w:rPr>
              <w:br w:type="textWrapping"/>
            </w:r>
            <w:r>
              <w:rPr>
                <w:rFonts w:hint="eastAsia" w:ascii="宋体" w:hAnsi="宋体" w:eastAsia="宋体" w:cs="宋体"/>
                <w:kern w:val="0"/>
                <w:sz w:val="24"/>
              </w:rPr>
              <w:t>首页打印输出时间(从Ready模式开始计算，标准纸盒）: 少于8.5秒</w:t>
            </w:r>
            <w:r>
              <w:rPr>
                <w:rFonts w:hint="eastAsia" w:ascii="宋体" w:hAnsi="宋体" w:eastAsia="宋体" w:cs="宋体"/>
                <w:kern w:val="0"/>
                <w:sz w:val="24"/>
              </w:rPr>
              <w:br w:type="textWrapping"/>
            </w:r>
            <w:r>
              <w:rPr>
                <w:rFonts w:hint="eastAsia" w:ascii="宋体" w:hAnsi="宋体" w:eastAsia="宋体" w:cs="宋体"/>
                <w:kern w:val="0"/>
                <w:sz w:val="24"/>
              </w:rPr>
              <w:t>打印仿真语言: PCL6, BR-Script3</w:t>
            </w:r>
            <w:r>
              <w:rPr>
                <w:rFonts w:hint="eastAsia" w:ascii="宋体" w:hAnsi="宋体" w:eastAsia="宋体" w:cs="宋体"/>
                <w:kern w:val="0"/>
                <w:sz w:val="24"/>
              </w:rPr>
              <w:br w:type="textWrapping"/>
            </w:r>
            <w:r>
              <w:rPr>
                <w:rFonts w:hint="eastAsia" w:ascii="宋体" w:hAnsi="宋体" w:eastAsia="宋体" w:cs="宋体"/>
                <w:kern w:val="0"/>
                <w:sz w:val="24"/>
              </w:rPr>
              <w:t>打印速度: 30ppm</w:t>
            </w:r>
            <w:r>
              <w:rPr>
                <w:rFonts w:hint="eastAsia" w:ascii="宋体" w:hAnsi="宋体" w:eastAsia="宋体" w:cs="宋体"/>
                <w:kern w:val="0"/>
                <w:sz w:val="24"/>
              </w:rPr>
              <w:br w:type="textWrapping"/>
            </w:r>
            <w:r>
              <w:rPr>
                <w:rFonts w:hint="eastAsia" w:ascii="宋体" w:hAnsi="宋体" w:eastAsia="宋体" w:cs="宋体"/>
                <w:kern w:val="0"/>
                <w:sz w:val="24"/>
              </w:rPr>
              <w:t>分辨率: 600*600dpi，HQ1200dpi多址发送: 同一份传真可同时发送给258个地址，内存发送/无纸接收：400页 (ITU-T测试样张,标准分辨率, JBIG)</w:t>
            </w:r>
            <w:r>
              <w:rPr>
                <w:rFonts w:hint="eastAsia" w:ascii="宋体" w:hAnsi="宋体" w:eastAsia="宋体" w:cs="宋体"/>
                <w:kern w:val="0"/>
                <w:sz w:val="24"/>
              </w:rPr>
              <w:br w:type="textWrapping"/>
            </w:r>
            <w:r>
              <w:rPr>
                <w:rFonts w:hint="eastAsia" w:ascii="宋体" w:hAnsi="宋体" w:eastAsia="宋体" w:cs="宋体"/>
                <w:kern w:val="0"/>
                <w:sz w:val="24"/>
              </w:rPr>
              <w:t>双面传真发送/接收: 支持</w:t>
            </w:r>
            <w:r>
              <w:rPr>
                <w:rFonts w:hint="eastAsia" w:ascii="宋体" w:hAnsi="宋体" w:eastAsia="宋体" w:cs="宋体"/>
                <w:kern w:val="0"/>
                <w:sz w:val="24"/>
              </w:rPr>
              <w:br w:type="textWrapping"/>
            </w:r>
            <w:r>
              <w:rPr>
                <w:rFonts w:hint="eastAsia" w:ascii="宋体" w:hAnsi="宋体" w:eastAsia="宋体" w:cs="宋体"/>
                <w:kern w:val="0"/>
                <w:sz w:val="24"/>
              </w:rPr>
              <w:t>组拨号: 20组</w:t>
            </w:r>
            <w:r>
              <w:rPr>
                <w:rFonts w:hint="eastAsia" w:ascii="宋体" w:hAnsi="宋体" w:eastAsia="宋体" w:cs="宋体"/>
                <w:kern w:val="0"/>
                <w:sz w:val="24"/>
              </w:rPr>
              <w:br w:type="textWrapping"/>
            </w:r>
            <w:r>
              <w:rPr>
                <w:rFonts w:hint="eastAsia" w:ascii="宋体" w:hAnsi="宋体" w:eastAsia="宋体" w:cs="宋体"/>
                <w:kern w:val="0"/>
                <w:sz w:val="24"/>
              </w:rPr>
              <w:t>信息中心: 进网许可证编号请详见本机机身所粘贴的进网标签</w:t>
            </w:r>
            <w:r>
              <w:rPr>
                <w:rFonts w:hint="eastAsia" w:ascii="宋体" w:hAnsi="宋体" w:eastAsia="宋体" w:cs="宋体"/>
                <w:kern w:val="0"/>
                <w:sz w:val="24"/>
              </w:rPr>
              <w:br w:type="textWrapping"/>
            </w:r>
            <w:r>
              <w:rPr>
                <w:rFonts w:hint="eastAsia" w:ascii="宋体" w:hAnsi="宋体" w:eastAsia="宋体" w:cs="宋体"/>
                <w:kern w:val="0"/>
                <w:sz w:val="24"/>
              </w:rPr>
              <w:t>调制解调器速度: 33,600bps (Fax)</w:t>
            </w:r>
            <w:r>
              <w:rPr>
                <w:rFonts w:hint="eastAsia" w:ascii="宋体" w:hAnsi="宋体" w:eastAsia="宋体" w:cs="宋体"/>
                <w:kern w:val="0"/>
                <w:sz w:val="24"/>
              </w:rPr>
              <w:br w:type="textWrapping"/>
            </w:r>
            <w:r>
              <w:rPr>
                <w:rFonts w:hint="eastAsia" w:ascii="宋体" w:hAnsi="宋体" w:eastAsia="宋体" w:cs="宋体"/>
                <w:kern w:val="0"/>
                <w:sz w:val="24"/>
              </w:rPr>
              <w:t>PC-FAX: 从计算机上发送和接收传真（在Macintosh和Linux系统下仅支持发送）</w:t>
            </w:r>
            <w:r>
              <w:rPr>
                <w:rFonts w:hint="eastAsia" w:ascii="宋体" w:hAnsi="宋体" w:eastAsia="宋体" w:cs="宋体"/>
                <w:kern w:val="0"/>
                <w:sz w:val="24"/>
              </w:rPr>
              <w:br w:type="textWrapping"/>
            </w:r>
            <w:r>
              <w:rPr>
                <w:rFonts w:hint="eastAsia" w:ascii="宋体" w:hAnsi="宋体" w:eastAsia="宋体" w:cs="宋体"/>
                <w:kern w:val="0"/>
                <w:sz w:val="24"/>
              </w:rPr>
              <w:t>单键拨号: 可存储8个号码</w:t>
            </w:r>
            <w:r>
              <w:rPr>
                <w:rFonts w:hint="eastAsia" w:ascii="宋体" w:hAnsi="宋体" w:eastAsia="宋体" w:cs="宋体"/>
                <w:kern w:val="0"/>
                <w:sz w:val="24"/>
              </w:rPr>
              <w:br w:type="textWrapping"/>
            </w:r>
            <w:r>
              <w:rPr>
                <w:rFonts w:hint="eastAsia" w:ascii="宋体" w:hAnsi="宋体" w:eastAsia="宋体" w:cs="宋体"/>
                <w:kern w:val="0"/>
                <w:sz w:val="24"/>
              </w:rPr>
              <w:t>速拨号: 可存储200个号码</w:t>
            </w:r>
          </w:p>
        </w:tc>
        <w:tc>
          <w:tcPr>
            <w:tcW w:w="0" w:type="auto"/>
            <w:tcBorders>
              <w:top w:val="nil"/>
              <w:left w:val="nil"/>
              <w:bottom w:val="nil"/>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nil"/>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2</w:t>
            </w:r>
          </w:p>
        </w:tc>
        <w:tc>
          <w:tcPr>
            <w:tcW w:w="0" w:type="auto"/>
            <w:tcBorders>
              <w:top w:val="nil"/>
              <w:left w:val="nil"/>
              <w:bottom w:val="nil"/>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10</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系统集成服务</w:t>
            </w:r>
          </w:p>
        </w:tc>
        <w:tc>
          <w:tcPr>
            <w:tcW w:w="0" w:type="auto"/>
            <w:tcBorders>
              <w:top w:val="nil"/>
              <w:left w:val="nil"/>
              <w:bottom w:val="single" w:color="auto" w:sz="4" w:space="0"/>
              <w:right w:val="single" w:color="auto" w:sz="4" w:space="0"/>
            </w:tcBorders>
            <w:shd w:val="clear" w:color="auto" w:fill="auto"/>
            <w:vAlign w:val="center"/>
          </w:tcPr>
          <w:p>
            <w:pPr>
              <w:pStyle w:val="2"/>
              <w:ind w:left="0" w:leftChars="0"/>
              <w:rPr>
                <w:rFonts w:ascii="宋体" w:hAnsi="宋体" w:eastAsia="宋体" w:cs="宋体"/>
                <w:kern w:val="0"/>
                <w:sz w:val="24"/>
                <w:highlight w:val="none"/>
              </w:rPr>
            </w:pPr>
            <w:r>
              <w:rPr>
                <w:rFonts w:hint="eastAsia" w:ascii="宋体" w:hAnsi="宋体" w:eastAsia="宋体" w:cs="宋体"/>
                <w:kern w:val="0"/>
                <w:sz w:val="24"/>
                <w:highlight w:val="none"/>
              </w:rPr>
              <w:t>系统集成服务</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项</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highlight w:val="none"/>
              </w:rPr>
            </w:pPr>
          </w:p>
        </w:tc>
      </w:tr>
    </w:tbl>
    <w:p/>
    <w:p>
      <w:pPr>
        <w:pStyle w:val="4"/>
        <w:spacing w:before="120" w:after="120" w:line="360" w:lineRule="auto"/>
        <w:rPr>
          <w:rFonts w:ascii="宋体" w:hAnsi="宋体" w:eastAsia="宋体" w:cs="宋体"/>
          <w:kern w:val="0"/>
          <w:sz w:val="24"/>
          <w:szCs w:val="24"/>
        </w:rPr>
      </w:pPr>
      <w:bookmarkStart w:id="4" w:name="_Toc127463064"/>
      <w:r>
        <w:rPr>
          <w:rFonts w:hint="eastAsia" w:ascii="宋体" w:hAnsi="宋体" w:eastAsia="宋体" w:cs="宋体"/>
          <w:kern w:val="0"/>
          <w:sz w:val="24"/>
          <w:szCs w:val="24"/>
        </w:rPr>
        <w:t>4、大屏显示系统</w:t>
      </w:r>
      <w:bookmarkEnd w:id="4"/>
    </w:p>
    <w:tbl>
      <w:tblPr>
        <w:tblStyle w:val="11"/>
        <w:tblW w:w="0" w:type="auto"/>
        <w:tblInd w:w="91" w:type="dxa"/>
        <w:tblLayout w:type="autofit"/>
        <w:tblCellMar>
          <w:top w:w="0" w:type="dxa"/>
          <w:left w:w="108" w:type="dxa"/>
          <w:bottom w:w="0" w:type="dxa"/>
          <w:right w:w="108" w:type="dxa"/>
        </w:tblCellMar>
      </w:tblPr>
      <w:tblGrid>
        <w:gridCol w:w="698"/>
        <w:gridCol w:w="2916"/>
        <w:gridCol w:w="4055"/>
        <w:gridCol w:w="698"/>
        <w:gridCol w:w="698"/>
        <w:gridCol w:w="698"/>
      </w:tblGrid>
      <w:tr>
        <w:tblPrEx>
          <w:tblCellMar>
            <w:top w:w="0" w:type="dxa"/>
            <w:left w:w="108" w:type="dxa"/>
            <w:bottom w:w="0" w:type="dxa"/>
            <w:right w:w="108" w:type="dxa"/>
          </w:tblCellMar>
        </w:tblPrEx>
        <w:trPr>
          <w:trHeight w:val="482" w:hRule="atLeast"/>
          <w:tblHeader/>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序号</w:t>
            </w:r>
          </w:p>
        </w:tc>
        <w:tc>
          <w:tcPr>
            <w:tcW w:w="0" w:type="auto"/>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名称</w:t>
            </w:r>
          </w:p>
        </w:tc>
        <w:tc>
          <w:tcPr>
            <w:tcW w:w="0" w:type="auto"/>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技术参数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单位</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数量</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备注</w:t>
            </w: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一、指挥中心</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1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◆80吋激光高清显示单元</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1、采用80英寸16：9全高清DLP显示单元，2行4列拼接；厚度不超过630mm；</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2、DLP投影机（光机引擎）采用3*4 LED光源。</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3、投影机芯光源寿命大于60000小时；</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4、物理拼缝＜0.1mm，整屏水平与垂直平整度偏差度≤0.1mm；</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5、屏前亮度均匀性≥99%。</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6、DLP单元工作功耗≤150W；</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7、单屏分辨率≥1920×1200 60Hz并向下兼容；</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8、动态对比度＞640000:1，静态对比度＞2800:1；</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9、屏幕采用复合玻璃幕，无眩光、无反射、易清洁维护；</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10、大屏幕水平视角 ≥170°，垂直视角≥160°;</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11、DLP背投显示单元应满足GB4208-2008《外壳防护等级》中的IP6X六级防尘要求。</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12、显示单元采用一体化箱体设计，箱体间结构拼接牢固可靠.</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13、投影单元工作噪音小，符合低噪声环保设计，屏幕前、后、左、右均＜7dB。</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14、显示单元平均无故障时间（MTBF）大于180000小时，平均故障修复时间MTTR≤15分钟.</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8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二、联勤值班室区</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1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70吋激光高清显示单元</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1、采用70英寸16：9全高清DLP显示单元，2行3列拼接；厚度不超过630mm；</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2、DLP投影机（光机引擎）采用3*4 LED光源。</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3、投影机芯光源寿命大于60000小时；</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4、物理拼缝＜0.1mm，整屏水平与垂直平整度偏差度≤0.1mm；</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5、屏前亮度均匀性≥99%。</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6、DLP单元工作功耗≤150W；</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7、单屏分辨率≥1920×1200 60Hz并向下兼容；</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8、动态对比度＞640000:1，静态对比度＞2800:1；</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9、屏幕采用复合玻璃幕，无眩光、无反射、易清洁维护；</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10、大屏幕水平视角 ≥170°，垂直视角≥160°;</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11、DLP背投显示单元应满足GB4208-2008《外壳防护等级》中的IP6X六级防尘要求。</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12、显示单元采用一体化箱体设计，箱体间结构拼接牢固可靠.</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13、投影单元工作噪音小，符合低噪声环保设计，屏幕前、后、左、右均＜7dB。</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14、显示单元平均无故障时间（MTBF）大于180000小时，平均故障修复时间MTTR≤15分钟.</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6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 xml:space="preserve">三、会商室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86寸智慧触摸屏</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屏幕显示尺寸≥86寸，液晶显示屏幕采用工业级A规液晶面板，图像分辨率：3840*2160，显示比例16:9，亮度≥350cd/m2，对比度≥1200：1（IPS硬屏），可视角度≥178°,灰阶最高可支持256级，色彩度1.07B，刷新率支持60Hz及以上。</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2.前置电源按键具备三键合一按钮，支持一键整机开关机、电脑开关机，节能待机三键合一，在节能待机状态下可通过五指长按屏幕唤醒。</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3.整机前置接口具备2路USB3.0接口同时支持在Windows和Android系统下被读取，双系统自动跟随。</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4.整机前置针孔式还原按键，长按可一键还原 OPS 电脑，防止误操作。</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整机支持在全通道左、右侧边调取隐藏虚拟菜单，侧边栏菜单可便捷打开和设置如“截屏，智能护眼，触摸感应，节能，锁屏，单独听，熄屏，自动背光，聚光灯，蓝牙，屏幕下移，白板”≥30个应用功能，虚拟菜单可设置点击展开和侧边划出两种调取方式。</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6.整机支持多种手势交互方式，五指长按屏幕可实现屏幕息屏与唤醒，两指双击屏幕可唤出悬浮罗盘，三指下滑可实现屏幕下移，屏幕下移后仍可实现触控，板书批注操作。</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　</w:t>
            </w: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 xml:space="preserve">四、大屏显示外围设备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大屏底座</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铝合金型材结构</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7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线缆</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视频、控制线缆，网线、串口线、PDU等</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14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bl>
    <w:p/>
    <w:p>
      <w:pPr>
        <w:pStyle w:val="4"/>
        <w:spacing w:before="120" w:after="120" w:line="360" w:lineRule="auto"/>
        <w:rPr>
          <w:rFonts w:ascii="宋体" w:hAnsi="宋体" w:eastAsia="宋体" w:cs="宋体"/>
          <w:kern w:val="0"/>
          <w:sz w:val="24"/>
          <w:szCs w:val="24"/>
        </w:rPr>
      </w:pPr>
      <w:bookmarkStart w:id="5" w:name="_Toc127463065"/>
      <w:r>
        <w:rPr>
          <w:rFonts w:hint="eastAsia" w:ascii="宋体" w:hAnsi="宋体" w:eastAsia="宋体" w:cs="宋体"/>
          <w:kern w:val="0"/>
          <w:sz w:val="24"/>
          <w:szCs w:val="24"/>
        </w:rPr>
        <w:t>5、分布式座席管理系统</w:t>
      </w:r>
      <w:bookmarkEnd w:id="5"/>
    </w:p>
    <w:tbl>
      <w:tblPr>
        <w:tblStyle w:val="11"/>
        <w:tblW w:w="0" w:type="auto"/>
        <w:tblInd w:w="91" w:type="dxa"/>
        <w:tblLayout w:type="autofit"/>
        <w:tblCellMar>
          <w:top w:w="0" w:type="dxa"/>
          <w:left w:w="108" w:type="dxa"/>
          <w:bottom w:w="0" w:type="dxa"/>
          <w:right w:w="108" w:type="dxa"/>
        </w:tblCellMar>
      </w:tblPr>
      <w:tblGrid>
        <w:gridCol w:w="491"/>
        <w:gridCol w:w="1190"/>
        <w:gridCol w:w="6606"/>
        <w:gridCol w:w="492"/>
        <w:gridCol w:w="492"/>
        <w:gridCol w:w="492"/>
      </w:tblGrid>
      <w:tr>
        <w:tblPrEx>
          <w:tblCellMar>
            <w:top w:w="0" w:type="dxa"/>
            <w:left w:w="108" w:type="dxa"/>
            <w:bottom w:w="0" w:type="dxa"/>
            <w:right w:w="108" w:type="dxa"/>
          </w:tblCellMar>
        </w:tblPrEx>
        <w:trPr>
          <w:trHeight w:val="539" w:hRule="atLeast"/>
          <w:tblHeader/>
        </w:trPr>
        <w:tc>
          <w:tcPr>
            <w:tcW w:w="0" w:type="auto"/>
            <w:tcBorders>
              <w:top w:val="single" w:color="auto" w:sz="8" w:space="0"/>
              <w:left w:val="single" w:color="auto" w:sz="8"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序号</w:t>
            </w:r>
          </w:p>
        </w:tc>
        <w:tc>
          <w:tcPr>
            <w:tcW w:w="0" w:type="auto"/>
            <w:tcBorders>
              <w:top w:val="single" w:color="auto" w:sz="8"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名称</w:t>
            </w:r>
          </w:p>
        </w:tc>
        <w:tc>
          <w:tcPr>
            <w:tcW w:w="0" w:type="auto"/>
            <w:tcBorders>
              <w:top w:val="single" w:color="auto" w:sz="8"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技术参数</w:t>
            </w:r>
          </w:p>
        </w:tc>
        <w:tc>
          <w:tcPr>
            <w:tcW w:w="0" w:type="auto"/>
            <w:tcBorders>
              <w:top w:val="single" w:color="auto" w:sz="8"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单位</w:t>
            </w:r>
          </w:p>
        </w:tc>
        <w:tc>
          <w:tcPr>
            <w:tcW w:w="0" w:type="auto"/>
            <w:tcBorders>
              <w:top w:val="single" w:color="auto" w:sz="8"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数量</w:t>
            </w:r>
          </w:p>
        </w:tc>
        <w:tc>
          <w:tcPr>
            <w:tcW w:w="0" w:type="auto"/>
            <w:tcBorders>
              <w:top w:val="single" w:color="auto" w:sz="8" w:space="0"/>
              <w:left w:val="nil"/>
              <w:bottom w:val="single" w:color="auto" w:sz="4" w:space="0"/>
              <w:right w:val="single" w:color="auto" w:sz="8"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备注</w:t>
            </w:r>
          </w:p>
        </w:tc>
      </w:tr>
      <w:tr>
        <w:tblPrEx>
          <w:tblCellMar>
            <w:top w:w="0" w:type="dxa"/>
            <w:left w:w="108" w:type="dxa"/>
            <w:bottom w:w="0" w:type="dxa"/>
            <w:right w:w="108" w:type="dxa"/>
          </w:tblCellMar>
        </w:tblPrEx>
        <w:trPr>
          <w:trHeight w:val="480" w:hRule="atLeast"/>
        </w:trPr>
        <w:tc>
          <w:tcPr>
            <w:tcW w:w="0" w:type="auto"/>
            <w:tcBorders>
              <w:top w:val="nil"/>
              <w:left w:val="single" w:color="auto" w:sz="8"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4K分布式KVM一体输入节点</w:t>
            </w:r>
          </w:p>
        </w:tc>
        <w:tc>
          <w:tcPr>
            <w:tcW w:w="0" w:type="auto"/>
            <w:vMerge w:val="restart"/>
            <w:tcBorders>
              <w:top w:val="nil"/>
              <w:left w:val="single" w:color="auto" w:sz="4" w:space="0"/>
              <w:bottom w:val="single" w:color="000000" w:sz="4" w:space="0"/>
              <w:right w:val="single" w:color="auto" w:sz="4" w:space="0"/>
            </w:tcBorders>
            <w:shd w:val="clear" w:color="auto" w:fill="auto"/>
          </w:tcPr>
          <w:p>
            <w:pPr>
              <w:widowControl/>
              <w:spacing w:after="240"/>
              <w:jc w:val="left"/>
              <w:rPr>
                <w:rFonts w:ascii="宋体" w:hAnsi="宋体" w:eastAsia="宋体" w:cs="宋体"/>
                <w:kern w:val="0"/>
                <w:sz w:val="24"/>
              </w:rPr>
            </w:pPr>
            <w:r>
              <w:rPr>
                <w:rFonts w:hint="eastAsia" w:ascii="宋体" w:hAnsi="宋体" w:eastAsia="宋体" w:cs="宋体"/>
                <w:kern w:val="0"/>
                <w:sz w:val="24"/>
              </w:rPr>
              <w:t>1.具备高清HDMI接口2个，支持信号输入输出，支持信号环出功能，具备3.5mm音频接口2个，支持音频的输入和输出，支持音频环出功能，1路3.81mm凤凰端子的RS232接口，1路3.81mm凤凰端子的继电器接口，具备1路的光纤接口及1路的RJ45接口，支持一光一网备份功能；</w:t>
            </w:r>
            <w:r>
              <w:rPr>
                <w:rFonts w:hint="eastAsia" w:ascii="宋体" w:hAnsi="宋体" w:eastAsia="宋体" w:cs="宋体"/>
                <w:kern w:val="0"/>
                <w:sz w:val="24"/>
              </w:rPr>
              <w:br w:type="textWrapping"/>
            </w:r>
            <w:r>
              <w:rPr>
                <w:rFonts w:hint="eastAsia" w:ascii="宋体" w:hAnsi="宋体" w:eastAsia="宋体" w:cs="宋体"/>
                <w:kern w:val="0"/>
                <w:sz w:val="24"/>
              </w:rPr>
              <w:t>2.为了实现稳定可靠的供电及方便施工，需同时支持POE供电及适配器供电，用于电源冗余备份；</w:t>
            </w:r>
            <w:r>
              <w:rPr>
                <w:rFonts w:hint="eastAsia" w:ascii="宋体" w:hAnsi="宋体" w:eastAsia="宋体" w:cs="宋体"/>
                <w:kern w:val="0"/>
                <w:sz w:val="24"/>
              </w:rPr>
              <w:br w:type="textWrapping"/>
            </w:r>
            <w:r>
              <w:rPr>
                <w:rFonts w:hint="eastAsia" w:ascii="宋体" w:hAnsi="宋体" w:eastAsia="宋体" w:cs="宋体"/>
                <w:kern w:val="0"/>
                <w:sz w:val="24"/>
              </w:rPr>
              <w:t>3.为达到超高清显示，需支持HDMI1.4，兼容DVI1.0协议，支持输入输出分辨率达到3840*2160@30hz，支持4:4:4的色彩空间；</w:t>
            </w:r>
            <w:r>
              <w:rPr>
                <w:rFonts w:hint="eastAsia" w:ascii="宋体" w:hAnsi="宋体" w:eastAsia="宋体" w:cs="宋体"/>
                <w:kern w:val="0"/>
                <w:sz w:val="24"/>
              </w:rPr>
              <w:br w:type="textWrapping"/>
            </w:r>
            <w:r>
              <w:rPr>
                <w:rFonts w:hint="eastAsia" w:ascii="宋体" w:hAnsi="宋体" w:eastAsia="宋体" w:cs="宋体"/>
                <w:kern w:val="0"/>
                <w:sz w:val="24"/>
              </w:rPr>
              <w:t>4.为了系统安全，全系统节点采用嵌入式软件设计，国产化硬件设计，系统无崩溃和病毒入侵风险，无服务器纯分布式架构，任意一个节点故障不影响其他节点正常工作；</w:t>
            </w:r>
            <w:r>
              <w:rPr>
                <w:rFonts w:hint="eastAsia" w:ascii="宋体" w:hAnsi="宋体" w:eastAsia="宋体" w:cs="宋体"/>
                <w:kern w:val="0"/>
                <w:sz w:val="24"/>
              </w:rPr>
              <w:br w:type="textWrapping"/>
            </w:r>
            <w:r>
              <w:rPr>
                <w:rFonts w:hint="eastAsia" w:ascii="宋体" w:hAnsi="宋体" w:eastAsia="宋体" w:cs="宋体"/>
                <w:kern w:val="0"/>
                <w:sz w:val="24"/>
              </w:rPr>
              <w:t xml:space="preserve">5. 为了区分系统内多种信号源，节点需支持台标功能，每个节点可单独进行设置，亦要同时支持自动台标功能，自动显示系统内设置的节点名称； </w:t>
            </w:r>
            <w:r>
              <w:rPr>
                <w:rFonts w:hint="eastAsia" w:ascii="宋体" w:hAnsi="宋体" w:eastAsia="宋体" w:cs="宋体"/>
                <w:kern w:val="0"/>
                <w:sz w:val="24"/>
              </w:rPr>
              <w:br w:type="textWrapping"/>
            </w:r>
            <w:r>
              <w:rPr>
                <w:rFonts w:hint="eastAsia" w:ascii="宋体" w:hAnsi="宋体" w:eastAsia="宋体" w:cs="宋体"/>
                <w:kern w:val="0"/>
                <w:sz w:val="24"/>
              </w:rPr>
              <w:t xml:space="preserve">6. 系统内支持组播和单播协议，单播情况下支持200路以上并发连接，支持跨网段跨区域进行信号的互联互通，组播协议下，并发连接数量不受任何限制；多达1000个接收端同时连接一个发送端的全部完成切换时间小于3S（秒）； </w:t>
            </w:r>
            <w:r>
              <w:rPr>
                <w:rFonts w:hint="eastAsia" w:ascii="宋体" w:hAnsi="宋体" w:eastAsia="宋体" w:cs="宋体"/>
                <w:kern w:val="0"/>
                <w:sz w:val="24"/>
              </w:rPr>
              <w:br w:type="textWrapping"/>
            </w:r>
            <w:r>
              <w:rPr>
                <w:rFonts w:hint="eastAsia" w:ascii="宋体" w:hAnsi="宋体" w:eastAsia="宋体" w:cs="宋体"/>
                <w:kern w:val="0"/>
                <w:sz w:val="24"/>
              </w:rPr>
              <w:t>7. ▲终端或服务器均为国产化硬件设计架构，核心CPU处理芯片采用国产化嵌入式芯片与FPGA组合，采用国产嵌入式HiLinux系统，国产化自主嵌入式软件设计开发； （需提供CMA、ilac-MRA或CNAS认证的具有检测资质检测机构出具的检测报告）</w:t>
            </w:r>
            <w:r>
              <w:rPr>
                <w:rFonts w:hint="eastAsia" w:ascii="宋体" w:hAnsi="宋体" w:eastAsia="宋体" w:cs="宋体"/>
                <w:kern w:val="0"/>
                <w:sz w:val="24"/>
              </w:rPr>
              <w:br w:type="textWrapping"/>
            </w:r>
            <w:r>
              <w:rPr>
                <w:rFonts w:hint="eastAsia" w:ascii="宋体" w:hAnsi="宋体" w:eastAsia="宋体" w:cs="宋体"/>
                <w:kern w:val="0"/>
                <w:sz w:val="24"/>
              </w:rPr>
              <w:t>8. 为了同时显示多种内容，节点输出画面支持画面分割，在同一个显示器上需可以显示1x1，2x2，3x3，4x4等多画面；支持信号切换功能。推送过来的信号可以进行排队，自由选择优先处理的任务</w:t>
            </w:r>
            <w:r>
              <w:rPr>
                <w:rFonts w:hint="eastAsia" w:ascii="宋体" w:hAnsi="宋体" w:eastAsia="宋体" w:cs="宋体"/>
                <w:kern w:val="0"/>
                <w:sz w:val="24"/>
              </w:rPr>
              <w:br w:type="textWrapping"/>
            </w:r>
            <w:r>
              <w:rPr>
                <w:rFonts w:hint="eastAsia" w:ascii="宋体" w:hAnsi="宋体" w:eastAsia="宋体" w:cs="宋体"/>
                <w:kern w:val="0"/>
                <w:sz w:val="24"/>
              </w:rPr>
              <w:t>9. 具备统信、麒麟、linux等客户端管控功能，实现全系统的调度和管理；</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26</w:t>
            </w:r>
          </w:p>
        </w:tc>
        <w:tc>
          <w:tcPr>
            <w:tcW w:w="0" w:type="auto"/>
            <w:tcBorders>
              <w:top w:val="nil"/>
              <w:left w:val="nil"/>
              <w:bottom w:val="single" w:color="auto" w:sz="4" w:space="0"/>
              <w:right w:val="single" w:color="auto" w:sz="8"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8"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4K分布式KVM一体输出节点</w:t>
            </w:r>
          </w:p>
        </w:tc>
        <w:tc>
          <w:tcPr>
            <w:tcW w:w="0" w:type="auto"/>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kern w:val="0"/>
                <w:sz w:val="24"/>
              </w:rPr>
            </w:pP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15</w:t>
            </w:r>
          </w:p>
        </w:tc>
        <w:tc>
          <w:tcPr>
            <w:tcW w:w="0" w:type="auto"/>
            <w:tcBorders>
              <w:top w:val="nil"/>
              <w:left w:val="nil"/>
              <w:bottom w:val="single" w:color="auto" w:sz="4" w:space="0"/>
              <w:right w:val="single" w:color="auto" w:sz="8"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8"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4K分布式KVM一体坐席管理输入节点</w:t>
            </w:r>
          </w:p>
        </w:tc>
        <w:tc>
          <w:tcPr>
            <w:tcW w:w="0" w:type="auto"/>
            <w:vMerge w:val="restart"/>
            <w:tcBorders>
              <w:top w:val="nil"/>
              <w:left w:val="single" w:color="auto" w:sz="4" w:space="0"/>
              <w:bottom w:val="single" w:color="000000" w:sz="4" w:space="0"/>
              <w:right w:val="single" w:color="auto" w:sz="4" w:space="0"/>
            </w:tcBorders>
            <w:shd w:val="clear" w:color="auto" w:fill="auto"/>
            <w:vAlign w:val="center"/>
          </w:tcPr>
          <w:p>
            <w:pPr>
              <w:widowControl/>
              <w:spacing w:after="240"/>
              <w:jc w:val="left"/>
              <w:rPr>
                <w:rFonts w:ascii="宋体" w:hAnsi="宋体" w:eastAsia="宋体" w:cs="宋体"/>
                <w:color w:val="000000"/>
                <w:kern w:val="0"/>
                <w:sz w:val="24"/>
              </w:rPr>
            </w:pPr>
            <w:r>
              <w:rPr>
                <w:rFonts w:hint="eastAsia" w:ascii="宋体" w:hAnsi="宋体" w:eastAsia="宋体" w:cs="宋体"/>
                <w:color w:val="000000"/>
                <w:kern w:val="0"/>
                <w:sz w:val="24"/>
              </w:rPr>
              <w:t>1. 具备高清HDMI接口2个，支持信号输入输出，支持信号环出功能，具备3.5mm音频接口2个，支持音频的输入和输出，支持音频环出功能，2路USB-A端口，支持windows、linux、mac、中标麒麟等操作平台的鼠标、键盘， 1路USB-B端口，支持兼容USB HID的键鼠， 1路3.81mm凤凰端子的RS232接口，1路3.81mm凤凰端子的继电器接口，具备1路的光纤接口及1路的RJ45接口，支持一光一网备份功能；</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2. 为了实现稳定可靠的供电及方便施工，需同时支持POE供电及适配器供电，用于电源冗余备份；</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3. 为达到超高清显示，需支持HDMI1.4，兼容DVI1.0协议，支持输入输出分辨率达到3840*2160@30hz，支持4:4:4的色彩空间；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4. 为了区分系统内多种信号源，节点需支持台标功能，每个节点可单独进行设置，亦要同时支持自动台标功能，自动显示系统内设置的节点名称；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5. 系统内支持组播和单播协议，单播情况下支持200路以上并发连接，支持跨网段跨区域进行信号的互联互通，组播协议下，并发连接数量不受任何限制；多达1000个接收端同时连接一个发送端的全部完成切换时间小于3S（秒）；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6. 支持输入和输出，即同一个节点即能同时接入信号源编码进入系统内供其他节点调用又能同时接显示器调用系统内其他信号源进行显示，一个节点当两个节点使用，降低项目中节点的用量，节省费用；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7. 终端或服务器均为国产化硬件设计架构，核心CPU处理芯片采用国产化嵌入式芯片与FPGA组合，采用国产嵌入式HiLinux系统，国产化自主嵌入式软件设计开发；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8. 支持一套键鼠管理多台显示屏幕，无数量限制；支持规则结构和异型结构跨屏；支持横屏和竖屏组合跨屏功能；适应客户的任意操作习惯和业务需求；支持一套键盘鼠标同时管理多台计算机主机，计算机主机数量没有限制，实现一人多机单人多业务管理功能；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9. ▲支持消息队列、可根据信号的轻重缓急进行自动排序并不同颜色标注；支持和警示灯联动，告知用户有信号被推送过来，便于及时处理； （需提供CMA、ilac-MRA、或CNAS认证的具有检测资质检测机构出具的检测报告）</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10. 为了同时显示多种内容，节点输出画面支持画面分割，在同一个显示器上需可以显示1x1，2x2，3x3，4x4等多画面；支持信号切换功能。推送过来的信号可以进行排队，自由选择优先处理的任务；</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11. 具备统信、麒麟、linux等客户端管控功能，实现全系统的调度和管理；</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12</w:t>
            </w:r>
          </w:p>
        </w:tc>
        <w:tc>
          <w:tcPr>
            <w:tcW w:w="0" w:type="auto"/>
            <w:tcBorders>
              <w:top w:val="nil"/>
              <w:left w:val="nil"/>
              <w:bottom w:val="single" w:color="auto" w:sz="4" w:space="0"/>
              <w:right w:val="single" w:color="auto" w:sz="8"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8"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4K分布式KVM一体坐席管理输出节点</w:t>
            </w:r>
          </w:p>
        </w:tc>
        <w:tc>
          <w:tcPr>
            <w:tcW w:w="0" w:type="auto"/>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eastAsia="宋体" w:cs="宋体"/>
                <w:color w:val="000000"/>
                <w:kern w:val="0"/>
                <w:sz w:val="24"/>
              </w:rPr>
            </w:pP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12</w:t>
            </w:r>
          </w:p>
        </w:tc>
        <w:tc>
          <w:tcPr>
            <w:tcW w:w="0" w:type="auto"/>
            <w:tcBorders>
              <w:top w:val="nil"/>
              <w:left w:val="nil"/>
              <w:bottom w:val="single" w:color="auto" w:sz="4" w:space="0"/>
              <w:right w:val="single" w:color="auto" w:sz="8"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8"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4K分布式拼接节点</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 具备高清HDMI接口2个，支持信号输入输出，支持信号环出功能，具备3.5mm音频接口2个，支持音频的输入和输出，支持音频环出功能，1路3.81mm凤凰端子的RS232接口，1路3.81mm凤凰端子的继电器接口；</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2. ★具备2路的光纤接口及2路的RJ45接口，支持双链路热备功能, 具备2路RJ45接口，支持手拉手的REF外同步接口，实现内同步和外同步功能；投标时提供样机进行核验。</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3. 为了实现稳定可靠的供电及方便施工，需同时支持POE供电及适配器供电，用于电源冗余备份；</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4. 为达到超高清显示，需支持HDMI1.4，兼容DVI1.0协议，支持输入输出分辨率达到3840*2160@30hz，支持4:4:4的色彩空间；</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5. ★所有终端设备均支持双链路热备功能，可通过双网线或双光纤或一光一网方式接入两台不同的交换系统，当其中一条链路故障时，自动跳转另外一条链路进行传输，无需人工干预；主备链路只需要1个IP地址，主备切换时间小于2S（秒），切换过程中画面无黑屏，无闪烁；（需提供CMA、ilac-MRA或CNAS认证的具有检测资质检测机构出具的检测报告，）</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6. ▲高清显示终端输出支持支持4K及以下任意分辨率裁剪功能，适合各种尺寸各种点间距LED大屏；具备任意拼接，缩放，漫游，叠加，置顶/置底，开窗/关窗,平铺，全屏，画中画显示，且画质良好，兼容LED/DID/LCD/DLP各类屏幕墙，无需拼接器或背投器；（需提供CMA、ilac-MRA或CNAS认证的具有检测资质检测机构出具的检测报告）</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7. 终端或服务器均为国产化硬件设计架构，核心CPU处理芯片采用国产化嵌入式芯片与FPGA组合，采用国产嵌入式HiLinux系统，国产化自主嵌入式软件设计开发；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8. ▲支持无服务器、无交换机组成系统，支持分布式节点手拉手连接，可实现一根光纤或网线级联不少于50台设备，可串联接入交换系统；支持网线或光纤环形连接，首尾两端可以接入交换机形成环形链路，确保系统稳定； （需提供CMA、ilac-MRA、或CNAS认证的具有检测资质检测机构出具的检测报告，）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9. 具备统信、麒麟、linux等客户端管控功能，实现全系统的调度和管理；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10. 为减少节点的故障点，所有节点需采用无风扇设计；</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14</w:t>
            </w:r>
          </w:p>
        </w:tc>
        <w:tc>
          <w:tcPr>
            <w:tcW w:w="0" w:type="auto"/>
            <w:tcBorders>
              <w:top w:val="nil"/>
              <w:left w:val="nil"/>
              <w:bottom w:val="single" w:color="auto" w:sz="4" w:space="0"/>
              <w:right w:val="single" w:color="auto" w:sz="8"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8"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分布式调度和图像综合管理平台软件</w:t>
            </w:r>
          </w:p>
        </w:tc>
        <w:tc>
          <w:tcPr>
            <w:tcW w:w="0" w:type="auto"/>
            <w:tcBorders>
              <w:top w:val="nil"/>
              <w:left w:val="nil"/>
              <w:bottom w:val="single" w:color="auto" w:sz="4" w:space="0"/>
              <w:right w:val="single" w:color="auto" w:sz="4" w:space="0"/>
            </w:tcBorders>
            <w:shd w:val="clear" w:color="auto" w:fill="auto"/>
            <w:vAlign w:val="center"/>
          </w:tcPr>
          <w:p>
            <w:pPr>
              <w:widowControl/>
              <w:spacing w:after="240"/>
              <w:jc w:val="left"/>
              <w:rPr>
                <w:rFonts w:ascii="宋体" w:hAnsi="宋体" w:eastAsia="宋体" w:cs="宋体"/>
                <w:color w:val="000000"/>
                <w:kern w:val="0"/>
                <w:sz w:val="24"/>
              </w:rPr>
            </w:pPr>
            <w:r>
              <w:rPr>
                <w:rFonts w:hint="eastAsia" w:ascii="宋体" w:hAnsi="宋体" w:eastAsia="宋体" w:cs="宋体"/>
                <w:color w:val="000000"/>
                <w:kern w:val="0"/>
                <w:sz w:val="24"/>
              </w:rPr>
              <w:t>1. VGA、全高清/超高清音视频、DVI、SDI多格式视频流转换IP流处理；</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2. Autoscaler技术，自动缩放输出适应显示器解析度的图像；</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3. 串口数据、IR数据、USB数据等转换IP流</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4. HDCP1.2、DVI1.0协议编解码通讯识别；</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5. 输入输出自适应分辨率，edid自适应；</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6. 低延时高码流高清画质呈现；</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7. 格式转换器（Converter）、倍线器（Scaler）、传输器（Transmitter）功能一体；</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81</w:t>
            </w:r>
          </w:p>
        </w:tc>
        <w:tc>
          <w:tcPr>
            <w:tcW w:w="0" w:type="auto"/>
            <w:tcBorders>
              <w:top w:val="nil"/>
              <w:left w:val="nil"/>
              <w:bottom w:val="single" w:color="auto" w:sz="4" w:space="0"/>
              <w:right w:val="single" w:color="auto" w:sz="8"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8"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7</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可视化运维管理平台</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 操作系统：定制系统、CPU：Intel 酷睿i7 6700、内存：8GB RAM、显卡：独立显卡/集成显卡、硬盘：500GB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2. 支持PC、平板、手机等多种可视化终端设备，可适应不同手机分辨率、不同pad分辨率、不同PC或触控设备分辨率界面定制，并多终端控制同步，同一权限支持多终端同时管理；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3. 支持通过现场实际位置区域或功能房间管理设备内容；</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4. 支持设备在线、离线、正常、故障、主备状态、主备链路等实时状态显示和统计数据显示；</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5. 支持自动生成网络拓扑图，支持终端、链路状态显示；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6. 支持预案管理，支持预切换功能，选择此功能，所切换信号不会立即显示在大屏上，当所有信号完成布局后一键上屏；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7. 支持自动检测,发现新接入设备；支持设备运行状态实时监测，以图形化的方式展示一个虚拟设备，与真实的设备结构和配置一致，通过该图形化的虚拟设备，即可直观的了解设备实际状态，如电源状态、运行状态、网络状态、信号状态、接口类型等；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8. 支持系统运行日志及用户登录和操作日志自动生成报告文件并可导出功能。</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9. 支持运维报告自动生成，记录运维的处理数据和步骤；</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10. 具备可视化管理软件对应软件著作权。</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tcBorders>
              <w:top w:val="nil"/>
              <w:left w:val="nil"/>
              <w:bottom w:val="single" w:color="auto" w:sz="4" w:space="0"/>
              <w:right w:val="single" w:color="auto" w:sz="8"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8"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8</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分布式智能控制系统</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 ▲具备8路DB9可编程串行通讯端口，支持RS-232、RS-485通讯协议，支持可编程；具备端口复用功能，可RS-232、RS-485功能复用；（</w:t>
            </w:r>
            <w:r>
              <w:rPr>
                <w:rFonts w:hint="eastAsia" w:ascii="宋体" w:hAnsi="宋体" w:eastAsia="宋体" w:cs="宋体"/>
                <w:color w:val="000000"/>
                <w:kern w:val="0"/>
                <w:sz w:val="24"/>
                <w:lang w:val="en-US" w:eastAsia="zh-CN"/>
              </w:rPr>
              <w:t>须</w:t>
            </w:r>
            <w:r>
              <w:rPr>
                <w:rFonts w:hint="eastAsia" w:ascii="宋体" w:hAnsi="宋体" w:eastAsia="宋体" w:cs="宋体"/>
                <w:color w:val="000000"/>
                <w:kern w:val="0"/>
                <w:sz w:val="24"/>
              </w:rPr>
              <w:t>提供CMA、ilac-MRA或CNAS认证的具有检测资质检测机构出具的检测报告</w:t>
            </w:r>
            <w:r>
              <w:rPr>
                <w:rFonts w:hint="eastAsia" w:ascii="宋体" w:hAnsi="宋体" w:eastAsia="宋体" w:cs="宋体"/>
                <w:color w:val="000000"/>
                <w:kern w:val="0"/>
                <w:sz w:val="24"/>
                <w:lang w:val="en-US" w:eastAsia="zh-CN"/>
              </w:rPr>
              <w:t>复印件。</w:t>
            </w:r>
            <w:r>
              <w:rPr>
                <w:rFonts w:hint="eastAsia" w:ascii="宋体" w:hAnsi="宋体" w:eastAsia="宋体" w:cs="宋体"/>
                <w:color w:val="000000"/>
                <w:kern w:val="0"/>
                <w:sz w:val="24"/>
              </w:rPr>
              <w:t xml:space="preserve">）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2. 每个com口均同步支持多波特率并发RS-232/485协议内容；</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3. 具备8路9Pin红外端口，支持IR设备和以太网之间的数据通讯；</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4. 支持IR指令学习功能，支持红外设备集成控制功能；</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5. 具备8个红外指示灯，当有数据传送时，对应指示灯闪亮；</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6. 具备1路以太网通讯接口；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7. 具备1路NET接口，支持最高255个总线设备扩展；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8. 支持最大40个TCP/UDP连接；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9. 内建WDT（看门狗定时器）自动重启触发器，确保系统长时间稳定运行；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10. 支持多房间管理，依托用户管理程序端在一套控制界面下支持总、分层层级控制结构，实现多房间集群管理功能；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tcBorders>
              <w:top w:val="nil"/>
              <w:left w:val="nil"/>
              <w:bottom w:val="single" w:color="auto" w:sz="4" w:space="0"/>
              <w:right w:val="single" w:color="auto" w:sz="8"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8"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9</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8路网络电源控制接口</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1. 具备8个AC 220V±10%继电器端口，单路最大16A@240V AC，整机最大30A@240V AC；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2. 具备8个强制应急拨码开关；</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3. 具备8个开关指示灯；</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4. 支持机架或壁挂安装方式；</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5. 支持过载自动断电功能，支持通过复位按钮恢复功能；</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6. 支持RS-232/NET(RS-485)通讯，可方便与控制器兼容；</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7. 具备1路以太网通讯接口；</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8. 支持最大30个TCP/UDP连接；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9. 前面板具备LED总电流数字指示；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10. 支持过压、过流保护，确保过流、过压时的设备安全；</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11. 支持通过管理程序端进行能耗统计与管理、开关状态检测与查询。</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tcBorders>
              <w:top w:val="nil"/>
              <w:left w:val="nil"/>
              <w:bottom w:val="single" w:color="auto" w:sz="4" w:space="0"/>
              <w:right w:val="single" w:color="auto" w:sz="8"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8"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通用可视化管控服务软件V2.0</w:t>
            </w:r>
          </w:p>
        </w:tc>
        <w:tc>
          <w:tcPr>
            <w:tcW w:w="0" w:type="auto"/>
            <w:tcBorders>
              <w:top w:val="nil"/>
              <w:left w:val="nil"/>
              <w:bottom w:val="single" w:color="auto" w:sz="4" w:space="0"/>
              <w:right w:val="single" w:color="auto" w:sz="4" w:space="0"/>
            </w:tcBorders>
            <w:shd w:val="clear" w:color="auto" w:fill="auto"/>
            <w:vAlign w:val="center"/>
          </w:tcPr>
          <w:p>
            <w:pPr>
              <w:widowControl/>
              <w:spacing w:after="240"/>
              <w:jc w:val="left"/>
              <w:rPr>
                <w:rFonts w:ascii="宋体" w:hAnsi="宋体" w:eastAsia="宋体" w:cs="宋体"/>
                <w:color w:val="000000"/>
                <w:kern w:val="0"/>
                <w:sz w:val="24"/>
              </w:rPr>
            </w:pPr>
            <w:r>
              <w:rPr>
                <w:rFonts w:hint="eastAsia" w:ascii="宋体" w:hAnsi="宋体" w:eastAsia="宋体" w:cs="宋体"/>
                <w:color w:val="000000"/>
                <w:kern w:val="0"/>
                <w:sz w:val="24"/>
              </w:rPr>
              <w:t>1. 具备HTML5浏览器方式对分布式系统进行可视化管控功能；</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2. 支持界面定制，支持用户自行设计界面，支持界面编辑功能，用户可根据现场需求随时编辑更改控制内容；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3. 支持PC、平板、手机等多种可视化终端设备，可适应不同手机分辨率、不同pad分辨率、不同PC或触控设备分辨率界面定制，并多终端控制同步，同一权限支持多终端同时管理；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4. 用户可在WEB页面上自行编程实现需要的中控功能，所见即所得，支持类C脚本语言，配合中控设备，支持对第三方设备进行管控，实现全系统智能控制；包含DVD/机顶盒等设备的红外控制，灯光和空调等第三方设备的控制，IPC或模拟摄像机的云台控制；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5. 兼容多种终端设备，包含电脑、平板等，同时支持多个终端直接状态同步；</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6. 具备页面、按钮、滑动条、文本框等内容自定义编辑功能，可通过页面组件编辑实现对中控设备管控；</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7. 具备列表、信号源预览功能，同时支持视频信号拖拽漫游、自由开窗等用户操作；</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8. 具备大屏交互功能，包含大屏回显、大屏场景、字幕条幅等功能；</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9. 具备大屏预编辑与一键上屏功能，即所切换信号、视频开窗不立即显示至大屏上，当所有视频信号布局完成后一键上屏；</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10. 具备分布式节点音频管理功能，可对任意分布式输入、输出节点设备的内/外部进行任意路由切换；</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11. 具备分布式输入输出一体化节点管控功能，可调度切换一体化节点接入的音视频信号，同时对一体化节点的视频输出信号、显示模式进行切换管理；</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12. 具备页面编辑功能，同时支持类C脚本语言，用户可在WEB页面上编程实现所需中控功能，支持对第三方设备进行管控；</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tcBorders>
              <w:top w:val="nil"/>
              <w:left w:val="nil"/>
              <w:bottom w:val="single" w:color="auto" w:sz="4" w:space="0"/>
              <w:right w:val="single" w:color="auto" w:sz="8"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8"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手机平板系统设计软件</w:t>
            </w:r>
          </w:p>
        </w:tc>
        <w:tc>
          <w:tcPr>
            <w:tcW w:w="0" w:type="auto"/>
            <w:tcBorders>
              <w:top w:val="nil"/>
              <w:left w:val="nil"/>
              <w:bottom w:val="single" w:color="auto" w:sz="4" w:space="0"/>
              <w:right w:val="single" w:color="auto" w:sz="4" w:space="0"/>
            </w:tcBorders>
            <w:shd w:val="clear" w:color="auto" w:fill="auto"/>
            <w:vAlign w:val="center"/>
          </w:tcPr>
          <w:p>
            <w:pPr>
              <w:widowControl/>
              <w:spacing w:after="240"/>
              <w:jc w:val="left"/>
              <w:rPr>
                <w:rFonts w:ascii="宋体" w:hAnsi="宋体" w:eastAsia="宋体" w:cs="宋体"/>
                <w:color w:val="000000"/>
                <w:kern w:val="0"/>
                <w:sz w:val="24"/>
              </w:rPr>
            </w:pPr>
            <w:r>
              <w:rPr>
                <w:rFonts w:hint="eastAsia" w:ascii="宋体" w:hAnsi="宋体" w:eastAsia="宋体" w:cs="宋体"/>
                <w:color w:val="000000"/>
                <w:kern w:val="0"/>
                <w:sz w:val="24"/>
              </w:rPr>
              <w:t>1.支持2D/3D按钮、进度条、滑动条、图片/视频、文本、列表工具齐全，便于方便地设计友好的用户界面；</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2.支持指令透传功能，简化编程过程和学习门槛；</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3.支持脚本功能，让复杂的控制事件程序编制过程化繁为简；</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4.支持TCP/UDP通讯控制；</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5.支持Https通讯控制；</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6.支持双向通讯机制，可轻松获取周边设备工作状态；</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7.支持视频预览功能，让操作更直观高效；</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8.支持web功能，在系统操作管理的同时方便资讯查询；</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tcBorders>
              <w:top w:val="nil"/>
              <w:left w:val="nil"/>
              <w:bottom w:val="single" w:color="auto" w:sz="4" w:space="0"/>
              <w:right w:val="single" w:color="auto" w:sz="8"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8"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12</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综合管理终端软件加密狗软件</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定制化可视化软件授权，专用于windows</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tcBorders>
              <w:top w:val="nil"/>
              <w:left w:val="nil"/>
              <w:bottom w:val="single" w:color="auto" w:sz="4" w:space="0"/>
              <w:right w:val="single" w:color="auto" w:sz="8"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8"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13</w:t>
            </w:r>
          </w:p>
        </w:tc>
        <w:tc>
          <w:tcPr>
            <w:tcW w:w="0" w:type="auto"/>
            <w:tcBorders>
              <w:top w:val="nil"/>
              <w:left w:val="nil"/>
              <w:bottom w:val="nil"/>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网络化音视频传输系统</w:t>
            </w:r>
          </w:p>
        </w:tc>
        <w:tc>
          <w:tcPr>
            <w:tcW w:w="0" w:type="auto"/>
            <w:tcBorders>
              <w:top w:val="nil"/>
              <w:left w:val="nil"/>
              <w:bottom w:val="nil"/>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 具备48个千兆电口，支持POE，支持输入输出自定义技术，确保适应不同配置的各类型场所，支持1路输入多路输出或多路输入1路输出任意信号阵列变换；</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2. 具备4个万兆光口，可进行系统级联堆叠，无须占用信号通道，实现更大规模系统应用；</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 xml:space="preserve">3. 支持电源主备热冗余，当主电源故障时，备份电源自动恢复系统供电，系统无中断，无影响，正常工作； </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4. 支持级联堆叠技术，为系统升级扩展提供便利；</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5. 支持双主机或多主机热备系统，当其中一台主机或服务器出现故障时，不影响系统正常运行，过程图像信号无黑屏无闪烁，备机自动连接发送终端到接收终端的通路； （需提供CMA、ilac-MRA或CNAS认证的具有检测资质检测机构出具的检测报告）</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6. 支持信号自动恢复，拔掉网线或光纤接头再插入，信号在1S（秒）内恢复正常显示；  （需提供CMA、ilac-MRA或CNAS认证的具有检测资质检测机构出具的检测报告）</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2</w:t>
            </w:r>
          </w:p>
        </w:tc>
        <w:tc>
          <w:tcPr>
            <w:tcW w:w="0" w:type="auto"/>
            <w:tcBorders>
              <w:top w:val="nil"/>
              <w:left w:val="nil"/>
              <w:bottom w:val="nil"/>
              <w:right w:val="single" w:color="auto" w:sz="8"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8" w:space="0"/>
              <w:bottom w:val="nil"/>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14</w:t>
            </w:r>
          </w:p>
        </w:tc>
        <w:tc>
          <w:tcPr>
            <w:tcW w:w="0" w:type="auto"/>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万兆SFP多模光模块</w:t>
            </w:r>
          </w:p>
        </w:tc>
        <w:tc>
          <w:tcPr>
            <w:tcW w:w="0" w:type="auto"/>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万兆SFP+ 双纤双向 10GE 850nm 330m LC</w:t>
            </w:r>
          </w:p>
        </w:tc>
        <w:tc>
          <w:tcPr>
            <w:tcW w:w="0" w:type="auto"/>
            <w:tcBorders>
              <w:top w:val="nil"/>
              <w:left w:val="nil"/>
              <w:bottom w:val="nil"/>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个</w:t>
            </w:r>
          </w:p>
        </w:tc>
        <w:tc>
          <w:tcPr>
            <w:tcW w:w="0" w:type="auto"/>
            <w:tcBorders>
              <w:top w:val="nil"/>
              <w:left w:val="nil"/>
              <w:bottom w:val="nil"/>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4</w:t>
            </w:r>
          </w:p>
        </w:tc>
        <w:tc>
          <w:tcPr>
            <w:tcW w:w="0" w:type="auto"/>
            <w:tcBorders>
              <w:top w:val="single" w:color="auto" w:sz="4" w:space="0"/>
              <w:left w:val="nil"/>
              <w:bottom w:val="single" w:color="auto" w:sz="4" w:space="0"/>
              <w:right w:val="single" w:color="auto" w:sz="8"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8" w:space="0"/>
              <w:bottom w:val="single" w:color="auto" w:sz="8" w:space="0"/>
              <w:right w:val="single" w:color="auto" w:sz="4" w:space="0"/>
            </w:tcBorders>
            <w:shd w:val="clear" w:color="auto" w:fill="auto"/>
            <w:vAlign w:val="center"/>
          </w:tcPr>
          <w:p>
            <w:pPr>
              <w:widowControl/>
              <w:jc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15</w:t>
            </w:r>
          </w:p>
        </w:tc>
        <w:tc>
          <w:tcPr>
            <w:tcW w:w="0" w:type="auto"/>
            <w:tcBorders>
              <w:top w:val="single" w:color="auto" w:sz="4" w:space="0"/>
              <w:left w:val="nil"/>
              <w:bottom w:val="single" w:color="auto" w:sz="8" w:space="0"/>
              <w:right w:val="single" w:color="auto" w:sz="4" w:space="0"/>
            </w:tcBorders>
            <w:shd w:val="clear" w:color="auto" w:fill="auto"/>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系统集成服务</w:t>
            </w:r>
          </w:p>
        </w:tc>
        <w:tc>
          <w:tcPr>
            <w:tcW w:w="0" w:type="auto"/>
            <w:tcBorders>
              <w:top w:val="single" w:color="auto" w:sz="4" w:space="0"/>
              <w:left w:val="nil"/>
              <w:bottom w:val="single" w:color="auto" w:sz="8" w:space="0"/>
              <w:right w:val="single" w:color="auto" w:sz="4" w:space="0"/>
            </w:tcBorders>
            <w:shd w:val="clear" w:color="auto" w:fill="auto"/>
            <w:vAlign w:val="center"/>
          </w:tcPr>
          <w:p>
            <w:pPr>
              <w:pStyle w:val="2"/>
              <w:ind w:left="0" w:leftChars="0"/>
              <w:rPr>
                <w:rFonts w:ascii="宋体" w:hAnsi="宋体" w:eastAsia="宋体" w:cs="宋体"/>
                <w:kern w:val="0"/>
                <w:sz w:val="24"/>
                <w:highlight w:val="none"/>
              </w:rPr>
            </w:pPr>
            <w:r>
              <w:rPr>
                <w:rFonts w:hint="eastAsia" w:ascii="宋体" w:hAnsi="宋体" w:eastAsia="宋体" w:cs="宋体"/>
                <w:kern w:val="0"/>
                <w:sz w:val="24"/>
                <w:highlight w:val="none"/>
              </w:rPr>
              <w:t>系统集成服务</w:t>
            </w:r>
          </w:p>
        </w:tc>
        <w:tc>
          <w:tcPr>
            <w:tcW w:w="0" w:type="auto"/>
            <w:tcBorders>
              <w:top w:val="nil"/>
              <w:left w:val="nil"/>
              <w:bottom w:val="single" w:color="auto" w:sz="8" w:space="0"/>
              <w:right w:val="single" w:color="auto" w:sz="4" w:space="0"/>
            </w:tcBorders>
            <w:shd w:val="clear" w:color="auto" w:fill="auto"/>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项</w:t>
            </w:r>
          </w:p>
        </w:tc>
        <w:tc>
          <w:tcPr>
            <w:tcW w:w="0" w:type="auto"/>
            <w:tcBorders>
              <w:top w:val="nil"/>
              <w:left w:val="nil"/>
              <w:bottom w:val="single" w:color="auto" w:sz="8" w:space="0"/>
              <w:right w:val="single" w:color="auto" w:sz="4" w:space="0"/>
            </w:tcBorders>
            <w:shd w:val="clear" w:color="auto" w:fill="auto"/>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1</w:t>
            </w:r>
          </w:p>
        </w:tc>
        <w:tc>
          <w:tcPr>
            <w:tcW w:w="0" w:type="auto"/>
            <w:tcBorders>
              <w:top w:val="single" w:color="auto" w:sz="4" w:space="0"/>
              <w:left w:val="nil"/>
              <w:bottom w:val="single" w:color="auto" w:sz="8" w:space="0"/>
              <w:right w:val="single" w:color="auto" w:sz="8" w:space="0"/>
            </w:tcBorders>
            <w:shd w:val="clear" w:color="auto" w:fill="auto"/>
            <w:vAlign w:val="center"/>
          </w:tcPr>
          <w:p>
            <w:pPr>
              <w:widowControl/>
              <w:jc w:val="left"/>
              <w:rPr>
                <w:rFonts w:ascii="宋体" w:hAnsi="宋体" w:eastAsia="宋体" w:cs="宋体"/>
                <w:color w:val="000000"/>
                <w:kern w:val="0"/>
                <w:sz w:val="24"/>
                <w:highlight w:val="none"/>
              </w:rPr>
            </w:pPr>
          </w:p>
        </w:tc>
      </w:tr>
    </w:tbl>
    <w:p/>
    <w:p>
      <w:pPr>
        <w:widowControl/>
        <w:jc w:val="left"/>
        <w:rPr>
          <w:rFonts w:ascii="宋体" w:hAnsi="宋体" w:eastAsia="宋体" w:cs="宋体"/>
          <w:b/>
          <w:bCs/>
          <w:color w:val="000000"/>
          <w:kern w:val="0"/>
          <w:sz w:val="24"/>
        </w:rPr>
      </w:pPr>
      <w:bookmarkStart w:id="6" w:name="_Toc127463066"/>
      <w:r>
        <w:rPr>
          <w:rFonts w:hint="eastAsia" w:ascii="宋体" w:hAnsi="宋体" w:eastAsia="宋体" w:cs="宋体"/>
          <w:b/>
          <w:bCs/>
          <w:color w:val="000000"/>
          <w:kern w:val="0"/>
          <w:sz w:val="24"/>
        </w:rPr>
        <w:t>6、音响扩声系统</w:t>
      </w:r>
      <w:bookmarkEnd w:id="6"/>
    </w:p>
    <w:tbl>
      <w:tblPr>
        <w:tblStyle w:val="11"/>
        <w:tblW w:w="0" w:type="auto"/>
        <w:tblInd w:w="91" w:type="dxa"/>
        <w:tblLayout w:type="autofit"/>
        <w:tblCellMar>
          <w:top w:w="0" w:type="dxa"/>
          <w:left w:w="108" w:type="dxa"/>
          <w:bottom w:w="0" w:type="dxa"/>
          <w:right w:w="108" w:type="dxa"/>
        </w:tblCellMar>
      </w:tblPr>
      <w:tblGrid>
        <w:gridCol w:w="698"/>
        <w:gridCol w:w="790"/>
        <w:gridCol w:w="6181"/>
        <w:gridCol w:w="698"/>
        <w:gridCol w:w="698"/>
        <w:gridCol w:w="698"/>
      </w:tblGrid>
      <w:tr>
        <w:tblPrEx>
          <w:tblCellMar>
            <w:top w:w="0" w:type="dxa"/>
            <w:left w:w="108" w:type="dxa"/>
            <w:bottom w:w="0" w:type="dxa"/>
            <w:right w:w="108" w:type="dxa"/>
          </w:tblCellMar>
        </w:tblPrEx>
        <w:trPr>
          <w:trHeight w:val="482" w:hRule="atLeast"/>
          <w:tblHeader/>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序号</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名称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技术参数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单位</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数量</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备注</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数字会议系统主机</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会议控制主机可连接≥128台会议单元，通过会议扩展主机，一套会议系统可接入≥5000台会议单元。</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可连接≥36台翻译单元，实现11+1种语言同声传译功能，具有≥12通道译员音频输出。</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3.前面板配置有USB现场录音接口，具有开启录音和停止录音按键，接入U盘后开启录音功能自动生成MP3格式文件并保存，最大可支持≥16G的U盘；高音、低音及总音量配置5段LED显示，按键式调节，操作灵活更加方便用户使用。（</w:t>
            </w:r>
            <w:r>
              <w:rPr>
                <w:rFonts w:hint="eastAsia" w:ascii="宋体" w:hAnsi="宋体" w:eastAsia="宋体" w:cs="宋体"/>
                <w:color w:val="000000"/>
                <w:kern w:val="0"/>
                <w:sz w:val="24"/>
                <w:lang w:val="en-US" w:eastAsia="zh-CN"/>
              </w:rPr>
              <w:t>须</w:t>
            </w:r>
            <w:r>
              <w:rPr>
                <w:rFonts w:hint="eastAsia" w:ascii="宋体" w:hAnsi="宋体" w:eastAsia="宋体" w:cs="宋体"/>
                <w:color w:val="000000"/>
                <w:kern w:val="0"/>
                <w:sz w:val="24"/>
              </w:rPr>
              <w:t>提供面板USB接口功能截图佐证</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采用专用≥8芯航空插头连接，有译员机接口、扩展主机接口、会议单元接口。</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"手拉手"或者"T型"连接模式。</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具有≥4路通道输出和输入，主机后板配置有≥2路单声道莲花输出，≥1路佧侬头平衡输出、RCA外部音频输入接口≥1路。</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发言人数限制功能：发言单元数量1/2/4/6可调，主席单元不受限制。</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支持FIFO，NORMAL，FREE，APPLY多种会议模式。</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支持自动摄像跟踪功能；支持外部消防报警音频输入。</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配合电话耦合器可以进行远程电话会议。</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支持签到、投票表决及数据管理功能。</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话筒单元接口具备≥2路RJ45接口和≥2路八芯航空接口。</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具有网络协议TCP/IP的RJ45控制接口。</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具有消防报警连动触发接口，提供火灾报警信息，第一时间提醒会场人员紧急撤离，确保与会人员安全。</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电源：110V/220V AC</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静态功耗：≤15W</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最大功耗：≤380W</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输出功率：≤110W/24V每路</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音频输出阻抗：≤100Ω </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方式：非平衡、平衡</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音效：无ANC、AFC、AGC</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音频输入阻抗：≤100KΩ </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方式：非平衡、平衡</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频率响应：≥60Hz－18KHz</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信噪比(S/N)：≥80dB</w:t>
            </w:r>
          </w:p>
          <w:p>
            <w:pPr>
              <w:widowControl/>
              <w:numPr>
                <w:ilvl w:val="0"/>
                <w:numId w:val="4"/>
              </w:numPr>
              <w:jc w:val="left"/>
              <w:rPr>
                <w:rFonts w:ascii="宋体" w:hAnsi="宋体" w:eastAsia="宋体" w:cs="宋体"/>
                <w:color w:val="000000"/>
                <w:kern w:val="0"/>
                <w:sz w:val="24"/>
              </w:rPr>
            </w:pPr>
            <w:r>
              <w:rPr>
                <w:rFonts w:hint="eastAsia" w:ascii="宋体" w:hAnsi="宋体" w:eastAsia="宋体" w:cs="宋体"/>
                <w:color w:val="000000"/>
                <w:kern w:val="0"/>
                <w:sz w:val="24"/>
              </w:rPr>
              <w:t>谐波失真：≤0.5%。</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3</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数字会议系统主席单元</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1.电源：≤DC24V(主机供电)</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2.单元接口：航空8芯专用接口</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3.最大功耗：≤3W</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4.耳机传输：8-32Ω，3.5mm微型插座</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5.指向特性：心型</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6.扬声器功率：≥2W</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7.传声器类型：电容式膜片</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8.串扰衰减：≥80dB</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9.失真：≤0.1%</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10.频率响应：60Hz－18KHz</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11.信噪比(S/N)：≥80dB</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12.等效噪声：≤20dB SPL</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13.最大SPL：≥105dB（3%门限）</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14.灵敏度：≥-22Dbv/pa</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15.颜色：深灰色</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46</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全频音箱</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1.高音：25芯钛膜高音</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2.低音：8寸35芯156磁低音</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3.频率响应：50Hz-20KHz</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4.额定功率：≤150W</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5.峰值功率：≥600W</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6.灵敏度：≥92db</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7.阻抗：≤8ohm</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8.辐射角度：90度(H)x60度(V)</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8</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数字音频矩阵处理器</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▲1、声道模式: DSP软件界面带有XLRMono立体声与单声道工作模式切换功能，EQ软件调试功能:具有10段图示均衡6dB~+6dB调节功能，带EQBypass功能，音量软件调试功能: 1 组XLR音量- 150dB~+6dB可调，1组BT音量-150dB~+6dB可调，内置USB声卡，支持播放USB音频文件，支持录播和远程会议，设备支持APP控制，支持IOS/安卓/WINDOWS等，APP 软件支持用户自定义，通过APP可实现对处理器进行控制,如音量大小、预设调用、外控第三方设备(支持RS232.RS485.UDP等)、矩阵切换等</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lang w:val="en-US" w:eastAsia="zh-CN"/>
              </w:rPr>
              <w:t>须</w:t>
            </w:r>
            <w:r>
              <w:rPr>
                <w:rFonts w:hint="eastAsia" w:ascii="宋体" w:hAnsi="宋体" w:eastAsia="宋体" w:cs="宋体"/>
                <w:color w:val="000000"/>
                <w:kern w:val="0"/>
                <w:sz w:val="24"/>
              </w:rPr>
              <w:t>提供满足此参数功能的具有CNAS或CMA认可标识章的具有检测资质检测机构出具的检验报告复印件。</w:t>
            </w:r>
            <w:r>
              <w:rPr>
                <w:rFonts w:hint="eastAsia" w:ascii="宋体" w:hAnsi="宋体" w:eastAsia="宋体" w:cs="宋体"/>
                <w:color w:val="000000"/>
                <w:kern w:val="0"/>
                <w:sz w:val="24"/>
                <w:lang w:eastAsia="zh-CN"/>
              </w:rPr>
              <w:t>）</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2、提供不低于8路平衡式话筒／线路输入，采用裸线接口端子，8路平衡式输出，采用裸线接口端子，8路GPIO逻辑输出接口，带4对通用接地引脚；</w:t>
            </w:r>
          </w:p>
          <w:p>
            <w:pPr>
              <w:widowControl/>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▲3、产品支持扩展外接控制面板功能，面板类型至少两种以上，可实现远端对处理器进行控制，如音量大小、预设调用、外控第三方设备(支持RS232、RS485、UDP等)、矩阵切换等</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lang w:val="en-US" w:eastAsia="zh-CN"/>
              </w:rPr>
              <w:t>须</w:t>
            </w:r>
            <w:r>
              <w:rPr>
                <w:rFonts w:hint="eastAsia" w:ascii="宋体" w:hAnsi="宋体" w:eastAsia="宋体" w:cs="宋体"/>
                <w:color w:val="000000"/>
                <w:kern w:val="0"/>
                <w:sz w:val="24"/>
              </w:rPr>
              <w:t>提供满足此参数功能的具有CNAS或CMA认可标识章的具有检测资质检测机构出具的检验报告复印件。</w:t>
            </w:r>
            <w:r>
              <w:rPr>
                <w:rFonts w:hint="eastAsia" w:ascii="宋体" w:hAnsi="宋体" w:eastAsia="宋体" w:cs="宋体"/>
                <w:color w:val="000000"/>
                <w:kern w:val="0"/>
                <w:sz w:val="24"/>
                <w:lang w:eastAsia="zh-CN"/>
              </w:rPr>
              <w:t>）</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4、输入：前级放大、信号发生器、扩展器、压缩器、参量均衡、自动增益、反馈抑制器等；</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5、输出：参量均衡、高低通、延时器、限幅器、输出正反向、增益调节；</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6、内置话筒自适应反馈消除（AFC）、数字矩阵、自动混音、回声消除、噪声抑制.</w:t>
            </w:r>
          </w:p>
          <w:p>
            <w:pPr>
              <w:widowControl/>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7、工作模式:具有2路XLR平衡接口输入，2路非平衡输入，2路XLR平衡接口输出，具有MIC与LINE输入选择切换功能按键，MIC输入可提供幻象12V工作电压(接电容话简测试)，系统集成中控功能，支持RS232协议、RS485协议、UDP控制，通过编程简单地控制投影、幕布、灯光、窗帘、电源时序器等第三方设备</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提供满足此参数功能的具有CNAS或CMA认可标识章的具有检测资质检测机构出具的检验报告复印件。</w:t>
            </w:r>
            <w:r>
              <w:rPr>
                <w:rFonts w:hint="eastAsia" w:ascii="宋体" w:hAnsi="宋体" w:eastAsia="宋体" w:cs="宋体"/>
                <w:color w:val="000000"/>
                <w:kern w:val="0"/>
                <w:sz w:val="24"/>
                <w:lang w:eastAsia="zh-CN"/>
              </w:rPr>
              <w:t>）</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3</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专业功率放大器</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1、此系列功放为高效率TD类功放，既有传统AB类的音质，又有数字D类的效率，两者完美结合；整机省电的同时，出来的声音干净圆润，低频控制力又好。</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2、高速光电隔离限幅，改变了传统限幅压缩模式，限幅压缩失真大、动作慢等问题；整机大动态下限幅启控保证失真1%以下，尽而出来的声音更完美。</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3、小信号输入采用高频电压，低失真、低噪声电路，保证了整机放大输出噪声低、失真小。</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4、整机采用风道散热结构，配合全新高效率铲齿散热，恒温风扇电路，整机温升控制在70度以下，减少电子元件恒温频繁老化过快，保证整机寿命。</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5、具有完善的软启动、消波限幅、过温、过压、过流保护功能。</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6、具有立体声、并联多种模式选择，输入灵敏度选择。</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7、立体声功率：≥8Ω 2×350W；4Ω 2×560W；</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4通道专业数字功放</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1、此系列功放为高效率TD类功放，既有传统AB类的音质，又有数字D类的效率，两者完美结合；整机省电的同时，出来的声音干净圆润，低频控制力又好。</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2、高速光电隔离限幅，改变了传统限幅压缩模式，限幅压缩失真大、动作慢等问题；整机大动态下限幅启控保证失真1%以下，尽而出来的声音更完美。</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3、小信号输入采用高频电压，低失真、低噪声电路，保证了整机放大输出噪声低、失真小。</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4、整机采用风道散热结构，配合全新高效率铲齿散热，恒温风扇电路，整机温升控制在70度以下，减少电子元件恒温频繁老化过快，保证整机寿命。</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5、具有完善的软启动、消波限幅、过温、过压、过流保护功能。</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6、具有立体声、并联多种模式选择，输入灵敏度选择。</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7、立体声功率：≥8Ω 2×350W；4Ω 2×560W；</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7</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会议室专用天花喇叭</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1.额定功率: ≤30W</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2.最大功率: ≤60W</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3.阻抗:黑：Com/红：8Ω</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4.灵敏度（1W/1M); ≥90dB±3dB</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5.频率响应：80-20KHz</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6.喇叭单元：≥8"x1+1"x1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8</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8</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专业功率放大器</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1、此系列功放为高效率TD类功放，既有传统AB类的音质，又有数字D类的效率，两者完美结合；整机省电的同时，出来的声音干净圆润，低频控制力又好。</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2、高速光电隔离限幅，改变了传统限幅压缩模式，限幅压缩失真大、动作慢等问题；整机大动态下限幅启控保证失真1%以下，尽而出来的声音更完美。</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3、小信号输入采用高频电压，低失真、低噪声电路，保证了整机放大输出噪声低、失真小。</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4、整机采用风道散热结构，配合全新高效率铲齿散热，恒温风扇电路，整机温升控制在70度以下，减少电子元件恒温频繁老化过快，保证整机寿命。</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5、具有完善的软启动、消波限幅、过温、过压、过流保护功能。</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6、具有立体声、并联多种模式选择，输入灵敏度选择。</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7、立体声功率：≥8Ω 2×350W；4Ω 2×560W；</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9</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数字反馈抑制器</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1.模拟输入：2CH- XLR和1/ 4" TRS(母)输入，电子平衡/不平衡</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2.模拟输出：2CH- XLR和1/ 4" TRS(母)输入，电子平衡/不平衡</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3.输入阻抗：平衡 47KΩ，不平衡 20KΩ</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4.输出阻抗：平衡 &gt;120Ω，不平衡 &gt;60Ω</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5.最大输入电平：≥+18dBu</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6.最大输出电平：≥+20dBu</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7.频率响应：20Hz-20KHz,±0. 3dB</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8.信噪比：≥105dB( A)</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9.动态范围：≥103dB</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10.模总谐波失真+噪声：0.005% 1KHz;20Hz-10KHz,&lt;0.01%;10KHz-20KHz,&lt;0.025%</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11.耗电量： &lt; 20W</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3</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10</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调音台</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1.2编组4母线调音台。</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2.≥8路线路输入+1组立体声输入，特设录音功能256/24BitDSP效果器；</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3.内置多格式MP3播放器，具备蓝牙功能</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4.MP3音源可转入本机立体声声道金行调音或混合。</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5.分路3段美式EQ加中频可选，带显示哑音选择开关。</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6.≥6路母线（BUS）：主输出+两编组+监听室输出+录音输出与返回</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7.在无需外置设备下可独立完成6路不同音源的输出。</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8.2路AUX外接与返回，9段主控均衡。</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9.100MM长行程推子控制。</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10.内置48V幻象电源供电，内置110V-240V变电压工作电源</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3</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有源音箱</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1.输入电源：AC210-230V/50Hz</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2.AUX输入：≥1组</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3.AUX灵敏度：≥350mV</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4.MIC输入：≥2组</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5.MIC灵敏度：≥5mV</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6.输出功率：≥2×20W</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7.副箱输出：≥1组</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8.输出电平/阻抗|1000mV/470Ω</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9.功耗：≥60W</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10.频率响应：65Hz~20KHz -3dB/+1dB</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11.谐波失真：THD≤0.1%</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12.信噪比：≥65dB</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带定时及滤波单相电源时序器</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1.具有8路通道电源（220V/13A）时序打开/关闭。</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2.前面2组电源输出接口（220V/16A），前面板USB电源口，可接USB LED灯，</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3.产品8路通道电源开关状态可由面板显示；</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4.前面板显示屏幕，实时显示当前电压；</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5.通过面板一键开关，可时序关启通道，实现时序功能；</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6.带232接口，可受中控设备控制，支持联机控制，可支持9台设备同时联机使用；</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7.远程控制（上电+24V直流信号）8通道电源时序打开/关闭--当电源开关锁处于off位置时有效。</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8.当远程控制有效时同时控制后板端口导通--起到级联控制功能。</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7</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13</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会议延长线30米</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会议讨论、摄像跟踪专用8芯航空T型手拉手联接线缆，30米；</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条</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14</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会议延长线20米</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会议讨论、摄像跟踪专用8芯航空T型手拉手联接线缆，20米；</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条</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3</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15</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会议地插盒</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此地插盒，一头为两个母头，另外一头为两个公头，2进2出。仅作转接作用，一个母头对应另外一端的公头，想当于一条20CM延长线。因为有两套，所以相当于两条20CM延长线（各自单独）。</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16</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设备音频跳线</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卡龙头（公）-卡龙头（母）(1.8米)</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批</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17</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设备音频跳线</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6.5单插头-卡龙头（公）(1.8米)</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批</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nil"/>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18</w:t>
            </w:r>
          </w:p>
        </w:tc>
        <w:tc>
          <w:tcPr>
            <w:tcW w:w="0" w:type="auto"/>
            <w:tcBorders>
              <w:top w:val="nil"/>
              <w:left w:val="nil"/>
              <w:bottom w:val="nil"/>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设备音频跳线</w:t>
            </w:r>
          </w:p>
        </w:tc>
        <w:tc>
          <w:tcPr>
            <w:tcW w:w="0" w:type="auto"/>
            <w:tcBorders>
              <w:top w:val="nil"/>
              <w:left w:val="nil"/>
              <w:bottom w:val="nil"/>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莲花头-6.5单插头(1.8米)</w:t>
            </w:r>
          </w:p>
        </w:tc>
        <w:tc>
          <w:tcPr>
            <w:tcW w:w="0" w:type="auto"/>
            <w:tcBorders>
              <w:top w:val="nil"/>
              <w:left w:val="nil"/>
              <w:bottom w:val="nil"/>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批</w:t>
            </w:r>
          </w:p>
        </w:tc>
        <w:tc>
          <w:tcPr>
            <w:tcW w:w="0" w:type="auto"/>
            <w:tcBorders>
              <w:top w:val="nil"/>
              <w:left w:val="nil"/>
              <w:bottom w:val="nil"/>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nil"/>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19</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系统集成服务</w:t>
            </w:r>
          </w:p>
        </w:tc>
        <w:tc>
          <w:tcPr>
            <w:tcW w:w="0" w:type="auto"/>
            <w:tcBorders>
              <w:top w:val="nil"/>
              <w:left w:val="nil"/>
              <w:bottom w:val="single" w:color="auto" w:sz="4" w:space="0"/>
              <w:right w:val="single" w:color="auto" w:sz="4" w:space="0"/>
            </w:tcBorders>
            <w:shd w:val="clear" w:color="auto" w:fill="auto"/>
            <w:vAlign w:val="center"/>
          </w:tcPr>
          <w:p>
            <w:pPr>
              <w:pStyle w:val="2"/>
              <w:ind w:left="0" w:leftChars="0"/>
              <w:rPr>
                <w:rFonts w:ascii="宋体" w:hAnsi="宋体" w:eastAsia="宋体" w:cs="宋体"/>
                <w:kern w:val="0"/>
                <w:sz w:val="24"/>
                <w:highlight w:val="none"/>
              </w:rPr>
            </w:pPr>
            <w:r>
              <w:rPr>
                <w:rFonts w:hint="eastAsia" w:ascii="宋体" w:hAnsi="宋体" w:eastAsia="宋体" w:cs="宋体"/>
                <w:kern w:val="0"/>
                <w:sz w:val="24"/>
                <w:highlight w:val="none"/>
              </w:rPr>
              <w:t>系统集成服务</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项</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highlight w:val="none"/>
              </w:rPr>
            </w:pPr>
          </w:p>
        </w:tc>
      </w:tr>
    </w:tbl>
    <w:p/>
    <w:p>
      <w:pPr>
        <w:widowControl/>
        <w:jc w:val="left"/>
        <w:rPr>
          <w:rFonts w:ascii="宋体" w:hAnsi="宋体" w:eastAsia="宋体" w:cs="宋体"/>
          <w:b/>
          <w:bCs/>
          <w:color w:val="000000"/>
          <w:kern w:val="0"/>
          <w:sz w:val="24"/>
        </w:rPr>
      </w:pPr>
      <w:bookmarkStart w:id="7" w:name="_Toc127463067"/>
      <w:r>
        <w:rPr>
          <w:rFonts w:hint="eastAsia" w:ascii="宋体" w:hAnsi="宋体" w:eastAsia="宋体" w:cs="宋体"/>
          <w:b/>
          <w:bCs/>
          <w:color w:val="000000"/>
          <w:kern w:val="0"/>
          <w:sz w:val="24"/>
        </w:rPr>
        <w:t>7、无纸化会议系统</w:t>
      </w:r>
      <w:bookmarkEnd w:id="7"/>
    </w:p>
    <w:tbl>
      <w:tblPr>
        <w:tblStyle w:val="11"/>
        <w:tblW w:w="0" w:type="auto"/>
        <w:tblInd w:w="91" w:type="dxa"/>
        <w:tblLayout w:type="autofit"/>
        <w:tblCellMar>
          <w:top w:w="0" w:type="dxa"/>
          <w:left w:w="108" w:type="dxa"/>
          <w:bottom w:w="0" w:type="dxa"/>
          <w:right w:w="108" w:type="dxa"/>
        </w:tblCellMar>
      </w:tblPr>
      <w:tblGrid>
        <w:gridCol w:w="698"/>
        <w:gridCol w:w="1314"/>
        <w:gridCol w:w="5657"/>
        <w:gridCol w:w="698"/>
        <w:gridCol w:w="698"/>
        <w:gridCol w:w="698"/>
      </w:tblGrid>
      <w:tr>
        <w:tblPrEx>
          <w:tblCellMar>
            <w:top w:w="0" w:type="dxa"/>
            <w:left w:w="108" w:type="dxa"/>
            <w:bottom w:w="0" w:type="dxa"/>
            <w:right w:w="108" w:type="dxa"/>
          </w:tblCellMar>
        </w:tblPrEx>
        <w:trPr>
          <w:trHeight w:val="482" w:hRule="atLeast"/>
          <w:tblHeader/>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序号</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项目名称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技术参数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单位</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数量</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备注</w:t>
            </w: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一、会商室</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无纸化会议终端</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1.用户管理功能：支持用户管理功能，添加、导入、修改、删除用户，支持对用户进行分组，支持建立用户的组织架构，添加用户时可用组织架构来筛选用户;支持不同权限管理模式，含系统管理员、会议秘书和普通用户，不同会议秘书创建的会议互相保密，系统管理员有管理所有会议的权限。支持会前模拟会议室对参会人员进行排位，并导出排位图;支持创建多个会议模板，会议管理人员可以编辑模板，进行快速会议的创建。会中可以对终端进行欢迎页面、会议信息、显示人名、会议标语等画面的切换，同时支持统一升降机控制、统一开关机;支持多会议标语，在会议中可以任意切换会议标语，方便不同议程议题召开，终端查看，屏蔽功能：可接收保存终端U盘上传的文件，并根据会议需要分发给对应的参会人员;支持设置文件的查看权限，若参会人员无权限查看，终端会自动屏蔽此文件的显示。支持对终端设备进行统一配置管理，配置其名称、ID、网络地址、备注等详细信息，文字、语音、文件的会议交流：在会议进行的过程中参会人之间可以进行点对点的文字、语音、文件等互动，并可选择一点对一点，一点对多点和群发</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lang w:val="en-US" w:eastAsia="zh-CN"/>
              </w:rPr>
              <w:t>须</w:t>
            </w:r>
            <w:r>
              <w:rPr>
                <w:rFonts w:hint="eastAsia" w:ascii="宋体" w:hAnsi="宋体" w:eastAsia="宋体" w:cs="宋体"/>
                <w:color w:val="000000"/>
                <w:kern w:val="0"/>
                <w:sz w:val="24"/>
              </w:rPr>
              <w:t>提供满足此参数功能的具有CNAS或CMA认可标识章的具有检测资质检测机构出具的检验报告。</w:t>
            </w:r>
            <w:r>
              <w:rPr>
                <w:rFonts w:hint="eastAsia" w:ascii="宋体" w:hAnsi="宋体" w:eastAsia="宋体" w:cs="宋体"/>
                <w:color w:val="000000"/>
                <w:kern w:val="0"/>
                <w:sz w:val="24"/>
                <w:lang w:eastAsia="zh-CN"/>
              </w:rPr>
              <w:t>）</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会议资料：不同的参会者可在会议终端上查看文字资料、图片资料、视频资料等不同的会议资料;文字材料支持原笔迹批注，常用文件格式Pdf、Word支持全文批注;图片材料支持手势移动.缩放.旋转.翻页；视频资料可点击播放；</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3.内嵌智能交互式无纸化会议终端、智慧云网络信息发布、网络终端嵌入式软件，该软件为自主研发。</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4.浮动视频窗口模：支持将直播视频窗口(根据终 端硬件配置可支持1-4路)从原有窗口.上拖拽出来如远程视频会议图像、本地会议摄像机图像，任意拖动、放大、缩小、全屏，并可再次扔到原始窗口内，。</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5.投票表决：参会人可对后台录入的表决或主持人实时发起的表决进行表决，表决的方式匿名与不匿名；支持表决倒计时；支持大屏实时结果显示；支持表决结果返回给参会人；支持表决结果导出到Excel。</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呼叫服务：会议过程中参会人员可快速呼叫常用服务如茶水、白纸、签字笔、计算器、技术人员、|清扫的呼叫服务等，也可自定义呼叫内容，呼叫服务安卓模块可对呼叫任务进行新任务、已处理、已完成的分类。</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7.CPU：不低于I3 四核2.3GHz主频，内存：不低于4G BDDR3RAM，硬盘容量：不低于64G BSSD硬盘。</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23</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无纸化会议服务器</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会议资料，可以增加、修改、删除会议目录信息，给参会人员设置目录权限；导入、修改、删除文件，进行文件排序；信息变动实时更新到客户端；支持会中临时增加、删除、修改文件，并实时更新到客户端；</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2.通过网络对智能会议终端进行集中有效的管理，可单配在一个或多个高端会议室对终端进行管理，提高会议系统会务信息交互传输、管理和信息备份的能力；</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3.支持多会议室管理，支持多会议预设，支持会议日程安排，支持局域网及外网的连接通讯，支持会议管理功能；</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灵活的权限设置，可增加、修改、删除系统管理员，支持设置root为超级管理员，不能删除，root用户可以修改删除其他管理员信息，其他管理员只能查看与修改自己的信息；（提供超级管理员与普通管理员设置软件截图）；支持对终端设备进行监测及管理，可以实时显示终端设备在线状态、IP地址，设备当前的登录人，对设备进行灵活的ID设置与名称编辑，（</w:t>
            </w:r>
            <w:r>
              <w:rPr>
                <w:rFonts w:hint="eastAsia" w:ascii="宋体" w:hAnsi="宋体" w:eastAsia="宋体" w:cs="宋体"/>
                <w:color w:val="000000"/>
                <w:kern w:val="0"/>
                <w:sz w:val="24"/>
                <w:lang w:val="en-US" w:eastAsia="zh-CN"/>
              </w:rPr>
              <w:t>须</w:t>
            </w:r>
            <w:r>
              <w:rPr>
                <w:rFonts w:hint="eastAsia" w:ascii="宋体" w:hAnsi="宋体" w:eastAsia="宋体" w:cs="宋体"/>
                <w:color w:val="000000"/>
                <w:kern w:val="0"/>
                <w:sz w:val="24"/>
              </w:rPr>
              <w:t>提供对终端设备的状态监测与IP和名称设置的功能截图</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）；设备自带不低于8寸触控显示屏，带抽拉式键盘与触控鼠标</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w:t>
            </w:r>
            <w:r>
              <w:rPr>
                <w:rFonts w:hint="eastAsia" w:ascii="宋体" w:hAnsi="宋体" w:eastAsia="宋体" w:cs="宋体"/>
                <w:color w:val="000000"/>
                <w:kern w:val="0"/>
                <w:sz w:val="24"/>
                <w:lang w:val="en-US" w:eastAsia="zh-CN"/>
              </w:rPr>
              <w:t>须</w:t>
            </w:r>
            <w:r>
              <w:rPr>
                <w:rFonts w:hint="eastAsia" w:ascii="宋体" w:hAnsi="宋体" w:eastAsia="宋体" w:cs="宋体"/>
                <w:color w:val="000000"/>
                <w:kern w:val="0"/>
                <w:sz w:val="24"/>
              </w:rPr>
              <w:t>提供设备前面板截图</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5.定制功能菜单，可以对客户端的功能模块进行排序、增减、单双列显示，并且可以自定义客户端左上角的文字信息，定制属于自己的客户端功能模块；</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6.会议管理，可以增加、修改、删除会议，控制会议的开始与结束，给会议添加议程，同一会议室，多会议可以无缝切换；</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7.处理器：不低于i5-4460 3.2Hz，主板：工业大板，硬盘：不低于1TB硬盘，内存：不低于DDR34G。</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无纸化会议管控软件</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会前管理：支持多会议室管理，按会议议题添加资料(文字、图片、视频)、通过Excel一键导入参会人、会议表决，特定座位设定，参会人员名单可拖动操作到对应的会议桌面位置，坐席列表模块配合方便参会人员查看对应的座位位置，每个参会人对每个文件的浏览权限设定、同屏/投影等其他特殊权限的设定，可通过后台开启会议室所有无纸化会议终端。</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2.会中管理：实时查看签到情况、发起匿名\实名、计时\不计时表决，大屏点播，外接视频播放控制，呼叫服务消息接收管理，标语管理。</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3.会后查看：查看签到情况，查看表决结果，把结果导出到Excel，问卷调查结果导出，会议文件及会议过程中产生的批注文件进行归档。</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4.支持配置投屏或投影时是否显示选择框；【不显示】时，点击同屏，即同屏给所有人；【显示】时，发起同屏或者投影，会弹出选择框，可以选择同屏给部分参会人或者部分投影端。</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5.支持将语音转写生成的wav音频文件以及txt文档自动存储在会议资料的会议笔记中。</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6.支持文件转换功能，可将doc、docx、ppt、pptx、txt等格式转换成pdf格式文件。</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7.会中控制，语音转文字可以对语音转写软件进行控制，控制全屏显示、推出全屏显示、开始转写、停止转写。</w:t>
            </w:r>
          </w:p>
          <w:p>
            <w:pPr>
              <w:widowControl/>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8.所投“智能交互式无纸化会议系统”具备国家认可的具有检测资质检测机构出具的软件测试报告复印件，报告复印件内容包括：具备系统设置、会议管理（可根据登录的用户权限显示对应的会议。可申请会议、编辑会议信息、开始会议、结束会议、修改会议申请信息、删除会议）；会议结果统计（签到结果统计、表决结果统计、批注结果统计）、客户端(成功签到界面可显示：会议名称、入会人员姓名、座位号、会议开始时间等；显示主界面包括：座席列表、会议议程、会议资料、投票表决、查看批注、会议交流、视频服务、U盘导入、电子白板、网页浏览、悬浮按钮)。</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lang w:val="en-US" w:eastAsia="zh-CN"/>
              </w:rPr>
              <w:t>须</w:t>
            </w:r>
            <w:r>
              <w:rPr>
                <w:rFonts w:hint="eastAsia" w:ascii="宋体" w:hAnsi="宋体" w:eastAsia="宋体" w:cs="宋体"/>
                <w:color w:val="000000"/>
                <w:kern w:val="0"/>
                <w:sz w:val="24"/>
              </w:rPr>
              <w:t>提供软件测试报告复印件复印件。</w:t>
            </w:r>
            <w:r>
              <w:rPr>
                <w:rFonts w:hint="eastAsia" w:ascii="宋体" w:hAnsi="宋体" w:eastAsia="宋体" w:cs="宋体"/>
                <w:color w:val="000000"/>
                <w:kern w:val="0"/>
                <w:sz w:val="24"/>
                <w:lang w:eastAsia="zh-CN"/>
              </w:rPr>
              <w:t>）</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无纸化信号处理器</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1.支持265解码的嵌入式高清网络解码播放器，1路HDMI接口输出、1路VGA接口输出。</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2.支持1080P60HZ全高清视频解码播放。</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3.VGA、HDMI输出，并且分辨率自适应，无需手动设定。</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1.操作平台:windows</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2.输出分辨率: ≥1920*1080</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3.处理器: ≥Intel i5-4300M</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4.内存: ≥DDR3/4G</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5.硬盘: ≥64G(SSD固态硬盘）</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6.输入接口: ≥RJ45*1、≥USB2.0*2、≥USB3.0*2、≥AUDIO IN*1</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7.输出接口: ≥VGA*1、≥HDMI*1、≥AUDIO OUT*1</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12.工作温度:-5~45 ℃</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13.存储温度:-25~65 ℃</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14.工作湿度:10%~95%。</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升降一体话筒终端</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 符合IEC 60914 国际标准；</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 纯发言会议单元；；</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23</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代表单元连接系统</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定制</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23</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7</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数字会议主机</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1.19寸标准机架式设计，采用铝合金面板自带不小于4.3"触控屏，图形人机界面操作简便直观，可脱离电脑完成系统设置，提高安装调试效率；</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2.系统主机采用ARM Cortex A9处理器，稳定性更强，运行速度更快；</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3.主机内置DSP数字音频处理模块，内置自适应反馈抑制（AFC）、环境噪音消除（AEC）、数字均衡器（EQ）、自动增益控制（AGC）功能；</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4.支持多种会议模式：数量限制、先进先出、发言申请、声控模式等会议模式；发言人数限制为1/2/3/4/5/6个，主席和VIP不受数量限制；</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▲5.内置摄像跟踪功能，支持PELCO-D/P、SONY等控制协议；支持连接不少于8台高清摄像机RS-232/RS-485控制，也可扩展高清视频矩阵； 连接高清视频解码盒可与高清矩阵实现视频信号自动切换，具备摄像联动画面冻结功能。支持脱离软件可在会议主机触控屏上调节、保存、调用预置位，确保在紧急情况下不用电脑也可以进行会议预置位调节及调用；采用不低于48KHz音频采样频率，频率响应范围不低于20Hz-20KHz；在确保音质真实清晰的同时，最大程度消除干扰，串音等现象；内置多路内部通讯及会议服务功能，支持会议单元发送茶水、纸笔、服务员等需求通知；（</w:t>
            </w:r>
            <w:r>
              <w:rPr>
                <w:rFonts w:hint="eastAsia" w:ascii="宋体" w:hAnsi="宋体" w:eastAsia="宋体" w:cs="宋体"/>
                <w:color w:val="000000"/>
                <w:kern w:val="0"/>
                <w:sz w:val="24"/>
                <w:lang w:val="en-US" w:eastAsia="zh-CN"/>
              </w:rPr>
              <w:t>须</w:t>
            </w:r>
            <w:r>
              <w:rPr>
                <w:rFonts w:hint="eastAsia" w:ascii="宋体" w:hAnsi="宋体" w:eastAsia="宋体" w:cs="宋体"/>
                <w:color w:val="000000"/>
                <w:kern w:val="0"/>
                <w:sz w:val="24"/>
              </w:rPr>
              <w:t>提供中国合格评定国家认可委员会（CNAS）认可的具有检测资质检测机构出具的有效检测报告复印件</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6.具备8进4出视频矩阵，可直接接入视频信号；具备话筒管理功能，可设定启动电压、启动延时、静音延时、话筒增益等设置（提供会议主机此功能设置界面截图以及提供会议主机8进4出视频矩阵截图）；</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7.支持扩展同声传译功能，可配置4/8/12/16/20/32/64不同语种同声传译功能；</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8.超强抗干扰能力，手机来电时绝不产生噪音；有效隔离手机(2G/3G/4G/5G)及无线电波(RF)、蓝牙、WiFi等信号干扰；</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9.主机与电脑可采用TCP/IP连接方式，支持远程控制、远程诊断和升级程序，轻松完成售后与技术支持工作；</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10.具有RCA和卡依侬音频输入接口，可输入外部音频信号（如背景音乐、无线麦克风）。</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11.具有多组音频通道输出，可连接功放对发言者的讲话进行放大输出，也可连接录音系统、电话会议系统等。</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8</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无纸化超薄单屏升降 </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1.触控超薄高清显示屏外壳铝合金材料，表面处理为喷砂阳极氧化，超薄液晶屏设计。</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2.采用≥15.6寸多点电容触控高清液晶屏，分辨率达到1920×1080dpi,屏幕视角为IPS全视角液晶屏，显示效果清晰亮丽。</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3.心型指向性电容式拾音器，带双色指示灯，发言为红色，申请发言为闪绿色，可随升降器一体升降，保持桌面整洁；</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主席单元具备如下会议控制功能：批准代表的发言申请功能；可强行关闭正在发言的代表发言单元；不受发言人数，发言模式的限制，可自由开启，不受安装位置的限制；代表单元具有发言申请功能,受主席单元控制。</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5.升降器面板航空铝材材质，阳极氧化拉丝工艺，采用超薄设计，面板宽度仅为80mm。</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6.产品配备话筒升降器，可实现一健话筒升降功能，配合会议主机实现手拉手会议发言；</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7.触控超薄高清显示屏与超薄圆轴式升降器无外露连接线、无连接背板、无外露螺丝，保证升降显示触控屏整体美观大方。</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8.升降器支持232、485控制、软件控制、手动控制，控制软件支持PC机安装，兼容常用操作系统，可统一控制也可以任意分组控制升降器上升、暂停、下降等运动状态。</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9.升降器面板具备：上升、暂停、下降、多媒体会议终端开关接口；升降器支持手动仰角≥15度，保证显示器最佳观看视角与触控角度。</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10.具有电源保护功能，升降器桌面面板预设USB信息接口，支持文档资料导入导出。</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技术参数：</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1.显示比例：16:9</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2.物理分辨率：1920×1080</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3.显示屏视角：IPS全视角</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4.触摸屏类型：电容屏，10点触控</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5.接口：包括且不限于1×HDMI、1×VGA、1×USB2.0</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23</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9</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平板电脑</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6GB+128GB ，WIFI；含5G无线路由器；</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10</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20M会议延长线</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20米6芯电缆，具有一公一母接口</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键鼠套装</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定制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nil"/>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12</w:t>
            </w:r>
          </w:p>
        </w:tc>
        <w:tc>
          <w:tcPr>
            <w:tcW w:w="0" w:type="auto"/>
            <w:tcBorders>
              <w:top w:val="nil"/>
              <w:left w:val="nil"/>
              <w:bottom w:val="nil"/>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电脑显示器</w:t>
            </w:r>
          </w:p>
        </w:tc>
        <w:tc>
          <w:tcPr>
            <w:tcW w:w="0" w:type="auto"/>
            <w:tcBorders>
              <w:top w:val="nil"/>
              <w:left w:val="nil"/>
              <w:bottom w:val="nil"/>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21寸</w:t>
            </w:r>
          </w:p>
        </w:tc>
        <w:tc>
          <w:tcPr>
            <w:tcW w:w="0" w:type="auto"/>
            <w:tcBorders>
              <w:top w:val="nil"/>
              <w:left w:val="nil"/>
              <w:bottom w:val="nil"/>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nil"/>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nil"/>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13</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系统集成服务</w:t>
            </w:r>
          </w:p>
        </w:tc>
        <w:tc>
          <w:tcPr>
            <w:tcW w:w="0" w:type="auto"/>
            <w:tcBorders>
              <w:top w:val="nil"/>
              <w:left w:val="nil"/>
              <w:bottom w:val="single" w:color="auto" w:sz="4" w:space="0"/>
              <w:right w:val="single" w:color="auto" w:sz="4" w:space="0"/>
            </w:tcBorders>
            <w:shd w:val="clear" w:color="auto" w:fill="auto"/>
            <w:vAlign w:val="center"/>
          </w:tcPr>
          <w:p>
            <w:pPr>
              <w:pStyle w:val="2"/>
              <w:ind w:left="0" w:leftChars="0"/>
              <w:rPr>
                <w:rFonts w:ascii="宋体" w:hAnsi="宋体" w:eastAsia="宋体" w:cs="宋体"/>
                <w:kern w:val="0"/>
                <w:sz w:val="24"/>
                <w:highlight w:val="none"/>
              </w:rPr>
            </w:pPr>
            <w:r>
              <w:rPr>
                <w:rFonts w:hint="eastAsia" w:ascii="宋体" w:hAnsi="宋体" w:eastAsia="宋体" w:cs="宋体"/>
                <w:kern w:val="0"/>
                <w:sz w:val="24"/>
                <w:highlight w:val="none"/>
              </w:rPr>
              <w:t>系统集成服务</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项</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highlight w:val="none"/>
              </w:rPr>
            </w:pPr>
          </w:p>
        </w:tc>
      </w:tr>
    </w:tbl>
    <w:p/>
    <w:p>
      <w:pPr>
        <w:widowControl/>
        <w:jc w:val="left"/>
        <w:rPr>
          <w:rFonts w:ascii="宋体" w:hAnsi="宋体" w:eastAsia="宋体" w:cs="宋体"/>
          <w:b/>
          <w:bCs/>
          <w:color w:val="000000"/>
          <w:kern w:val="0"/>
          <w:sz w:val="24"/>
        </w:rPr>
      </w:pPr>
      <w:bookmarkStart w:id="8" w:name="_Toc127463068"/>
      <w:r>
        <w:rPr>
          <w:rFonts w:hint="eastAsia" w:ascii="宋体" w:hAnsi="宋体" w:eastAsia="宋体" w:cs="宋体"/>
          <w:b/>
          <w:bCs/>
          <w:color w:val="000000"/>
          <w:kern w:val="0"/>
          <w:sz w:val="24"/>
        </w:rPr>
        <w:t>8、中央控制系统</w:t>
      </w:r>
      <w:bookmarkEnd w:id="8"/>
    </w:p>
    <w:tbl>
      <w:tblPr>
        <w:tblStyle w:val="11"/>
        <w:tblW w:w="0" w:type="auto"/>
        <w:tblInd w:w="91" w:type="dxa"/>
        <w:tblLayout w:type="autofit"/>
        <w:tblCellMar>
          <w:top w:w="0" w:type="dxa"/>
          <w:left w:w="108" w:type="dxa"/>
          <w:bottom w:w="0" w:type="dxa"/>
          <w:right w:w="108" w:type="dxa"/>
        </w:tblCellMar>
      </w:tblPr>
      <w:tblGrid>
        <w:gridCol w:w="698"/>
        <w:gridCol w:w="1428"/>
        <w:gridCol w:w="5425"/>
        <w:gridCol w:w="698"/>
        <w:gridCol w:w="816"/>
        <w:gridCol w:w="698"/>
      </w:tblGrid>
      <w:tr>
        <w:tblPrEx>
          <w:tblCellMar>
            <w:top w:w="0" w:type="dxa"/>
            <w:left w:w="108" w:type="dxa"/>
            <w:bottom w:w="0" w:type="dxa"/>
            <w:right w:w="108" w:type="dxa"/>
          </w:tblCellMar>
        </w:tblPrEx>
        <w:trPr>
          <w:trHeight w:val="482" w:hRule="atLeast"/>
          <w:tblHeader/>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序号</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项目名称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技术参数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单位</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数量</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备注</w:t>
            </w:r>
          </w:p>
        </w:tc>
      </w:tr>
      <w:tr>
        <w:tblPrEx>
          <w:tblCellMar>
            <w:top w:w="0" w:type="dxa"/>
            <w:left w:w="108" w:type="dxa"/>
            <w:bottom w:w="0" w:type="dxa"/>
            <w:right w:w="108" w:type="dxa"/>
          </w:tblCellMar>
        </w:tblPrEx>
        <w:trPr>
          <w:trHeight w:val="642"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1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云处理全网络可编程中控主机</w:t>
            </w:r>
          </w:p>
        </w:tc>
        <w:tc>
          <w:tcPr>
            <w:tcW w:w="0" w:type="auto"/>
            <w:tcBorders>
              <w:top w:val="nil"/>
              <w:left w:val="nil"/>
              <w:bottom w:val="single" w:color="auto" w:sz="4" w:space="0"/>
              <w:right w:val="single" w:color="auto" w:sz="4" w:space="0"/>
            </w:tcBorders>
            <w:shd w:val="clear" w:color="auto" w:fill="auto"/>
          </w:tcPr>
          <w:p>
            <w:pPr>
              <w:widowControl/>
              <w:numPr>
                <w:ilvl w:val="0"/>
                <w:numId w:val="5"/>
              </w:numPr>
              <w:jc w:val="left"/>
              <w:rPr>
                <w:rFonts w:ascii="宋体" w:hAnsi="宋体" w:eastAsia="宋体" w:cs="宋体"/>
                <w:kern w:val="0"/>
                <w:sz w:val="24"/>
              </w:rPr>
            </w:pPr>
            <w:r>
              <w:rPr>
                <w:rFonts w:hint="eastAsia" w:ascii="宋体" w:hAnsi="宋体" w:eastAsia="宋体" w:cs="宋体"/>
                <w:kern w:val="0"/>
                <w:sz w:val="24"/>
              </w:rPr>
              <w:t>采用新一代ARM11工业级嵌入式处理芯片，主频为700Mhz的32位内嵌式处理器，内置≥256M内存和≥2G存储FLASH，能高速运行复杂的逻辑指令。</w:t>
            </w:r>
          </w:p>
          <w:p>
            <w:pPr>
              <w:widowControl/>
              <w:numPr>
                <w:ilvl w:val="0"/>
                <w:numId w:val="5"/>
              </w:numPr>
              <w:jc w:val="left"/>
              <w:rPr>
                <w:rFonts w:ascii="宋体" w:hAnsi="宋体" w:eastAsia="宋体" w:cs="宋体"/>
                <w:kern w:val="0"/>
                <w:sz w:val="24"/>
              </w:rPr>
            </w:pPr>
            <w:r>
              <w:rPr>
                <w:rFonts w:hint="eastAsia" w:ascii="宋体" w:hAnsi="宋体" w:eastAsia="宋体" w:cs="宋体"/>
                <w:kern w:val="0"/>
                <w:sz w:val="24"/>
              </w:rPr>
              <w:t>配备一组RS-232、IR、数字输入和继电器控制端口，用于支持第三方装置的集成控制。</w:t>
            </w:r>
          </w:p>
          <w:p>
            <w:pPr>
              <w:widowControl/>
              <w:numPr>
                <w:ilvl w:val="0"/>
                <w:numId w:val="5"/>
              </w:numPr>
              <w:jc w:val="left"/>
              <w:rPr>
                <w:rFonts w:ascii="宋体" w:hAnsi="宋体" w:eastAsia="宋体" w:cs="宋体"/>
                <w:kern w:val="0"/>
                <w:sz w:val="24"/>
              </w:rPr>
            </w:pPr>
            <w:r>
              <w:rPr>
                <w:rFonts w:hint="eastAsia" w:ascii="宋体" w:hAnsi="宋体" w:eastAsia="宋体" w:cs="宋体"/>
                <w:kern w:val="0"/>
                <w:sz w:val="24"/>
              </w:rPr>
              <w:t>支持≥8路独立可编程的红外发射接口，支持扩展到≥256路，支持控制多台相同或不同的红外设备，允许重复导入自定义数据库。支持≥8路数字输入/输出IO接口。主机提供≥8路独立可编程RS-232/422/485控制接口，用户可编程设置多种控制协议和代码，支持扩展到≥64路控制接口。支持≥8路弱电继电器接口，及数字输入/输出IO接口，支持扩展到≥256路。支持多种网络通讯协议：RS-NET、RS-LINK、Ethernet或WiFi无线LAN；</w:t>
            </w:r>
          </w:p>
          <w:p>
            <w:pPr>
              <w:widowControl/>
              <w:numPr>
                <w:ilvl w:val="0"/>
                <w:numId w:val="5"/>
              </w:numPr>
              <w:jc w:val="left"/>
              <w:rPr>
                <w:rFonts w:ascii="宋体" w:hAnsi="宋体" w:eastAsia="宋体" w:cs="宋体"/>
                <w:kern w:val="0"/>
                <w:sz w:val="24"/>
              </w:rPr>
            </w:pPr>
            <w:r>
              <w:rPr>
                <w:rFonts w:hint="eastAsia" w:ascii="宋体" w:hAnsi="宋体" w:eastAsia="宋体" w:cs="宋体"/>
                <w:kern w:val="0"/>
                <w:sz w:val="24"/>
              </w:rPr>
              <w:t>▲支持通过微信二维码扫码方式控制灯光、窗帘等第三方设备，实现便捷远程控制。（需搭配互联网控制网关）(</w:t>
            </w:r>
            <w:r>
              <w:rPr>
                <w:rFonts w:hint="eastAsia" w:ascii="宋体" w:hAnsi="宋体" w:eastAsia="宋体" w:cs="宋体"/>
                <w:kern w:val="0"/>
                <w:sz w:val="24"/>
                <w:lang w:val="en-US" w:eastAsia="zh-CN"/>
              </w:rPr>
              <w:t>须</w:t>
            </w:r>
            <w:r>
              <w:rPr>
                <w:rFonts w:hint="eastAsia" w:ascii="宋体" w:hAnsi="宋体" w:eastAsia="宋体" w:cs="宋体"/>
                <w:kern w:val="0"/>
                <w:sz w:val="24"/>
              </w:rPr>
              <w:t>提供微信二维码控制第三方设备功能演示小视频)；</w:t>
            </w:r>
          </w:p>
          <w:p>
            <w:pPr>
              <w:widowControl/>
              <w:numPr>
                <w:ilvl w:val="0"/>
                <w:numId w:val="5"/>
              </w:numPr>
              <w:jc w:val="left"/>
              <w:rPr>
                <w:rFonts w:ascii="宋体" w:hAnsi="宋体" w:eastAsia="宋体" w:cs="宋体"/>
                <w:kern w:val="0"/>
                <w:sz w:val="24"/>
              </w:rPr>
            </w:pPr>
            <w:r>
              <w:rPr>
                <w:rFonts w:hint="eastAsia" w:ascii="宋体" w:hAnsi="宋体" w:eastAsia="宋体" w:cs="宋体"/>
                <w:kern w:val="0"/>
                <w:sz w:val="24"/>
              </w:rPr>
              <w:t>采用标准USB2.0或WIFI无线通信接口以便更新处理编程程序。支持多台中控级连方式；支持同一控制界面控制多台中控主机；可控制所有带TCP/IP、UDP协议的设备。支持无线触摸屏、电脑、WIFI及以太网等本地/远端控制方式。；</w:t>
            </w:r>
          </w:p>
          <w:p>
            <w:pPr>
              <w:widowControl/>
              <w:numPr>
                <w:ilvl w:val="0"/>
                <w:numId w:val="5"/>
              </w:numPr>
              <w:jc w:val="left"/>
              <w:rPr>
                <w:rFonts w:ascii="宋体" w:hAnsi="宋体" w:eastAsia="宋体" w:cs="宋体"/>
                <w:kern w:val="0"/>
                <w:sz w:val="24"/>
              </w:rPr>
            </w:pPr>
            <w:r>
              <w:rPr>
                <w:rFonts w:hint="eastAsia" w:ascii="宋体" w:hAnsi="宋体" w:eastAsia="宋体" w:cs="宋体"/>
                <w:kern w:val="0"/>
                <w:sz w:val="24"/>
              </w:rPr>
              <w:t>★主机具备8路独立可编程IR红外发射口，内置红外学习器，可以支持对周边所有红外设备（如：DVD/TV）的控制，且单个红外接口可以同时连接控制多个不同设备，可以做RS232串口转发。支持AI无线语音控制，实现人机语音智能互动；（</w:t>
            </w:r>
            <w:r>
              <w:rPr>
                <w:rFonts w:hint="eastAsia" w:ascii="宋体" w:hAnsi="宋体" w:eastAsia="宋体" w:cs="宋体"/>
                <w:kern w:val="0"/>
                <w:sz w:val="24"/>
                <w:lang w:val="en-US" w:eastAsia="zh-CN"/>
              </w:rPr>
              <w:t>须</w:t>
            </w:r>
            <w:r>
              <w:rPr>
                <w:rFonts w:hint="eastAsia" w:ascii="宋体" w:hAnsi="宋体" w:eastAsia="宋体" w:cs="宋体"/>
                <w:kern w:val="0"/>
                <w:sz w:val="24"/>
              </w:rPr>
              <w:t>搭配AI语音交互终端）（需提供满足此参数功能的具有CNAS或CMA认可标识章的具有检测资质检测机构出具的检验报告复印件</w:t>
            </w:r>
            <w:r>
              <w:rPr>
                <w:rFonts w:hint="eastAsia" w:ascii="宋体" w:hAnsi="宋体" w:eastAsia="宋体" w:cs="宋体"/>
                <w:kern w:val="0"/>
                <w:sz w:val="24"/>
                <w:lang w:eastAsia="zh-CN"/>
              </w:rPr>
              <w:t>。</w:t>
            </w:r>
            <w:r>
              <w:rPr>
                <w:rFonts w:hint="eastAsia" w:ascii="宋体" w:hAnsi="宋体" w:eastAsia="宋体" w:cs="宋体"/>
                <w:kern w:val="0"/>
                <w:sz w:val="24"/>
              </w:rPr>
              <w:t>）</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1.00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642"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2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8路电源时序器</w:t>
            </w:r>
          </w:p>
        </w:tc>
        <w:tc>
          <w:tcPr>
            <w:tcW w:w="0" w:type="auto"/>
            <w:tcBorders>
              <w:top w:val="nil"/>
              <w:left w:val="nil"/>
              <w:bottom w:val="single" w:color="auto" w:sz="4" w:space="0"/>
              <w:right w:val="single" w:color="auto" w:sz="4" w:space="0"/>
            </w:tcBorders>
            <w:shd w:val="clear" w:color="auto" w:fill="auto"/>
          </w:tcPr>
          <w:p>
            <w:pPr>
              <w:widowControl/>
              <w:numPr>
                <w:ilvl w:val="0"/>
                <w:numId w:val="6"/>
              </w:numPr>
              <w:jc w:val="left"/>
              <w:rPr>
                <w:rFonts w:ascii="宋体" w:hAnsi="宋体" w:eastAsia="宋体" w:cs="宋体"/>
                <w:kern w:val="0"/>
                <w:sz w:val="24"/>
              </w:rPr>
            </w:pPr>
            <w:r>
              <w:rPr>
                <w:rFonts w:hint="eastAsia" w:ascii="宋体" w:hAnsi="宋体" w:eastAsia="宋体" w:cs="宋体"/>
                <w:kern w:val="0"/>
                <w:sz w:val="24"/>
              </w:rPr>
              <w:t>配备14路220V/13A受控万能接口电源+250V/50A进口电源滤波器+紧急触发接口+副机级联接口+智能控制及定时编程模块等；系统具备网络控制功能及自我检测功能，可进行IP地址相关配置，可进行欠压、过压、温度设定检测功能，当超过案例设定值自动断开电源功能；具有紧急功能，具备2路短路输入及1路DC24V触发功能，用于外部联动触发开机，当遇到紧急情况时可快强制控制开机；设备具备2路短路输出功能，紧急情况可触发控制第三方设备，达到多方系统联动控制功能；</w:t>
            </w:r>
          </w:p>
          <w:p>
            <w:pPr>
              <w:widowControl/>
              <w:numPr>
                <w:ilvl w:val="0"/>
                <w:numId w:val="6"/>
              </w:numPr>
              <w:jc w:val="left"/>
              <w:rPr>
                <w:rFonts w:ascii="宋体" w:hAnsi="宋体" w:eastAsia="宋体" w:cs="宋体"/>
                <w:kern w:val="0"/>
                <w:sz w:val="24"/>
              </w:rPr>
            </w:pPr>
            <w:r>
              <w:rPr>
                <w:rFonts w:hint="eastAsia" w:ascii="宋体" w:hAnsi="宋体" w:eastAsia="宋体" w:cs="宋体"/>
                <w:kern w:val="0"/>
                <w:sz w:val="24"/>
              </w:rPr>
              <w:t>▲智能定时编程管理电源开关,由微电脑控制智能芯片,加稳压控制电路,实现独立顺序1-14开，顺序14-1关，1-14路同时开同时关；（</w:t>
            </w:r>
            <w:r>
              <w:rPr>
                <w:rFonts w:hint="eastAsia" w:ascii="宋体" w:hAnsi="宋体" w:eastAsia="宋体" w:cs="宋体"/>
                <w:kern w:val="0"/>
                <w:sz w:val="24"/>
                <w:lang w:val="en-US" w:eastAsia="zh-CN"/>
              </w:rPr>
              <w:t>须</w:t>
            </w:r>
            <w:r>
              <w:rPr>
                <w:rFonts w:hint="eastAsia" w:ascii="宋体" w:hAnsi="宋体" w:eastAsia="宋体" w:cs="宋体"/>
                <w:kern w:val="0"/>
                <w:sz w:val="24"/>
              </w:rPr>
              <w:t>提供产品软件功能截图</w:t>
            </w:r>
            <w:r>
              <w:rPr>
                <w:rFonts w:hint="eastAsia" w:ascii="宋体" w:hAnsi="宋体" w:eastAsia="宋体" w:cs="宋体"/>
                <w:kern w:val="0"/>
                <w:sz w:val="24"/>
                <w:lang w:eastAsia="zh-CN"/>
              </w:rPr>
              <w:t>。</w:t>
            </w:r>
            <w:r>
              <w:rPr>
                <w:rFonts w:hint="eastAsia" w:ascii="宋体" w:hAnsi="宋体" w:eastAsia="宋体" w:cs="宋体"/>
                <w:kern w:val="0"/>
                <w:sz w:val="24"/>
              </w:rPr>
              <w:t>）</w:t>
            </w:r>
          </w:p>
          <w:p>
            <w:pPr>
              <w:widowControl/>
              <w:numPr>
                <w:ilvl w:val="0"/>
                <w:numId w:val="6"/>
              </w:numPr>
              <w:jc w:val="left"/>
              <w:rPr>
                <w:rFonts w:ascii="宋体" w:hAnsi="宋体" w:eastAsia="宋体" w:cs="宋体"/>
                <w:kern w:val="0"/>
                <w:sz w:val="24"/>
              </w:rPr>
            </w:pPr>
            <w:r>
              <w:rPr>
                <w:rFonts w:hint="eastAsia" w:ascii="宋体" w:hAnsi="宋体" w:eastAsia="宋体" w:cs="宋体"/>
                <w:kern w:val="0"/>
                <w:sz w:val="24"/>
              </w:rPr>
              <w:t>前面板自带4.3寸全触屏功能，操作简易控作方便，可实现编程、控制等各种操作，简单易用；</w:t>
            </w:r>
          </w:p>
          <w:p>
            <w:pPr>
              <w:widowControl/>
              <w:numPr>
                <w:ilvl w:val="0"/>
                <w:numId w:val="6"/>
              </w:numPr>
              <w:jc w:val="left"/>
              <w:rPr>
                <w:rFonts w:ascii="宋体" w:hAnsi="宋体" w:eastAsia="宋体" w:cs="宋体"/>
                <w:kern w:val="0"/>
                <w:sz w:val="24"/>
              </w:rPr>
            </w:pPr>
            <w:r>
              <w:rPr>
                <w:rFonts w:hint="eastAsia" w:ascii="宋体" w:hAnsi="宋体" w:eastAsia="宋体" w:cs="宋体"/>
                <w:kern w:val="0"/>
                <w:sz w:val="24"/>
              </w:rPr>
              <w:t>4.3寸屏可显示所有工作输出状态，当前电压、电流、当前功率、温度、系统时间、当时电源插座运行状态等；具有一键恢复出厂设置功能，当系统需要重新设置或不用之前设定程序时可快速恢复出厂设置；</w:t>
            </w:r>
          </w:p>
          <w:p>
            <w:pPr>
              <w:widowControl/>
              <w:numPr>
                <w:ilvl w:val="0"/>
                <w:numId w:val="6"/>
              </w:numPr>
              <w:jc w:val="left"/>
              <w:rPr>
                <w:rFonts w:ascii="宋体" w:hAnsi="宋体" w:eastAsia="宋体" w:cs="宋体"/>
                <w:kern w:val="0"/>
                <w:sz w:val="24"/>
              </w:rPr>
            </w:pPr>
            <w:r>
              <w:rPr>
                <w:rFonts w:hint="eastAsia" w:ascii="宋体" w:hAnsi="宋体" w:eastAsia="宋体" w:cs="宋体"/>
                <w:kern w:val="0"/>
                <w:sz w:val="24"/>
              </w:rPr>
              <w:t>▲可直接设置输出参数，单机可实现定时开定时关，每路输出可设12组时间定时开关模式，一共可设定168组定时程序；（</w:t>
            </w:r>
            <w:r>
              <w:rPr>
                <w:rFonts w:hint="eastAsia" w:ascii="宋体" w:hAnsi="宋体" w:eastAsia="宋体" w:cs="宋体"/>
                <w:kern w:val="0"/>
                <w:sz w:val="24"/>
                <w:lang w:val="en-US" w:eastAsia="zh-CN"/>
              </w:rPr>
              <w:t>须</w:t>
            </w:r>
            <w:r>
              <w:rPr>
                <w:rFonts w:hint="eastAsia" w:ascii="宋体" w:hAnsi="宋体" w:eastAsia="宋体" w:cs="宋体"/>
                <w:kern w:val="0"/>
                <w:sz w:val="24"/>
              </w:rPr>
              <w:t>提供该参数的功能演示短视频佐证</w:t>
            </w:r>
            <w:r>
              <w:rPr>
                <w:rFonts w:hint="eastAsia" w:ascii="宋体" w:hAnsi="宋体" w:eastAsia="宋体" w:cs="宋体"/>
                <w:kern w:val="0"/>
                <w:sz w:val="24"/>
                <w:lang w:eastAsia="zh-CN"/>
              </w:rPr>
              <w:t>。</w:t>
            </w:r>
            <w:r>
              <w:rPr>
                <w:rFonts w:hint="eastAsia" w:ascii="宋体" w:hAnsi="宋体" w:eastAsia="宋体" w:cs="宋体"/>
                <w:kern w:val="0"/>
                <w:sz w:val="24"/>
              </w:rPr>
              <w:t>）</w:t>
            </w:r>
          </w:p>
          <w:p>
            <w:pPr>
              <w:widowControl/>
              <w:numPr>
                <w:ilvl w:val="0"/>
                <w:numId w:val="6"/>
              </w:numPr>
              <w:jc w:val="left"/>
              <w:rPr>
                <w:rFonts w:ascii="宋体" w:hAnsi="宋体" w:eastAsia="宋体" w:cs="宋体"/>
                <w:kern w:val="0"/>
                <w:sz w:val="24"/>
              </w:rPr>
            </w:pPr>
            <w:r>
              <w:rPr>
                <w:rFonts w:hint="eastAsia" w:ascii="宋体" w:hAnsi="宋体" w:eastAsia="宋体" w:cs="宋体"/>
                <w:kern w:val="0"/>
                <w:sz w:val="24"/>
              </w:rPr>
              <w:t>可设置机器语言，支持中英任意切换，方便各类人群使用；</w:t>
            </w:r>
          </w:p>
          <w:p>
            <w:pPr>
              <w:widowControl/>
              <w:numPr>
                <w:ilvl w:val="0"/>
                <w:numId w:val="6"/>
              </w:numPr>
              <w:jc w:val="left"/>
              <w:rPr>
                <w:rFonts w:ascii="宋体" w:hAnsi="宋体" w:eastAsia="宋体" w:cs="宋体"/>
                <w:kern w:val="0"/>
                <w:sz w:val="24"/>
              </w:rPr>
            </w:pPr>
            <w:r>
              <w:rPr>
                <w:rFonts w:hint="eastAsia" w:ascii="宋体" w:hAnsi="宋体" w:eastAsia="宋体" w:cs="宋体"/>
                <w:kern w:val="0"/>
                <w:sz w:val="24"/>
              </w:rPr>
              <w:t>▲设备具备音频输入及输出功能，可结合IP网络广播系统，可以做IP网络解码或编码终端来使用，可实现专业系统与广播系统的无缝对接功能；（</w:t>
            </w:r>
            <w:r>
              <w:rPr>
                <w:rFonts w:hint="eastAsia" w:ascii="宋体" w:hAnsi="宋体" w:eastAsia="宋体" w:cs="宋体"/>
                <w:kern w:val="0"/>
                <w:sz w:val="24"/>
                <w:lang w:val="en-US" w:eastAsia="zh-CN"/>
              </w:rPr>
              <w:t>须</w:t>
            </w:r>
            <w:r>
              <w:rPr>
                <w:rFonts w:hint="eastAsia" w:ascii="宋体" w:hAnsi="宋体" w:eastAsia="宋体" w:cs="宋体"/>
                <w:kern w:val="0"/>
                <w:sz w:val="24"/>
              </w:rPr>
              <w:t>提供满足此参数功能的具有CNAS或CMA认可标识章的具有检测资质检测机构出具的检验报告复印件</w:t>
            </w:r>
            <w:r>
              <w:rPr>
                <w:rFonts w:hint="eastAsia" w:ascii="宋体" w:hAnsi="宋体" w:eastAsia="宋体" w:cs="宋体"/>
                <w:kern w:val="0"/>
                <w:sz w:val="24"/>
                <w:lang w:eastAsia="zh-CN"/>
              </w:rPr>
              <w:t>。</w:t>
            </w:r>
            <w:r>
              <w:rPr>
                <w:rFonts w:hint="eastAsia" w:ascii="宋体" w:hAnsi="宋体" w:eastAsia="宋体" w:cs="宋体"/>
                <w:kern w:val="0"/>
                <w:sz w:val="24"/>
              </w:rPr>
              <w:t>）</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1.00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642"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3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导轨式八路电源控制器</w:t>
            </w:r>
          </w:p>
        </w:tc>
        <w:tc>
          <w:tcPr>
            <w:tcW w:w="0" w:type="auto"/>
            <w:tcBorders>
              <w:top w:val="nil"/>
              <w:left w:val="nil"/>
              <w:bottom w:val="single" w:color="auto" w:sz="4" w:space="0"/>
              <w:right w:val="single" w:color="auto" w:sz="4" w:space="0"/>
            </w:tcBorders>
            <w:shd w:val="clear" w:color="auto" w:fill="auto"/>
          </w:tcPr>
          <w:p>
            <w:pPr>
              <w:widowControl/>
              <w:numPr>
                <w:ilvl w:val="0"/>
                <w:numId w:val="7"/>
              </w:numPr>
              <w:jc w:val="left"/>
              <w:rPr>
                <w:rFonts w:ascii="宋体" w:hAnsi="宋体" w:eastAsia="宋体" w:cs="宋体"/>
                <w:kern w:val="0"/>
                <w:sz w:val="24"/>
              </w:rPr>
            </w:pPr>
            <w:r>
              <w:rPr>
                <w:rFonts w:hint="eastAsia" w:ascii="宋体" w:hAnsi="宋体" w:eastAsia="宋体" w:cs="宋体"/>
                <w:kern w:val="0"/>
                <w:sz w:val="24"/>
              </w:rPr>
              <w:t>提供≥8路16A开关执行模块，每回路可独立控制≥3300W功率设备开关；提供≥2组RS485控制接口，支持多组≥8路电源控制器串联安装；</w:t>
            </w:r>
          </w:p>
          <w:p>
            <w:pPr>
              <w:widowControl/>
              <w:numPr>
                <w:ilvl w:val="0"/>
                <w:numId w:val="7"/>
              </w:numPr>
              <w:jc w:val="left"/>
              <w:rPr>
                <w:rFonts w:ascii="宋体" w:hAnsi="宋体" w:eastAsia="宋体" w:cs="宋体"/>
                <w:kern w:val="0"/>
                <w:sz w:val="24"/>
              </w:rPr>
            </w:pPr>
            <w:r>
              <w:rPr>
                <w:rFonts w:hint="eastAsia" w:ascii="宋体" w:hAnsi="宋体" w:eastAsia="宋体" w:cs="宋体"/>
                <w:kern w:val="0"/>
                <w:sz w:val="24"/>
              </w:rPr>
              <w:t>设置两组互锁模式，可控制≥4组窗帘/投影幕升降；</w:t>
            </w:r>
          </w:p>
          <w:p>
            <w:pPr>
              <w:widowControl/>
              <w:numPr>
                <w:ilvl w:val="0"/>
                <w:numId w:val="7"/>
              </w:numPr>
              <w:jc w:val="left"/>
              <w:rPr>
                <w:rFonts w:ascii="宋体" w:hAnsi="宋体" w:eastAsia="宋体" w:cs="宋体"/>
                <w:kern w:val="0"/>
                <w:sz w:val="24"/>
              </w:rPr>
            </w:pPr>
            <w:r>
              <w:rPr>
                <w:rFonts w:hint="eastAsia" w:ascii="宋体" w:hAnsi="宋体" w:eastAsia="宋体" w:cs="宋体"/>
                <w:kern w:val="0"/>
                <w:sz w:val="24"/>
              </w:rPr>
              <w:t>可调节设备网络ID，支持中控主机通过RS-NET协议同时控制多台导轨式≥8路电源控制器；</w:t>
            </w:r>
          </w:p>
          <w:p>
            <w:pPr>
              <w:widowControl/>
              <w:numPr>
                <w:ilvl w:val="0"/>
                <w:numId w:val="7"/>
              </w:numPr>
              <w:jc w:val="left"/>
              <w:rPr>
                <w:rFonts w:ascii="宋体" w:hAnsi="宋体" w:eastAsia="宋体" w:cs="宋体"/>
                <w:kern w:val="0"/>
                <w:sz w:val="24"/>
              </w:rPr>
            </w:pPr>
            <w:r>
              <w:rPr>
                <w:rFonts w:hint="eastAsia" w:ascii="宋体" w:hAnsi="宋体" w:eastAsia="宋体" w:cs="宋体"/>
                <w:kern w:val="0"/>
                <w:sz w:val="24"/>
              </w:rPr>
              <w:t>具备多回路顺序延时启动功能，避免同时启动造成对电网的冲击；</w:t>
            </w:r>
          </w:p>
          <w:p>
            <w:pPr>
              <w:widowControl/>
              <w:numPr>
                <w:ilvl w:val="0"/>
                <w:numId w:val="7"/>
              </w:numPr>
              <w:jc w:val="left"/>
              <w:rPr>
                <w:rFonts w:ascii="宋体" w:hAnsi="宋体" w:eastAsia="宋体" w:cs="宋体"/>
                <w:kern w:val="0"/>
                <w:sz w:val="24"/>
              </w:rPr>
            </w:pPr>
            <w:r>
              <w:rPr>
                <w:rFonts w:hint="eastAsia" w:ascii="宋体" w:hAnsi="宋体" w:eastAsia="宋体" w:cs="宋体"/>
                <w:kern w:val="0"/>
                <w:sz w:val="24"/>
              </w:rPr>
              <w:t>可设置各回路的开机初始值；</w:t>
            </w:r>
          </w:p>
          <w:p>
            <w:pPr>
              <w:widowControl/>
              <w:numPr>
                <w:ilvl w:val="0"/>
                <w:numId w:val="7"/>
              </w:numPr>
              <w:jc w:val="left"/>
              <w:rPr>
                <w:rFonts w:ascii="宋体" w:hAnsi="宋体" w:eastAsia="宋体" w:cs="宋体"/>
                <w:kern w:val="0"/>
                <w:sz w:val="24"/>
              </w:rPr>
            </w:pPr>
            <w:r>
              <w:rPr>
                <w:rFonts w:hint="eastAsia" w:ascii="宋体" w:hAnsi="宋体" w:eastAsia="宋体" w:cs="宋体"/>
                <w:kern w:val="0"/>
                <w:sz w:val="24"/>
              </w:rPr>
              <w:t>自带应急开关按键，方便调试；自带回路状态指示灯，显示开关状态；</w:t>
            </w:r>
          </w:p>
          <w:p>
            <w:pPr>
              <w:widowControl/>
              <w:numPr>
                <w:ilvl w:val="0"/>
                <w:numId w:val="7"/>
              </w:numPr>
              <w:jc w:val="left"/>
              <w:rPr>
                <w:rFonts w:ascii="宋体" w:hAnsi="宋体" w:eastAsia="宋体" w:cs="宋体"/>
                <w:kern w:val="0"/>
                <w:sz w:val="24"/>
              </w:rPr>
            </w:pPr>
            <w:r>
              <w:rPr>
                <w:rFonts w:hint="eastAsia" w:ascii="宋体" w:hAnsi="宋体" w:eastAsia="宋体" w:cs="宋体"/>
                <w:kern w:val="0"/>
                <w:sz w:val="24"/>
              </w:rPr>
              <w:t>标准导轨式安装，占≥4个模数位；</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3.00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642"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4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网络开关机控制软件</w:t>
            </w:r>
          </w:p>
        </w:tc>
        <w:tc>
          <w:tcPr>
            <w:tcW w:w="0" w:type="auto"/>
            <w:tcBorders>
              <w:top w:val="nil"/>
              <w:left w:val="nil"/>
              <w:bottom w:val="single" w:color="auto" w:sz="4" w:space="0"/>
              <w:right w:val="single" w:color="auto" w:sz="4" w:space="0"/>
            </w:tcBorders>
            <w:shd w:val="clear" w:color="auto" w:fill="auto"/>
          </w:tcPr>
          <w:p>
            <w:pPr>
              <w:widowControl/>
              <w:jc w:val="left"/>
              <w:rPr>
                <w:rFonts w:ascii="宋体" w:hAnsi="宋体" w:eastAsia="宋体" w:cs="宋体"/>
                <w:kern w:val="0"/>
                <w:sz w:val="24"/>
              </w:rPr>
            </w:pPr>
            <w:r>
              <w:rPr>
                <w:rFonts w:hint="eastAsia" w:ascii="宋体" w:hAnsi="宋体" w:eastAsia="宋体" w:cs="宋体"/>
                <w:kern w:val="0"/>
                <w:sz w:val="24"/>
              </w:rPr>
              <w:t>支持无线触摸屏、电脑、WIFI及以太网等本地/远端控制方式</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10.00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642"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5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云系统服务设计软件</w:t>
            </w:r>
          </w:p>
        </w:tc>
        <w:tc>
          <w:tcPr>
            <w:tcW w:w="0" w:type="auto"/>
            <w:tcBorders>
              <w:top w:val="nil"/>
              <w:left w:val="nil"/>
              <w:bottom w:val="single" w:color="auto" w:sz="4" w:space="0"/>
              <w:right w:val="single" w:color="auto" w:sz="4" w:space="0"/>
            </w:tcBorders>
            <w:shd w:val="clear" w:color="auto" w:fill="auto"/>
          </w:tcPr>
          <w:p>
            <w:pPr>
              <w:widowControl/>
              <w:numPr>
                <w:ilvl w:val="0"/>
                <w:numId w:val="8"/>
              </w:numPr>
              <w:jc w:val="left"/>
              <w:rPr>
                <w:rFonts w:ascii="宋体" w:hAnsi="宋体" w:eastAsia="宋体" w:cs="宋体"/>
                <w:color w:val="000000"/>
                <w:kern w:val="0"/>
                <w:sz w:val="24"/>
              </w:rPr>
            </w:pPr>
            <w:r>
              <w:rPr>
                <w:rFonts w:hint="eastAsia" w:ascii="宋体" w:hAnsi="宋体" w:eastAsia="宋体" w:cs="宋体"/>
                <w:color w:val="000000"/>
                <w:kern w:val="0"/>
                <w:sz w:val="24"/>
              </w:rPr>
              <w:t>C语言编程系统具备非常良好的可移植性，极大的方便实施，且由于移植运行中的代码，系统可靠性增强，出错概率降低；</w:t>
            </w:r>
          </w:p>
          <w:p>
            <w:pPr>
              <w:widowControl/>
              <w:numPr>
                <w:ilvl w:val="0"/>
                <w:numId w:val="8"/>
              </w:numPr>
              <w:jc w:val="left"/>
              <w:rPr>
                <w:rFonts w:ascii="宋体" w:hAnsi="宋体" w:eastAsia="宋体" w:cs="宋体"/>
                <w:color w:val="000000"/>
                <w:kern w:val="0"/>
                <w:sz w:val="24"/>
              </w:rPr>
            </w:pPr>
            <w:r>
              <w:rPr>
                <w:rFonts w:hint="eastAsia" w:ascii="宋体" w:hAnsi="宋体" w:eastAsia="宋体" w:cs="宋体"/>
                <w:color w:val="000000"/>
                <w:kern w:val="0"/>
                <w:sz w:val="24"/>
              </w:rPr>
              <w:t>强大的逻辑计算能力，深化设计，针对性编程，方便综合管理各类大型智能化控制网络。 </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1.00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642"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6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UI编程调试服务软件</w:t>
            </w:r>
          </w:p>
        </w:tc>
        <w:tc>
          <w:tcPr>
            <w:tcW w:w="0" w:type="auto"/>
            <w:tcBorders>
              <w:top w:val="nil"/>
              <w:left w:val="nil"/>
              <w:bottom w:val="single" w:color="auto" w:sz="4" w:space="0"/>
              <w:right w:val="single" w:color="auto" w:sz="4" w:space="0"/>
            </w:tcBorders>
            <w:shd w:val="clear" w:color="auto" w:fill="auto"/>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根据现场定制编程，通过IPAD：</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一键控制展馆设备的开关，电源通断，灯光开关</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通过IPAD控制每个展项或所有展项的默认显示内容；</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实现对各个展项的独立设备控制和内容独立控制。</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1.00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642"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7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无线平板</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10.1寸 wifi 4+64G</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1.00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642"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8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16口千兆交换机</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千兆以太网交换机，传输速率 10/100/1000Mbps</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xml:space="preserve">1.00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642"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9</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系统集成服务</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2"/>
              <w:ind w:left="0" w:leftChars="0"/>
              <w:rPr>
                <w:rFonts w:ascii="宋体" w:hAnsi="宋体" w:eastAsia="宋体" w:cs="宋体"/>
                <w:kern w:val="0"/>
                <w:sz w:val="24"/>
                <w:highlight w:val="none"/>
              </w:rPr>
            </w:pPr>
            <w:r>
              <w:rPr>
                <w:rFonts w:hint="eastAsia" w:ascii="宋体" w:hAnsi="宋体" w:eastAsia="宋体" w:cs="宋体"/>
                <w:kern w:val="0"/>
                <w:sz w:val="24"/>
                <w:highlight w:val="none"/>
              </w:rPr>
              <w:t>系统集成服务</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项</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1</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highlight w:val="none"/>
              </w:rPr>
            </w:pPr>
          </w:p>
        </w:tc>
      </w:tr>
    </w:tbl>
    <w:p/>
    <w:p>
      <w:pPr>
        <w:rPr>
          <w:rFonts w:eastAsia="宋体" w:cs="Times New Roman"/>
          <w:b/>
          <w:bCs/>
        </w:rPr>
      </w:pPr>
      <w:bookmarkStart w:id="9" w:name="_Toc127463069"/>
      <w:r>
        <w:rPr>
          <w:rFonts w:hint="eastAsia" w:ascii="宋体" w:hAnsi="宋体" w:eastAsia="宋体" w:cs="宋体"/>
          <w:b/>
          <w:bCs/>
          <w:color w:val="000000"/>
          <w:kern w:val="0"/>
          <w:sz w:val="24"/>
        </w:rPr>
        <w:t>9、视频会议系统</w:t>
      </w:r>
      <w:bookmarkEnd w:id="9"/>
    </w:p>
    <w:tbl>
      <w:tblPr>
        <w:tblStyle w:val="11"/>
        <w:tblW w:w="0" w:type="auto"/>
        <w:tblInd w:w="91" w:type="dxa"/>
        <w:tblLayout w:type="autofit"/>
        <w:tblCellMar>
          <w:top w:w="0" w:type="dxa"/>
          <w:left w:w="108" w:type="dxa"/>
          <w:bottom w:w="0" w:type="dxa"/>
          <w:right w:w="108" w:type="dxa"/>
        </w:tblCellMar>
      </w:tblPr>
      <w:tblGrid>
        <w:gridCol w:w="698"/>
        <w:gridCol w:w="2376"/>
        <w:gridCol w:w="4595"/>
        <w:gridCol w:w="698"/>
        <w:gridCol w:w="698"/>
        <w:gridCol w:w="698"/>
      </w:tblGrid>
      <w:tr>
        <w:tblPrEx>
          <w:tblCellMar>
            <w:top w:w="0" w:type="dxa"/>
            <w:left w:w="108" w:type="dxa"/>
            <w:bottom w:w="0" w:type="dxa"/>
            <w:right w:w="108" w:type="dxa"/>
          </w:tblCellMar>
        </w:tblPrEx>
        <w:trPr>
          <w:trHeight w:val="482" w:hRule="atLeast"/>
          <w:tblHeader/>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序号</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名称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技术参数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单位</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数量</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备注</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视频会议服务器</w:t>
            </w:r>
          </w:p>
        </w:tc>
        <w:tc>
          <w:tcPr>
            <w:tcW w:w="0" w:type="auto"/>
            <w:tcBorders>
              <w:top w:val="nil"/>
              <w:left w:val="nil"/>
              <w:bottom w:val="single" w:color="auto" w:sz="4" w:space="0"/>
              <w:right w:val="single" w:color="auto" w:sz="4" w:space="0"/>
            </w:tcBorders>
            <w:shd w:val="clear" w:color="auto" w:fill="auto"/>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1、最高支持30%抗视频丢包能力， 70%音频抗丢包能力；</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2、非Windows操作系统，不受电脑病毒感染，非OEM；</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3、支持H.323和SIP国际标准通信协议；</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4、支持H.239、BFCP高清动态双流协议；</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5、支持4K、1080P60、1080P30、720P60、720P30、4CIF、CIF等多种视频分辨率；</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6、支持H.265、H.264HP、H.264BP、H.263等多种国际通用视频编解码协议；</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7、支持G.729、G.722.1C、G.722.1、G.722、G.711等国际通用音频编解码协议；</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▲8、平台集成MCU、地址簿、会管会控、穿透、GK、设备管理、SIP中继、WebApp等服务模块于一体；（须提供CNAS认证的检验（检测）机构出具的有效检验（检测）报告复印件</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▲9、至少支持1+0、1+4、1+7、1+9、1+12、1+16、1+20等多种1+N布局，支持2+0、2+8 VIP布局，支持3+0、3+4布局，支持不少于 20 种多画面切换；（须提供CNAS认证的检验（检测）机构出具的有效检验（检测）报告复印件</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10、支持不少于10个布局模板，将某个或多个会场设置为布局的视频源，通过网页端拖拽的形式快速将参会成员设置到固定的视频源位置，并设置视频源的广播对象，满足不同会场看到不同的视频源；（须提供CNAS认证的检验（检测）机构出具的有效检验（检测）报告复印件</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11、支持WebApp网页入会；</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录播服务器</w:t>
            </w:r>
          </w:p>
        </w:tc>
        <w:tc>
          <w:tcPr>
            <w:tcW w:w="0" w:type="auto"/>
            <w:tcBorders>
              <w:top w:val="nil"/>
              <w:left w:val="nil"/>
              <w:bottom w:val="single" w:color="auto" w:sz="4" w:space="0"/>
              <w:right w:val="single" w:color="auto" w:sz="4" w:space="0"/>
            </w:tcBorders>
            <w:shd w:val="clear" w:color="auto" w:fill="auto"/>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1、专用机架式设备，适用于标准19寸机柜，所投产品与MCU同一品牌，非OEM；</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2、非Windows操作系统，不受电脑病毒感染，非OEM；</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3、支持至少5路1080P30录制，500路点播，1T存储空间；</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4、支持H.323和SIP会议录制，录制带宽支持128Kbps-6Mbps；</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5、支持1080P60视频格式；</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6、支持FTP服务器扩展，可将录制文件备份至FTP服务器；</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7、支持自定义设置录制文件的水印以及时间戳功能；</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8、支持设置生成的录制文件音视频类型，可仅生成音频文件或视频文件，以及同时生成音频和视频文件；</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分体式视频会议终端</w:t>
            </w:r>
          </w:p>
        </w:tc>
        <w:tc>
          <w:tcPr>
            <w:tcW w:w="0" w:type="auto"/>
            <w:tcBorders>
              <w:top w:val="nil"/>
              <w:left w:val="nil"/>
              <w:bottom w:val="single" w:color="auto" w:sz="4" w:space="0"/>
              <w:right w:val="single" w:color="auto" w:sz="4" w:space="0"/>
            </w:tcBorders>
            <w:shd w:val="clear" w:color="auto" w:fill="auto"/>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1、支持H.323和SIP国际标准通信协议；</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2、支持H.239和BFCP双流标准协议；</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3、支持H.263、H.263+、H.264、H.264HP、H.265视频编解码协议； </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4、支持Opus、G.722.1C、G.722.1、G.722、G.711、AAC-LD等音频编解码协议；</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5、支持不少于1路3.5mm音频输入接口，1路3.5mm音频输出接口；</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xml:space="preserve">6、整套支持不少于3路HDMI输出接口，不少于2路HDMI输入接口； </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7、视频会议主流最大支持4K@60fps，辅流4K@30fps；</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8、整套终端支持不少于1个1000M带屏蔽RJ45网口，支持不少于3个1000M带屏蔽RJ45作为扩展接口；</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▲9、终端最多可支持同时连接不少于6个同品牌摄像机，终端可以对多摄像机画面进行画面拼接、布局切换等操作；（须提供CNAS认证的检验（检测）机构出具的有效检验（检测）报告复印件</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10、支持外接会议触控平板，平板集成不少于7.5寸电容触摸屏，整套系统支持不少于3个会议触控平板，支持触控平板对终端完成发起白板、批注、控制摄像机、拨号等操作；（须提供CNAS认证的检验（检测）机构出具的有效检验（检测）报告复印件</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视频会议摄像机</w:t>
            </w:r>
          </w:p>
        </w:tc>
        <w:tc>
          <w:tcPr>
            <w:tcW w:w="0" w:type="auto"/>
            <w:tcBorders>
              <w:top w:val="nil"/>
              <w:left w:val="nil"/>
              <w:bottom w:val="single" w:color="auto" w:sz="4" w:space="0"/>
              <w:right w:val="single" w:color="auto" w:sz="4" w:space="0"/>
            </w:tcBorders>
            <w:shd w:val="clear" w:color="auto" w:fill="auto"/>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1.视频分辨率4K；</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2.支持60帧；</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3.带云台，支持PTZ遥控；</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4.支持12倍光学变焦；</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5.水平转动角度≥±100°；</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6.垂直转动角度≥±40°；</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7.摄像机水平视角≥70°，垂直视角≥40°；</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8.支持3A功能，自动曝光、自动白平衡、自动聚焦；</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9.支持摄像机倒挂功能；</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nil"/>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nil"/>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阵列麦克风</w:t>
            </w:r>
          </w:p>
        </w:tc>
        <w:tc>
          <w:tcPr>
            <w:tcW w:w="0" w:type="auto"/>
            <w:tcBorders>
              <w:top w:val="nil"/>
              <w:left w:val="nil"/>
              <w:bottom w:val="nil"/>
              <w:right w:val="single" w:color="auto" w:sz="4" w:space="0"/>
            </w:tcBorders>
            <w:shd w:val="clear" w:color="auto" w:fill="auto"/>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1、支持不少于5 英寸触摸屏；</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2、支持超高清音质，全双工技术；</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3、支持不少于6米麦克风拾音半径；</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4、内置不少于12个麦克风；</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5、内置扬声器；</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6、支持PoE 供电；</w:t>
            </w:r>
          </w:p>
        </w:tc>
        <w:tc>
          <w:tcPr>
            <w:tcW w:w="0" w:type="auto"/>
            <w:tcBorders>
              <w:top w:val="nil"/>
              <w:left w:val="nil"/>
              <w:bottom w:val="nil"/>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nil"/>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nil"/>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6</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系统集成服务</w:t>
            </w:r>
          </w:p>
        </w:tc>
        <w:tc>
          <w:tcPr>
            <w:tcW w:w="0" w:type="auto"/>
            <w:tcBorders>
              <w:top w:val="nil"/>
              <w:left w:val="nil"/>
              <w:bottom w:val="single" w:color="auto" w:sz="4" w:space="0"/>
              <w:right w:val="single" w:color="auto" w:sz="4" w:space="0"/>
            </w:tcBorders>
            <w:shd w:val="clear" w:color="auto" w:fill="auto"/>
            <w:vAlign w:val="center"/>
          </w:tcPr>
          <w:p>
            <w:pPr>
              <w:pStyle w:val="2"/>
              <w:ind w:left="0" w:leftChars="0"/>
              <w:rPr>
                <w:rFonts w:ascii="宋体" w:hAnsi="宋体" w:eastAsia="宋体" w:cs="宋体"/>
                <w:kern w:val="0"/>
                <w:sz w:val="24"/>
                <w:highlight w:val="none"/>
              </w:rPr>
            </w:pPr>
            <w:r>
              <w:rPr>
                <w:rFonts w:hint="eastAsia" w:ascii="宋体" w:hAnsi="宋体" w:eastAsia="宋体" w:cs="宋体"/>
                <w:kern w:val="0"/>
                <w:sz w:val="24"/>
                <w:highlight w:val="none"/>
              </w:rPr>
              <w:t>系统集成服务</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项</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highlight w:val="none"/>
              </w:rPr>
            </w:pPr>
          </w:p>
        </w:tc>
      </w:tr>
    </w:tbl>
    <w:p/>
    <w:p>
      <w:pPr>
        <w:pStyle w:val="4"/>
        <w:spacing w:before="120" w:after="120" w:line="360" w:lineRule="auto"/>
        <w:rPr>
          <w:rFonts w:ascii="宋体" w:hAnsi="宋体" w:eastAsia="宋体" w:cs="宋体"/>
          <w:color w:val="000000"/>
          <w:kern w:val="0"/>
          <w:sz w:val="24"/>
          <w:szCs w:val="24"/>
        </w:rPr>
      </w:pPr>
      <w:bookmarkStart w:id="10" w:name="_Toc127463070"/>
      <w:r>
        <w:rPr>
          <w:rFonts w:hint="eastAsia" w:ascii="宋体" w:hAnsi="宋体" w:eastAsia="宋体" w:cs="宋体"/>
          <w:color w:val="000000"/>
          <w:kern w:val="0"/>
          <w:sz w:val="24"/>
          <w:szCs w:val="24"/>
        </w:rPr>
        <w:t>10、机房建设</w:t>
      </w:r>
      <w:bookmarkEnd w:id="10"/>
    </w:p>
    <w:tbl>
      <w:tblPr>
        <w:tblStyle w:val="11"/>
        <w:tblW w:w="0" w:type="auto"/>
        <w:tblInd w:w="91" w:type="dxa"/>
        <w:tblLayout w:type="autofit"/>
        <w:tblCellMar>
          <w:top w:w="0" w:type="dxa"/>
          <w:left w:w="108" w:type="dxa"/>
          <w:bottom w:w="0" w:type="dxa"/>
          <w:right w:w="108" w:type="dxa"/>
        </w:tblCellMar>
      </w:tblPr>
      <w:tblGrid>
        <w:gridCol w:w="698"/>
        <w:gridCol w:w="1765"/>
        <w:gridCol w:w="5206"/>
        <w:gridCol w:w="698"/>
        <w:gridCol w:w="698"/>
        <w:gridCol w:w="698"/>
      </w:tblGrid>
      <w:tr>
        <w:tblPrEx>
          <w:tblCellMar>
            <w:top w:w="0" w:type="dxa"/>
            <w:left w:w="108" w:type="dxa"/>
            <w:bottom w:w="0" w:type="dxa"/>
            <w:right w:w="108" w:type="dxa"/>
          </w:tblCellMar>
        </w:tblPrEx>
        <w:trPr>
          <w:trHeight w:val="482" w:hRule="atLeast"/>
          <w:tblHeader/>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序号</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名称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技术参数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单位</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数量</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备注</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一、</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电气系统</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市电配电柜</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1、类型：配电柜，满足系统配电使用要求；</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2、输入电压：380V；</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3、输出电压：380V；</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4、本配电柜具备过压、过流、欠压、短路、断路以及漏电保护措施</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UPS配电柜</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1、类型：配电柜，满足系统配电使用要求；</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2、输入电压：380V；</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3、输出电压：380V；</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4、本配电柜具备过压、过流、欠压、短路、断路以及漏电保护措施</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配电柜安装支架</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角钢L50*5，定制</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普通插座</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五孔10A</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地插</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五孔10A</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8</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空调插座</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定制</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7</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金属桥架</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定制</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m</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25</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8</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UPS主机进线</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ZB-YJV4*35+1*16</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m</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20</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9</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空调配电电缆</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ZB-YJV5*6</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m</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20</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电源线</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ZB-YJV5*4</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m</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20</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电源线</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ZB-RVV3*6</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m</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60</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12</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电源线</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ZB-RVV3*4</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m</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40</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13</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电源线</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ZB-BYJ2.5</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m</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300</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14</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JDG25明配</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m</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300</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二、</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UPS不间断电源系统</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UPS主机</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1.可根据负载大小随意选择模块数量，上下进线兼容；系统单机容量125KVA。单个功率模块≥25KVA。</w:t>
            </w:r>
          </w:p>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2.为有效保障系统正常使用，防止UPS蓄电池未连接或异常检测告警。</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蓄电池</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9"/>
              </w:numPr>
              <w:jc w:val="left"/>
              <w:rPr>
                <w:rFonts w:ascii="宋体" w:hAnsi="宋体" w:eastAsia="宋体" w:cs="宋体"/>
                <w:color w:val="000000"/>
                <w:kern w:val="0"/>
                <w:sz w:val="24"/>
              </w:rPr>
            </w:pPr>
            <w:r>
              <w:rPr>
                <w:rFonts w:hint="eastAsia" w:ascii="宋体" w:hAnsi="宋体" w:eastAsia="宋体" w:cs="宋体"/>
                <w:color w:val="000000"/>
                <w:kern w:val="0"/>
                <w:sz w:val="24"/>
              </w:rPr>
              <w:t>额定电压（Vdc）: ≥12；</w:t>
            </w:r>
          </w:p>
          <w:p>
            <w:pPr>
              <w:widowControl/>
              <w:numPr>
                <w:ilvl w:val="0"/>
                <w:numId w:val="9"/>
              </w:numPr>
              <w:jc w:val="left"/>
              <w:rPr>
                <w:rFonts w:ascii="宋体" w:hAnsi="宋体" w:eastAsia="宋体" w:cs="宋体"/>
                <w:color w:val="000000"/>
                <w:kern w:val="0"/>
                <w:sz w:val="24"/>
              </w:rPr>
            </w:pPr>
            <w:r>
              <w:rPr>
                <w:rFonts w:hint="eastAsia" w:ascii="宋体" w:hAnsi="宋体" w:eastAsia="宋体" w:cs="宋体"/>
                <w:color w:val="000000"/>
                <w:kern w:val="0"/>
                <w:sz w:val="24"/>
              </w:rPr>
              <w:t>容量：≥100ah；</w:t>
            </w:r>
          </w:p>
          <w:p>
            <w:pPr>
              <w:widowControl/>
              <w:numPr>
                <w:ilvl w:val="0"/>
                <w:numId w:val="9"/>
              </w:numPr>
              <w:jc w:val="left"/>
              <w:rPr>
                <w:rFonts w:ascii="宋体" w:hAnsi="宋体" w:eastAsia="宋体" w:cs="宋体"/>
                <w:color w:val="000000"/>
                <w:kern w:val="0"/>
                <w:sz w:val="24"/>
              </w:rPr>
            </w:pPr>
            <w:r>
              <w:rPr>
                <w:rFonts w:hint="eastAsia" w:ascii="宋体" w:hAnsi="宋体" w:eastAsia="宋体" w:cs="宋体"/>
                <w:color w:val="000000"/>
                <w:kern w:val="0"/>
                <w:sz w:val="24"/>
              </w:rPr>
              <w:t>浮充充电电压（Vdc）: 13.5～13.8；</w:t>
            </w:r>
          </w:p>
          <w:p>
            <w:pPr>
              <w:widowControl/>
              <w:numPr>
                <w:ilvl w:val="0"/>
                <w:numId w:val="9"/>
              </w:numPr>
              <w:jc w:val="left"/>
              <w:rPr>
                <w:rFonts w:ascii="宋体" w:hAnsi="宋体" w:eastAsia="宋体" w:cs="宋体"/>
                <w:color w:val="000000"/>
                <w:kern w:val="0"/>
                <w:sz w:val="24"/>
              </w:rPr>
            </w:pPr>
            <w:r>
              <w:rPr>
                <w:rFonts w:hint="eastAsia" w:ascii="宋体" w:hAnsi="宋体" w:eastAsia="宋体" w:cs="宋体"/>
                <w:color w:val="000000"/>
                <w:kern w:val="0"/>
                <w:sz w:val="24"/>
              </w:rPr>
              <w:t>均充充电电压（Vdc）:14.5～14.9；</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节</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128</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电池箱</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定制</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蓄电池连接线缆</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定制</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项</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三、</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消防系统</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消防报警主机</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10"/>
              </w:numPr>
              <w:jc w:val="left"/>
              <w:rPr>
                <w:rFonts w:ascii="宋体" w:hAnsi="宋体" w:eastAsia="宋体" w:cs="宋体"/>
                <w:color w:val="000000"/>
                <w:kern w:val="0"/>
                <w:sz w:val="24"/>
              </w:rPr>
            </w:pPr>
            <w:r>
              <w:rPr>
                <w:rFonts w:hint="eastAsia" w:ascii="宋体" w:hAnsi="宋体" w:eastAsia="宋体" w:cs="宋体"/>
                <w:color w:val="000000"/>
                <w:kern w:val="0"/>
                <w:sz w:val="24"/>
              </w:rPr>
              <w:t>工作电压：交流AC220V  50/60Hz，允许电压变化范围AC176V～AC264V；</w:t>
            </w:r>
          </w:p>
          <w:p>
            <w:pPr>
              <w:widowControl/>
              <w:numPr>
                <w:ilvl w:val="0"/>
                <w:numId w:val="10"/>
              </w:numPr>
              <w:jc w:val="left"/>
              <w:rPr>
                <w:rFonts w:ascii="宋体" w:hAnsi="宋体" w:eastAsia="宋体" w:cs="宋体"/>
                <w:color w:val="000000"/>
                <w:kern w:val="0"/>
                <w:sz w:val="24"/>
              </w:rPr>
            </w:pPr>
            <w:r>
              <w:rPr>
                <w:rFonts w:hint="eastAsia" w:ascii="宋体" w:hAnsi="宋体" w:eastAsia="宋体" w:cs="宋体"/>
                <w:color w:val="000000"/>
                <w:kern w:val="0"/>
                <w:sz w:val="24"/>
              </w:rPr>
              <w:t>功耗：监视状态功耗≤30W；最大功耗≤380W；</w:t>
            </w:r>
          </w:p>
          <w:p>
            <w:pPr>
              <w:widowControl/>
              <w:numPr>
                <w:ilvl w:val="0"/>
                <w:numId w:val="10"/>
              </w:numPr>
              <w:jc w:val="left"/>
              <w:rPr>
                <w:rFonts w:ascii="宋体" w:hAnsi="宋体" w:eastAsia="宋体" w:cs="宋体"/>
                <w:color w:val="000000"/>
                <w:kern w:val="0"/>
                <w:sz w:val="24"/>
              </w:rPr>
            </w:pPr>
            <w:r>
              <w:rPr>
                <w:rFonts w:hint="eastAsia" w:ascii="宋体" w:hAnsi="宋体" w:eastAsia="宋体" w:cs="宋体"/>
                <w:color w:val="000000"/>
                <w:kern w:val="0"/>
                <w:sz w:val="24"/>
              </w:rPr>
              <w:t>备用电源：2个DC12V/7Ah密封铅酸电池；</w:t>
            </w:r>
          </w:p>
          <w:p>
            <w:pPr>
              <w:widowControl/>
              <w:numPr>
                <w:ilvl w:val="0"/>
                <w:numId w:val="10"/>
              </w:numPr>
              <w:jc w:val="left"/>
              <w:rPr>
                <w:rFonts w:ascii="宋体" w:hAnsi="宋体" w:eastAsia="宋体" w:cs="宋体"/>
                <w:color w:val="000000"/>
                <w:kern w:val="0"/>
                <w:sz w:val="24"/>
              </w:rPr>
            </w:pPr>
            <w:r>
              <w:rPr>
                <w:rFonts w:hint="eastAsia" w:ascii="宋体" w:hAnsi="宋体" w:eastAsia="宋体" w:cs="宋体"/>
                <w:color w:val="000000"/>
                <w:kern w:val="0"/>
                <w:sz w:val="24"/>
              </w:rPr>
              <w:t>气体喷洒输出：各区DC24V/3A，脉冲方式/持续方式,可调；</w:t>
            </w:r>
          </w:p>
          <w:p>
            <w:pPr>
              <w:widowControl/>
              <w:numPr>
                <w:ilvl w:val="0"/>
                <w:numId w:val="10"/>
              </w:numPr>
              <w:jc w:val="left"/>
              <w:rPr>
                <w:rFonts w:ascii="宋体" w:hAnsi="宋体" w:eastAsia="宋体" w:cs="宋体"/>
                <w:color w:val="000000"/>
                <w:kern w:val="0"/>
                <w:sz w:val="24"/>
              </w:rPr>
            </w:pPr>
            <w:r>
              <w:rPr>
                <w:rFonts w:hint="eastAsia" w:ascii="宋体" w:hAnsi="宋体" w:eastAsia="宋体" w:cs="宋体"/>
                <w:color w:val="000000"/>
                <w:kern w:val="0"/>
                <w:sz w:val="24"/>
              </w:rPr>
              <w:t>电池充电电流：1.0A~1.7A；</w:t>
            </w:r>
          </w:p>
          <w:p>
            <w:pPr>
              <w:widowControl/>
              <w:numPr>
                <w:ilvl w:val="0"/>
                <w:numId w:val="10"/>
              </w:numPr>
              <w:jc w:val="left"/>
              <w:rPr>
                <w:rFonts w:ascii="宋体" w:hAnsi="宋体" w:eastAsia="宋体" w:cs="宋体"/>
                <w:color w:val="000000"/>
                <w:kern w:val="0"/>
                <w:sz w:val="24"/>
              </w:rPr>
            </w:pPr>
            <w:r>
              <w:rPr>
                <w:rFonts w:hint="eastAsia" w:ascii="宋体" w:hAnsi="宋体" w:eastAsia="宋体" w:cs="宋体"/>
                <w:color w:val="000000"/>
                <w:kern w:val="0"/>
                <w:sz w:val="24"/>
              </w:rPr>
              <w:t>液晶屏规格：128×64点，可同屏显示32个汉字信息</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90KG气体灭火装置</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11"/>
              </w:numPr>
              <w:jc w:val="left"/>
              <w:rPr>
                <w:rFonts w:ascii="宋体" w:hAnsi="宋体" w:eastAsia="宋体" w:cs="宋体"/>
                <w:color w:val="000000"/>
                <w:kern w:val="0"/>
                <w:sz w:val="24"/>
              </w:rPr>
            </w:pPr>
            <w:r>
              <w:rPr>
                <w:rFonts w:hint="eastAsia" w:ascii="宋体" w:hAnsi="宋体" w:eastAsia="宋体" w:cs="宋体"/>
                <w:color w:val="000000"/>
                <w:kern w:val="0"/>
                <w:sz w:val="24"/>
              </w:rPr>
              <w:t>灭火形式：全淹没式；</w:t>
            </w:r>
          </w:p>
          <w:p>
            <w:pPr>
              <w:widowControl/>
              <w:numPr>
                <w:ilvl w:val="0"/>
                <w:numId w:val="11"/>
              </w:numPr>
              <w:jc w:val="left"/>
              <w:rPr>
                <w:rFonts w:ascii="宋体" w:hAnsi="宋体" w:eastAsia="宋体" w:cs="宋体"/>
                <w:color w:val="000000"/>
                <w:kern w:val="0"/>
                <w:sz w:val="24"/>
              </w:rPr>
            </w:pPr>
            <w:r>
              <w:rPr>
                <w:rFonts w:hint="eastAsia" w:ascii="宋体" w:hAnsi="宋体" w:eastAsia="宋体" w:cs="宋体"/>
                <w:color w:val="000000"/>
                <w:kern w:val="0"/>
                <w:sz w:val="24"/>
              </w:rPr>
              <w:t>储存压力(20℃)：≥2.5MPa；</w:t>
            </w:r>
          </w:p>
          <w:p>
            <w:pPr>
              <w:widowControl/>
              <w:numPr>
                <w:ilvl w:val="0"/>
                <w:numId w:val="11"/>
              </w:numPr>
              <w:jc w:val="left"/>
              <w:rPr>
                <w:rFonts w:ascii="宋体" w:hAnsi="宋体" w:eastAsia="宋体" w:cs="宋体"/>
                <w:color w:val="000000"/>
                <w:kern w:val="0"/>
                <w:sz w:val="24"/>
              </w:rPr>
            </w:pPr>
            <w:r>
              <w:rPr>
                <w:rFonts w:hint="eastAsia" w:ascii="宋体" w:hAnsi="宋体" w:eastAsia="宋体" w:cs="宋体"/>
                <w:color w:val="000000"/>
                <w:kern w:val="0"/>
                <w:sz w:val="24"/>
              </w:rPr>
              <w:t>最大工作压力(50℃)：≥4.2MPa；</w:t>
            </w:r>
          </w:p>
          <w:p>
            <w:pPr>
              <w:widowControl/>
              <w:numPr>
                <w:ilvl w:val="0"/>
                <w:numId w:val="11"/>
              </w:numPr>
              <w:jc w:val="left"/>
              <w:rPr>
                <w:rFonts w:ascii="宋体" w:hAnsi="宋体" w:eastAsia="宋体" w:cs="宋体"/>
                <w:color w:val="000000"/>
                <w:kern w:val="0"/>
                <w:sz w:val="24"/>
              </w:rPr>
            </w:pPr>
            <w:r>
              <w:rPr>
                <w:rFonts w:hint="eastAsia" w:ascii="宋体" w:hAnsi="宋体" w:eastAsia="宋体" w:cs="宋体"/>
                <w:color w:val="000000"/>
                <w:kern w:val="0"/>
                <w:sz w:val="24"/>
              </w:rPr>
              <w:t>最大充装密度：≥1120 kg/m3；</w:t>
            </w:r>
          </w:p>
          <w:p>
            <w:pPr>
              <w:widowControl/>
              <w:numPr>
                <w:ilvl w:val="0"/>
                <w:numId w:val="11"/>
              </w:numPr>
              <w:jc w:val="left"/>
              <w:rPr>
                <w:rFonts w:ascii="宋体" w:hAnsi="宋体" w:eastAsia="宋体" w:cs="宋体"/>
                <w:color w:val="000000"/>
                <w:kern w:val="0"/>
                <w:sz w:val="24"/>
              </w:rPr>
            </w:pPr>
            <w:r>
              <w:rPr>
                <w:rFonts w:hint="eastAsia" w:ascii="宋体" w:hAnsi="宋体" w:eastAsia="宋体" w:cs="宋体"/>
                <w:color w:val="000000"/>
                <w:kern w:val="0"/>
                <w:sz w:val="24"/>
              </w:rPr>
              <w:t>喷射时间：≥10s；</w:t>
            </w:r>
          </w:p>
          <w:p>
            <w:pPr>
              <w:widowControl/>
              <w:numPr>
                <w:ilvl w:val="0"/>
                <w:numId w:val="11"/>
              </w:numPr>
              <w:jc w:val="left"/>
              <w:rPr>
                <w:rFonts w:ascii="宋体" w:hAnsi="宋体" w:eastAsia="宋体" w:cs="宋体"/>
                <w:color w:val="000000"/>
                <w:kern w:val="0"/>
                <w:sz w:val="24"/>
              </w:rPr>
            </w:pPr>
            <w:r>
              <w:rPr>
                <w:rFonts w:hint="eastAsia" w:ascii="宋体" w:hAnsi="宋体" w:eastAsia="宋体" w:cs="宋体"/>
                <w:color w:val="000000"/>
                <w:kern w:val="0"/>
                <w:sz w:val="24"/>
              </w:rPr>
              <w:t>泄压面积：≥0.3㎡，</w:t>
            </w:r>
          </w:p>
          <w:p>
            <w:pPr>
              <w:widowControl/>
              <w:numPr>
                <w:ilvl w:val="0"/>
                <w:numId w:val="11"/>
              </w:numPr>
              <w:jc w:val="left"/>
              <w:rPr>
                <w:rFonts w:ascii="宋体" w:hAnsi="宋体" w:eastAsia="宋体" w:cs="宋体"/>
                <w:color w:val="000000"/>
                <w:kern w:val="0"/>
                <w:sz w:val="24"/>
              </w:rPr>
            </w:pPr>
            <w:r>
              <w:rPr>
                <w:rFonts w:hint="eastAsia" w:ascii="宋体" w:hAnsi="宋体" w:eastAsia="宋体" w:cs="宋体"/>
                <w:color w:val="000000"/>
                <w:kern w:val="0"/>
                <w:sz w:val="24"/>
              </w:rPr>
              <w:t>气体灭火控制器电源：主电源AC220V、50Hz, 备用电源 DC24V。</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消防灭火剂</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七氟丙烷</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kg</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90</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光电感烟探测器</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12"/>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工作电压：总线24V  </w:t>
            </w:r>
          </w:p>
          <w:p>
            <w:pPr>
              <w:widowControl/>
              <w:numPr>
                <w:ilvl w:val="0"/>
                <w:numId w:val="12"/>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监视电流≤0.6mA  </w:t>
            </w:r>
          </w:p>
          <w:p>
            <w:pPr>
              <w:widowControl/>
              <w:numPr>
                <w:ilvl w:val="0"/>
                <w:numId w:val="12"/>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报警电流≤1.8mA  </w:t>
            </w:r>
          </w:p>
          <w:p>
            <w:pPr>
              <w:widowControl/>
              <w:numPr>
                <w:ilvl w:val="0"/>
                <w:numId w:val="12"/>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报警确认灯：红色，巡检时闪烁，报警时常亮  </w:t>
            </w:r>
          </w:p>
          <w:p>
            <w:pPr>
              <w:widowControl/>
              <w:numPr>
                <w:ilvl w:val="0"/>
                <w:numId w:val="12"/>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温度：-10℃～+55℃  </w:t>
            </w:r>
          </w:p>
          <w:p>
            <w:pPr>
              <w:widowControl/>
              <w:numPr>
                <w:ilvl w:val="0"/>
                <w:numId w:val="12"/>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相对湿度≤95%，不结露  </w:t>
            </w:r>
          </w:p>
          <w:p>
            <w:pPr>
              <w:widowControl/>
              <w:numPr>
                <w:ilvl w:val="0"/>
                <w:numId w:val="12"/>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编码方式：十进制电子编码  </w:t>
            </w:r>
          </w:p>
          <w:p>
            <w:pPr>
              <w:widowControl/>
              <w:numPr>
                <w:ilvl w:val="0"/>
                <w:numId w:val="12"/>
              </w:numPr>
              <w:jc w:val="left"/>
              <w:rPr>
                <w:rFonts w:ascii="宋体" w:hAnsi="宋体" w:eastAsia="宋体" w:cs="宋体"/>
                <w:color w:val="000000"/>
                <w:kern w:val="0"/>
                <w:sz w:val="24"/>
              </w:rPr>
            </w:pPr>
            <w:r>
              <w:rPr>
                <w:rFonts w:hint="eastAsia" w:ascii="宋体" w:hAnsi="宋体" w:eastAsia="宋体" w:cs="宋体"/>
                <w:color w:val="000000"/>
                <w:kern w:val="0"/>
                <w:sz w:val="24"/>
              </w:rPr>
              <w:t>外壳防护等级：IP32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点型感温探测器</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13"/>
              </w:numPr>
              <w:jc w:val="left"/>
              <w:rPr>
                <w:rFonts w:ascii="宋体" w:hAnsi="宋体" w:eastAsia="宋体" w:cs="宋体"/>
                <w:color w:val="000000"/>
                <w:kern w:val="0"/>
                <w:sz w:val="24"/>
              </w:rPr>
            </w:pPr>
            <w:r>
              <w:rPr>
                <w:rFonts w:hint="eastAsia" w:ascii="宋体" w:hAnsi="宋体" w:eastAsia="宋体" w:cs="宋体"/>
                <w:color w:val="000000"/>
                <w:kern w:val="0"/>
                <w:sz w:val="24"/>
              </w:rPr>
              <w:t>探测器类别：P（A1R和BS可设，出厂默认类别为A1R）</w:t>
            </w:r>
          </w:p>
          <w:p>
            <w:pPr>
              <w:widowControl/>
              <w:numPr>
                <w:ilvl w:val="0"/>
                <w:numId w:val="13"/>
              </w:numPr>
              <w:jc w:val="left"/>
              <w:rPr>
                <w:rFonts w:ascii="宋体" w:hAnsi="宋体" w:eastAsia="宋体" w:cs="宋体"/>
                <w:color w:val="000000"/>
                <w:kern w:val="0"/>
                <w:sz w:val="24"/>
              </w:rPr>
            </w:pPr>
            <w:r>
              <w:rPr>
                <w:rFonts w:hint="eastAsia" w:ascii="宋体" w:hAnsi="宋体" w:eastAsia="宋体" w:cs="宋体"/>
                <w:color w:val="000000"/>
                <w:kern w:val="0"/>
                <w:sz w:val="24"/>
              </w:rPr>
              <w:t>工作电压：总线24V</w:t>
            </w:r>
          </w:p>
          <w:p>
            <w:pPr>
              <w:widowControl/>
              <w:numPr>
                <w:ilvl w:val="0"/>
                <w:numId w:val="13"/>
              </w:numPr>
              <w:jc w:val="left"/>
              <w:rPr>
                <w:rFonts w:ascii="宋体" w:hAnsi="宋体" w:eastAsia="宋体" w:cs="宋体"/>
                <w:color w:val="000000"/>
                <w:kern w:val="0"/>
                <w:sz w:val="24"/>
              </w:rPr>
            </w:pPr>
            <w:r>
              <w:rPr>
                <w:rFonts w:hint="eastAsia" w:ascii="宋体" w:hAnsi="宋体" w:eastAsia="宋体" w:cs="宋体"/>
                <w:color w:val="000000"/>
                <w:kern w:val="0"/>
                <w:sz w:val="24"/>
              </w:rPr>
              <w:t>监视电流≤0.8mA</w:t>
            </w:r>
          </w:p>
          <w:p>
            <w:pPr>
              <w:widowControl/>
              <w:numPr>
                <w:ilvl w:val="0"/>
                <w:numId w:val="13"/>
              </w:numPr>
              <w:jc w:val="left"/>
              <w:rPr>
                <w:rFonts w:ascii="宋体" w:hAnsi="宋体" w:eastAsia="宋体" w:cs="宋体"/>
                <w:color w:val="000000"/>
                <w:kern w:val="0"/>
                <w:sz w:val="24"/>
              </w:rPr>
            </w:pPr>
            <w:r>
              <w:rPr>
                <w:rFonts w:hint="eastAsia" w:ascii="宋体" w:hAnsi="宋体" w:eastAsia="宋体" w:cs="宋体"/>
                <w:color w:val="000000"/>
                <w:kern w:val="0"/>
                <w:sz w:val="24"/>
              </w:rPr>
              <w:t>报警电流≤1.8mA</w:t>
            </w:r>
          </w:p>
          <w:p>
            <w:pPr>
              <w:widowControl/>
              <w:numPr>
                <w:ilvl w:val="0"/>
                <w:numId w:val="13"/>
              </w:numPr>
              <w:jc w:val="left"/>
              <w:rPr>
                <w:rFonts w:ascii="宋体" w:hAnsi="宋体" w:eastAsia="宋体" w:cs="宋体"/>
                <w:color w:val="000000"/>
                <w:kern w:val="0"/>
                <w:sz w:val="24"/>
              </w:rPr>
            </w:pPr>
            <w:r>
              <w:rPr>
                <w:rFonts w:hint="eastAsia" w:ascii="宋体" w:hAnsi="宋体" w:eastAsia="宋体" w:cs="宋体"/>
                <w:color w:val="000000"/>
                <w:kern w:val="0"/>
                <w:sz w:val="24"/>
              </w:rPr>
              <w:t>报警确认灯：红色，巡检时闪烁，报警时常亮</w:t>
            </w:r>
          </w:p>
          <w:p>
            <w:pPr>
              <w:widowControl/>
              <w:numPr>
                <w:ilvl w:val="0"/>
                <w:numId w:val="13"/>
              </w:numPr>
              <w:jc w:val="left"/>
              <w:rPr>
                <w:rFonts w:ascii="宋体" w:hAnsi="宋体" w:eastAsia="宋体" w:cs="宋体"/>
                <w:color w:val="000000"/>
                <w:kern w:val="0"/>
                <w:sz w:val="24"/>
              </w:rPr>
            </w:pPr>
            <w:r>
              <w:rPr>
                <w:rFonts w:hint="eastAsia" w:ascii="宋体" w:hAnsi="宋体" w:eastAsia="宋体" w:cs="宋体"/>
                <w:color w:val="000000"/>
                <w:kern w:val="0"/>
                <w:sz w:val="24"/>
              </w:rPr>
              <w:t>温度：A1R类别：典型应用温度25℃；范围 -10℃～50℃</w:t>
            </w:r>
          </w:p>
          <w:p>
            <w:pPr>
              <w:widowControl/>
              <w:numPr>
                <w:ilvl w:val="0"/>
                <w:numId w:val="13"/>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BS类别： 典型应用温度40℃；范围 -10℃～65℃  </w:t>
            </w:r>
          </w:p>
          <w:p>
            <w:pPr>
              <w:widowControl/>
              <w:numPr>
                <w:ilvl w:val="0"/>
                <w:numId w:val="13"/>
              </w:numPr>
              <w:jc w:val="left"/>
              <w:rPr>
                <w:rFonts w:ascii="宋体" w:hAnsi="宋体" w:eastAsia="宋体" w:cs="宋体"/>
                <w:color w:val="000000"/>
                <w:kern w:val="0"/>
                <w:sz w:val="24"/>
              </w:rPr>
            </w:pPr>
            <w:r>
              <w:rPr>
                <w:rFonts w:hint="eastAsia" w:ascii="宋体" w:hAnsi="宋体" w:eastAsia="宋体" w:cs="宋体"/>
                <w:color w:val="000000"/>
                <w:kern w:val="0"/>
                <w:sz w:val="24"/>
              </w:rPr>
              <w:t>相对湿度≤95%，不结露</w:t>
            </w:r>
          </w:p>
          <w:p>
            <w:pPr>
              <w:widowControl/>
              <w:numPr>
                <w:ilvl w:val="0"/>
                <w:numId w:val="13"/>
              </w:numPr>
              <w:jc w:val="left"/>
              <w:rPr>
                <w:rFonts w:ascii="宋体" w:hAnsi="宋体" w:eastAsia="宋体" w:cs="宋体"/>
                <w:color w:val="000000"/>
                <w:kern w:val="0"/>
                <w:sz w:val="24"/>
              </w:rPr>
            </w:pPr>
            <w:r>
              <w:rPr>
                <w:rFonts w:hint="eastAsia" w:ascii="宋体" w:hAnsi="宋体" w:eastAsia="宋体" w:cs="宋体"/>
                <w:color w:val="000000"/>
                <w:kern w:val="0"/>
                <w:sz w:val="24"/>
              </w:rPr>
              <w:t>编码方式：十进制电子编码</w:t>
            </w:r>
          </w:p>
          <w:p>
            <w:pPr>
              <w:widowControl/>
              <w:numPr>
                <w:ilvl w:val="0"/>
                <w:numId w:val="13"/>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外壳防护等级：IP33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通用底座</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定制</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7</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放气指示灯</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14"/>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“按下喷洒”按键：红色，按下时常亮     </w:t>
            </w:r>
          </w:p>
          <w:p>
            <w:pPr>
              <w:widowControl/>
              <w:numPr>
                <w:ilvl w:val="0"/>
                <w:numId w:val="14"/>
              </w:numPr>
              <w:jc w:val="left"/>
              <w:rPr>
                <w:rFonts w:ascii="宋体" w:hAnsi="宋体" w:eastAsia="宋体" w:cs="宋体"/>
                <w:color w:val="000000"/>
                <w:kern w:val="0"/>
                <w:sz w:val="24"/>
              </w:rPr>
            </w:pPr>
            <w:r>
              <w:rPr>
                <w:rFonts w:hint="eastAsia" w:ascii="宋体" w:hAnsi="宋体" w:eastAsia="宋体" w:cs="宋体"/>
                <w:color w:val="000000"/>
                <w:kern w:val="0"/>
                <w:sz w:val="24"/>
              </w:rPr>
              <w:t>“停止”按键：绿色，按下时常亮</w:t>
            </w:r>
          </w:p>
          <w:p>
            <w:pPr>
              <w:widowControl/>
              <w:numPr>
                <w:ilvl w:val="0"/>
                <w:numId w:val="14"/>
              </w:numPr>
              <w:jc w:val="left"/>
              <w:rPr>
                <w:rFonts w:ascii="宋体" w:hAnsi="宋体" w:eastAsia="宋体" w:cs="宋体"/>
                <w:color w:val="000000"/>
                <w:kern w:val="0"/>
                <w:sz w:val="24"/>
              </w:rPr>
            </w:pPr>
            <w:r>
              <w:rPr>
                <w:rFonts w:hint="eastAsia" w:ascii="宋体" w:hAnsi="宋体" w:eastAsia="宋体" w:cs="宋体"/>
                <w:color w:val="000000"/>
                <w:kern w:val="0"/>
                <w:sz w:val="24"/>
              </w:rPr>
              <w:t>线制：与气体灭火控制器采用无极性两线制连接</w:t>
            </w:r>
          </w:p>
          <w:p>
            <w:pPr>
              <w:widowControl/>
              <w:numPr>
                <w:ilvl w:val="0"/>
                <w:numId w:val="14"/>
              </w:numPr>
              <w:jc w:val="left"/>
              <w:rPr>
                <w:rFonts w:ascii="宋体" w:hAnsi="宋体" w:eastAsia="宋体" w:cs="宋体"/>
                <w:color w:val="000000"/>
                <w:kern w:val="0"/>
                <w:sz w:val="24"/>
              </w:rPr>
            </w:pPr>
            <w:r>
              <w:rPr>
                <w:rFonts w:hint="eastAsia" w:ascii="宋体" w:hAnsi="宋体" w:eastAsia="宋体" w:cs="宋体"/>
                <w:color w:val="000000"/>
                <w:kern w:val="0"/>
                <w:sz w:val="24"/>
              </w:rPr>
              <w:t>外壳防护等级：IP33</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8</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紧急启停按钮</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15"/>
              </w:numPr>
              <w:jc w:val="left"/>
              <w:rPr>
                <w:rFonts w:ascii="宋体" w:hAnsi="宋体" w:eastAsia="宋体" w:cs="宋体"/>
                <w:color w:val="000000"/>
                <w:kern w:val="0"/>
                <w:sz w:val="24"/>
              </w:rPr>
            </w:pPr>
            <w:r>
              <w:rPr>
                <w:rFonts w:hint="eastAsia" w:ascii="宋体" w:hAnsi="宋体" w:eastAsia="宋体" w:cs="宋体"/>
                <w:color w:val="000000"/>
                <w:kern w:val="0"/>
                <w:sz w:val="24"/>
              </w:rPr>
              <w:t>工作电压：总线24V，允许范围：16V～28V</w:t>
            </w:r>
          </w:p>
          <w:p>
            <w:pPr>
              <w:widowControl/>
              <w:numPr>
                <w:ilvl w:val="0"/>
                <w:numId w:val="15"/>
              </w:numPr>
              <w:jc w:val="left"/>
              <w:rPr>
                <w:rFonts w:ascii="宋体" w:hAnsi="宋体" w:eastAsia="宋体" w:cs="宋体"/>
                <w:color w:val="000000"/>
                <w:kern w:val="0"/>
                <w:sz w:val="24"/>
              </w:rPr>
            </w:pPr>
            <w:r>
              <w:rPr>
                <w:rFonts w:hint="eastAsia" w:ascii="宋体" w:hAnsi="宋体" w:eastAsia="宋体" w:cs="宋体"/>
                <w:color w:val="000000"/>
                <w:kern w:val="0"/>
                <w:sz w:val="24"/>
              </w:rPr>
              <w:t>监视电流：≤0.8mA，报警电流≤10mA</w:t>
            </w:r>
          </w:p>
          <w:p>
            <w:pPr>
              <w:widowControl/>
              <w:numPr>
                <w:ilvl w:val="0"/>
                <w:numId w:val="15"/>
              </w:numPr>
              <w:jc w:val="left"/>
              <w:rPr>
                <w:rFonts w:ascii="宋体" w:hAnsi="宋体" w:eastAsia="宋体" w:cs="宋体"/>
                <w:color w:val="000000"/>
                <w:kern w:val="0"/>
                <w:sz w:val="24"/>
              </w:rPr>
            </w:pPr>
            <w:r>
              <w:rPr>
                <w:rFonts w:hint="eastAsia" w:ascii="宋体" w:hAnsi="宋体" w:eastAsia="宋体" w:cs="宋体"/>
                <w:color w:val="000000"/>
                <w:kern w:val="0"/>
                <w:sz w:val="24"/>
              </w:rPr>
              <w:t>编码方式：电子编码方式，编码范围可在21～30之间任意设定</w:t>
            </w:r>
          </w:p>
          <w:p>
            <w:pPr>
              <w:widowControl/>
              <w:numPr>
                <w:ilvl w:val="0"/>
                <w:numId w:val="15"/>
              </w:numPr>
              <w:jc w:val="left"/>
              <w:rPr>
                <w:rFonts w:ascii="宋体" w:hAnsi="宋体" w:eastAsia="宋体" w:cs="宋体"/>
                <w:color w:val="000000"/>
                <w:kern w:val="0"/>
                <w:sz w:val="24"/>
              </w:rPr>
            </w:pPr>
            <w:r>
              <w:rPr>
                <w:rFonts w:hint="eastAsia" w:ascii="宋体" w:hAnsi="宋体" w:eastAsia="宋体" w:cs="宋体"/>
                <w:color w:val="000000"/>
                <w:kern w:val="0"/>
                <w:sz w:val="24"/>
              </w:rPr>
              <w:t>常开输出触点：额定值DC60V、0.1A，接触电阻≤100m</w:t>
            </w:r>
          </w:p>
          <w:p>
            <w:pPr>
              <w:widowControl/>
              <w:numPr>
                <w:ilvl w:val="0"/>
                <w:numId w:val="15"/>
              </w:numPr>
              <w:jc w:val="left"/>
              <w:rPr>
                <w:rFonts w:ascii="宋体" w:hAnsi="宋体" w:eastAsia="宋体" w:cs="宋体"/>
                <w:color w:val="000000"/>
                <w:kern w:val="0"/>
                <w:sz w:val="24"/>
              </w:rPr>
            </w:pPr>
            <w:r>
              <w:rPr>
                <w:rFonts w:hint="eastAsia" w:ascii="宋体" w:hAnsi="宋体" w:eastAsia="宋体" w:cs="宋体"/>
                <w:color w:val="000000"/>
                <w:kern w:val="0"/>
                <w:sz w:val="24"/>
              </w:rPr>
              <w:t>启动方式：击碎玻璃罩后，按下“按下喷洒”按键</w:t>
            </w:r>
          </w:p>
          <w:p>
            <w:pPr>
              <w:widowControl/>
              <w:numPr>
                <w:ilvl w:val="0"/>
                <w:numId w:val="15"/>
              </w:numPr>
              <w:jc w:val="left"/>
              <w:rPr>
                <w:rFonts w:ascii="宋体" w:hAnsi="宋体" w:eastAsia="宋体" w:cs="宋体"/>
                <w:color w:val="000000"/>
                <w:kern w:val="0"/>
                <w:sz w:val="24"/>
              </w:rPr>
            </w:pPr>
            <w:r>
              <w:rPr>
                <w:rFonts w:hint="eastAsia" w:ascii="宋体" w:hAnsi="宋体" w:eastAsia="宋体" w:cs="宋体"/>
                <w:color w:val="000000"/>
                <w:kern w:val="0"/>
                <w:sz w:val="24"/>
              </w:rPr>
              <w:t>启动零件类型：重复使用型</w:t>
            </w:r>
          </w:p>
          <w:p>
            <w:pPr>
              <w:widowControl/>
              <w:numPr>
                <w:ilvl w:val="0"/>
                <w:numId w:val="15"/>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“按下喷洒”按键复位方式：用专用钥匙复位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9</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声光报警器</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16"/>
              </w:numPr>
              <w:jc w:val="left"/>
              <w:rPr>
                <w:rFonts w:ascii="宋体" w:hAnsi="宋体" w:eastAsia="宋体" w:cs="宋体"/>
                <w:color w:val="000000"/>
                <w:kern w:val="0"/>
                <w:sz w:val="24"/>
              </w:rPr>
            </w:pPr>
            <w:r>
              <w:rPr>
                <w:rFonts w:hint="eastAsia" w:ascii="宋体" w:hAnsi="宋体" w:eastAsia="宋体" w:cs="宋体"/>
                <w:color w:val="000000"/>
                <w:kern w:val="0"/>
                <w:sz w:val="24"/>
              </w:rPr>
              <w:t>工作电压 信号总线电压：DC24V</w:t>
            </w:r>
          </w:p>
          <w:p>
            <w:pPr>
              <w:widowControl/>
              <w:numPr>
                <w:ilvl w:val="0"/>
                <w:numId w:val="16"/>
              </w:numPr>
              <w:jc w:val="left"/>
              <w:rPr>
                <w:rFonts w:ascii="宋体" w:hAnsi="宋体" w:eastAsia="宋体" w:cs="宋体"/>
                <w:color w:val="000000"/>
                <w:kern w:val="0"/>
                <w:sz w:val="24"/>
              </w:rPr>
            </w:pPr>
            <w:r>
              <w:rPr>
                <w:rFonts w:hint="eastAsia" w:ascii="宋体" w:hAnsi="宋体" w:eastAsia="宋体" w:cs="宋体"/>
                <w:color w:val="000000"/>
                <w:kern w:val="0"/>
                <w:sz w:val="24"/>
              </w:rPr>
              <w:t>工作电流 总线监视电流≤0.25mA  总线启动电流≤5mA</w:t>
            </w:r>
          </w:p>
          <w:p>
            <w:pPr>
              <w:widowControl/>
              <w:numPr>
                <w:ilvl w:val="0"/>
                <w:numId w:val="16"/>
              </w:numPr>
              <w:jc w:val="left"/>
              <w:rPr>
                <w:rFonts w:ascii="宋体" w:hAnsi="宋体" w:eastAsia="宋体" w:cs="宋体"/>
                <w:color w:val="000000"/>
                <w:kern w:val="0"/>
                <w:sz w:val="24"/>
              </w:rPr>
            </w:pPr>
            <w:r>
              <w:rPr>
                <w:rFonts w:hint="eastAsia" w:ascii="宋体" w:hAnsi="宋体" w:eastAsia="宋体" w:cs="宋体"/>
                <w:color w:val="000000"/>
                <w:kern w:val="0"/>
                <w:sz w:val="24"/>
              </w:rPr>
              <w:t>闪光频率 1.1Hz～1.7Hz</w:t>
            </w:r>
          </w:p>
          <w:p>
            <w:pPr>
              <w:widowControl/>
              <w:numPr>
                <w:ilvl w:val="0"/>
                <w:numId w:val="16"/>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火警声调声压级 </w:t>
            </w:r>
          </w:p>
          <w:p>
            <w:pPr>
              <w:widowControl/>
              <w:numPr>
                <w:ilvl w:val="0"/>
                <w:numId w:val="16"/>
              </w:numPr>
              <w:jc w:val="left"/>
              <w:rPr>
                <w:rFonts w:ascii="宋体" w:hAnsi="宋体" w:eastAsia="宋体" w:cs="宋体"/>
                <w:color w:val="000000"/>
                <w:kern w:val="0"/>
                <w:sz w:val="24"/>
              </w:rPr>
            </w:pPr>
            <w:r>
              <w:rPr>
                <w:rFonts w:hint="eastAsia" w:ascii="宋体" w:hAnsi="宋体" w:eastAsia="宋体" w:cs="宋体"/>
                <w:color w:val="000000"/>
                <w:kern w:val="0"/>
                <w:sz w:val="24"/>
              </w:rPr>
              <w:t>80dB～115dB（正前方 3m 水平处（A 计权） ；嘀嘀声调声压级80dB～115dB（正前方 3m 水平处（A 计权）,变调周期 3.5s～4.8s（火警声）/0.6s～1.0s（滴滴声）</w:t>
            </w:r>
          </w:p>
          <w:p>
            <w:pPr>
              <w:widowControl/>
              <w:numPr>
                <w:ilvl w:val="0"/>
                <w:numId w:val="16"/>
              </w:numPr>
              <w:jc w:val="left"/>
              <w:rPr>
                <w:rFonts w:ascii="宋体" w:hAnsi="宋体" w:eastAsia="宋体" w:cs="宋体"/>
                <w:color w:val="000000"/>
                <w:kern w:val="0"/>
                <w:sz w:val="24"/>
              </w:rPr>
            </w:pPr>
            <w:r>
              <w:rPr>
                <w:rFonts w:hint="eastAsia" w:ascii="宋体" w:hAnsi="宋体" w:eastAsia="宋体" w:cs="宋体"/>
                <w:color w:val="000000"/>
                <w:kern w:val="0"/>
                <w:sz w:val="24"/>
              </w:rPr>
              <w:t>编码方式 采用电子编码方式，占一个总线编码点，编码范围可在 1～242 之间任意设定</w:t>
            </w:r>
          </w:p>
          <w:p>
            <w:pPr>
              <w:widowControl/>
              <w:numPr>
                <w:ilvl w:val="0"/>
                <w:numId w:val="16"/>
              </w:numPr>
              <w:jc w:val="left"/>
              <w:rPr>
                <w:rFonts w:ascii="宋体" w:hAnsi="宋体" w:eastAsia="宋体" w:cs="宋体"/>
                <w:color w:val="000000"/>
                <w:kern w:val="0"/>
                <w:sz w:val="24"/>
              </w:rPr>
            </w:pPr>
            <w:r>
              <w:rPr>
                <w:rFonts w:hint="eastAsia" w:ascii="宋体" w:hAnsi="宋体" w:eastAsia="宋体" w:cs="宋体"/>
                <w:color w:val="000000"/>
                <w:kern w:val="0"/>
                <w:sz w:val="24"/>
              </w:rPr>
              <w:t>线制 两线制，与控制器采用无极性信号二总线连接</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手提式灭火器</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干粉灭火器，双瓶组</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组</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辅材</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电源线、网络线、信号线等</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批</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四、</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空调系统</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恒温恒湿精密空调</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17"/>
              </w:numPr>
              <w:jc w:val="left"/>
              <w:rPr>
                <w:rFonts w:ascii="宋体" w:hAnsi="宋体" w:eastAsia="宋体" w:cs="宋体"/>
                <w:color w:val="000000"/>
                <w:kern w:val="0"/>
                <w:sz w:val="24"/>
              </w:rPr>
            </w:pPr>
            <w:r>
              <w:rPr>
                <w:rFonts w:hint="eastAsia" w:ascii="宋体" w:hAnsi="宋体" w:eastAsia="宋体" w:cs="宋体"/>
                <w:color w:val="000000"/>
                <w:kern w:val="0"/>
                <w:sz w:val="24"/>
              </w:rPr>
              <w:t>额定制冷量≥7.6KW,循环风量≥2200m3/h；</w:t>
            </w:r>
          </w:p>
          <w:p>
            <w:pPr>
              <w:widowControl/>
              <w:numPr>
                <w:ilvl w:val="0"/>
                <w:numId w:val="17"/>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送回风方式：上前送风； </w:t>
            </w:r>
          </w:p>
          <w:p>
            <w:pPr>
              <w:widowControl/>
              <w:numPr>
                <w:ilvl w:val="0"/>
                <w:numId w:val="17"/>
              </w:numPr>
              <w:jc w:val="left"/>
              <w:rPr>
                <w:rFonts w:ascii="宋体" w:hAnsi="宋体" w:eastAsia="宋体" w:cs="宋体"/>
                <w:color w:val="000000"/>
                <w:kern w:val="0"/>
                <w:sz w:val="24"/>
              </w:rPr>
            </w:pPr>
            <w:r>
              <w:rPr>
                <w:rFonts w:hint="eastAsia" w:ascii="宋体" w:hAnsi="宋体" w:eastAsia="宋体" w:cs="宋体"/>
                <w:color w:val="000000"/>
                <w:kern w:val="0"/>
                <w:sz w:val="24"/>
              </w:rPr>
              <w:t>采用电热式加湿（自循环加湿），节约空间，不需要外接水管；</w:t>
            </w:r>
          </w:p>
          <w:p>
            <w:pPr>
              <w:widowControl/>
              <w:numPr>
                <w:ilvl w:val="0"/>
                <w:numId w:val="17"/>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采用PTC电加热，加热功率≥4.5KW，再加热量≥4.9KW ； </w:t>
            </w:r>
          </w:p>
          <w:p>
            <w:pPr>
              <w:widowControl/>
              <w:numPr>
                <w:ilvl w:val="0"/>
                <w:numId w:val="17"/>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空调显示屏可直观显示各项机组运行参数及报警信息，机组报警记录储存量不少于 500 条，标配 RS-485/ RS-232 通讯串口，并免费 提供通信协议；空调机组可全正面维护，采用 R410A 环保冷媒 </w:t>
            </w:r>
          </w:p>
          <w:p>
            <w:pPr>
              <w:widowControl/>
              <w:numPr>
                <w:ilvl w:val="0"/>
                <w:numId w:val="17"/>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精密空调系统温度范围及精度：16～32±1℃；湿度范围及精度：40～70％±5％RH，室内机 100%全正面维护； </w:t>
            </w:r>
          </w:p>
          <w:p>
            <w:pPr>
              <w:widowControl/>
              <w:numPr>
                <w:ilvl w:val="0"/>
                <w:numId w:val="17"/>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空调具备低噪音的特性，以不影响机房人员正常工作；  </w:t>
            </w:r>
          </w:p>
          <w:p>
            <w:pPr>
              <w:widowControl/>
              <w:numPr>
                <w:ilvl w:val="0"/>
                <w:numId w:val="17"/>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为保障机房运维人员身心健康，所投空调的风扇需具备抗菌、防尘的特性。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安装辅材</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空调进、排水管、冷媒铜管、外机安装支架</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五、</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场地环境监控系统</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numPr>
                <w:ilvl w:val="255"/>
                <w:numId w:val="0"/>
              </w:numPr>
              <w:jc w:val="left"/>
              <w:rPr>
                <w:rFonts w:ascii="宋体" w:hAnsi="宋体" w:eastAsia="宋体" w:cs="宋体"/>
                <w:color w:val="000000"/>
                <w:kern w:val="0"/>
                <w:sz w:val="24"/>
              </w:rPr>
            </w:pPr>
            <w:r>
              <w:rPr>
                <w:rFonts w:hint="eastAsia" w:ascii="宋体" w:hAnsi="宋体" w:eastAsia="宋体" w:cs="宋体"/>
                <w:color w:val="000000"/>
                <w:kern w:val="0"/>
                <w:sz w:val="24"/>
              </w:rPr>
              <w:t>空调监控</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18"/>
              </w:numPr>
              <w:jc w:val="left"/>
              <w:rPr>
                <w:rFonts w:ascii="宋体" w:hAnsi="宋体" w:eastAsia="宋体" w:cs="宋体"/>
                <w:color w:val="000000"/>
                <w:kern w:val="0"/>
                <w:sz w:val="24"/>
              </w:rPr>
            </w:pPr>
            <w:r>
              <w:rPr>
                <w:rFonts w:hint="eastAsia" w:ascii="宋体" w:hAnsi="宋体" w:eastAsia="宋体" w:cs="宋体"/>
                <w:color w:val="000000"/>
                <w:kern w:val="0"/>
                <w:sz w:val="24"/>
              </w:rPr>
              <w:t>实时采集 空调 冷冻水温度，室内温度，室外温度等参数和内部部件回路状态，压缩机、加热器等部件状态，发现空调异常，及时通知机房管理人员，保障机房恒温恒湿运行环境。</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智能温湿度传感器</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19"/>
              </w:numPr>
              <w:jc w:val="left"/>
              <w:rPr>
                <w:rFonts w:ascii="宋体" w:hAnsi="宋体" w:eastAsia="宋体" w:cs="宋体"/>
                <w:color w:val="000000"/>
                <w:kern w:val="0"/>
                <w:sz w:val="24"/>
              </w:rPr>
            </w:pPr>
            <w:r>
              <w:rPr>
                <w:rFonts w:hint="eastAsia" w:ascii="宋体" w:hAnsi="宋体" w:eastAsia="宋体" w:cs="宋体"/>
                <w:color w:val="000000"/>
                <w:kern w:val="0"/>
                <w:sz w:val="24"/>
              </w:rPr>
              <w:t>大屏幕高亮度LCD显示；</w:t>
            </w:r>
          </w:p>
          <w:p>
            <w:pPr>
              <w:widowControl/>
              <w:numPr>
                <w:ilvl w:val="0"/>
                <w:numId w:val="19"/>
              </w:numPr>
              <w:jc w:val="left"/>
              <w:rPr>
                <w:rFonts w:ascii="宋体" w:hAnsi="宋体" w:eastAsia="宋体" w:cs="宋体"/>
                <w:color w:val="000000"/>
                <w:kern w:val="0"/>
                <w:sz w:val="24"/>
              </w:rPr>
            </w:pPr>
            <w:r>
              <w:rPr>
                <w:rFonts w:hint="eastAsia" w:ascii="宋体" w:hAnsi="宋体" w:eastAsia="宋体" w:cs="宋体"/>
                <w:color w:val="000000"/>
                <w:kern w:val="0"/>
                <w:sz w:val="24"/>
              </w:rPr>
              <w:t>输出方式 RS485接口</w:t>
            </w:r>
          </w:p>
          <w:p>
            <w:pPr>
              <w:widowControl/>
              <w:numPr>
                <w:ilvl w:val="0"/>
                <w:numId w:val="19"/>
              </w:numPr>
              <w:jc w:val="left"/>
              <w:rPr>
                <w:rFonts w:ascii="宋体" w:hAnsi="宋体" w:eastAsia="宋体" w:cs="宋体"/>
                <w:color w:val="000000"/>
                <w:kern w:val="0"/>
                <w:sz w:val="24"/>
              </w:rPr>
            </w:pPr>
            <w:r>
              <w:rPr>
                <w:rFonts w:hint="eastAsia" w:ascii="宋体" w:hAnsi="宋体" w:eastAsia="宋体" w:cs="宋体"/>
                <w:color w:val="000000"/>
                <w:kern w:val="0"/>
                <w:sz w:val="24"/>
              </w:rPr>
              <w:t>输入电源范围 额定：12VDC 范围：6V-15VDC</w:t>
            </w:r>
          </w:p>
          <w:p>
            <w:pPr>
              <w:widowControl/>
              <w:numPr>
                <w:ilvl w:val="0"/>
                <w:numId w:val="19"/>
              </w:numPr>
              <w:jc w:val="left"/>
              <w:rPr>
                <w:rFonts w:ascii="宋体" w:hAnsi="宋体" w:eastAsia="宋体" w:cs="宋体"/>
                <w:color w:val="000000"/>
                <w:kern w:val="0"/>
                <w:sz w:val="24"/>
              </w:rPr>
            </w:pPr>
            <w:r>
              <w:rPr>
                <w:rFonts w:hint="eastAsia" w:ascii="宋体" w:hAnsi="宋体" w:eastAsia="宋体" w:cs="宋体"/>
                <w:color w:val="000000"/>
                <w:kern w:val="0"/>
                <w:sz w:val="24"/>
              </w:rPr>
              <w:t>功耗 电流小于20mA</w:t>
            </w:r>
          </w:p>
          <w:p>
            <w:pPr>
              <w:widowControl/>
              <w:numPr>
                <w:ilvl w:val="0"/>
                <w:numId w:val="19"/>
              </w:numPr>
              <w:jc w:val="left"/>
              <w:rPr>
                <w:rFonts w:ascii="宋体" w:hAnsi="宋体" w:eastAsia="宋体" w:cs="宋体"/>
                <w:color w:val="000000"/>
                <w:kern w:val="0"/>
                <w:sz w:val="24"/>
              </w:rPr>
            </w:pPr>
            <w:r>
              <w:rPr>
                <w:rFonts w:hint="eastAsia" w:ascii="宋体" w:hAnsi="宋体" w:eastAsia="宋体" w:cs="宋体"/>
                <w:color w:val="000000"/>
                <w:kern w:val="0"/>
                <w:sz w:val="24"/>
              </w:rPr>
              <w:t>温度测量范围 -20℃-80℃</w:t>
            </w:r>
          </w:p>
          <w:p>
            <w:pPr>
              <w:widowControl/>
              <w:numPr>
                <w:ilvl w:val="0"/>
                <w:numId w:val="19"/>
              </w:numPr>
              <w:jc w:val="left"/>
              <w:rPr>
                <w:rFonts w:ascii="宋体" w:hAnsi="宋体" w:eastAsia="宋体" w:cs="宋体"/>
                <w:color w:val="000000"/>
                <w:kern w:val="0"/>
                <w:sz w:val="24"/>
              </w:rPr>
            </w:pPr>
            <w:r>
              <w:rPr>
                <w:rFonts w:hint="eastAsia" w:ascii="宋体" w:hAnsi="宋体" w:eastAsia="宋体" w:cs="宋体"/>
                <w:color w:val="000000"/>
                <w:kern w:val="0"/>
                <w:sz w:val="24"/>
              </w:rPr>
              <w:t>湿度测量范围 0-100%RH</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区域式漏水适配模块</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（含10米漏水绳）</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20"/>
              </w:numPr>
              <w:jc w:val="left"/>
              <w:rPr>
                <w:rFonts w:ascii="宋体" w:hAnsi="宋体" w:eastAsia="宋体" w:cs="宋体"/>
                <w:color w:val="000000"/>
                <w:kern w:val="0"/>
                <w:sz w:val="24"/>
              </w:rPr>
            </w:pPr>
            <w:r>
              <w:rPr>
                <w:rFonts w:hint="eastAsia" w:ascii="宋体" w:hAnsi="宋体" w:eastAsia="宋体" w:cs="宋体"/>
                <w:color w:val="000000"/>
                <w:kern w:val="0"/>
                <w:sz w:val="24"/>
              </w:rPr>
              <w:t>工作环境 温湿度 -10℃-50℃ 10%-90%RH</w:t>
            </w:r>
          </w:p>
          <w:p>
            <w:pPr>
              <w:widowControl/>
              <w:numPr>
                <w:ilvl w:val="0"/>
                <w:numId w:val="20"/>
              </w:numPr>
              <w:jc w:val="left"/>
              <w:rPr>
                <w:rFonts w:ascii="宋体" w:hAnsi="宋体" w:eastAsia="宋体" w:cs="宋体"/>
                <w:color w:val="000000"/>
                <w:kern w:val="0"/>
                <w:sz w:val="24"/>
              </w:rPr>
            </w:pPr>
            <w:r>
              <w:rPr>
                <w:rFonts w:hint="eastAsia" w:ascii="宋体" w:hAnsi="宋体" w:eastAsia="宋体" w:cs="宋体"/>
                <w:color w:val="000000"/>
                <w:kern w:val="0"/>
                <w:sz w:val="24"/>
              </w:rPr>
              <w:t>漏水检测通道数 1路</w:t>
            </w:r>
          </w:p>
          <w:p>
            <w:pPr>
              <w:widowControl/>
              <w:numPr>
                <w:ilvl w:val="0"/>
                <w:numId w:val="20"/>
              </w:numPr>
              <w:jc w:val="left"/>
              <w:rPr>
                <w:rFonts w:ascii="宋体" w:hAnsi="宋体" w:eastAsia="宋体" w:cs="宋体"/>
                <w:color w:val="000000"/>
                <w:kern w:val="0"/>
                <w:sz w:val="24"/>
              </w:rPr>
            </w:pPr>
            <w:r>
              <w:rPr>
                <w:rFonts w:hint="eastAsia" w:ascii="宋体" w:hAnsi="宋体" w:eastAsia="宋体" w:cs="宋体"/>
                <w:color w:val="000000"/>
                <w:kern w:val="0"/>
                <w:sz w:val="24"/>
              </w:rPr>
              <w:t>检测灵敏度 可设定8种灵敏度</w:t>
            </w:r>
          </w:p>
          <w:p>
            <w:pPr>
              <w:widowControl/>
              <w:numPr>
                <w:ilvl w:val="0"/>
                <w:numId w:val="20"/>
              </w:numPr>
              <w:jc w:val="left"/>
              <w:rPr>
                <w:rFonts w:ascii="宋体" w:hAnsi="宋体" w:eastAsia="宋体" w:cs="宋体"/>
                <w:color w:val="000000"/>
                <w:kern w:val="0"/>
                <w:sz w:val="24"/>
              </w:rPr>
            </w:pPr>
            <w:r>
              <w:rPr>
                <w:rFonts w:hint="eastAsia" w:ascii="宋体" w:hAnsi="宋体" w:eastAsia="宋体" w:cs="宋体"/>
                <w:color w:val="000000"/>
                <w:kern w:val="0"/>
                <w:sz w:val="24"/>
              </w:rPr>
              <w:t>响应时间 &lt;3s</w:t>
            </w:r>
          </w:p>
          <w:p>
            <w:pPr>
              <w:widowControl/>
              <w:numPr>
                <w:ilvl w:val="0"/>
                <w:numId w:val="20"/>
              </w:numPr>
              <w:jc w:val="left"/>
              <w:rPr>
                <w:rFonts w:ascii="宋体" w:hAnsi="宋体" w:eastAsia="宋体" w:cs="宋体"/>
                <w:color w:val="000000"/>
                <w:kern w:val="0"/>
                <w:sz w:val="24"/>
              </w:rPr>
            </w:pPr>
            <w:r>
              <w:rPr>
                <w:rFonts w:hint="eastAsia" w:ascii="宋体" w:hAnsi="宋体" w:eastAsia="宋体" w:cs="宋体"/>
                <w:color w:val="000000"/>
                <w:kern w:val="0"/>
                <w:sz w:val="24"/>
              </w:rPr>
              <w:t>继电器输出 1路，触点DC30V 1A</w:t>
            </w:r>
          </w:p>
          <w:p>
            <w:pPr>
              <w:widowControl/>
              <w:numPr>
                <w:ilvl w:val="0"/>
                <w:numId w:val="20"/>
              </w:numPr>
              <w:jc w:val="left"/>
              <w:rPr>
                <w:rFonts w:ascii="宋体" w:hAnsi="宋体" w:eastAsia="宋体" w:cs="宋体"/>
                <w:color w:val="000000"/>
                <w:kern w:val="0"/>
                <w:sz w:val="24"/>
              </w:rPr>
            </w:pPr>
            <w:r>
              <w:rPr>
                <w:rFonts w:hint="eastAsia" w:ascii="宋体" w:hAnsi="宋体" w:eastAsia="宋体" w:cs="宋体"/>
                <w:color w:val="000000"/>
                <w:kern w:val="0"/>
                <w:sz w:val="24"/>
              </w:rPr>
              <w:t>EMC指标  接触放电:±6KV；  空气放电:±8KV EFT防护  ±2KV</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红外探测器</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定制</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嵌入式一体化监控主机</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（含监控软件）</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1、220V供电、1U黑色工业机箱,抗干扰；</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2、内部配置：CPU:Atom D525；内存：2G；硬盘：320G或16G固态3、硬盘；USB2.0：4个；网络口：2个；</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4、实用端口：可输出12V DC,预留DI、DO功能；</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5、Com数：5个RS232、1个RS485；</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6、数据库：mysql；</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7、支持多种通讯协议：modbus，jbus，adam，山特，电总协议或其他定制协议</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报警通知服务器</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实现电话语音报警输出功能</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7</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辅材及安装</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定制</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套</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六、</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防雷接地系统</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防雷浪涌</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标称放电电流：20KA</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响应时间：0.1s</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最大操作电压：385V</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最大放电电流：40KA</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个</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接地铜排</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3*30</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米</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60</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汇流排</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400*100*10</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米</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配电防雷模块</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21"/>
              </w:numPr>
              <w:jc w:val="left"/>
              <w:rPr>
                <w:rFonts w:ascii="宋体" w:hAnsi="宋体" w:eastAsia="宋体" w:cs="宋体"/>
                <w:color w:val="000000"/>
                <w:kern w:val="0"/>
                <w:sz w:val="24"/>
              </w:rPr>
            </w:pPr>
            <w:r>
              <w:rPr>
                <w:rFonts w:hint="eastAsia" w:ascii="宋体" w:hAnsi="宋体" w:eastAsia="宋体" w:cs="宋体"/>
                <w:color w:val="000000"/>
                <w:kern w:val="0"/>
                <w:sz w:val="24"/>
              </w:rPr>
              <w:t>三相电源防雷模块</w:t>
            </w:r>
          </w:p>
          <w:p>
            <w:pPr>
              <w:widowControl/>
              <w:numPr>
                <w:ilvl w:val="0"/>
                <w:numId w:val="21"/>
              </w:numPr>
              <w:jc w:val="left"/>
              <w:rPr>
                <w:rFonts w:ascii="宋体" w:hAnsi="宋体" w:eastAsia="宋体" w:cs="宋体"/>
                <w:color w:val="000000"/>
                <w:kern w:val="0"/>
                <w:sz w:val="24"/>
              </w:rPr>
            </w:pPr>
            <w:r>
              <w:rPr>
                <w:rFonts w:hint="eastAsia" w:ascii="宋体" w:hAnsi="宋体" w:eastAsia="宋体" w:cs="宋体"/>
                <w:color w:val="000000"/>
                <w:kern w:val="0"/>
                <w:sz w:val="24"/>
              </w:rPr>
              <w:t>响应时间≤25纳秒；</w:t>
            </w:r>
          </w:p>
          <w:p>
            <w:pPr>
              <w:widowControl/>
              <w:numPr>
                <w:ilvl w:val="0"/>
                <w:numId w:val="21"/>
              </w:numPr>
              <w:jc w:val="left"/>
              <w:rPr>
                <w:rFonts w:ascii="宋体" w:hAnsi="宋体" w:eastAsia="宋体" w:cs="宋体"/>
                <w:color w:val="000000"/>
                <w:kern w:val="0"/>
                <w:sz w:val="24"/>
              </w:rPr>
            </w:pPr>
            <w:r>
              <w:rPr>
                <w:rFonts w:hint="eastAsia" w:ascii="宋体" w:hAnsi="宋体" w:eastAsia="宋体" w:cs="宋体"/>
                <w:color w:val="000000"/>
                <w:kern w:val="0"/>
                <w:sz w:val="24"/>
              </w:rPr>
              <w:t>自保护电路：内置过热断路装置；</w:t>
            </w:r>
          </w:p>
          <w:p>
            <w:pPr>
              <w:widowControl/>
              <w:numPr>
                <w:ilvl w:val="0"/>
                <w:numId w:val="21"/>
              </w:numPr>
              <w:jc w:val="left"/>
              <w:rPr>
                <w:rFonts w:ascii="宋体" w:hAnsi="宋体" w:eastAsia="宋体" w:cs="宋体"/>
                <w:color w:val="000000"/>
                <w:kern w:val="0"/>
                <w:sz w:val="24"/>
              </w:rPr>
            </w:pPr>
            <w:r>
              <w:rPr>
                <w:rFonts w:hint="eastAsia" w:ascii="宋体" w:hAnsi="宋体" w:eastAsia="宋体" w:cs="宋体"/>
                <w:color w:val="000000"/>
                <w:kern w:val="0"/>
                <w:sz w:val="24"/>
              </w:rPr>
              <w:t>工作状态显示：设有劣化指示窗口，正常时为绿色，当指示窗口变为红色，表明该回路的防雷器已不能工作，需维修；</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个</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七、</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机房装修</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　</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彩钢板不锈钢收边</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亚光不锈钢踢脚线，内村九厘板，100*1mm(高*厚)</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m</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30</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轻质隔热彩钢板</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3000*900，表面为热熔镀锌钢板基材，厚度≥0.6mm(±20um)，正面烤漆厚度≥20um，背面烤漆厚度≥12um，内衬12mm防火石膏板</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105</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彩钢板龙骨</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镀锌轻钢龙骨，75*45mm规格</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105</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彩钢夹芯板开孔</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定制</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抗静电钢质活动地板</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22"/>
              </w:numPr>
              <w:jc w:val="left"/>
              <w:rPr>
                <w:rFonts w:ascii="宋体" w:hAnsi="宋体" w:eastAsia="宋体" w:cs="宋体"/>
                <w:color w:val="000000"/>
                <w:kern w:val="0"/>
                <w:sz w:val="24"/>
              </w:rPr>
            </w:pPr>
            <w:r>
              <w:rPr>
                <w:rFonts w:hint="eastAsia" w:ascii="宋体" w:hAnsi="宋体" w:eastAsia="宋体" w:cs="宋体"/>
                <w:color w:val="000000"/>
                <w:kern w:val="0"/>
                <w:sz w:val="24"/>
              </w:rPr>
              <w:t>600*600*35，美亚面层，≥1.5mm厚防开裂防静电HPL贴面，表层三氧化二铝耐磨层厚度≥30g/cm2，上层钢板≥0.8mm厚度冷硬钢板，下层钢板≥0.7mm厚度深冲拉伸板；集中荷载：≥454KG（挠度≤2mm、永久变型≤0.25mm）；极限荷载：≥13350N，均布载荷：≥23000N/m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30</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地板边角方钢管固定架</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定制</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m</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20</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7</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不锈钢踢脚线</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亚光高100*1mm厚</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m</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20</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8</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铝扣板吊顶</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600*600*0.8mm</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30</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9</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吊顶龙骨及配件</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主龙、副龙、边条等</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30</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10</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地板吸</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定制</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bl>
    <w:p/>
    <w:p>
      <w:pPr>
        <w:pStyle w:val="2"/>
        <w:sectPr>
          <w:pgSz w:w="11906" w:h="16838"/>
          <w:pgMar w:top="1440" w:right="1134" w:bottom="1440" w:left="1134" w:header="851" w:footer="992" w:gutter="0"/>
          <w:cols w:space="425" w:num="1"/>
          <w:docGrid w:type="lines" w:linePitch="312" w:charSpace="0"/>
        </w:sectPr>
      </w:pPr>
    </w:p>
    <w:p>
      <w:pPr>
        <w:pStyle w:val="4"/>
        <w:spacing w:before="120" w:after="120" w:line="360" w:lineRule="auto"/>
        <w:rPr>
          <w:rFonts w:ascii="宋体" w:hAnsi="宋体" w:eastAsia="宋体" w:cs="宋体"/>
          <w:color w:val="000000"/>
          <w:kern w:val="0"/>
          <w:sz w:val="24"/>
          <w:szCs w:val="24"/>
        </w:rPr>
      </w:pPr>
      <w:bookmarkStart w:id="11" w:name="_Toc127463071"/>
      <w:r>
        <w:rPr>
          <w:rFonts w:hint="eastAsia" w:ascii="宋体" w:hAnsi="宋体" w:eastAsia="宋体" w:cs="宋体"/>
          <w:color w:val="000000"/>
          <w:kern w:val="0"/>
          <w:sz w:val="24"/>
          <w:szCs w:val="24"/>
        </w:rPr>
        <w:t>11、综合布线系统</w:t>
      </w:r>
      <w:bookmarkEnd w:id="11"/>
    </w:p>
    <w:tbl>
      <w:tblPr>
        <w:tblStyle w:val="11"/>
        <w:tblW w:w="0" w:type="auto"/>
        <w:tblInd w:w="91" w:type="dxa"/>
        <w:tblLayout w:type="autofit"/>
        <w:tblCellMar>
          <w:top w:w="0" w:type="dxa"/>
          <w:left w:w="108" w:type="dxa"/>
          <w:bottom w:w="0" w:type="dxa"/>
          <w:right w:w="108" w:type="dxa"/>
        </w:tblCellMar>
      </w:tblPr>
      <w:tblGrid>
        <w:gridCol w:w="698"/>
        <w:gridCol w:w="1675"/>
        <w:gridCol w:w="3964"/>
        <w:gridCol w:w="698"/>
        <w:gridCol w:w="698"/>
        <w:gridCol w:w="698"/>
      </w:tblGrid>
      <w:tr>
        <w:tblPrEx>
          <w:tblCellMar>
            <w:top w:w="0" w:type="dxa"/>
            <w:left w:w="108" w:type="dxa"/>
            <w:bottom w:w="0" w:type="dxa"/>
            <w:right w:w="108" w:type="dxa"/>
          </w:tblCellMar>
        </w:tblPrEx>
        <w:trPr>
          <w:trHeight w:val="584" w:hRule="atLeast"/>
          <w:tblHeader/>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序号</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名称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技术参数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单位</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数量</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备注</w:t>
            </w:r>
          </w:p>
        </w:tc>
      </w:tr>
      <w:tr>
        <w:tblPrEx>
          <w:tblCellMar>
            <w:top w:w="0" w:type="dxa"/>
            <w:left w:w="108" w:type="dxa"/>
            <w:bottom w:w="0" w:type="dxa"/>
            <w:right w:w="108" w:type="dxa"/>
          </w:tblCellMar>
        </w:tblPrEx>
        <w:trPr>
          <w:trHeight w:val="54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重点区域</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双口86型面板</w:t>
            </w:r>
          </w:p>
        </w:tc>
        <w:tc>
          <w:tcPr>
            <w:tcW w:w="0" w:type="auto"/>
            <w:tcBorders>
              <w:top w:val="nil"/>
              <w:left w:val="nil"/>
              <w:bottom w:val="single" w:color="auto" w:sz="4" w:space="0"/>
              <w:right w:val="single" w:color="auto" w:sz="4" w:space="0"/>
            </w:tcBorders>
            <w:shd w:val="clear" w:color="auto" w:fill="auto"/>
            <w:vAlign w:val="center"/>
          </w:tcPr>
          <w:p>
            <w:pPr>
              <w:widowControl/>
              <w:spacing w:after="240"/>
              <w:jc w:val="left"/>
              <w:rPr>
                <w:rFonts w:ascii="宋体" w:hAnsi="宋体" w:eastAsia="宋体" w:cs="宋体"/>
                <w:kern w:val="0"/>
                <w:sz w:val="24"/>
              </w:rPr>
            </w:pPr>
            <w:r>
              <w:rPr>
                <w:rFonts w:hint="eastAsia" w:ascii="宋体" w:hAnsi="宋体" w:eastAsia="宋体" w:cs="宋体"/>
                <w:kern w:val="0"/>
                <w:sz w:val="24"/>
              </w:rPr>
              <w:t xml:space="preserve">面板类型：86*86mm型 </w:t>
            </w:r>
            <w:r>
              <w:rPr>
                <w:rFonts w:hint="eastAsia" w:ascii="宋体" w:hAnsi="宋体" w:eastAsia="宋体" w:cs="宋体"/>
                <w:kern w:val="0"/>
                <w:sz w:val="24"/>
              </w:rPr>
              <w:br w:type="textWrapping"/>
            </w:r>
            <w:r>
              <w:rPr>
                <w:rFonts w:hint="eastAsia" w:ascii="宋体" w:hAnsi="宋体" w:eastAsia="宋体" w:cs="宋体"/>
                <w:kern w:val="0"/>
                <w:sz w:val="24"/>
              </w:rPr>
              <w:t xml:space="preserve">面板端口数：双口 </w:t>
            </w:r>
            <w:r>
              <w:rPr>
                <w:rFonts w:hint="eastAsia" w:ascii="宋体" w:hAnsi="宋体" w:eastAsia="宋体" w:cs="宋体"/>
                <w:kern w:val="0"/>
                <w:sz w:val="24"/>
              </w:rPr>
              <w:br w:type="textWrapping"/>
            </w:r>
            <w:r>
              <w:rPr>
                <w:rFonts w:hint="eastAsia" w:ascii="宋体" w:hAnsi="宋体" w:eastAsia="宋体" w:cs="宋体"/>
                <w:kern w:val="0"/>
                <w:sz w:val="24"/>
              </w:rPr>
              <w:t>面板主体塑料材质：采用ABS塑胶材质，耐冲压，阻燃</w:t>
            </w:r>
            <w:r>
              <w:rPr>
                <w:rFonts w:hint="eastAsia" w:ascii="宋体" w:hAnsi="宋体" w:eastAsia="宋体" w:cs="宋体"/>
                <w:kern w:val="0"/>
                <w:sz w:val="24"/>
              </w:rPr>
              <w:br w:type="textWrapping"/>
            </w:r>
            <w:r>
              <w:rPr>
                <w:rFonts w:hint="eastAsia" w:ascii="宋体" w:hAnsi="宋体" w:eastAsia="宋体" w:cs="宋体"/>
                <w:kern w:val="0"/>
                <w:sz w:val="24"/>
              </w:rPr>
              <w:t>防尘门：优质ABS工程塑料</w:t>
            </w:r>
            <w:r>
              <w:rPr>
                <w:rFonts w:hint="eastAsia" w:ascii="宋体" w:hAnsi="宋体" w:eastAsia="宋体" w:cs="宋体"/>
                <w:kern w:val="0"/>
                <w:sz w:val="24"/>
              </w:rPr>
              <w:br w:type="textWrapping"/>
            </w:r>
            <w:r>
              <w:rPr>
                <w:rFonts w:hint="eastAsia" w:ascii="宋体" w:hAnsi="宋体" w:eastAsia="宋体" w:cs="宋体"/>
                <w:kern w:val="0"/>
                <w:sz w:val="24"/>
              </w:rPr>
              <w:t xml:space="preserve">连接方式：直接卡接信息模块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71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单口86型面板</w:t>
            </w:r>
          </w:p>
        </w:tc>
        <w:tc>
          <w:tcPr>
            <w:tcW w:w="0" w:type="auto"/>
            <w:tcBorders>
              <w:top w:val="nil"/>
              <w:left w:val="nil"/>
              <w:bottom w:val="single" w:color="auto" w:sz="4" w:space="0"/>
              <w:right w:val="single" w:color="auto" w:sz="4" w:space="0"/>
            </w:tcBorders>
            <w:shd w:val="clear" w:color="auto" w:fill="auto"/>
            <w:vAlign w:val="center"/>
          </w:tcPr>
          <w:p>
            <w:pPr>
              <w:widowControl/>
              <w:spacing w:after="240"/>
              <w:jc w:val="left"/>
              <w:rPr>
                <w:rFonts w:ascii="宋体" w:hAnsi="宋体" w:eastAsia="宋体" w:cs="宋体"/>
                <w:kern w:val="0"/>
                <w:sz w:val="24"/>
              </w:rPr>
            </w:pPr>
            <w:r>
              <w:rPr>
                <w:rFonts w:hint="eastAsia" w:ascii="宋体" w:hAnsi="宋体" w:eastAsia="宋体" w:cs="宋体"/>
                <w:kern w:val="0"/>
                <w:sz w:val="24"/>
              </w:rPr>
              <w:t xml:space="preserve">面板类型：86*86mm型 </w:t>
            </w:r>
            <w:r>
              <w:rPr>
                <w:rFonts w:hint="eastAsia" w:ascii="宋体" w:hAnsi="宋体" w:eastAsia="宋体" w:cs="宋体"/>
                <w:kern w:val="0"/>
                <w:sz w:val="24"/>
              </w:rPr>
              <w:br w:type="textWrapping"/>
            </w:r>
            <w:r>
              <w:rPr>
                <w:rFonts w:hint="eastAsia" w:ascii="宋体" w:hAnsi="宋体" w:eastAsia="宋体" w:cs="宋体"/>
                <w:kern w:val="0"/>
                <w:sz w:val="24"/>
              </w:rPr>
              <w:t xml:space="preserve">面板端口数：单口 </w:t>
            </w:r>
            <w:r>
              <w:rPr>
                <w:rFonts w:hint="eastAsia" w:ascii="宋体" w:hAnsi="宋体" w:eastAsia="宋体" w:cs="宋体"/>
                <w:kern w:val="0"/>
                <w:sz w:val="24"/>
              </w:rPr>
              <w:br w:type="textWrapping"/>
            </w:r>
            <w:r>
              <w:rPr>
                <w:rFonts w:hint="eastAsia" w:ascii="宋体" w:hAnsi="宋体" w:eastAsia="宋体" w:cs="宋体"/>
                <w:kern w:val="0"/>
                <w:sz w:val="24"/>
              </w:rPr>
              <w:t>面板主体塑料材质：采用ABS塑胶材质，耐冲压，阻燃</w:t>
            </w:r>
            <w:r>
              <w:rPr>
                <w:rFonts w:hint="eastAsia" w:ascii="宋体" w:hAnsi="宋体" w:eastAsia="宋体" w:cs="宋体"/>
                <w:kern w:val="0"/>
                <w:sz w:val="24"/>
              </w:rPr>
              <w:br w:type="textWrapping"/>
            </w:r>
            <w:r>
              <w:rPr>
                <w:rFonts w:hint="eastAsia" w:ascii="宋体" w:hAnsi="宋体" w:eastAsia="宋体" w:cs="宋体"/>
                <w:kern w:val="0"/>
                <w:sz w:val="24"/>
              </w:rPr>
              <w:t xml:space="preserve">标识：含有机玻璃的标签 </w:t>
            </w:r>
            <w:r>
              <w:rPr>
                <w:rFonts w:hint="eastAsia" w:ascii="宋体" w:hAnsi="宋体" w:eastAsia="宋体" w:cs="宋体"/>
                <w:kern w:val="0"/>
                <w:sz w:val="24"/>
              </w:rPr>
              <w:br w:type="textWrapping"/>
            </w:r>
            <w:r>
              <w:rPr>
                <w:rFonts w:hint="eastAsia" w:ascii="宋体" w:hAnsi="宋体" w:eastAsia="宋体" w:cs="宋体"/>
                <w:kern w:val="0"/>
                <w:sz w:val="24"/>
              </w:rPr>
              <w:t>防尘门：优质ABS工程塑料</w:t>
            </w:r>
            <w:r>
              <w:rPr>
                <w:rFonts w:hint="eastAsia" w:ascii="宋体" w:hAnsi="宋体" w:eastAsia="宋体" w:cs="宋体"/>
                <w:kern w:val="0"/>
                <w:sz w:val="24"/>
              </w:rPr>
              <w:br w:type="textWrapping"/>
            </w:r>
            <w:r>
              <w:rPr>
                <w:rFonts w:hint="eastAsia" w:ascii="宋体" w:hAnsi="宋体" w:eastAsia="宋体" w:cs="宋体"/>
                <w:kern w:val="0"/>
                <w:sz w:val="24"/>
              </w:rPr>
              <w:t xml:space="preserve">Z字形弹簧材质：钢丝 </w:t>
            </w:r>
            <w:r>
              <w:rPr>
                <w:rFonts w:hint="eastAsia" w:ascii="宋体" w:hAnsi="宋体" w:eastAsia="宋体" w:cs="宋体"/>
                <w:kern w:val="0"/>
                <w:sz w:val="24"/>
              </w:rPr>
              <w:br w:type="textWrapping"/>
            </w:r>
            <w:r>
              <w:rPr>
                <w:rFonts w:hint="eastAsia" w:ascii="宋体" w:hAnsi="宋体" w:eastAsia="宋体" w:cs="宋体"/>
                <w:kern w:val="0"/>
                <w:sz w:val="24"/>
              </w:rPr>
              <w:t xml:space="preserve">连接方式：直接卡接信息模块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69</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六类RJ45数据模块(白)</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接线方式：180度卡接，使用110工具端接</w:t>
            </w:r>
            <w:r>
              <w:rPr>
                <w:rFonts w:hint="eastAsia" w:ascii="宋体" w:hAnsi="宋体" w:eastAsia="宋体" w:cs="宋体"/>
                <w:kern w:val="0"/>
                <w:sz w:val="24"/>
              </w:rPr>
              <w:br w:type="textWrapping"/>
            </w:r>
            <w:r>
              <w:rPr>
                <w:rFonts w:hint="eastAsia" w:ascii="宋体" w:hAnsi="宋体" w:eastAsia="宋体" w:cs="宋体"/>
                <w:kern w:val="0"/>
                <w:sz w:val="24"/>
              </w:rPr>
              <w:t>提供T568A&amp;T568B打线标示系统，方便打线</w:t>
            </w:r>
            <w:r>
              <w:rPr>
                <w:rFonts w:hint="eastAsia" w:ascii="宋体" w:hAnsi="宋体" w:eastAsia="宋体" w:cs="宋体"/>
                <w:kern w:val="0"/>
                <w:sz w:val="24"/>
              </w:rPr>
              <w:br w:type="textWrapping"/>
            </w:r>
            <w:r>
              <w:rPr>
                <w:rFonts w:hint="eastAsia" w:ascii="宋体" w:hAnsi="宋体" w:eastAsia="宋体" w:cs="宋体"/>
                <w:kern w:val="0"/>
                <w:sz w:val="24"/>
              </w:rPr>
              <w:t>壳体材料：聚碳酸酯工程塑料（PC料），阻燃符合UL-94V0，抗冲击</w:t>
            </w:r>
            <w:r>
              <w:rPr>
                <w:rFonts w:hint="eastAsia" w:ascii="宋体" w:hAnsi="宋体" w:eastAsia="宋体" w:cs="宋体"/>
                <w:kern w:val="0"/>
                <w:sz w:val="24"/>
              </w:rPr>
              <w:br w:type="textWrapping"/>
            </w:r>
            <w:r>
              <w:rPr>
                <w:rFonts w:hint="eastAsia" w:ascii="宋体" w:hAnsi="宋体" w:eastAsia="宋体" w:cs="宋体"/>
                <w:kern w:val="0"/>
                <w:sz w:val="24"/>
              </w:rPr>
              <w:t xml:space="preserve">IDC端子材质：磷青铜镀镍 </w:t>
            </w:r>
            <w:r>
              <w:rPr>
                <w:rFonts w:hint="eastAsia" w:ascii="宋体" w:hAnsi="宋体" w:eastAsia="宋体" w:cs="宋体"/>
                <w:kern w:val="0"/>
                <w:sz w:val="24"/>
              </w:rPr>
              <w:br w:type="textWrapping"/>
            </w:r>
            <w:r>
              <w:rPr>
                <w:rFonts w:hint="eastAsia" w:ascii="宋体" w:hAnsi="宋体" w:eastAsia="宋体" w:cs="宋体"/>
                <w:kern w:val="0"/>
                <w:sz w:val="24"/>
              </w:rPr>
              <w:t xml:space="preserve">金针材质：磷青铜镀金50μm </w:t>
            </w:r>
            <w:r>
              <w:rPr>
                <w:rFonts w:hint="eastAsia" w:ascii="宋体" w:hAnsi="宋体" w:eastAsia="宋体" w:cs="宋体"/>
                <w:kern w:val="0"/>
                <w:sz w:val="24"/>
              </w:rPr>
              <w:br w:type="textWrapping"/>
            </w:r>
            <w:r>
              <w:rPr>
                <w:rFonts w:hint="eastAsia" w:ascii="宋体" w:hAnsi="宋体" w:eastAsia="宋体" w:cs="宋体"/>
                <w:kern w:val="0"/>
                <w:sz w:val="24"/>
              </w:rPr>
              <w:t xml:space="preserve">IDC端子可卡接线径：单股或多股裸铜导体0.4-0.6mm </w:t>
            </w:r>
            <w:r>
              <w:rPr>
                <w:rFonts w:hint="eastAsia" w:ascii="宋体" w:hAnsi="宋体" w:eastAsia="宋体" w:cs="宋体"/>
                <w:kern w:val="0"/>
                <w:sz w:val="24"/>
              </w:rPr>
              <w:br w:type="textWrapping"/>
            </w:r>
            <w:r>
              <w:rPr>
                <w:rFonts w:hint="eastAsia" w:ascii="宋体" w:hAnsi="宋体" w:eastAsia="宋体" w:cs="宋体"/>
                <w:kern w:val="0"/>
                <w:sz w:val="24"/>
              </w:rPr>
              <w:t>频率范围 0～250MHz</w:t>
            </w:r>
            <w:r>
              <w:rPr>
                <w:rFonts w:hint="eastAsia" w:ascii="宋体" w:hAnsi="宋体" w:eastAsia="宋体" w:cs="宋体"/>
                <w:kern w:val="0"/>
                <w:sz w:val="24"/>
              </w:rPr>
              <w:br w:type="textWrapping"/>
            </w:r>
            <w:r>
              <w:rPr>
                <w:rFonts w:hint="eastAsia" w:ascii="宋体" w:hAnsi="宋体" w:eastAsia="宋体" w:cs="宋体"/>
                <w:kern w:val="0"/>
                <w:sz w:val="24"/>
              </w:rPr>
              <w:t>额定电流 1.5A</w:t>
            </w:r>
            <w:r>
              <w:rPr>
                <w:rFonts w:hint="eastAsia" w:ascii="宋体" w:hAnsi="宋体" w:eastAsia="宋体" w:cs="宋体"/>
                <w:kern w:val="0"/>
                <w:sz w:val="24"/>
              </w:rPr>
              <w:br w:type="textWrapping"/>
            </w:r>
            <w:r>
              <w:rPr>
                <w:rFonts w:hint="eastAsia" w:ascii="宋体" w:hAnsi="宋体" w:eastAsia="宋体" w:cs="宋体"/>
                <w:kern w:val="0"/>
                <w:sz w:val="24"/>
              </w:rPr>
              <w:t>接触电阻 ≤2.5mΩ</w:t>
            </w:r>
            <w:r>
              <w:rPr>
                <w:rFonts w:hint="eastAsia" w:ascii="宋体" w:hAnsi="宋体" w:eastAsia="宋体" w:cs="宋体"/>
                <w:kern w:val="0"/>
                <w:sz w:val="24"/>
              </w:rPr>
              <w:br w:type="textWrapping"/>
            </w:r>
            <w:r>
              <w:rPr>
                <w:rFonts w:hint="eastAsia" w:ascii="宋体" w:hAnsi="宋体" w:eastAsia="宋体" w:cs="宋体"/>
                <w:kern w:val="0"/>
                <w:sz w:val="24"/>
              </w:rPr>
              <w:t>绝缘电阻 ≥500 MΩ</w:t>
            </w:r>
            <w:r>
              <w:rPr>
                <w:rFonts w:hint="eastAsia" w:ascii="宋体" w:hAnsi="宋体" w:eastAsia="宋体" w:cs="宋体"/>
                <w:kern w:val="0"/>
                <w:sz w:val="24"/>
              </w:rPr>
              <w:br w:type="textWrapping"/>
            </w:r>
            <w:r>
              <w:rPr>
                <w:rFonts w:hint="eastAsia" w:ascii="宋体" w:hAnsi="宋体" w:eastAsia="宋体" w:cs="宋体"/>
                <w:kern w:val="0"/>
                <w:sz w:val="24"/>
              </w:rPr>
              <w:t xml:space="preserve">插入力和拔出力：插入力≤20N，拔出力≥20N </w:t>
            </w:r>
            <w:r>
              <w:rPr>
                <w:rFonts w:hint="eastAsia" w:ascii="宋体" w:hAnsi="宋体" w:eastAsia="宋体" w:cs="宋体"/>
                <w:kern w:val="0"/>
                <w:sz w:val="24"/>
              </w:rPr>
              <w:br w:type="textWrapping"/>
            </w:r>
            <w:r>
              <w:rPr>
                <w:rFonts w:hint="eastAsia" w:ascii="宋体" w:hAnsi="宋体" w:eastAsia="宋体" w:cs="宋体"/>
                <w:kern w:val="0"/>
                <w:sz w:val="24"/>
              </w:rPr>
              <w:t xml:space="preserve">RJ45拔插次数：≥1000次 </w:t>
            </w:r>
            <w:r>
              <w:rPr>
                <w:rFonts w:hint="eastAsia" w:ascii="宋体" w:hAnsi="宋体" w:eastAsia="宋体" w:cs="宋体"/>
                <w:kern w:val="0"/>
                <w:sz w:val="24"/>
              </w:rPr>
              <w:br w:type="textWrapping"/>
            </w:r>
            <w:r>
              <w:rPr>
                <w:rFonts w:hint="eastAsia" w:ascii="宋体" w:hAnsi="宋体" w:eastAsia="宋体" w:cs="宋体"/>
                <w:kern w:val="0"/>
                <w:sz w:val="24"/>
              </w:rPr>
              <w:t xml:space="preserve">IDC端子端接次数：≥250次 </w:t>
            </w:r>
            <w:r>
              <w:rPr>
                <w:rFonts w:hint="eastAsia" w:ascii="宋体" w:hAnsi="宋体" w:eastAsia="宋体" w:cs="宋体"/>
                <w:kern w:val="0"/>
                <w:sz w:val="24"/>
              </w:rPr>
              <w:br w:type="textWrapping"/>
            </w:r>
            <w:r>
              <w:rPr>
                <w:rFonts w:hint="eastAsia" w:ascii="宋体" w:hAnsi="宋体" w:eastAsia="宋体" w:cs="宋体"/>
                <w:kern w:val="0"/>
                <w:sz w:val="24"/>
              </w:rPr>
              <w:t>抗电强度 750VAC ，60HZ 1 分钟，无击穿无飞弧</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211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六类非屏蔽跳线(2米灰色)</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xml:space="preserve">水晶头塑料材质：聚碳酸酯（PC） </w:t>
            </w:r>
            <w:r>
              <w:rPr>
                <w:rFonts w:hint="eastAsia" w:ascii="宋体" w:hAnsi="宋体" w:eastAsia="宋体" w:cs="宋体"/>
                <w:kern w:val="0"/>
                <w:sz w:val="24"/>
              </w:rPr>
              <w:br w:type="textWrapping"/>
            </w:r>
            <w:r>
              <w:rPr>
                <w:rFonts w:hint="eastAsia" w:ascii="宋体" w:hAnsi="宋体" w:eastAsia="宋体" w:cs="宋体"/>
                <w:kern w:val="0"/>
                <w:sz w:val="24"/>
              </w:rPr>
              <w:t xml:space="preserve">跳线接头类型：注塑RJ45端子-注塑RJ45端子 </w:t>
            </w:r>
            <w:r>
              <w:rPr>
                <w:rFonts w:hint="eastAsia" w:ascii="宋体" w:hAnsi="宋体" w:eastAsia="宋体" w:cs="宋体"/>
                <w:kern w:val="0"/>
                <w:sz w:val="24"/>
              </w:rPr>
              <w:br w:type="textWrapping"/>
            </w:r>
            <w:r>
              <w:rPr>
                <w:rFonts w:hint="eastAsia" w:ascii="宋体" w:hAnsi="宋体" w:eastAsia="宋体" w:cs="宋体"/>
                <w:kern w:val="0"/>
                <w:sz w:val="24"/>
              </w:rPr>
              <w:t>跳线线缆类型：24AWG对绞芯线 （多股）</w:t>
            </w:r>
            <w:r>
              <w:rPr>
                <w:rFonts w:hint="eastAsia" w:ascii="宋体" w:hAnsi="宋体" w:eastAsia="宋体" w:cs="宋体"/>
                <w:kern w:val="0"/>
                <w:sz w:val="24"/>
              </w:rPr>
              <w:br w:type="textWrapping"/>
            </w:r>
            <w:r>
              <w:rPr>
                <w:rFonts w:hint="eastAsia" w:ascii="宋体" w:hAnsi="宋体" w:eastAsia="宋体" w:cs="宋体"/>
                <w:kern w:val="0"/>
                <w:sz w:val="24"/>
              </w:rPr>
              <w:t>跳线线缆护套材质：PVC /LSZH</w:t>
            </w:r>
            <w:r>
              <w:rPr>
                <w:rFonts w:hint="eastAsia" w:ascii="宋体" w:hAnsi="宋体" w:eastAsia="宋体" w:cs="宋体"/>
                <w:kern w:val="0"/>
                <w:sz w:val="24"/>
              </w:rPr>
              <w:br w:type="textWrapping"/>
            </w:r>
            <w:r>
              <w:rPr>
                <w:rFonts w:hint="eastAsia" w:ascii="宋体" w:hAnsi="宋体" w:eastAsia="宋体" w:cs="宋体"/>
                <w:kern w:val="0"/>
                <w:sz w:val="24"/>
              </w:rPr>
              <w:t xml:space="preserve">跳线线缆外径：6.1±0.3mm </w:t>
            </w:r>
            <w:r>
              <w:rPr>
                <w:rFonts w:hint="eastAsia" w:ascii="宋体" w:hAnsi="宋体" w:eastAsia="宋体" w:cs="宋体"/>
                <w:kern w:val="0"/>
                <w:sz w:val="24"/>
              </w:rPr>
              <w:br w:type="textWrapping"/>
            </w:r>
            <w:r>
              <w:rPr>
                <w:rFonts w:hint="eastAsia" w:ascii="宋体" w:hAnsi="宋体" w:eastAsia="宋体" w:cs="宋体"/>
                <w:kern w:val="0"/>
                <w:sz w:val="24"/>
              </w:rPr>
              <w:t xml:space="preserve">跳线线缆阻抗类型：100±15Ω </w:t>
            </w:r>
            <w:r>
              <w:rPr>
                <w:rFonts w:hint="eastAsia" w:ascii="宋体" w:hAnsi="宋体" w:eastAsia="宋体" w:cs="宋体"/>
                <w:kern w:val="0"/>
                <w:sz w:val="24"/>
              </w:rPr>
              <w:br w:type="textWrapping"/>
            </w:r>
            <w:r>
              <w:rPr>
                <w:rFonts w:hint="eastAsia" w:ascii="宋体" w:hAnsi="宋体" w:eastAsia="宋体" w:cs="宋体"/>
                <w:kern w:val="0"/>
                <w:sz w:val="24"/>
              </w:rPr>
              <w:t xml:space="preserve">连接方式：RJ45端插接RJ45配线架 </w:t>
            </w:r>
            <w:r>
              <w:rPr>
                <w:rFonts w:hint="eastAsia" w:ascii="宋体" w:hAnsi="宋体" w:eastAsia="宋体" w:cs="宋体"/>
                <w:kern w:val="0"/>
                <w:sz w:val="24"/>
              </w:rPr>
              <w:br w:type="textWrapping"/>
            </w:r>
            <w:r>
              <w:rPr>
                <w:rFonts w:hint="eastAsia" w:ascii="宋体" w:hAnsi="宋体" w:eastAsia="宋体" w:cs="宋体"/>
                <w:kern w:val="0"/>
                <w:sz w:val="24"/>
              </w:rPr>
              <w:t xml:space="preserve">跳线弯曲半径：≥4D(D：跳线外径) </w:t>
            </w:r>
            <w:r>
              <w:rPr>
                <w:rFonts w:hint="eastAsia" w:ascii="宋体" w:hAnsi="宋体" w:eastAsia="宋体" w:cs="宋体"/>
                <w:kern w:val="0"/>
                <w:sz w:val="24"/>
              </w:rPr>
              <w:br w:type="textWrapping"/>
            </w:r>
            <w:r>
              <w:rPr>
                <w:rFonts w:hint="eastAsia" w:ascii="宋体" w:hAnsi="宋体" w:eastAsia="宋体" w:cs="宋体"/>
                <w:kern w:val="0"/>
                <w:sz w:val="24"/>
              </w:rPr>
              <w:t>适用系统：千兆六类非屏蔽系统</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条</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211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六类4对非屏蔽电缆</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xml:space="preserve">护套材质：PVC </w:t>
            </w:r>
            <w:r>
              <w:rPr>
                <w:rFonts w:hint="eastAsia" w:ascii="宋体" w:hAnsi="宋体" w:eastAsia="宋体" w:cs="宋体"/>
                <w:kern w:val="0"/>
                <w:sz w:val="24"/>
              </w:rPr>
              <w:br w:type="textWrapping"/>
            </w:r>
            <w:r>
              <w:rPr>
                <w:rFonts w:hint="eastAsia" w:ascii="宋体" w:hAnsi="宋体" w:eastAsia="宋体" w:cs="宋体"/>
                <w:kern w:val="0"/>
                <w:sz w:val="24"/>
              </w:rPr>
              <w:t>护套颜色：灰色</w:t>
            </w:r>
            <w:r>
              <w:rPr>
                <w:rFonts w:hint="eastAsia" w:ascii="宋体" w:hAnsi="宋体" w:eastAsia="宋体" w:cs="宋体"/>
                <w:kern w:val="0"/>
                <w:sz w:val="24"/>
              </w:rPr>
              <w:br w:type="textWrapping"/>
            </w:r>
            <w:r>
              <w:rPr>
                <w:rFonts w:hint="eastAsia" w:ascii="宋体" w:hAnsi="宋体" w:eastAsia="宋体" w:cs="宋体"/>
                <w:kern w:val="0"/>
                <w:sz w:val="24"/>
              </w:rPr>
              <w:t>电缆外径：6.2±0.2mm</w:t>
            </w:r>
            <w:r>
              <w:rPr>
                <w:rFonts w:hint="eastAsia" w:ascii="宋体" w:hAnsi="宋体" w:eastAsia="宋体" w:cs="宋体"/>
                <w:kern w:val="0"/>
                <w:sz w:val="24"/>
              </w:rPr>
              <w:br w:type="textWrapping"/>
            </w:r>
            <w:r>
              <w:rPr>
                <w:rFonts w:hint="eastAsia" w:ascii="宋体" w:hAnsi="宋体" w:eastAsia="宋体" w:cs="宋体"/>
                <w:kern w:val="0"/>
                <w:sz w:val="24"/>
              </w:rPr>
              <w:t>护套厚度：0.55±0.05mm</w:t>
            </w:r>
            <w:r>
              <w:rPr>
                <w:rFonts w:hint="eastAsia" w:ascii="宋体" w:hAnsi="宋体" w:eastAsia="宋体" w:cs="宋体"/>
                <w:kern w:val="0"/>
                <w:sz w:val="24"/>
              </w:rPr>
              <w:br w:type="textWrapping"/>
            </w:r>
            <w:r>
              <w:rPr>
                <w:rFonts w:hint="eastAsia" w:ascii="宋体" w:hAnsi="宋体" w:eastAsia="宋体" w:cs="宋体"/>
                <w:kern w:val="0"/>
                <w:sz w:val="24"/>
              </w:rPr>
              <w:t>十字骨架宽度/厚度：4.6mm/0.4mm</w:t>
            </w:r>
            <w:r>
              <w:rPr>
                <w:rFonts w:hint="eastAsia" w:ascii="宋体" w:hAnsi="宋体" w:eastAsia="宋体" w:cs="宋体"/>
                <w:kern w:val="0"/>
                <w:sz w:val="24"/>
              </w:rPr>
              <w:br w:type="textWrapping"/>
            </w:r>
            <w:r>
              <w:rPr>
                <w:rFonts w:hint="eastAsia" w:ascii="宋体" w:hAnsi="宋体" w:eastAsia="宋体" w:cs="宋体"/>
                <w:kern w:val="0"/>
                <w:sz w:val="24"/>
              </w:rPr>
              <w:t>导体材质：无氧圆铜（纯度99.96%）</w:t>
            </w:r>
            <w:r>
              <w:rPr>
                <w:rFonts w:hint="eastAsia" w:ascii="宋体" w:hAnsi="宋体" w:eastAsia="宋体" w:cs="宋体"/>
                <w:kern w:val="0"/>
                <w:sz w:val="24"/>
              </w:rPr>
              <w:br w:type="textWrapping"/>
            </w:r>
            <w:r>
              <w:rPr>
                <w:rFonts w:hint="eastAsia" w:ascii="宋体" w:hAnsi="宋体" w:eastAsia="宋体" w:cs="宋体"/>
                <w:kern w:val="0"/>
                <w:sz w:val="24"/>
              </w:rPr>
              <w:t>导体直径：0.57±0.005mm</w:t>
            </w:r>
            <w:r>
              <w:rPr>
                <w:rFonts w:hint="eastAsia" w:ascii="宋体" w:hAnsi="宋体" w:eastAsia="宋体" w:cs="宋体"/>
                <w:kern w:val="0"/>
                <w:sz w:val="24"/>
              </w:rPr>
              <w:br w:type="textWrapping"/>
            </w:r>
            <w:r>
              <w:rPr>
                <w:rFonts w:hint="eastAsia" w:ascii="宋体" w:hAnsi="宋体" w:eastAsia="宋体" w:cs="宋体"/>
                <w:kern w:val="0"/>
                <w:sz w:val="24"/>
              </w:rPr>
              <w:t xml:space="preserve">导体绝缘外径：1.04±0.05mm </w:t>
            </w:r>
            <w:r>
              <w:rPr>
                <w:rFonts w:hint="eastAsia" w:ascii="宋体" w:hAnsi="宋体" w:eastAsia="宋体" w:cs="宋体"/>
                <w:kern w:val="0"/>
                <w:sz w:val="24"/>
              </w:rPr>
              <w:br w:type="textWrapping"/>
            </w:r>
            <w:r>
              <w:rPr>
                <w:rFonts w:hint="eastAsia" w:ascii="宋体" w:hAnsi="宋体" w:eastAsia="宋体" w:cs="宋体"/>
                <w:kern w:val="0"/>
                <w:sz w:val="24"/>
              </w:rPr>
              <w:t>绝缘材料 HDPE（实心聚烯烃）</w:t>
            </w:r>
            <w:r>
              <w:rPr>
                <w:rFonts w:hint="eastAsia" w:ascii="宋体" w:hAnsi="宋体" w:eastAsia="宋体" w:cs="宋体"/>
                <w:kern w:val="0"/>
                <w:sz w:val="24"/>
              </w:rPr>
              <w:br w:type="textWrapping"/>
            </w:r>
            <w:r>
              <w:rPr>
                <w:rFonts w:hint="eastAsia" w:ascii="宋体" w:hAnsi="宋体" w:eastAsia="宋体" w:cs="宋体"/>
                <w:kern w:val="0"/>
                <w:sz w:val="24"/>
              </w:rPr>
              <w:t>芯数：4对8芯</w:t>
            </w:r>
            <w:r>
              <w:rPr>
                <w:rFonts w:hint="eastAsia" w:ascii="宋体" w:hAnsi="宋体" w:eastAsia="宋体" w:cs="宋体"/>
                <w:kern w:val="0"/>
                <w:sz w:val="24"/>
              </w:rPr>
              <w:br w:type="textWrapping"/>
            </w:r>
            <w:r>
              <w:rPr>
                <w:rFonts w:hint="eastAsia" w:ascii="宋体" w:hAnsi="宋体" w:eastAsia="宋体" w:cs="宋体"/>
                <w:kern w:val="0"/>
                <w:sz w:val="24"/>
              </w:rPr>
              <w:t xml:space="preserve">单根导体最大电阻≤7.5Ω/100m </w:t>
            </w:r>
            <w:r>
              <w:rPr>
                <w:rFonts w:hint="eastAsia" w:ascii="宋体" w:hAnsi="宋体" w:eastAsia="宋体" w:cs="宋体"/>
                <w:kern w:val="0"/>
                <w:sz w:val="24"/>
              </w:rPr>
              <w:br w:type="textWrapping"/>
            </w:r>
            <w:r>
              <w:rPr>
                <w:rFonts w:hint="eastAsia" w:ascii="宋体" w:hAnsi="宋体" w:eastAsia="宋体" w:cs="宋体"/>
                <w:kern w:val="0"/>
                <w:sz w:val="24"/>
              </w:rPr>
              <w:t>特性阻抗 100±15Ω</w:t>
            </w:r>
            <w:r>
              <w:rPr>
                <w:rFonts w:hint="eastAsia" w:ascii="宋体" w:hAnsi="宋体" w:eastAsia="宋体" w:cs="宋体"/>
                <w:kern w:val="0"/>
                <w:sz w:val="24"/>
              </w:rPr>
              <w:br w:type="textWrapping"/>
            </w:r>
            <w:r>
              <w:rPr>
                <w:rFonts w:hint="eastAsia" w:ascii="宋体" w:hAnsi="宋体" w:eastAsia="宋体" w:cs="宋体"/>
                <w:kern w:val="0"/>
                <w:sz w:val="24"/>
              </w:rPr>
              <w:t>绝缘电阻 ≧5000MΩ/km</w:t>
            </w:r>
            <w:r>
              <w:rPr>
                <w:rFonts w:hint="eastAsia" w:ascii="宋体" w:hAnsi="宋体" w:eastAsia="宋体" w:cs="宋体"/>
                <w:kern w:val="0"/>
                <w:sz w:val="24"/>
              </w:rPr>
              <w:br w:type="textWrapping"/>
            </w:r>
            <w:r>
              <w:rPr>
                <w:rFonts w:hint="eastAsia" w:ascii="宋体" w:hAnsi="宋体" w:eastAsia="宋体" w:cs="宋体"/>
                <w:kern w:val="0"/>
                <w:sz w:val="24"/>
              </w:rPr>
              <w:t xml:space="preserve">线对直流电阻不平衡 ≤2.5% </w:t>
            </w:r>
            <w:r>
              <w:rPr>
                <w:rFonts w:hint="eastAsia" w:ascii="宋体" w:hAnsi="宋体" w:eastAsia="宋体" w:cs="宋体"/>
                <w:kern w:val="0"/>
                <w:sz w:val="24"/>
              </w:rPr>
              <w:br w:type="textWrapping"/>
            </w:r>
            <w:r>
              <w:rPr>
                <w:rFonts w:hint="eastAsia" w:ascii="宋体" w:hAnsi="宋体" w:eastAsia="宋体" w:cs="宋体"/>
                <w:kern w:val="0"/>
                <w:sz w:val="24"/>
              </w:rPr>
              <w:t>工作电容 ≤5.6nF/100m</w:t>
            </w:r>
            <w:r>
              <w:rPr>
                <w:rFonts w:hint="eastAsia" w:ascii="宋体" w:hAnsi="宋体" w:eastAsia="宋体" w:cs="宋体"/>
                <w:kern w:val="0"/>
                <w:sz w:val="24"/>
              </w:rPr>
              <w:br w:type="textWrapping"/>
            </w:r>
            <w:r>
              <w:rPr>
                <w:rFonts w:hint="eastAsia" w:ascii="宋体" w:hAnsi="宋体" w:eastAsia="宋体" w:cs="宋体"/>
                <w:kern w:val="0"/>
                <w:sz w:val="24"/>
              </w:rPr>
              <w:t xml:space="preserve">敷设弯曲半径：建议敷设弯曲半径&gt;8倍线缆外径 </w:t>
            </w:r>
            <w:r>
              <w:rPr>
                <w:rFonts w:hint="eastAsia" w:ascii="宋体" w:hAnsi="宋体" w:eastAsia="宋体" w:cs="宋体"/>
                <w:kern w:val="0"/>
                <w:sz w:val="24"/>
              </w:rPr>
              <w:br w:type="textWrapping"/>
            </w:r>
            <w:r>
              <w:rPr>
                <w:rFonts w:hint="eastAsia" w:ascii="宋体" w:hAnsi="宋体" w:eastAsia="宋体" w:cs="宋体"/>
                <w:kern w:val="0"/>
                <w:sz w:val="24"/>
              </w:rPr>
              <w:t xml:space="preserve">敷设拉力：建议敷设时短期拉力&lt;110N </w:t>
            </w:r>
            <w:r>
              <w:rPr>
                <w:rFonts w:hint="eastAsia" w:ascii="宋体" w:hAnsi="宋体" w:eastAsia="宋体" w:cs="宋体"/>
                <w:kern w:val="0"/>
                <w:sz w:val="24"/>
              </w:rPr>
              <w:br w:type="textWrapping"/>
            </w:r>
            <w:r>
              <w:rPr>
                <w:rFonts w:hint="eastAsia" w:ascii="宋体" w:hAnsi="宋体" w:eastAsia="宋体" w:cs="宋体"/>
                <w:kern w:val="0"/>
                <w:sz w:val="24"/>
              </w:rPr>
              <w:t xml:space="preserve">使用拉力：建议使用时长期拉力&lt;20N </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箱</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80</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54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机房设备间</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六类24口配线架（一体式）</w:t>
            </w:r>
          </w:p>
        </w:tc>
        <w:tc>
          <w:tcPr>
            <w:tcW w:w="0" w:type="auto"/>
            <w:tcBorders>
              <w:top w:val="nil"/>
              <w:left w:val="nil"/>
              <w:bottom w:val="single" w:color="auto" w:sz="4" w:space="0"/>
              <w:right w:val="single" w:color="auto" w:sz="4" w:space="0"/>
            </w:tcBorders>
            <w:shd w:val="clear" w:color="auto" w:fill="auto"/>
            <w:vAlign w:val="center"/>
          </w:tcPr>
          <w:p>
            <w:pPr>
              <w:widowControl/>
              <w:spacing w:after="240"/>
              <w:jc w:val="left"/>
              <w:rPr>
                <w:rFonts w:ascii="宋体" w:hAnsi="宋体" w:eastAsia="宋体" w:cs="宋体"/>
                <w:kern w:val="0"/>
                <w:sz w:val="24"/>
              </w:rPr>
            </w:pPr>
            <w:r>
              <w:rPr>
                <w:rFonts w:hint="eastAsia" w:ascii="宋体" w:hAnsi="宋体" w:eastAsia="宋体" w:cs="宋体"/>
                <w:kern w:val="0"/>
                <w:sz w:val="24"/>
              </w:rPr>
              <w:t xml:space="preserve">配线架金属材质：全钢架结构+黑色喷塑 </w:t>
            </w:r>
            <w:r>
              <w:rPr>
                <w:rFonts w:hint="eastAsia" w:ascii="宋体" w:hAnsi="宋体" w:eastAsia="宋体" w:cs="宋体"/>
                <w:kern w:val="0"/>
                <w:sz w:val="24"/>
              </w:rPr>
              <w:br w:type="textWrapping"/>
            </w:r>
            <w:r>
              <w:rPr>
                <w:rFonts w:hint="eastAsia" w:ascii="宋体" w:hAnsi="宋体" w:eastAsia="宋体" w:cs="宋体"/>
                <w:kern w:val="0"/>
                <w:sz w:val="24"/>
              </w:rPr>
              <w:t xml:space="preserve">配线架塑料材质：PBT工程塑料、PC聚碳酸酯、ABS工程塑料 </w:t>
            </w:r>
            <w:r>
              <w:rPr>
                <w:rFonts w:hint="eastAsia" w:ascii="宋体" w:hAnsi="宋体" w:eastAsia="宋体" w:cs="宋体"/>
                <w:kern w:val="0"/>
                <w:sz w:val="24"/>
              </w:rPr>
              <w:br w:type="textWrapping"/>
            </w:r>
            <w:r>
              <w:rPr>
                <w:rFonts w:hint="eastAsia" w:ascii="宋体" w:hAnsi="宋体" w:eastAsia="宋体" w:cs="宋体"/>
                <w:kern w:val="0"/>
                <w:sz w:val="24"/>
              </w:rPr>
              <w:t xml:space="preserve">IDC打线端子：磷青铜镀镍 </w:t>
            </w:r>
            <w:r>
              <w:rPr>
                <w:rFonts w:hint="eastAsia" w:ascii="宋体" w:hAnsi="宋体" w:eastAsia="宋体" w:cs="宋体"/>
                <w:kern w:val="0"/>
                <w:sz w:val="24"/>
              </w:rPr>
              <w:br w:type="textWrapping"/>
            </w:r>
            <w:r>
              <w:rPr>
                <w:rFonts w:hint="eastAsia" w:ascii="宋体" w:hAnsi="宋体" w:eastAsia="宋体" w:cs="宋体"/>
                <w:kern w:val="0"/>
                <w:sz w:val="24"/>
              </w:rPr>
              <w:t xml:space="preserve">镀金层厚度：50µm </w:t>
            </w:r>
            <w:r>
              <w:rPr>
                <w:rFonts w:hint="eastAsia" w:ascii="宋体" w:hAnsi="宋体" w:eastAsia="宋体" w:cs="宋体"/>
                <w:kern w:val="0"/>
                <w:sz w:val="24"/>
              </w:rPr>
              <w:br w:type="textWrapping"/>
            </w:r>
            <w:r>
              <w:rPr>
                <w:rFonts w:hint="eastAsia" w:ascii="宋体" w:hAnsi="宋体" w:eastAsia="宋体" w:cs="宋体"/>
                <w:kern w:val="0"/>
                <w:sz w:val="24"/>
              </w:rPr>
              <w:t xml:space="preserve">配线架模块类型：6口一体式模块*4组 </w:t>
            </w:r>
            <w:r>
              <w:rPr>
                <w:rFonts w:hint="eastAsia" w:ascii="宋体" w:hAnsi="宋体" w:eastAsia="宋体" w:cs="宋体"/>
                <w:kern w:val="0"/>
                <w:sz w:val="24"/>
              </w:rPr>
              <w:br w:type="textWrapping"/>
            </w:r>
            <w:r>
              <w:rPr>
                <w:rFonts w:hint="eastAsia" w:ascii="宋体" w:hAnsi="宋体" w:eastAsia="宋体" w:cs="宋体"/>
                <w:kern w:val="0"/>
                <w:sz w:val="24"/>
              </w:rPr>
              <w:t>RJ45端口：可连接1-24根跳线</w:t>
            </w:r>
            <w:r>
              <w:rPr>
                <w:rFonts w:hint="eastAsia" w:ascii="宋体" w:hAnsi="宋体" w:eastAsia="宋体" w:cs="宋体"/>
                <w:kern w:val="0"/>
                <w:sz w:val="24"/>
              </w:rPr>
              <w:br w:type="textWrapping"/>
            </w:r>
            <w:r>
              <w:rPr>
                <w:rFonts w:hint="eastAsia" w:ascii="宋体" w:hAnsi="宋体" w:eastAsia="宋体" w:cs="宋体"/>
                <w:kern w:val="0"/>
                <w:sz w:val="24"/>
              </w:rPr>
              <w:t xml:space="preserve">接线端子类型：IDC与110双用端子，可卡接导体为0.4～0.6mm </w:t>
            </w:r>
            <w:r>
              <w:rPr>
                <w:rFonts w:hint="eastAsia" w:ascii="宋体" w:hAnsi="宋体" w:eastAsia="宋体" w:cs="宋体"/>
                <w:kern w:val="0"/>
                <w:sz w:val="24"/>
              </w:rPr>
              <w:br w:type="textWrapping"/>
            </w:r>
            <w:r>
              <w:rPr>
                <w:rFonts w:hint="eastAsia" w:ascii="宋体" w:hAnsi="宋体" w:eastAsia="宋体" w:cs="宋体"/>
                <w:kern w:val="0"/>
                <w:sz w:val="24"/>
              </w:rPr>
              <w:t xml:space="preserve">安装性：19英寸标准机架式设备 </w:t>
            </w:r>
            <w:r>
              <w:rPr>
                <w:rFonts w:hint="eastAsia" w:ascii="宋体" w:hAnsi="宋体" w:eastAsia="宋体" w:cs="宋体"/>
                <w:kern w:val="0"/>
                <w:sz w:val="24"/>
              </w:rPr>
              <w:br w:type="textWrapping"/>
            </w:r>
            <w:r>
              <w:rPr>
                <w:rFonts w:hint="eastAsia" w:ascii="宋体" w:hAnsi="宋体" w:eastAsia="宋体" w:cs="宋体"/>
                <w:kern w:val="0"/>
                <w:sz w:val="24"/>
              </w:rPr>
              <w:t xml:space="preserve">安装高度：1U </w:t>
            </w:r>
            <w:r>
              <w:rPr>
                <w:rFonts w:hint="eastAsia" w:ascii="宋体" w:hAnsi="宋体" w:eastAsia="宋体" w:cs="宋体"/>
                <w:kern w:val="0"/>
                <w:sz w:val="24"/>
              </w:rPr>
              <w:br w:type="textWrapping"/>
            </w:r>
            <w:r>
              <w:rPr>
                <w:rFonts w:hint="eastAsia" w:ascii="宋体" w:hAnsi="宋体" w:eastAsia="宋体" w:cs="宋体"/>
                <w:kern w:val="0"/>
                <w:sz w:val="24"/>
              </w:rPr>
              <w:t xml:space="preserve">配线架背部理线功能：配线架背部含1*24金属理线板 </w:t>
            </w:r>
            <w:r>
              <w:rPr>
                <w:rFonts w:hint="eastAsia" w:ascii="宋体" w:hAnsi="宋体" w:eastAsia="宋体" w:cs="宋体"/>
                <w:kern w:val="0"/>
                <w:sz w:val="24"/>
              </w:rPr>
              <w:br w:type="textWrapping"/>
            </w:r>
            <w:r>
              <w:rPr>
                <w:rFonts w:hint="eastAsia" w:ascii="宋体" w:hAnsi="宋体" w:eastAsia="宋体" w:cs="宋体"/>
                <w:kern w:val="0"/>
                <w:sz w:val="24"/>
              </w:rPr>
              <w:t xml:space="preserve">安装方式：使用配线架包装内标配螺丝安装于机架内 </w:t>
            </w:r>
            <w:r>
              <w:rPr>
                <w:rFonts w:hint="eastAsia" w:ascii="宋体" w:hAnsi="宋体" w:eastAsia="宋体" w:cs="宋体"/>
                <w:kern w:val="0"/>
                <w:sz w:val="24"/>
              </w:rPr>
              <w:br w:type="textWrapping"/>
            </w:r>
            <w:r>
              <w:rPr>
                <w:rFonts w:hint="eastAsia" w:ascii="宋体" w:hAnsi="宋体" w:eastAsia="宋体" w:cs="宋体"/>
                <w:kern w:val="0"/>
                <w:sz w:val="24"/>
              </w:rPr>
              <w:t xml:space="preserve">维护方式：从背部进行维护 </w:t>
            </w:r>
            <w:r>
              <w:rPr>
                <w:rFonts w:hint="eastAsia" w:ascii="宋体" w:hAnsi="宋体" w:eastAsia="宋体" w:cs="宋体"/>
                <w:kern w:val="0"/>
                <w:sz w:val="24"/>
              </w:rPr>
              <w:br w:type="textWrapping"/>
            </w:r>
            <w:r>
              <w:rPr>
                <w:rFonts w:hint="eastAsia" w:ascii="宋体" w:hAnsi="宋体" w:eastAsia="宋体" w:cs="宋体"/>
                <w:kern w:val="0"/>
                <w:sz w:val="24"/>
              </w:rPr>
              <w:t xml:space="preserve">频率范围：0～250MHz </w:t>
            </w:r>
            <w:r>
              <w:rPr>
                <w:rFonts w:hint="eastAsia" w:ascii="宋体" w:hAnsi="宋体" w:eastAsia="宋体" w:cs="宋体"/>
                <w:kern w:val="0"/>
                <w:sz w:val="24"/>
              </w:rPr>
              <w:br w:type="textWrapping"/>
            </w:r>
            <w:r>
              <w:rPr>
                <w:rFonts w:hint="eastAsia" w:ascii="宋体" w:hAnsi="宋体" w:eastAsia="宋体" w:cs="宋体"/>
                <w:kern w:val="0"/>
                <w:sz w:val="24"/>
              </w:rPr>
              <w:t xml:space="preserve">工作电压：125V </w:t>
            </w:r>
            <w:r>
              <w:rPr>
                <w:rFonts w:hint="eastAsia" w:ascii="宋体" w:hAnsi="宋体" w:eastAsia="宋体" w:cs="宋体"/>
                <w:kern w:val="0"/>
                <w:sz w:val="24"/>
              </w:rPr>
              <w:br w:type="textWrapping"/>
            </w:r>
            <w:r>
              <w:rPr>
                <w:rFonts w:hint="eastAsia" w:ascii="宋体" w:hAnsi="宋体" w:eastAsia="宋体" w:cs="宋体"/>
                <w:kern w:val="0"/>
                <w:sz w:val="24"/>
              </w:rPr>
              <w:t xml:space="preserve">耐压：750V </w:t>
            </w:r>
            <w:r>
              <w:rPr>
                <w:rFonts w:hint="eastAsia" w:ascii="宋体" w:hAnsi="宋体" w:eastAsia="宋体" w:cs="宋体"/>
                <w:kern w:val="0"/>
                <w:sz w:val="24"/>
              </w:rPr>
              <w:br w:type="textWrapping"/>
            </w:r>
            <w:r>
              <w:rPr>
                <w:rFonts w:hint="eastAsia" w:ascii="宋体" w:hAnsi="宋体" w:eastAsia="宋体" w:cs="宋体"/>
                <w:kern w:val="0"/>
                <w:sz w:val="24"/>
              </w:rPr>
              <w:t xml:space="preserve">插入损耗：0.4dB@100MHz </w:t>
            </w:r>
            <w:r>
              <w:rPr>
                <w:rFonts w:hint="eastAsia" w:ascii="宋体" w:hAnsi="宋体" w:eastAsia="宋体" w:cs="宋体"/>
                <w:kern w:val="0"/>
                <w:sz w:val="24"/>
              </w:rPr>
              <w:br w:type="textWrapping"/>
            </w:r>
            <w:r>
              <w:rPr>
                <w:rFonts w:hint="eastAsia" w:ascii="宋体" w:hAnsi="宋体" w:eastAsia="宋体" w:cs="宋体"/>
                <w:kern w:val="0"/>
                <w:sz w:val="24"/>
              </w:rPr>
              <w:t xml:space="preserve">绝缘电阻：初始值≥100MΩ，恒定湿热试验后≥100MΩ </w:t>
            </w:r>
            <w:r>
              <w:rPr>
                <w:rFonts w:hint="eastAsia" w:ascii="宋体" w:hAnsi="宋体" w:eastAsia="宋体" w:cs="宋体"/>
                <w:kern w:val="0"/>
                <w:sz w:val="24"/>
              </w:rPr>
              <w:br w:type="textWrapping"/>
            </w:r>
            <w:r>
              <w:rPr>
                <w:rFonts w:hint="eastAsia" w:ascii="宋体" w:hAnsi="宋体" w:eastAsia="宋体" w:cs="宋体"/>
                <w:kern w:val="0"/>
                <w:sz w:val="24"/>
              </w:rPr>
              <w:t xml:space="preserve">插入力：≤20N </w:t>
            </w:r>
            <w:r>
              <w:rPr>
                <w:rFonts w:hint="eastAsia" w:ascii="宋体" w:hAnsi="宋体" w:eastAsia="宋体" w:cs="宋体"/>
                <w:kern w:val="0"/>
                <w:sz w:val="24"/>
              </w:rPr>
              <w:br w:type="textWrapping"/>
            </w:r>
            <w:r>
              <w:rPr>
                <w:rFonts w:hint="eastAsia" w:ascii="宋体" w:hAnsi="宋体" w:eastAsia="宋体" w:cs="宋体"/>
                <w:kern w:val="0"/>
                <w:sz w:val="24"/>
              </w:rPr>
              <w:t xml:space="preserve">拔出力：≥20N </w:t>
            </w:r>
            <w:r>
              <w:rPr>
                <w:rFonts w:hint="eastAsia" w:ascii="宋体" w:hAnsi="宋体" w:eastAsia="宋体" w:cs="宋体"/>
                <w:kern w:val="0"/>
                <w:sz w:val="24"/>
              </w:rPr>
              <w:br w:type="textWrapping"/>
            </w:r>
            <w:r>
              <w:rPr>
                <w:rFonts w:hint="eastAsia" w:ascii="宋体" w:hAnsi="宋体" w:eastAsia="宋体" w:cs="宋体"/>
                <w:kern w:val="0"/>
                <w:sz w:val="24"/>
              </w:rPr>
              <w:t xml:space="preserve">RJ45卡接次数：≥750次 </w:t>
            </w:r>
            <w:r>
              <w:rPr>
                <w:rFonts w:hint="eastAsia" w:ascii="宋体" w:hAnsi="宋体" w:eastAsia="宋体" w:cs="宋体"/>
                <w:kern w:val="0"/>
                <w:sz w:val="24"/>
              </w:rPr>
              <w:br w:type="textWrapping"/>
            </w:r>
            <w:r>
              <w:rPr>
                <w:rFonts w:hint="eastAsia" w:ascii="宋体" w:hAnsi="宋体" w:eastAsia="宋体" w:cs="宋体"/>
                <w:kern w:val="0"/>
                <w:sz w:val="24"/>
              </w:rPr>
              <w:t>接线端子卡接次数：≥250次</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14</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12档金属理线器</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xml:space="preserve">理线器整体材质：钢架+黑色喷塑 </w:t>
            </w:r>
            <w:r>
              <w:rPr>
                <w:rFonts w:hint="eastAsia" w:ascii="宋体" w:hAnsi="宋体" w:eastAsia="宋体" w:cs="宋体"/>
                <w:kern w:val="0"/>
                <w:sz w:val="24"/>
              </w:rPr>
              <w:br w:type="textWrapping"/>
            </w:r>
            <w:r>
              <w:rPr>
                <w:rFonts w:hint="eastAsia" w:ascii="宋体" w:hAnsi="宋体" w:eastAsia="宋体" w:cs="宋体"/>
                <w:kern w:val="0"/>
                <w:sz w:val="24"/>
              </w:rPr>
              <w:t>可容纳24根网络跳线或者光纤跳线</w:t>
            </w:r>
            <w:r>
              <w:rPr>
                <w:rFonts w:hint="eastAsia" w:ascii="宋体" w:hAnsi="宋体" w:eastAsia="宋体" w:cs="宋体"/>
                <w:kern w:val="0"/>
                <w:sz w:val="24"/>
              </w:rPr>
              <w:br w:type="textWrapping"/>
            </w:r>
            <w:r>
              <w:rPr>
                <w:rFonts w:hint="eastAsia" w:ascii="宋体" w:hAnsi="宋体" w:eastAsia="宋体" w:cs="宋体"/>
                <w:kern w:val="0"/>
                <w:sz w:val="24"/>
              </w:rPr>
              <w:t xml:space="preserve">安装高度：1U </w:t>
            </w:r>
            <w:r>
              <w:rPr>
                <w:rFonts w:hint="eastAsia" w:ascii="宋体" w:hAnsi="宋体" w:eastAsia="宋体" w:cs="宋体"/>
                <w:kern w:val="0"/>
                <w:sz w:val="24"/>
              </w:rPr>
              <w:br w:type="textWrapping"/>
            </w:r>
            <w:r>
              <w:rPr>
                <w:rFonts w:hint="eastAsia" w:ascii="宋体" w:hAnsi="宋体" w:eastAsia="宋体" w:cs="宋体"/>
                <w:kern w:val="0"/>
                <w:sz w:val="24"/>
              </w:rPr>
              <w:t xml:space="preserve">安装方式：机柜螺丝安装 </w:t>
            </w:r>
            <w:r>
              <w:rPr>
                <w:rFonts w:hint="eastAsia" w:ascii="宋体" w:hAnsi="宋体" w:eastAsia="宋体" w:cs="宋体"/>
                <w:kern w:val="0"/>
                <w:sz w:val="24"/>
              </w:rPr>
              <w:br w:type="textWrapping"/>
            </w:r>
            <w:r>
              <w:rPr>
                <w:rFonts w:hint="eastAsia" w:ascii="宋体" w:hAnsi="宋体" w:eastAsia="宋体" w:cs="宋体"/>
                <w:kern w:val="0"/>
                <w:sz w:val="24"/>
              </w:rPr>
              <w:t xml:space="preserve">使用温度： -20～70℃ </w:t>
            </w:r>
            <w:r>
              <w:rPr>
                <w:rFonts w:hint="eastAsia" w:ascii="宋体" w:hAnsi="宋体" w:eastAsia="宋体" w:cs="宋体"/>
                <w:kern w:val="0"/>
                <w:sz w:val="24"/>
              </w:rPr>
              <w:br w:type="textWrapping"/>
            </w:r>
            <w:r>
              <w:rPr>
                <w:rFonts w:hint="eastAsia" w:ascii="宋体" w:hAnsi="宋体" w:eastAsia="宋体" w:cs="宋体"/>
                <w:kern w:val="0"/>
                <w:sz w:val="24"/>
              </w:rPr>
              <w:t>分12档金属与非金属类型</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个</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14</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六类非屏蔽跳线(2米灰色)</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 xml:space="preserve">水晶头塑料材质：聚碳酸酯（PC） </w:t>
            </w:r>
            <w:r>
              <w:rPr>
                <w:rFonts w:hint="eastAsia" w:ascii="宋体" w:hAnsi="宋体" w:eastAsia="宋体" w:cs="宋体"/>
                <w:kern w:val="0"/>
                <w:sz w:val="24"/>
              </w:rPr>
              <w:br w:type="textWrapping"/>
            </w:r>
            <w:r>
              <w:rPr>
                <w:rFonts w:hint="eastAsia" w:ascii="宋体" w:hAnsi="宋体" w:eastAsia="宋体" w:cs="宋体"/>
                <w:kern w:val="0"/>
                <w:sz w:val="24"/>
              </w:rPr>
              <w:t xml:space="preserve">跳线接头类型：注塑RJ45端子-注塑RJ45端子 </w:t>
            </w:r>
            <w:r>
              <w:rPr>
                <w:rFonts w:hint="eastAsia" w:ascii="宋体" w:hAnsi="宋体" w:eastAsia="宋体" w:cs="宋体"/>
                <w:kern w:val="0"/>
                <w:sz w:val="24"/>
              </w:rPr>
              <w:br w:type="textWrapping"/>
            </w:r>
            <w:r>
              <w:rPr>
                <w:rFonts w:hint="eastAsia" w:ascii="宋体" w:hAnsi="宋体" w:eastAsia="宋体" w:cs="宋体"/>
                <w:kern w:val="0"/>
                <w:sz w:val="24"/>
              </w:rPr>
              <w:t>跳线线缆类型：24AWG对绞芯线 （多股）</w:t>
            </w:r>
            <w:r>
              <w:rPr>
                <w:rFonts w:hint="eastAsia" w:ascii="宋体" w:hAnsi="宋体" w:eastAsia="宋体" w:cs="宋体"/>
                <w:kern w:val="0"/>
                <w:sz w:val="24"/>
              </w:rPr>
              <w:br w:type="textWrapping"/>
            </w:r>
            <w:r>
              <w:rPr>
                <w:rFonts w:hint="eastAsia" w:ascii="宋体" w:hAnsi="宋体" w:eastAsia="宋体" w:cs="宋体"/>
                <w:kern w:val="0"/>
                <w:sz w:val="24"/>
              </w:rPr>
              <w:t>跳线线缆护套材质：PVC /LSZH</w:t>
            </w:r>
            <w:r>
              <w:rPr>
                <w:rFonts w:hint="eastAsia" w:ascii="宋体" w:hAnsi="宋体" w:eastAsia="宋体" w:cs="宋体"/>
                <w:kern w:val="0"/>
                <w:sz w:val="24"/>
              </w:rPr>
              <w:br w:type="textWrapping"/>
            </w:r>
            <w:r>
              <w:rPr>
                <w:rFonts w:hint="eastAsia" w:ascii="宋体" w:hAnsi="宋体" w:eastAsia="宋体" w:cs="宋体"/>
                <w:kern w:val="0"/>
                <w:sz w:val="24"/>
              </w:rPr>
              <w:t xml:space="preserve">跳线线缆外径：6.1±0.3mm </w:t>
            </w:r>
            <w:r>
              <w:rPr>
                <w:rFonts w:hint="eastAsia" w:ascii="宋体" w:hAnsi="宋体" w:eastAsia="宋体" w:cs="宋体"/>
                <w:kern w:val="0"/>
                <w:sz w:val="24"/>
              </w:rPr>
              <w:br w:type="textWrapping"/>
            </w:r>
            <w:r>
              <w:rPr>
                <w:rFonts w:hint="eastAsia" w:ascii="宋体" w:hAnsi="宋体" w:eastAsia="宋体" w:cs="宋体"/>
                <w:kern w:val="0"/>
                <w:sz w:val="24"/>
              </w:rPr>
              <w:t xml:space="preserve">跳线线缆阻抗类型：100±15Ω </w:t>
            </w:r>
            <w:r>
              <w:rPr>
                <w:rFonts w:hint="eastAsia" w:ascii="宋体" w:hAnsi="宋体" w:eastAsia="宋体" w:cs="宋体"/>
                <w:kern w:val="0"/>
                <w:sz w:val="24"/>
              </w:rPr>
              <w:br w:type="textWrapping"/>
            </w:r>
            <w:r>
              <w:rPr>
                <w:rFonts w:hint="eastAsia" w:ascii="宋体" w:hAnsi="宋体" w:eastAsia="宋体" w:cs="宋体"/>
                <w:kern w:val="0"/>
                <w:sz w:val="24"/>
              </w:rPr>
              <w:t xml:space="preserve">连接方式：RJ45端插接RJ45配线架 </w:t>
            </w:r>
            <w:r>
              <w:rPr>
                <w:rFonts w:hint="eastAsia" w:ascii="宋体" w:hAnsi="宋体" w:eastAsia="宋体" w:cs="宋体"/>
                <w:kern w:val="0"/>
                <w:sz w:val="24"/>
              </w:rPr>
              <w:br w:type="textWrapping"/>
            </w:r>
            <w:r>
              <w:rPr>
                <w:rFonts w:hint="eastAsia" w:ascii="宋体" w:hAnsi="宋体" w:eastAsia="宋体" w:cs="宋体"/>
                <w:kern w:val="0"/>
                <w:sz w:val="24"/>
              </w:rPr>
              <w:t xml:space="preserve">跳线弯曲半径：≥4D(D：跳线外径) </w:t>
            </w:r>
            <w:r>
              <w:rPr>
                <w:rFonts w:hint="eastAsia" w:ascii="宋体" w:hAnsi="宋体" w:eastAsia="宋体" w:cs="宋体"/>
                <w:kern w:val="0"/>
                <w:sz w:val="24"/>
              </w:rPr>
              <w:br w:type="textWrapping"/>
            </w:r>
            <w:r>
              <w:rPr>
                <w:rFonts w:hint="eastAsia" w:ascii="宋体" w:hAnsi="宋体" w:eastAsia="宋体" w:cs="宋体"/>
                <w:kern w:val="0"/>
                <w:sz w:val="24"/>
              </w:rPr>
              <w:t>适用系统：千兆六类非屏蔽系统</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条</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211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bl>
    <w:p/>
    <w:p>
      <w:pPr>
        <w:pStyle w:val="4"/>
        <w:spacing w:before="120" w:after="120" w:line="360" w:lineRule="auto"/>
        <w:rPr>
          <w:rFonts w:ascii="宋体" w:hAnsi="宋体" w:eastAsia="宋体" w:cs="宋体"/>
          <w:color w:val="000000"/>
          <w:kern w:val="0"/>
          <w:sz w:val="24"/>
          <w:szCs w:val="24"/>
        </w:rPr>
      </w:pPr>
      <w:bookmarkStart w:id="12" w:name="_Toc127463072"/>
      <w:r>
        <w:rPr>
          <w:rFonts w:hint="eastAsia" w:ascii="宋体" w:hAnsi="宋体" w:eastAsia="宋体" w:cs="宋体"/>
          <w:color w:val="000000"/>
          <w:kern w:val="0"/>
          <w:sz w:val="24"/>
          <w:szCs w:val="24"/>
        </w:rPr>
        <w:t>12、视频监控系统</w:t>
      </w:r>
      <w:bookmarkEnd w:id="12"/>
    </w:p>
    <w:tbl>
      <w:tblPr>
        <w:tblStyle w:val="11"/>
        <w:tblW w:w="0" w:type="auto"/>
        <w:tblInd w:w="91" w:type="dxa"/>
        <w:tblLayout w:type="autofit"/>
        <w:tblCellMar>
          <w:top w:w="0" w:type="dxa"/>
          <w:left w:w="108" w:type="dxa"/>
          <w:bottom w:w="0" w:type="dxa"/>
          <w:right w:w="108" w:type="dxa"/>
        </w:tblCellMar>
      </w:tblPr>
      <w:tblGrid>
        <w:gridCol w:w="637"/>
        <w:gridCol w:w="1264"/>
        <w:gridCol w:w="4619"/>
        <w:gridCol w:w="637"/>
        <w:gridCol w:w="637"/>
        <w:gridCol w:w="637"/>
      </w:tblGrid>
      <w:tr>
        <w:tblPrEx>
          <w:tblCellMar>
            <w:top w:w="0" w:type="dxa"/>
            <w:left w:w="108" w:type="dxa"/>
            <w:bottom w:w="0" w:type="dxa"/>
            <w:right w:w="108" w:type="dxa"/>
          </w:tblCellMar>
        </w:tblPrEx>
        <w:trPr>
          <w:trHeight w:val="482" w:hRule="atLeast"/>
          <w:tblHeader/>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序号</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名称</w:t>
            </w:r>
          </w:p>
        </w:tc>
        <w:tc>
          <w:tcPr>
            <w:tcW w:w="0" w:type="auto"/>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技术参数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单位</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数量</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备注</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半球摄像头</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120dB光学宽动态，满足高反差场景监控需求</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AAC-LC宽频音频编码，高清晰音质；支持噪声抑制</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智能红外补光，夜间图像更均匀</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支持H.265、SVC可伸缩视频编码算法，压缩效率更高，应用灵活</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支持图片叠加OSD</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支持定时、隔时、事件抓图，并上传至FTP或中心</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支持Onvif、GB/T28181等多种接入方式</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9:16走廊模式，纵向场景下有效监控区域提升一倍</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双路iSCSI数据块直存，录像存储、检索、回放更加高效</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支持授权用户和口令访问，能进行弱口令检测与错误登录抑制，提升口令安全性</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支持HTTPS安全Web访问</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IK10防暴设计</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IP66防护等级</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9</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硬盘录像机</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2盘位16路网络硬盘录像机；</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256Mbps接入带宽；3×12MP@25,4×4K@30,9×4MP@25,16×1080p@30解码能力；</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2个RJ45千兆以太网口，1个HDMI接口，1个VGA接口，1入/1出音频接口，8入/2出报警接口，2个USB2.0接口，1个USB3.0接口；</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支持H.264、H.265编码、超级265智能编码技术；</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支持ONVIF、RTSP、国标(GB28181（2016）)、视图库（GB/T1400)等协议；</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支持智能搜索、智能回放功能，有效提高录像检索与回放效率；</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支持对重要录像的锁定、解锁，支持警前警后录像；</w:t>
            </w:r>
            <w:r>
              <w:rPr>
                <w:rFonts w:hint="eastAsia" w:ascii="宋体" w:hAnsi="宋体" w:eastAsia="宋体" w:cs="宋体"/>
                <w:color w:val="000000"/>
                <w:kern w:val="0"/>
                <w:sz w:val="24"/>
              </w:rPr>
              <w:br w:type="textWrapping"/>
            </w:r>
            <w:r>
              <w:rPr>
                <w:rFonts w:hint="eastAsia" w:ascii="宋体" w:hAnsi="宋体" w:eastAsia="宋体" w:cs="宋体"/>
                <w:color w:val="000000"/>
                <w:kern w:val="0"/>
                <w:sz w:val="24"/>
              </w:rPr>
              <w:t>支持人脸检测、区域入侵、越界检测、音频检测等多种智能检测相机接入和联动；</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硬盘</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3.5”英寸，6TB容量，SATA 6 Gb/s接口，缓存64MB，转速5400～7200智能调节</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块</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　</w:t>
            </w:r>
          </w:p>
        </w:tc>
      </w:tr>
    </w:tbl>
    <w:p>
      <w:pPr>
        <w:pStyle w:val="4"/>
        <w:sectPr>
          <w:pgSz w:w="11906" w:h="16838"/>
          <w:pgMar w:top="1440" w:right="1800" w:bottom="1440" w:left="1800" w:header="851" w:footer="992" w:gutter="0"/>
          <w:cols w:space="425" w:num="1"/>
          <w:docGrid w:type="lines" w:linePitch="312" w:charSpace="0"/>
        </w:sectPr>
      </w:pPr>
    </w:p>
    <w:p>
      <w:pPr>
        <w:pStyle w:val="4"/>
        <w:spacing w:before="120" w:after="120" w:line="360" w:lineRule="auto"/>
        <w:rPr>
          <w:rFonts w:ascii="宋体" w:hAnsi="宋体" w:eastAsia="宋体" w:cs="宋体"/>
          <w:color w:val="000000"/>
          <w:kern w:val="0"/>
          <w:sz w:val="24"/>
          <w:szCs w:val="24"/>
        </w:rPr>
      </w:pPr>
      <w:bookmarkStart w:id="13" w:name="_Toc127463073"/>
      <w:r>
        <w:rPr>
          <w:rFonts w:hint="eastAsia" w:ascii="宋体" w:hAnsi="宋体" w:eastAsia="宋体" w:cs="宋体"/>
          <w:color w:val="000000"/>
          <w:kern w:val="0"/>
          <w:sz w:val="24"/>
          <w:szCs w:val="24"/>
        </w:rPr>
        <w:t>13、网络安全系统</w:t>
      </w:r>
      <w:bookmarkEnd w:id="13"/>
    </w:p>
    <w:tbl>
      <w:tblPr>
        <w:tblStyle w:val="11"/>
        <w:tblW w:w="0" w:type="auto"/>
        <w:tblInd w:w="91" w:type="dxa"/>
        <w:tblLayout w:type="autofit"/>
        <w:tblCellMar>
          <w:top w:w="0" w:type="dxa"/>
          <w:left w:w="108" w:type="dxa"/>
          <w:bottom w:w="0" w:type="dxa"/>
          <w:right w:w="108" w:type="dxa"/>
        </w:tblCellMar>
      </w:tblPr>
      <w:tblGrid>
        <w:gridCol w:w="698"/>
        <w:gridCol w:w="1656"/>
        <w:gridCol w:w="3820"/>
        <w:gridCol w:w="698"/>
        <w:gridCol w:w="698"/>
        <w:gridCol w:w="861"/>
      </w:tblGrid>
      <w:tr>
        <w:tblPrEx>
          <w:tblCellMar>
            <w:top w:w="0" w:type="dxa"/>
            <w:left w:w="108" w:type="dxa"/>
            <w:bottom w:w="0" w:type="dxa"/>
            <w:right w:w="108" w:type="dxa"/>
          </w:tblCellMar>
        </w:tblPrEx>
        <w:trPr>
          <w:trHeight w:val="482" w:hRule="atLeast"/>
          <w:tblHeader/>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序号</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名称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技术参数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单位</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数量</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备注</w:t>
            </w: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政务内网</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防火墙</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23"/>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标准1U设备,冗余电源；标配6个10/100/1000M Base-TX，4个千兆光口；默认开通审计中心功能；默认支持IPSec VPN和SSL VPN模块（200个并发用户）；系统吞吐量≥6Gbps；最大并发连接数≥400万、每秒新建连接数≥4万； </w:t>
            </w:r>
          </w:p>
          <w:p>
            <w:pPr>
              <w:widowControl/>
              <w:numPr>
                <w:ilvl w:val="0"/>
                <w:numId w:val="23"/>
              </w:numPr>
              <w:jc w:val="left"/>
              <w:rPr>
                <w:rFonts w:ascii="宋体" w:hAnsi="宋体" w:eastAsia="宋体" w:cs="宋体"/>
                <w:color w:val="000000"/>
                <w:kern w:val="0"/>
                <w:sz w:val="24"/>
              </w:rPr>
            </w:pPr>
            <w:r>
              <w:rPr>
                <w:rFonts w:hint="eastAsia" w:ascii="宋体" w:hAnsi="宋体" w:eastAsia="宋体" w:cs="宋体"/>
                <w:color w:val="000000"/>
                <w:kern w:val="0"/>
                <w:sz w:val="24"/>
              </w:rPr>
              <w:t>▲支持基于文件类型的策略路由，可实现将预定义或者自定义的文件按照不同的分类进行智能选路。（</w:t>
            </w:r>
            <w:r>
              <w:rPr>
                <w:rFonts w:hint="eastAsia" w:ascii="宋体" w:hAnsi="宋体" w:eastAsia="宋体" w:cs="宋体"/>
                <w:color w:val="000000"/>
                <w:kern w:val="0"/>
                <w:sz w:val="24"/>
                <w:lang w:val="en-US" w:eastAsia="zh-CN"/>
              </w:rPr>
              <w:t>须</w:t>
            </w:r>
            <w:r>
              <w:rPr>
                <w:rFonts w:hint="eastAsia" w:ascii="宋体" w:hAnsi="宋体" w:eastAsia="宋体" w:cs="宋体"/>
                <w:color w:val="000000"/>
                <w:kern w:val="0"/>
                <w:sz w:val="24"/>
              </w:rPr>
              <w:t>提供产品功能截图</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提供具有CNAS、CMA或ilac-MRA认证检测报告复印件，提供报告查询网址及查询截图</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w:t>
            </w:r>
          </w:p>
          <w:p>
            <w:pPr>
              <w:widowControl/>
              <w:numPr>
                <w:ilvl w:val="0"/>
                <w:numId w:val="23"/>
              </w:numPr>
              <w:jc w:val="left"/>
              <w:rPr>
                <w:rFonts w:ascii="宋体" w:hAnsi="宋体" w:eastAsia="宋体" w:cs="宋体"/>
                <w:color w:val="000000"/>
                <w:kern w:val="0"/>
                <w:sz w:val="24"/>
              </w:rPr>
            </w:pPr>
            <w:r>
              <w:rPr>
                <w:rFonts w:hint="eastAsia" w:ascii="宋体" w:hAnsi="宋体" w:eastAsia="宋体" w:cs="宋体"/>
                <w:color w:val="000000"/>
                <w:kern w:val="0"/>
                <w:sz w:val="24"/>
              </w:rPr>
              <w:t>要求支持将任意接口数据完全镜像到设备自身的其他接口，用于抓包分析。</w:t>
            </w:r>
          </w:p>
          <w:p>
            <w:pPr>
              <w:widowControl/>
              <w:numPr>
                <w:ilvl w:val="0"/>
                <w:numId w:val="23"/>
              </w:numPr>
              <w:jc w:val="left"/>
              <w:rPr>
                <w:rFonts w:ascii="宋体" w:hAnsi="宋体" w:eastAsia="宋体" w:cs="宋体"/>
                <w:color w:val="000000"/>
                <w:kern w:val="0"/>
                <w:sz w:val="24"/>
              </w:rPr>
            </w:pPr>
            <w:r>
              <w:rPr>
                <w:rFonts w:hint="eastAsia" w:ascii="宋体" w:hAnsi="宋体" w:eastAsia="宋体" w:cs="宋体"/>
                <w:color w:val="000000"/>
                <w:kern w:val="0"/>
                <w:sz w:val="24"/>
              </w:rPr>
              <w:t>支持链路聚合功能，支持802.3ad和静态轮询、热备等多种模式，MAC、MAC&amp;IP、IP&amp;Port多种聚合负载算法。</w:t>
            </w:r>
          </w:p>
          <w:p>
            <w:pPr>
              <w:widowControl/>
              <w:numPr>
                <w:ilvl w:val="0"/>
                <w:numId w:val="23"/>
              </w:numPr>
              <w:jc w:val="left"/>
              <w:rPr>
                <w:rFonts w:ascii="宋体" w:hAnsi="宋体" w:eastAsia="宋体" w:cs="宋体"/>
                <w:color w:val="000000"/>
                <w:kern w:val="0"/>
                <w:sz w:val="24"/>
              </w:rPr>
            </w:pPr>
            <w:r>
              <w:rPr>
                <w:rFonts w:hint="eastAsia" w:ascii="宋体" w:hAnsi="宋体" w:eastAsia="宋体" w:cs="宋体"/>
                <w:color w:val="000000"/>
                <w:kern w:val="0"/>
                <w:sz w:val="24"/>
              </w:rPr>
              <w:t>支持一体化安全策略配置，可以通过一条策略实现用户认证、IPS、AV、URL过滤、协议控制、流量控制、并发、新建限制、垃圾邮件过滤、审计等功能,简化用户管理</w:t>
            </w:r>
          </w:p>
          <w:p>
            <w:pPr>
              <w:widowControl/>
              <w:numPr>
                <w:ilvl w:val="0"/>
                <w:numId w:val="23"/>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支持针对策略中的源、目的地址进行新建限制，可以针对单IP(或地址范围)进行新建控制。 </w:t>
            </w:r>
          </w:p>
          <w:p>
            <w:pPr>
              <w:widowControl/>
              <w:numPr>
                <w:ilvl w:val="0"/>
                <w:numId w:val="23"/>
              </w:numPr>
              <w:jc w:val="left"/>
              <w:rPr>
                <w:rFonts w:ascii="宋体" w:hAnsi="宋体" w:eastAsia="宋体" w:cs="宋体"/>
                <w:color w:val="000000"/>
                <w:kern w:val="0"/>
                <w:sz w:val="24"/>
              </w:rPr>
            </w:pPr>
            <w:r>
              <w:rPr>
                <w:rFonts w:hint="eastAsia" w:ascii="宋体" w:hAnsi="宋体" w:eastAsia="宋体" w:cs="宋体"/>
                <w:color w:val="000000"/>
                <w:kern w:val="0"/>
                <w:sz w:val="24"/>
              </w:rPr>
              <w:t>为确保设备防雷击抗物理攻击能力，产品满足国家检测中心GB/T 17626.5-2008标准的抗雷击浪涌检测；</w:t>
            </w:r>
          </w:p>
          <w:p>
            <w:pPr>
              <w:widowControl/>
              <w:numPr>
                <w:ilvl w:val="0"/>
                <w:numId w:val="23"/>
              </w:numPr>
              <w:jc w:val="left"/>
              <w:rPr>
                <w:rFonts w:ascii="宋体" w:hAnsi="宋体" w:eastAsia="宋体" w:cs="宋体"/>
                <w:color w:val="000000"/>
                <w:kern w:val="0"/>
                <w:sz w:val="24"/>
              </w:rPr>
            </w:pPr>
            <w:r>
              <w:rPr>
                <w:rFonts w:hint="eastAsia" w:ascii="宋体" w:hAnsi="宋体" w:eastAsia="宋体" w:cs="宋体"/>
                <w:color w:val="000000"/>
                <w:kern w:val="0"/>
                <w:sz w:val="24"/>
              </w:rPr>
              <w:t>支持邮件服务器地址黑名单、邮件地址、主题、正文、附件名、附件内容等进行关键字匹配过滤。</w:t>
            </w:r>
          </w:p>
          <w:p>
            <w:pPr>
              <w:widowControl/>
              <w:numPr>
                <w:ilvl w:val="0"/>
                <w:numId w:val="23"/>
              </w:numPr>
              <w:jc w:val="left"/>
              <w:rPr>
                <w:rFonts w:ascii="宋体" w:hAnsi="宋体" w:eastAsia="宋体" w:cs="宋体"/>
                <w:color w:val="000000"/>
                <w:kern w:val="0"/>
                <w:sz w:val="24"/>
              </w:rPr>
            </w:pPr>
            <w:r>
              <w:rPr>
                <w:rFonts w:hint="eastAsia" w:ascii="宋体" w:hAnsi="宋体" w:eastAsia="宋体" w:cs="宋体"/>
                <w:color w:val="000000"/>
                <w:kern w:val="0"/>
                <w:sz w:val="24"/>
              </w:rPr>
              <w:t>产品具有第二代防火墙系统、下一代数据隔离防火墙系统、自主化防火墙系统计算机软件著作权登记证书。</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入侵防御</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24"/>
              </w:numPr>
              <w:jc w:val="left"/>
              <w:rPr>
                <w:rFonts w:ascii="宋体" w:hAnsi="宋体" w:eastAsia="宋体" w:cs="宋体"/>
                <w:color w:val="000000"/>
                <w:kern w:val="0"/>
                <w:sz w:val="24"/>
              </w:rPr>
            </w:pPr>
            <w:r>
              <w:rPr>
                <w:rFonts w:hint="eastAsia" w:ascii="宋体" w:hAnsi="宋体" w:eastAsia="宋体" w:cs="宋体"/>
                <w:color w:val="000000"/>
                <w:kern w:val="0"/>
                <w:sz w:val="24"/>
              </w:rPr>
              <w:t>1U设备，配备1个RJ-45 Console口、1个10/100/1000 Base-T带外管理口、1个10/100/1000 Base-T HA口、含4个具备bypass功能的10/100/1000Base-Tx接口、2个USB口，单电源；网络层最大吞吐量≥3.3Gbps，最大并发连接数≥300万，每秒新建HTTP连接数≥3万；，默认带3年的入侵防御特征库升级授权。</w:t>
            </w:r>
          </w:p>
          <w:p>
            <w:pPr>
              <w:widowControl/>
              <w:numPr>
                <w:ilvl w:val="0"/>
                <w:numId w:val="24"/>
              </w:numPr>
              <w:jc w:val="left"/>
              <w:rPr>
                <w:rFonts w:ascii="宋体" w:hAnsi="宋体" w:eastAsia="宋体" w:cs="宋体"/>
                <w:color w:val="000000"/>
                <w:kern w:val="0"/>
                <w:sz w:val="24"/>
              </w:rPr>
            </w:pPr>
            <w:r>
              <w:rPr>
                <w:rFonts w:hint="eastAsia" w:ascii="宋体" w:hAnsi="宋体" w:eastAsia="宋体" w:cs="宋体"/>
                <w:color w:val="000000"/>
                <w:kern w:val="0"/>
                <w:sz w:val="24"/>
              </w:rPr>
              <w:t>系统应支持HTTP协议和邮件协议防病毒，通过信息替换功能，用以通知用户病毒被阻断，管理员可以自行设置替换信息；</w:t>
            </w:r>
          </w:p>
          <w:p>
            <w:pPr>
              <w:widowControl/>
              <w:numPr>
                <w:ilvl w:val="0"/>
                <w:numId w:val="24"/>
              </w:numPr>
              <w:jc w:val="left"/>
              <w:rPr>
                <w:rFonts w:ascii="宋体" w:hAnsi="宋体" w:eastAsia="宋体" w:cs="宋体"/>
                <w:color w:val="000000"/>
                <w:kern w:val="0"/>
                <w:sz w:val="24"/>
              </w:rPr>
            </w:pPr>
            <w:r>
              <w:rPr>
                <w:rFonts w:hint="eastAsia" w:ascii="宋体" w:hAnsi="宋体" w:eastAsia="宋体" w:cs="宋体"/>
                <w:color w:val="000000"/>
                <w:kern w:val="0"/>
                <w:sz w:val="24"/>
              </w:rPr>
              <w:t>系统应支持可扩展恶意样本自学习功能，除通过网络文件捕获外，还支持通过系统直接上传文件，自动识别黑白文件并提供简要信息。</w:t>
            </w:r>
          </w:p>
          <w:p>
            <w:pPr>
              <w:widowControl/>
              <w:numPr>
                <w:ilvl w:val="0"/>
                <w:numId w:val="24"/>
              </w:numPr>
              <w:jc w:val="left"/>
              <w:rPr>
                <w:rFonts w:ascii="宋体" w:hAnsi="宋体" w:eastAsia="宋体" w:cs="宋体"/>
                <w:color w:val="000000"/>
                <w:kern w:val="0"/>
                <w:sz w:val="24"/>
              </w:rPr>
            </w:pPr>
            <w:r>
              <w:rPr>
                <w:rFonts w:hint="eastAsia" w:ascii="宋体" w:hAnsi="宋体" w:eastAsia="宋体" w:cs="宋体"/>
                <w:color w:val="000000"/>
                <w:kern w:val="0"/>
                <w:sz w:val="24"/>
              </w:rPr>
              <w:t>▲系统应支持与动态恶意代码（APT）检测系统联动功能，通过联动功能可将恶意样本发送到动态APT引擎进行深度检测，并将检测结果生成攻击特征样品进行动态拦截。(提供功能截图) （</w:t>
            </w:r>
            <w:r>
              <w:rPr>
                <w:rFonts w:hint="eastAsia" w:ascii="宋体" w:hAnsi="宋体" w:eastAsia="宋体" w:cs="宋体"/>
                <w:color w:val="000000"/>
                <w:kern w:val="0"/>
                <w:sz w:val="24"/>
                <w:lang w:val="en-US" w:eastAsia="zh-CN"/>
              </w:rPr>
              <w:t>须</w:t>
            </w:r>
            <w:r>
              <w:rPr>
                <w:rFonts w:hint="eastAsia" w:ascii="宋体" w:hAnsi="宋体" w:eastAsia="宋体" w:cs="宋体"/>
                <w:color w:val="000000"/>
                <w:kern w:val="0"/>
                <w:sz w:val="24"/>
              </w:rPr>
              <w:t>提供报告查询截图</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提供具有CNAS、CMA或ilac-MRA认证的检测报告复印件</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w:t>
            </w:r>
          </w:p>
          <w:p>
            <w:pPr>
              <w:widowControl/>
              <w:numPr>
                <w:ilvl w:val="0"/>
                <w:numId w:val="24"/>
              </w:numPr>
              <w:jc w:val="left"/>
              <w:rPr>
                <w:rFonts w:ascii="宋体" w:hAnsi="宋体" w:eastAsia="宋体" w:cs="宋体"/>
                <w:color w:val="000000"/>
                <w:kern w:val="0"/>
                <w:sz w:val="24"/>
              </w:rPr>
            </w:pPr>
            <w:r>
              <w:rPr>
                <w:rFonts w:hint="eastAsia" w:ascii="宋体" w:hAnsi="宋体" w:eastAsia="宋体" w:cs="宋体"/>
                <w:color w:val="000000"/>
                <w:kern w:val="0"/>
                <w:sz w:val="24"/>
              </w:rPr>
              <w:t>▲系统应支持可扩展未知C&amp;C通道（隐蔽通道）检测功能，能够提供C&amp;C通道的危险级别、连接建立时间、连接持续时间、控制端IP地址和端口、受控端IP地址和端口等C&amp;C通道信息。(</w:t>
            </w:r>
            <w:r>
              <w:rPr>
                <w:rFonts w:hint="eastAsia" w:ascii="宋体" w:hAnsi="宋体" w:eastAsia="宋体" w:cs="宋体"/>
                <w:color w:val="000000"/>
                <w:kern w:val="0"/>
                <w:sz w:val="24"/>
                <w:lang w:val="en-US" w:eastAsia="zh-CN"/>
              </w:rPr>
              <w:t>须</w:t>
            </w:r>
            <w:r>
              <w:rPr>
                <w:rFonts w:hint="eastAsia" w:ascii="宋体" w:hAnsi="宋体" w:eastAsia="宋体" w:cs="宋体"/>
                <w:color w:val="000000"/>
                <w:kern w:val="0"/>
                <w:sz w:val="24"/>
              </w:rPr>
              <w:t>提供功能截图</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提供具有CNAS、CMA或ilac-MRA认证的检测报告复印件，提供报告查询截图</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w:t>
            </w:r>
          </w:p>
          <w:p>
            <w:pPr>
              <w:widowControl/>
              <w:numPr>
                <w:ilvl w:val="0"/>
                <w:numId w:val="24"/>
              </w:numPr>
              <w:jc w:val="left"/>
              <w:rPr>
                <w:rFonts w:ascii="宋体" w:hAnsi="宋体" w:eastAsia="宋体" w:cs="宋体"/>
                <w:color w:val="000000"/>
                <w:kern w:val="0"/>
                <w:sz w:val="24"/>
              </w:rPr>
            </w:pPr>
            <w:r>
              <w:rPr>
                <w:rFonts w:hint="eastAsia" w:ascii="宋体" w:hAnsi="宋体" w:eastAsia="宋体" w:cs="宋体"/>
                <w:color w:val="000000"/>
                <w:kern w:val="0"/>
                <w:sz w:val="24"/>
              </w:rPr>
              <w:t>系统应支持敏感信息防护功能，识别信息和文件中的关键字、身份证、手机号码、固定电话号码、银行卡、IP地址等敏感信息，并支持文件指纹识别和白名单功能。</w:t>
            </w:r>
          </w:p>
          <w:p>
            <w:pPr>
              <w:widowControl/>
              <w:numPr>
                <w:ilvl w:val="0"/>
                <w:numId w:val="24"/>
              </w:numPr>
              <w:jc w:val="left"/>
              <w:rPr>
                <w:rFonts w:ascii="宋体" w:hAnsi="宋体" w:eastAsia="宋体" w:cs="宋体"/>
                <w:color w:val="000000"/>
                <w:kern w:val="0"/>
                <w:sz w:val="24"/>
              </w:rPr>
            </w:pPr>
            <w:r>
              <w:rPr>
                <w:rFonts w:hint="eastAsia" w:ascii="宋体" w:hAnsi="宋体" w:eastAsia="宋体" w:cs="宋体"/>
                <w:color w:val="000000"/>
                <w:kern w:val="0"/>
                <w:sz w:val="24"/>
              </w:rPr>
              <w:t>▲产品通过具有检测资质的检测机构的浪涌（冲击）抗扰度测试、雷击抗扰度测试，</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lang w:val="en-US" w:eastAsia="zh-CN"/>
              </w:rPr>
              <w:t>须</w:t>
            </w:r>
            <w:r>
              <w:rPr>
                <w:rFonts w:hint="eastAsia" w:ascii="宋体" w:hAnsi="宋体" w:eastAsia="宋体" w:cs="宋体"/>
                <w:color w:val="000000"/>
                <w:kern w:val="0"/>
                <w:sz w:val="24"/>
              </w:rPr>
              <w:t>提供测试报告复印件</w:t>
            </w:r>
            <w:r>
              <w:rPr>
                <w:rFonts w:hint="eastAsia" w:ascii="宋体" w:hAnsi="宋体" w:eastAsia="宋体" w:cs="宋体"/>
                <w:color w:val="000000"/>
                <w:kern w:val="0"/>
                <w:sz w:val="24"/>
                <w:lang w:eastAsia="zh-CN"/>
              </w:rPr>
              <w:t>。）</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3</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杀毒软件</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25"/>
              </w:numPr>
              <w:jc w:val="left"/>
              <w:rPr>
                <w:rFonts w:ascii="宋体" w:hAnsi="宋体" w:eastAsia="宋体" w:cs="宋体"/>
                <w:color w:val="000000"/>
                <w:kern w:val="0"/>
                <w:sz w:val="24"/>
              </w:rPr>
            </w:pPr>
            <w:r>
              <w:rPr>
                <w:rFonts w:hint="eastAsia" w:ascii="宋体" w:hAnsi="宋体" w:eastAsia="宋体" w:cs="宋体"/>
                <w:color w:val="000000"/>
                <w:kern w:val="0"/>
                <w:sz w:val="24"/>
              </w:rPr>
              <w:t>提供电子版安装包及电子版授权证明文件。包括产品盒子、光盘、纸质授权证明文件等。标准网络版管理中心。系统服务端软件，提供防病毒策略管理、下发任务、病毒告警分析、报表等功能，可管理win系列客户端、Linux系列客户端，可安装在Windows2008R2及以上操作系统、Win7sp1、Win10或 centos7.0、Redhat7.0 及以上操作系统；含标准网络版win系列客户端授权：100个。支持windows环境（Windows XP SP3(32位)、Windows 7(32/64位)、Windows 10(32/64位)、Windows Server 2003(32位)、Windows Server 2008(32/64位)、Windows Server 2012(64位)、Windows Server 2016(32/64位)），含3年产品升级服务；标准网络版Linux系列客户端授权：10个。支持Linux环境(CentOS 6.0 x86_64（及以上）、Redhat 6.7 x86_64（及以上）、SUSE 13.2 x86_64（及以上）、ubuntu 14.04.4 x86_64（及以上）、Fedora release 23 x86_64（及以上）、Linux slackware 14.2（及以上）、凝思磐石 6.0.42)。含3年产品升级服务。</w:t>
            </w:r>
          </w:p>
          <w:p>
            <w:pPr>
              <w:widowControl/>
              <w:numPr>
                <w:ilvl w:val="0"/>
                <w:numId w:val="25"/>
              </w:numPr>
              <w:jc w:val="left"/>
              <w:rPr>
                <w:rFonts w:ascii="宋体" w:hAnsi="宋体" w:eastAsia="宋体" w:cs="宋体"/>
                <w:color w:val="000000"/>
                <w:kern w:val="0"/>
                <w:sz w:val="24"/>
              </w:rPr>
            </w:pPr>
            <w:r>
              <w:rPr>
                <w:rFonts w:hint="eastAsia" w:ascii="宋体" w:hAnsi="宋体" w:eastAsia="宋体" w:cs="宋体"/>
                <w:color w:val="000000"/>
                <w:kern w:val="0"/>
                <w:sz w:val="24"/>
              </w:rPr>
              <w:t>支持部署在Windows Server版本和主流Linux版本上。支持常见的32位和64位操作系统：Windows XP--Windows 10、Windows Server 2003--2012、主流Linux；支持主流国产操作系统：中标麒麟、银河麒麟等。提供100个点数授权。</w:t>
            </w:r>
          </w:p>
          <w:p>
            <w:pPr>
              <w:widowControl/>
              <w:numPr>
                <w:ilvl w:val="0"/>
                <w:numId w:val="25"/>
              </w:numPr>
              <w:jc w:val="left"/>
              <w:rPr>
                <w:rFonts w:ascii="宋体" w:hAnsi="宋体" w:eastAsia="宋体" w:cs="宋体"/>
                <w:color w:val="000000"/>
                <w:kern w:val="0"/>
                <w:sz w:val="24"/>
              </w:rPr>
            </w:pPr>
            <w:r>
              <w:rPr>
                <w:rFonts w:hint="eastAsia" w:ascii="宋体" w:hAnsi="宋体" w:eastAsia="宋体" w:cs="宋体"/>
                <w:color w:val="000000"/>
                <w:kern w:val="0"/>
                <w:sz w:val="24"/>
              </w:rPr>
              <w:t>杀毒软件服务端具备企业内部云建设能力，可搭建私有云查杀平台，摒弃公有云，防止数据外泄，减少网络负载。</w:t>
            </w:r>
          </w:p>
          <w:p>
            <w:pPr>
              <w:widowControl/>
              <w:numPr>
                <w:ilvl w:val="0"/>
                <w:numId w:val="25"/>
              </w:numPr>
              <w:jc w:val="left"/>
              <w:rPr>
                <w:rFonts w:ascii="宋体" w:hAnsi="宋体" w:eastAsia="宋体" w:cs="宋体"/>
                <w:color w:val="000000"/>
                <w:kern w:val="0"/>
                <w:sz w:val="24"/>
              </w:rPr>
            </w:pPr>
            <w:r>
              <w:rPr>
                <w:rFonts w:hint="eastAsia" w:ascii="宋体" w:hAnsi="宋体" w:eastAsia="宋体" w:cs="宋体"/>
                <w:color w:val="000000"/>
                <w:kern w:val="0"/>
                <w:sz w:val="24"/>
              </w:rPr>
              <w:t>具备压缩包查杀功能，支持25种解压缩格式，涵盖压缩包、安装包、文档格式解析能力。支持安装脚本级查杀，拦截流氓软件捆绑。</w:t>
            </w:r>
          </w:p>
          <w:p>
            <w:pPr>
              <w:widowControl/>
              <w:numPr>
                <w:ilvl w:val="0"/>
                <w:numId w:val="25"/>
              </w:numPr>
              <w:jc w:val="left"/>
              <w:rPr>
                <w:rFonts w:ascii="宋体" w:hAnsi="宋体" w:eastAsia="宋体" w:cs="宋体"/>
                <w:color w:val="000000"/>
                <w:kern w:val="0"/>
                <w:sz w:val="24"/>
              </w:rPr>
            </w:pPr>
            <w:r>
              <w:rPr>
                <w:rFonts w:hint="eastAsia" w:ascii="宋体" w:hAnsi="宋体" w:eastAsia="宋体" w:cs="宋体"/>
                <w:color w:val="000000"/>
                <w:kern w:val="0"/>
                <w:sz w:val="24"/>
              </w:rPr>
              <w:t>有快速的反应能力，病毒库常规情况下，平均每周更新一次，反病毒更新模块允许从 Internet 或当地的服务器下载最新的反病毒数据库和组件。</w:t>
            </w:r>
          </w:p>
          <w:p>
            <w:pPr>
              <w:widowControl/>
              <w:numPr>
                <w:ilvl w:val="0"/>
                <w:numId w:val="25"/>
              </w:numPr>
              <w:jc w:val="left"/>
              <w:rPr>
                <w:rFonts w:ascii="宋体" w:hAnsi="宋体" w:eastAsia="宋体" w:cs="宋体"/>
                <w:color w:val="000000"/>
                <w:kern w:val="0"/>
                <w:sz w:val="24"/>
              </w:rPr>
            </w:pPr>
            <w:r>
              <w:rPr>
                <w:rFonts w:hint="eastAsia" w:ascii="宋体" w:hAnsi="宋体" w:eastAsia="宋体" w:cs="宋体"/>
                <w:color w:val="000000"/>
                <w:kern w:val="0"/>
                <w:sz w:val="24"/>
              </w:rPr>
              <w:t>可以对反病毒数据库更新源进行定制（互联网更新服务器、本地文件夹、网络共享文件夹、内部更新站点、U盘光盘等移动存储介质）。</w:t>
            </w:r>
          </w:p>
          <w:p>
            <w:pPr>
              <w:widowControl/>
              <w:numPr>
                <w:ilvl w:val="0"/>
                <w:numId w:val="25"/>
              </w:numPr>
              <w:jc w:val="left"/>
              <w:rPr>
                <w:rFonts w:ascii="宋体" w:hAnsi="宋体" w:eastAsia="宋体" w:cs="宋体"/>
                <w:color w:val="000000"/>
                <w:kern w:val="0"/>
                <w:sz w:val="24"/>
              </w:rPr>
            </w:pPr>
            <w:r>
              <w:rPr>
                <w:rFonts w:hint="eastAsia" w:ascii="宋体" w:hAnsi="宋体" w:eastAsia="宋体" w:cs="宋体"/>
                <w:color w:val="000000"/>
                <w:kern w:val="0"/>
                <w:sz w:val="24"/>
              </w:rPr>
              <w:t>▲产品须具有计算机病毒防治产品检验中心检验报告，且评测等级为增强级。</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lang w:val="en-US" w:eastAsia="zh-CN"/>
              </w:rPr>
              <w:t>须</w:t>
            </w:r>
            <w:r>
              <w:rPr>
                <w:rFonts w:hint="eastAsia" w:ascii="宋体" w:hAnsi="宋体" w:eastAsia="宋体" w:cs="宋体"/>
                <w:color w:val="000000"/>
                <w:kern w:val="0"/>
                <w:sz w:val="24"/>
              </w:rPr>
              <w:t>提供测试报告复印件</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 xml:space="preserve"> </w:t>
            </w:r>
          </w:p>
          <w:p>
            <w:pPr>
              <w:widowControl/>
              <w:numPr>
                <w:ilvl w:val="0"/>
                <w:numId w:val="25"/>
              </w:numPr>
              <w:jc w:val="left"/>
              <w:rPr>
                <w:rFonts w:ascii="宋体" w:hAnsi="宋体" w:eastAsia="宋体" w:cs="宋体"/>
                <w:color w:val="000000"/>
                <w:kern w:val="0"/>
                <w:sz w:val="24"/>
              </w:rPr>
            </w:pPr>
            <w:r>
              <w:rPr>
                <w:rFonts w:hint="eastAsia" w:ascii="宋体" w:hAnsi="宋体" w:eastAsia="宋体" w:cs="宋体"/>
                <w:color w:val="000000"/>
                <w:kern w:val="0"/>
                <w:sz w:val="24"/>
              </w:rPr>
              <w:t>产品须是国产品牌，完全自主开发，拥有自主知识产权。</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含3年病毒库升级，100台终端授权</w:t>
            </w: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政务外网</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4</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防火墙</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26"/>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标准1U设备，单电源；配备10个10/100/1000M Base-TX和4个SFP接口；需支持IPSec VPN和SSL VPN模块（200个并发用户）；内置64G SSD硬盘；支持IPS模块，AV模块，上网行为管理模块等模块；系统吞吐量≥8Gbps，IPS吞吐量≥5Gbps，防病毒吞吐量≥3Gbps，应用层吞吐量≥6Gbps；最大并发连接数≥400万，每秒新建连接数≥5万；需包含3年IPS和AV规则库升级； </w:t>
            </w:r>
          </w:p>
          <w:p>
            <w:pPr>
              <w:widowControl/>
              <w:numPr>
                <w:ilvl w:val="0"/>
                <w:numId w:val="26"/>
              </w:numPr>
              <w:jc w:val="left"/>
              <w:rPr>
                <w:rFonts w:ascii="宋体" w:hAnsi="宋体" w:eastAsia="宋体" w:cs="宋体"/>
                <w:color w:val="000000"/>
                <w:kern w:val="0"/>
                <w:sz w:val="24"/>
              </w:rPr>
            </w:pPr>
            <w:r>
              <w:rPr>
                <w:rFonts w:hint="eastAsia" w:ascii="宋体" w:hAnsi="宋体" w:eastAsia="宋体" w:cs="宋体"/>
                <w:color w:val="000000"/>
                <w:kern w:val="0"/>
                <w:sz w:val="24"/>
              </w:rPr>
              <w:t>采用具有自主知识产权的VSP通用安全操作系统平台，具备高效、智能、安全、健壮、易扩展等特点</w:t>
            </w:r>
          </w:p>
          <w:p>
            <w:pPr>
              <w:widowControl/>
              <w:numPr>
                <w:ilvl w:val="0"/>
                <w:numId w:val="26"/>
              </w:numPr>
              <w:jc w:val="left"/>
              <w:rPr>
                <w:rFonts w:ascii="宋体" w:hAnsi="宋体" w:eastAsia="宋体" w:cs="宋体"/>
                <w:color w:val="000000"/>
                <w:kern w:val="0"/>
                <w:sz w:val="24"/>
              </w:rPr>
            </w:pPr>
            <w:r>
              <w:rPr>
                <w:rFonts w:hint="eastAsia" w:ascii="宋体" w:hAnsi="宋体" w:eastAsia="宋体" w:cs="宋体"/>
                <w:color w:val="000000"/>
                <w:kern w:val="0"/>
                <w:sz w:val="24"/>
              </w:rPr>
              <w:t>基于 WEB地址URL的策略路由，可实现将不同类型的网站流量智能分配到不同的链路。</w:t>
            </w:r>
          </w:p>
          <w:p>
            <w:pPr>
              <w:widowControl/>
              <w:numPr>
                <w:ilvl w:val="0"/>
                <w:numId w:val="26"/>
              </w:numPr>
              <w:jc w:val="left"/>
              <w:rPr>
                <w:rFonts w:ascii="宋体" w:hAnsi="宋体" w:eastAsia="宋体" w:cs="宋体"/>
                <w:color w:val="000000"/>
                <w:kern w:val="0"/>
                <w:sz w:val="24"/>
              </w:rPr>
            </w:pPr>
            <w:r>
              <w:rPr>
                <w:rFonts w:hint="eastAsia" w:ascii="宋体" w:hAnsi="宋体" w:eastAsia="宋体" w:cs="宋体"/>
                <w:color w:val="000000"/>
                <w:kern w:val="0"/>
                <w:sz w:val="24"/>
              </w:rPr>
              <w:t>支持一体化安全策略配置，可以通过一条策略实现用户认证、IPS、AV、URL过滤、协议控制、流量控制、并发、新建限制、垃圾邮件过滤、审计等功能,简化用户管理</w:t>
            </w:r>
          </w:p>
          <w:p>
            <w:pPr>
              <w:widowControl/>
              <w:numPr>
                <w:ilvl w:val="0"/>
                <w:numId w:val="26"/>
              </w:numPr>
              <w:jc w:val="left"/>
              <w:rPr>
                <w:rFonts w:ascii="宋体" w:hAnsi="宋体" w:eastAsia="宋体" w:cs="宋体"/>
                <w:color w:val="000000"/>
                <w:kern w:val="0"/>
                <w:sz w:val="24"/>
              </w:rPr>
            </w:pPr>
            <w:r>
              <w:rPr>
                <w:rFonts w:hint="eastAsia" w:ascii="宋体" w:hAnsi="宋体" w:eastAsia="宋体" w:cs="宋体"/>
                <w:color w:val="000000"/>
                <w:kern w:val="0"/>
                <w:sz w:val="24"/>
              </w:rPr>
              <w:t>支持将源MAC作为独立的访问控制条件，防止非法设备接入</w:t>
            </w:r>
          </w:p>
          <w:p>
            <w:pPr>
              <w:widowControl/>
              <w:numPr>
                <w:ilvl w:val="0"/>
                <w:numId w:val="26"/>
              </w:numPr>
              <w:jc w:val="left"/>
              <w:rPr>
                <w:rFonts w:ascii="宋体" w:hAnsi="宋体" w:eastAsia="宋体" w:cs="宋体"/>
                <w:color w:val="000000"/>
                <w:kern w:val="0"/>
                <w:sz w:val="24"/>
              </w:rPr>
            </w:pPr>
            <w:r>
              <w:rPr>
                <w:rFonts w:hint="eastAsia" w:ascii="宋体" w:hAnsi="宋体" w:eastAsia="宋体" w:cs="宋体"/>
                <w:color w:val="000000"/>
                <w:kern w:val="0"/>
                <w:sz w:val="24"/>
              </w:rPr>
              <w:t>▲产品需具有木马通信通道检测方法及系统能力，可快速检测出网络中的木马程序，</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lang w:val="en-US" w:eastAsia="zh-CN"/>
              </w:rPr>
              <w:t>须</w:t>
            </w:r>
            <w:r>
              <w:rPr>
                <w:rFonts w:hint="eastAsia" w:ascii="宋体" w:hAnsi="宋体" w:eastAsia="宋体" w:cs="宋体"/>
                <w:color w:val="000000"/>
                <w:kern w:val="0"/>
                <w:sz w:val="24"/>
              </w:rPr>
              <w:t>提供相关证明文件。</w:t>
            </w:r>
            <w:r>
              <w:rPr>
                <w:rFonts w:hint="eastAsia" w:ascii="宋体" w:hAnsi="宋体" w:eastAsia="宋体" w:cs="宋体"/>
                <w:color w:val="000000"/>
                <w:kern w:val="0"/>
                <w:sz w:val="24"/>
                <w:lang w:eastAsia="zh-CN"/>
              </w:rPr>
              <w:t>）</w:t>
            </w:r>
          </w:p>
          <w:p>
            <w:pPr>
              <w:widowControl/>
              <w:numPr>
                <w:ilvl w:val="0"/>
                <w:numId w:val="26"/>
              </w:numPr>
              <w:jc w:val="left"/>
              <w:rPr>
                <w:rFonts w:ascii="宋体" w:hAnsi="宋体" w:eastAsia="宋体" w:cs="宋体"/>
                <w:color w:val="000000"/>
                <w:kern w:val="0"/>
                <w:sz w:val="24"/>
              </w:rPr>
            </w:pPr>
            <w:r>
              <w:rPr>
                <w:rFonts w:hint="eastAsia" w:ascii="宋体" w:hAnsi="宋体" w:eastAsia="宋体" w:cs="宋体"/>
                <w:color w:val="000000"/>
                <w:kern w:val="0"/>
                <w:sz w:val="24"/>
              </w:rPr>
              <w:t></w:t>
            </w:r>
            <w:r>
              <w:rPr>
                <w:rFonts w:hint="eastAsia" w:ascii="宋体" w:hAnsi="宋体" w:eastAsia="宋体" w:cs="宋体"/>
                <w:color w:val="auto"/>
                <w:kern w:val="0"/>
                <w:sz w:val="24"/>
              </w:rPr>
              <w:t>▲</w:t>
            </w:r>
            <w:r>
              <w:rPr>
                <w:rFonts w:hint="eastAsia" w:ascii="宋体" w:hAnsi="宋体" w:eastAsia="宋体" w:cs="宋体"/>
                <w:color w:val="000000"/>
                <w:kern w:val="0"/>
                <w:sz w:val="24"/>
              </w:rPr>
              <w:t>为确保设备防雷击抗物理攻击能力，产品满足国家检测中心GB/T 17626.5-2008标准的抗雷击浪涌检测</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lang w:val="en-US" w:eastAsia="zh-CN"/>
              </w:rPr>
              <w:t>须</w:t>
            </w:r>
            <w:r>
              <w:rPr>
                <w:rFonts w:hint="eastAsia" w:ascii="宋体" w:hAnsi="宋体" w:eastAsia="宋体" w:cs="宋体"/>
                <w:color w:val="000000"/>
                <w:kern w:val="0"/>
                <w:sz w:val="24"/>
              </w:rPr>
              <w:t>提供相关证明文件。</w:t>
            </w:r>
            <w:r>
              <w:rPr>
                <w:rFonts w:hint="eastAsia" w:ascii="宋体" w:hAnsi="宋体" w:eastAsia="宋体" w:cs="宋体"/>
                <w:color w:val="000000"/>
                <w:kern w:val="0"/>
                <w:sz w:val="24"/>
                <w:lang w:eastAsia="zh-CN"/>
              </w:rPr>
              <w:t>）</w:t>
            </w:r>
          </w:p>
          <w:p>
            <w:pPr>
              <w:widowControl/>
              <w:numPr>
                <w:ilvl w:val="0"/>
                <w:numId w:val="26"/>
              </w:numPr>
              <w:jc w:val="left"/>
              <w:rPr>
                <w:rFonts w:ascii="宋体" w:hAnsi="宋体" w:eastAsia="宋体" w:cs="宋体"/>
                <w:color w:val="000000"/>
                <w:kern w:val="0"/>
                <w:sz w:val="24"/>
              </w:rPr>
            </w:pPr>
            <w:r>
              <w:rPr>
                <w:rFonts w:hint="eastAsia" w:ascii="宋体" w:hAnsi="宋体" w:eastAsia="宋体" w:cs="宋体"/>
                <w:color w:val="000000"/>
                <w:kern w:val="0"/>
                <w:sz w:val="24"/>
              </w:rPr>
              <w:t>产品具有第二代防火墙系统、下一代数据隔离防火墙系统、自主化防火墙系统计算机软件著作权登记证书。</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5</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杀毒软件</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27"/>
              </w:numPr>
              <w:jc w:val="left"/>
              <w:rPr>
                <w:rFonts w:ascii="宋体" w:hAnsi="宋体" w:eastAsia="宋体" w:cs="宋体"/>
                <w:color w:val="000000"/>
                <w:kern w:val="0"/>
                <w:sz w:val="24"/>
              </w:rPr>
            </w:pPr>
            <w:r>
              <w:rPr>
                <w:rFonts w:hint="eastAsia" w:ascii="宋体" w:hAnsi="宋体" w:eastAsia="宋体" w:cs="宋体"/>
                <w:color w:val="000000"/>
                <w:kern w:val="0"/>
                <w:sz w:val="24"/>
              </w:rPr>
              <w:t>提供电子版安装包及电子版授权证明文件。包括产品盒子、光盘、纸质授权证明文件等。标准网络版管理中心。系统服务端软件，提供防病毒策略管理、下发任务、病毒告警分析、报表等功能，可管理win系列客户端、Linux系列客户端，可安装在Windows2008R2及以上操作系统、Win7sp1、Win10或 centos7.0、Redhat7.0 及以上操作系统；含标准网络版win系列客户端授权：100个。支持windows环境（Windows XP SP3(32位)、Windows 7(32/64位)、Windows 10(32/64位)、Windows Server 2003(32位)、Windows Server 2008(32/64位)、Windows Server 2012(64位)、Windows Server 2016(32/64位)），含3年产品升级服务；标准网络版Linux系列客户端授权：10个。支持Linux环境(CentOS 6.0 x86_64（及以上）、Redhat 6.7 x86_64（及以上）、SUSE 13.2 x86_64（及以上）、ubuntu 14.04.4 x86_64（及以上）、Fedora release 23 x86_64（及以上）、Linux slackware 14.2（及以上）、凝思磐石 6.0.42)。含3年产品升级服务。</w:t>
            </w:r>
          </w:p>
          <w:p>
            <w:pPr>
              <w:widowControl/>
              <w:numPr>
                <w:ilvl w:val="0"/>
                <w:numId w:val="27"/>
              </w:numPr>
              <w:jc w:val="left"/>
              <w:rPr>
                <w:rFonts w:ascii="宋体" w:hAnsi="宋体" w:eastAsia="宋体" w:cs="宋体"/>
                <w:color w:val="000000"/>
                <w:kern w:val="0"/>
                <w:sz w:val="24"/>
              </w:rPr>
            </w:pPr>
            <w:r>
              <w:rPr>
                <w:rFonts w:hint="eastAsia" w:ascii="宋体" w:hAnsi="宋体" w:eastAsia="宋体" w:cs="宋体"/>
                <w:color w:val="000000"/>
                <w:kern w:val="0"/>
                <w:sz w:val="24"/>
              </w:rPr>
              <w:t>支持部署在Windows Server版本和主流Linux版本上。支持常见的32位和64位操作系统：Windows XP--Windows 10、Windows Server 2003--2012、主流Linux；支持主流国产操作系统：中标麒麟、银河麒麟等。提供100个点数授权。</w:t>
            </w:r>
          </w:p>
          <w:p>
            <w:pPr>
              <w:widowControl/>
              <w:numPr>
                <w:ilvl w:val="0"/>
                <w:numId w:val="27"/>
              </w:numPr>
              <w:jc w:val="left"/>
              <w:rPr>
                <w:rFonts w:ascii="宋体" w:hAnsi="宋体" w:eastAsia="宋体" w:cs="宋体"/>
                <w:color w:val="000000"/>
                <w:kern w:val="0"/>
                <w:sz w:val="24"/>
              </w:rPr>
            </w:pPr>
            <w:r>
              <w:rPr>
                <w:rFonts w:hint="eastAsia" w:ascii="宋体" w:hAnsi="宋体" w:eastAsia="宋体" w:cs="宋体"/>
                <w:color w:val="000000"/>
                <w:kern w:val="0"/>
                <w:sz w:val="24"/>
              </w:rPr>
              <w:t>杀毒软件服务端具备企业内部云建设能力，可搭建私有云查杀平台，摒弃公有云，防止数据外泄，减少网络负载。</w:t>
            </w:r>
          </w:p>
          <w:p>
            <w:pPr>
              <w:widowControl/>
              <w:numPr>
                <w:ilvl w:val="0"/>
                <w:numId w:val="27"/>
              </w:numPr>
              <w:jc w:val="left"/>
              <w:rPr>
                <w:rFonts w:ascii="宋体" w:hAnsi="宋体" w:eastAsia="宋体" w:cs="宋体"/>
                <w:color w:val="000000"/>
                <w:kern w:val="0"/>
                <w:sz w:val="24"/>
              </w:rPr>
            </w:pPr>
            <w:r>
              <w:rPr>
                <w:rFonts w:hint="eastAsia" w:ascii="宋体" w:hAnsi="宋体" w:eastAsia="宋体" w:cs="宋体"/>
                <w:color w:val="000000"/>
                <w:kern w:val="0"/>
                <w:sz w:val="24"/>
              </w:rPr>
              <w:t>具备压缩包查杀功能，支持25种解压缩格式，涵盖压缩包、安装包、文档格式解析能力。支持安装脚本级查杀，拦截流氓软件捆绑。</w:t>
            </w:r>
          </w:p>
          <w:p>
            <w:pPr>
              <w:widowControl/>
              <w:numPr>
                <w:ilvl w:val="0"/>
                <w:numId w:val="27"/>
              </w:numPr>
              <w:jc w:val="left"/>
              <w:rPr>
                <w:rFonts w:ascii="宋体" w:hAnsi="宋体" w:eastAsia="宋体" w:cs="宋体"/>
                <w:color w:val="000000"/>
                <w:kern w:val="0"/>
                <w:sz w:val="24"/>
              </w:rPr>
            </w:pPr>
            <w:r>
              <w:rPr>
                <w:rFonts w:hint="eastAsia" w:ascii="宋体" w:hAnsi="宋体" w:eastAsia="宋体" w:cs="宋体"/>
                <w:color w:val="000000"/>
                <w:kern w:val="0"/>
                <w:sz w:val="24"/>
              </w:rPr>
              <w:t>有快速的反应能力，病毒库常规情况下，平均每周更新一次，反病毒更新模块允许从 Internet 或当地的服务器下载最新的反病毒数据库和组件。</w:t>
            </w:r>
          </w:p>
          <w:p>
            <w:pPr>
              <w:widowControl/>
              <w:numPr>
                <w:ilvl w:val="0"/>
                <w:numId w:val="27"/>
              </w:numPr>
              <w:jc w:val="left"/>
              <w:rPr>
                <w:rFonts w:ascii="宋体" w:hAnsi="宋体" w:eastAsia="宋体" w:cs="宋体"/>
                <w:color w:val="000000"/>
                <w:kern w:val="0"/>
                <w:sz w:val="24"/>
              </w:rPr>
            </w:pPr>
            <w:r>
              <w:rPr>
                <w:rFonts w:hint="eastAsia" w:ascii="宋体" w:hAnsi="宋体" w:eastAsia="宋体" w:cs="宋体"/>
                <w:color w:val="000000"/>
                <w:kern w:val="0"/>
                <w:sz w:val="24"/>
              </w:rPr>
              <w:t>可以对反病毒数据库更新源进行定制（互联网更新服务器、本地文件夹、网络共享文件夹、内部更新站点、U盘光盘等移动存储介质）。</w:t>
            </w:r>
          </w:p>
          <w:p>
            <w:pPr>
              <w:widowControl/>
              <w:numPr>
                <w:ilvl w:val="0"/>
                <w:numId w:val="27"/>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产品须具有计算机病毒防治产品检验中心检验报告，且评测等级为增强级。 </w:t>
            </w:r>
          </w:p>
          <w:p>
            <w:pPr>
              <w:widowControl/>
              <w:numPr>
                <w:ilvl w:val="0"/>
                <w:numId w:val="27"/>
              </w:numPr>
              <w:jc w:val="left"/>
              <w:rPr>
                <w:rFonts w:ascii="宋体" w:hAnsi="宋体" w:eastAsia="宋体" w:cs="宋体"/>
                <w:color w:val="000000"/>
                <w:kern w:val="0"/>
                <w:sz w:val="24"/>
              </w:rPr>
            </w:pPr>
            <w:r>
              <w:rPr>
                <w:rFonts w:hint="eastAsia" w:ascii="宋体" w:hAnsi="宋体" w:eastAsia="宋体" w:cs="宋体"/>
                <w:color w:val="000000"/>
                <w:kern w:val="0"/>
                <w:sz w:val="24"/>
              </w:rPr>
              <w:t>产品须是国产品牌，完全自主开发，拥有自主知识产权。</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含3年病毒库升级，50台终端授权</w:t>
            </w:r>
          </w:p>
        </w:tc>
      </w:tr>
      <w:tr>
        <w:tblPrEx>
          <w:tblCellMar>
            <w:top w:w="0" w:type="dxa"/>
            <w:left w:w="108" w:type="dxa"/>
            <w:bottom w:w="0" w:type="dxa"/>
            <w:right w:w="108" w:type="dxa"/>
          </w:tblCellMar>
        </w:tblPrEx>
        <w:trPr>
          <w:trHeight w:val="480" w:hRule="atLeast"/>
        </w:trPr>
        <w:tc>
          <w:tcPr>
            <w:tcW w:w="0" w:type="auto"/>
            <w:gridSpan w:val="6"/>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互联网</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6</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防火墙</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28"/>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标准1U设备，单电源；配备10个10/100/1000M Base-TX和4个SFP接口；需支持IPSec VPN和SSL VPN模块（200个并发用户）；内置64G SSD硬盘；支持IPS模块，AV模块，上网行为管理模块等模块；系统吞吐量≥8Gbps，IPS吞吐量≥5Gbps，防病毒吞吐量≥3Gbps，应用层吞吐量≥6Gbps；最大并发连接数≥400万，每秒新建连接数≥5万；需包含3年IPS和AV规则库升级； </w:t>
            </w:r>
          </w:p>
          <w:p>
            <w:pPr>
              <w:widowControl/>
              <w:numPr>
                <w:ilvl w:val="0"/>
                <w:numId w:val="28"/>
              </w:numPr>
              <w:jc w:val="left"/>
              <w:rPr>
                <w:rFonts w:ascii="宋体" w:hAnsi="宋体" w:eastAsia="宋体" w:cs="宋体"/>
                <w:color w:val="000000"/>
                <w:kern w:val="0"/>
                <w:sz w:val="24"/>
              </w:rPr>
            </w:pPr>
            <w:r>
              <w:rPr>
                <w:rFonts w:hint="eastAsia" w:ascii="宋体" w:hAnsi="宋体" w:eastAsia="宋体" w:cs="宋体"/>
                <w:color w:val="000000"/>
                <w:kern w:val="0"/>
                <w:sz w:val="24"/>
              </w:rPr>
              <w:t>设备支持多操作系统（≥3个），多系统设置可在Web界面上完成全部操作</w:t>
            </w:r>
          </w:p>
          <w:p>
            <w:pPr>
              <w:widowControl/>
              <w:numPr>
                <w:ilvl w:val="0"/>
                <w:numId w:val="28"/>
              </w:numPr>
              <w:jc w:val="left"/>
              <w:rPr>
                <w:rFonts w:ascii="宋体" w:hAnsi="宋体" w:eastAsia="宋体" w:cs="宋体"/>
                <w:color w:val="000000"/>
                <w:kern w:val="0"/>
                <w:sz w:val="24"/>
              </w:rPr>
            </w:pPr>
            <w:r>
              <w:rPr>
                <w:rFonts w:hint="eastAsia" w:ascii="宋体" w:hAnsi="宋体" w:eastAsia="宋体" w:cs="宋体"/>
                <w:color w:val="000000"/>
                <w:kern w:val="0"/>
                <w:sz w:val="24"/>
              </w:rPr>
              <w:t>采用具有自主知识产权的VSP通用安全操作系统平台，具备高效、智能、安全、健壮、易扩展等特点</w:t>
            </w:r>
          </w:p>
          <w:p>
            <w:pPr>
              <w:widowControl/>
              <w:numPr>
                <w:ilvl w:val="0"/>
                <w:numId w:val="28"/>
              </w:numPr>
              <w:jc w:val="left"/>
              <w:rPr>
                <w:rFonts w:ascii="宋体" w:hAnsi="宋体" w:eastAsia="宋体" w:cs="宋体"/>
                <w:color w:val="000000"/>
                <w:kern w:val="0"/>
                <w:sz w:val="24"/>
              </w:rPr>
            </w:pPr>
            <w:r>
              <w:rPr>
                <w:rFonts w:hint="eastAsia" w:ascii="宋体" w:hAnsi="宋体" w:eastAsia="宋体" w:cs="宋体"/>
                <w:color w:val="000000"/>
                <w:kern w:val="0"/>
                <w:sz w:val="24"/>
              </w:rPr>
              <w:t>支持基于应用的策略路由，可实现为不同的应用类型智能选择相应的链路。</w:t>
            </w:r>
          </w:p>
          <w:p>
            <w:pPr>
              <w:widowControl/>
              <w:numPr>
                <w:ilvl w:val="0"/>
                <w:numId w:val="28"/>
              </w:numPr>
              <w:jc w:val="left"/>
              <w:rPr>
                <w:rFonts w:ascii="宋体" w:hAnsi="宋体" w:eastAsia="宋体" w:cs="宋体"/>
                <w:color w:val="000000"/>
                <w:kern w:val="0"/>
                <w:sz w:val="24"/>
              </w:rPr>
            </w:pPr>
            <w:r>
              <w:rPr>
                <w:rFonts w:hint="eastAsia" w:ascii="宋体" w:hAnsi="宋体" w:eastAsia="宋体" w:cs="宋体"/>
                <w:color w:val="000000"/>
                <w:kern w:val="0"/>
                <w:sz w:val="24"/>
              </w:rPr>
              <w:t>基于 WEB地址URL的策略路由，可实现将不同类型的网站流量智能分配到不同的链路。</w:t>
            </w:r>
          </w:p>
          <w:p>
            <w:pPr>
              <w:widowControl/>
              <w:numPr>
                <w:ilvl w:val="0"/>
                <w:numId w:val="28"/>
              </w:numPr>
              <w:jc w:val="left"/>
              <w:rPr>
                <w:rFonts w:ascii="宋体" w:hAnsi="宋体" w:eastAsia="宋体" w:cs="宋体"/>
                <w:color w:val="000000"/>
                <w:kern w:val="0"/>
                <w:sz w:val="24"/>
              </w:rPr>
            </w:pPr>
            <w:r>
              <w:rPr>
                <w:rFonts w:hint="eastAsia" w:ascii="宋体" w:hAnsi="宋体" w:eastAsia="宋体" w:cs="宋体"/>
                <w:color w:val="000000"/>
                <w:kern w:val="0"/>
                <w:sz w:val="24"/>
              </w:rPr>
              <w:t>支持基于文件类型的策略路由，可实现将预定义或者自定义的文件按照不同的分类进行智能选路。</w:t>
            </w:r>
          </w:p>
          <w:p>
            <w:pPr>
              <w:widowControl/>
              <w:numPr>
                <w:ilvl w:val="0"/>
                <w:numId w:val="28"/>
              </w:numPr>
              <w:jc w:val="left"/>
              <w:rPr>
                <w:rFonts w:ascii="宋体" w:hAnsi="宋体" w:eastAsia="宋体" w:cs="宋体"/>
                <w:color w:val="000000"/>
                <w:kern w:val="0"/>
                <w:sz w:val="24"/>
              </w:rPr>
            </w:pPr>
            <w:r>
              <w:rPr>
                <w:rFonts w:hint="eastAsia" w:ascii="宋体" w:hAnsi="宋体" w:eastAsia="宋体" w:cs="宋体"/>
                <w:color w:val="000000"/>
                <w:kern w:val="0"/>
                <w:sz w:val="24"/>
              </w:rPr>
              <w:t>要求支持将任意接口数据完全镜像到设备自身的其他接口，用于抓包分析。</w:t>
            </w:r>
          </w:p>
          <w:p>
            <w:pPr>
              <w:widowControl/>
              <w:numPr>
                <w:ilvl w:val="0"/>
                <w:numId w:val="28"/>
              </w:numPr>
              <w:jc w:val="left"/>
              <w:rPr>
                <w:rFonts w:ascii="宋体" w:hAnsi="宋体" w:eastAsia="宋体" w:cs="宋体"/>
                <w:color w:val="000000"/>
                <w:kern w:val="0"/>
                <w:sz w:val="24"/>
              </w:rPr>
            </w:pPr>
            <w:r>
              <w:rPr>
                <w:rFonts w:hint="eastAsia" w:ascii="宋体" w:hAnsi="宋体" w:eastAsia="宋体" w:cs="宋体"/>
                <w:color w:val="000000"/>
                <w:kern w:val="0"/>
                <w:sz w:val="24"/>
              </w:rPr>
              <w:t>支持链路聚合功能，支持802.3ad和静态轮询、热备等多种模式，MAC、MAC&amp;IP、IP&amp;Port多种聚合负载算法。</w:t>
            </w:r>
          </w:p>
          <w:p>
            <w:pPr>
              <w:widowControl/>
              <w:numPr>
                <w:ilvl w:val="0"/>
                <w:numId w:val="28"/>
              </w:numPr>
              <w:jc w:val="left"/>
              <w:rPr>
                <w:rFonts w:ascii="宋体" w:hAnsi="宋体" w:eastAsia="宋体" w:cs="宋体"/>
                <w:color w:val="000000"/>
                <w:kern w:val="0"/>
                <w:sz w:val="24"/>
              </w:rPr>
            </w:pPr>
            <w:r>
              <w:rPr>
                <w:rFonts w:hint="eastAsia" w:ascii="宋体" w:hAnsi="宋体" w:eastAsia="宋体" w:cs="宋体"/>
                <w:color w:val="000000"/>
                <w:kern w:val="0"/>
                <w:sz w:val="24"/>
              </w:rPr>
              <w:t>支持一体化安全策略配置，可以通过一条策略实现用户认证、IPS、AV、URL过滤、协议控制、流量控制、并发、新建限制、垃圾邮件过滤、审计等功能,简化用户管理</w:t>
            </w:r>
          </w:p>
          <w:p>
            <w:pPr>
              <w:widowControl/>
              <w:numPr>
                <w:ilvl w:val="0"/>
                <w:numId w:val="28"/>
              </w:numPr>
              <w:jc w:val="left"/>
              <w:rPr>
                <w:rFonts w:ascii="宋体" w:hAnsi="宋体" w:eastAsia="宋体" w:cs="宋体"/>
                <w:color w:val="000000"/>
                <w:kern w:val="0"/>
                <w:sz w:val="24"/>
              </w:rPr>
            </w:pPr>
            <w:r>
              <w:rPr>
                <w:rFonts w:hint="eastAsia" w:ascii="宋体" w:hAnsi="宋体" w:eastAsia="宋体" w:cs="宋体"/>
                <w:color w:val="000000"/>
                <w:kern w:val="0"/>
                <w:sz w:val="24"/>
              </w:rPr>
              <w:t>为确保设备防雷击抗物理攻击能力，产品满足国家检测中心GB/T 17626.5-2008标准的抗雷击浪涌检测；</w:t>
            </w:r>
          </w:p>
          <w:p>
            <w:pPr>
              <w:widowControl/>
              <w:numPr>
                <w:ilvl w:val="0"/>
                <w:numId w:val="28"/>
              </w:numPr>
              <w:jc w:val="left"/>
              <w:rPr>
                <w:rFonts w:ascii="宋体" w:hAnsi="宋体" w:eastAsia="宋体" w:cs="宋体"/>
                <w:color w:val="000000"/>
                <w:kern w:val="0"/>
                <w:sz w:val="24"/>
              </w:rPr>
            </w:pPr>
            <w:r>
              <w:rPr>
                <w:rFonts w:hint="eastAsia" w:ascii="宋体" w:hAnsi="宋体" w:eastAsia="宋体" w:cs="宋体"/>
                <w:color w:val="000000"/>
                <w:kern w:val="0"/>
                <w:sz w:val="24"/>
              </w:rPr>
              <w:t>支持邮件服务器地址黑名单、邮件地址、主题、正文、附件名、附件内容等进行关键字匹配过滤。</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　</w:t>
            </w:r>
          </w:p>
        </w:tc>
      </w:tr>
      <w:tr>
        <w:tblPrEx>
          <w:tblCellMar>
            <w:top w:w="0" w:type="dxa"/>
            <w:left w:w="108" w:type="dxa"/>
            <w:bottom w:w="0" w:type="dxa"/>
            <w:right w:w="108" w:type="dxa"/>
          </w:tblCellMar>
        </w:tblPrEx>
        <w:trPr>
          <w:trHeight w:val="480"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7</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系统集成服务</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pStyle w:val="2"/>
              <w:ind w:left="0" w:leftChars="0"/>
              <w:rPr>
                <w:rFonts w:ascii="宋体" w:hAnsi="宋体" w:eastAsia="宋体" w:cs="宋体"/>
                <w:kern w:val="0"/>
                <w:sz w:val="24"/>
                <w:highlight w:val="none"/>
              </w:rPr>
            </w:pPr>
            <w:r>
              <w:rPr>
                <w:rFonts w:hint="eastAsia" w:ascii="宋体" w:hAnsi="宋体" w:eastAsia="宋体" w:cs="宋体"/>
                <w:kern w:val="0"/>
                <w:sz w:val="24"/>
                <w:highlight w:val="none"/>
              </w:rPr>
              <w:t>系统集成服务</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项</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1</w:t>
            </w:r>
          </w:p>
        </w:tc>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highlight w:val="none"/>
              </w:rPr>
            </w:pPr>
          </w:p>
        </w:tc>
      </w:tr>
    </w:tbl>
    <w:p>
      <w:pPr>
        <w:rPr>
          <w:highlight w:val="none"/>
        </w:rPr>
      </w:pPr>
    </w:p>
    <w:p>
      <w:pPr>
        <w:pStyle w:val="4"/>
        <w:sectPr>
          <w:pgSz w:w="11906" w:h="16838"/>
          <w:pgMar w:top="1440" w:right="1800" w:bottom="1440" w:left="1800" w:header="851" w:footer="992" w:gutter="0"/>
          <w:cols w:space="425" w:num="1"/>
          <w:docGrid w:type="lines" w:linePitch="312" w:charSpace="0"/>
        </w:sectPr>
      </w:pPr>
    </w:p>
    <w:p>
      <w:pPr>
        <w:pStyle w:val="4"/>
        <w:spacing w:before="120" w:after="120" w:line="360" w:lineRule="auto"/>
        <w:rPr>
          <w:rFonts w:ascii="宋体" w:hAnsi="宋体" w:eastAsia="宋体" w:cs="宋体"/>
          <w:color w:val="000000"/>
          <w:kern w:val="0"/>
          <w:sz w:val="24"/>
          <w:szCs w:val="24"/>
        </w:rPr>
      </w:pPr>
      <w:bookmarkStart w:id="14" w:name="_Toc127463074"/>
      <w:r>
        <w:rPr>
          <w:rFonts w:hint="eastAsia" w:ascii="宋体" w:hAnsi="宋体" w:eastAsia="宋体" w:cs="宋体"/>
          <w:color w:val="000000"/>
          <w:kern w:val="0"/>
          <w:sz w:val="24"/>
          <w:szCs w:val="24"/>
        </w:rPr>
        <w:t>14、应急指挥信息网</w:t>
      </w:r>
      <w:bookmarkEnd w:id="14"/>
    </w:p>
    <w:tbl>
      <w:tblPr>
        <w:tblStyle w:val="11"/>
        <w:tblW w:w="0" w:type="auto"/>
        <w:tblInd w:w="91" w:type="dxa"/>
        <w:tblLayout w:type="autofit"/>
        <w:tblCellMar>
          <w:top w:w="0" w:type="dxa"/>
          <w:left w:w="108" w:type="dxa"/>
          <w:bottom w:w="0" w:type="dxa"/>
          <w:right w:w="108" w:type="dxa"/>
        </w:tblCellMar>
      </w:tblPr>
      <w:tblGrid>
        <w:gridCol w:w="698"/>
        <w:gridCol w:w="787"/>
        <w:gridCol w:w="4644"/>
        <w:gridCol w:w="698"/>
        <w:gridCol w:w="698"/>
        <w:gridCol w:w="906"/>
      </w:tblGrid>
      <w:tr>
        <w:tblPrEx>
          <w:tblCellMar>
            <w:top w:w="0" w:type="dxa"/>
            <w:left w:w="108" w:type="dxa"/>
            <w:bottom w:w="0" w:type="dxa"/>
            <w:right w:w="108" w:type="dxa"/>
          </w:tblCellMar>
        </w:tblPrEx>
        <w:trPr>
          <w:trHeight w:val="482" w:hRule="atLeast"/>
          <w:tblHeader/>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序号</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名称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技术参数</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单位</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数量</w:t>
            </w:r>
          </w:p>
        </w:tc>
        <w:tc>
          <w:tcPr>
            <w:tcW w:w="0" w:type="auto"/>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color w:val="000000"/>
                <w:kern w:val="0"/>
                <w:sz w:val="24"/>
              </w:rPr>
            </w:pPr>
            <w:r>
              <w:rPr>
                <w:rFonts w:hint="eastAsia" w:ascii="宋体" w:hAnsi="宋体" w:eastAsia="宋体" w:cs="宋体"/>
                <w:b/>
                <w:bCs/>
                <w:color w:val="000000"/>
                <w:kern w:val="0"/>
                <w:sz w:val="24"/>
              </w:rPr>
              <w:t>备注</w:t>
            </w:r>
          </w:p>
        </w:tc>
      </w:tr>
      <w:tr>
        <w:tblPrEx>
          <w:tblCellMar>
            <w:top w:w="0" w:type="dxa"/>
            <w:left w:w="108" w:type="dxa"/>
            <w:bottom w:w="0" w:type="dxa"/>
            <w:right w:w="108" w:type="dxa"/>
          </w:tblCellMar>
        </w:tblPrEx>
        <w:trPr>
          <w:trHeight w:val="495"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信息网节点路由器</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29"/>
              </w:numPr>
              <w:jc w:val="left"/>
              <w:rPr>
                <w:rFonts w:ascii="宋体" w:hAnsi="宋体" w:eastAsia="宋体" w:cs="宋体"/>
                <w:color w:val="000000"/>
                <w:kern w:val="0"/>
                <w:sz w:val="24"/>
              </w:rPr>
            </w:pPr>
            <w:r>
              <w:rPr>
                <w:rFonts w:hint="eastAsia" w:ascii="宋体" w:hAnsi="宋体" w:eastAsia="宋体" w:cs="宋体"/>
                <w:color w:val="000000"/>
                <w:kern w:val="0"/>
                <w:sz w:val="24"/>
              </w:rPr>
              <w:t>业务插槽≥8个（主控、风扇、电源等槽位不及入业务槽位之内）；14*10GE光+10*GE电（以上所有端口均为三层路由口)，内存≥8GB；Flash≥2GB，支持电源冗余，电源≥2个；</w:t>
            </w:r>
          </w:p>
          <w:p>
            <w:pPr>
              <w:widowControl/>
              <w:numPr>
                <w:ilvl w:val="0"/>
                <w:numId w:val="29"/>
              </w:numPr>
              <w:jc w:val="left"/>
              <w:rPr>
                <w:rFonts w:ascii="宋体" w:hAnsi="宋体" w:eastAsia="宋体" w:cs="宋体"/>
                <w:color w:val="000000"/>
                <w:kern w:val="0"/>
                <w:sz w:val="24"/>
              </w:rPr>
            </w:pPr>
            <w:r>
              <w:rPr>
                <w:rFonts w:hint="eastAsia" w:ascii="宋体" w:hAnsi="宋体" w:eastAsia="宋体" w:cs="宋体"/>
                <w:color w:val="000000"/>
                <w:kern w:val="0"/>
                <w:sz w:val="24"/>
              </w:rPr>
              <w:t>包转发能力≥220Mpps，提供CNAS/CMA/CAICT认证检测机构出具的测试报告证明；</w:t>
            </w:r>
          </w:p>
          <w:p>
            <w:pPr>
              <w:widowControl/>
              <w:numPr>
                <w:ilvl w:val="0"/>
                <w:numId w:val="29"/>
              </w:numPr>
              <w:jc w:val="left"/>
              <w:rPr>
                <w:rFonts w:ascii="宋体" w:hAnsi="宋体" w:eastAsia="宋体" w:cs="宋体"/>
                <w:color w:val="000000"/>
                <w:kern w:val="0"/>
                <w:sz w:val="24"/>
              </w:rPr>
            </w:pPr>
            <w:r>
              <w:rPr>
                <w:rFonts w:hint="eastAsia" w:ascii="宋体" w:hAnsi="宋体" w:eastAsia="宋体" w:cs="宋体"/>
                <w:color w:val="000000"/>
                <w:kern w:val="0"/>
                <w:sz w:val="24"/>
              </w:rPr>
              <w:t>所有业务板卡支持直接热插拔，可以进行主控转发板更换；</w:t>
            </w:r>
          </w:p>
          <w:p>
            <w:pPr>
              <w:widowControl/>
              <w:numPr>
                <w:ilvl w:val="0"/>
                <w:numId w:val="29"/>
              </w:numPr>
              <w:jc w:val="left"/>
              <w:rPr>
                <w:rFonts w:ascii="宋体" w:hAnsi="宋体" w:eastAsia="宋体" w:cs="宋体"/>
                <w:color w:val="000000"/>
                <w:kern w:val="0"/>
                <w:sz w:val="24"/>
              </w:rPr>
            </w:pPr>
            <w:r>
              <w:rPr>
                <w:rFonts w:hint="eastAsia" w:ascii="宋体" w:hAnsi="宋体" w:eastAsia="宋体" w:cs="宋体"/>
                <w:color w:val="000000"/>
                <w:kern w:val="0"/>
                <w:sz w:val="24"/>
              </w:rPr>
              <w:t>支持IEEE 802.1P，IEEE 802.1Q，IEEE 802.3，VLAN管理，VLAN聚合，MAC管理，SEP等；</w:t>
            </w:r>
          </w:p>
          <w:p>
            <w:pPr>
              <w:widowControl/>
              <w:numPr>
                <w:ilvl w:val="0"/>
                <w:numId w:val="29"/>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支持AP 设备管理(AC发现/AP接入/AP管理)，CAPWAP协议, WLAN 用户管理，WLAN射频管理（802.11a/b/g/n/ac），WLAN QoS（WMM），WLAN 安全（WEP/WPA/WPA2/密钥管理）； </w:t>
            </w:r>
          </w:p>
          <w:p>
            <w:pPr>
              <w:widowControl/>
              <w:numPr>
                <w:ilvl w:val="0"/>
                <w:numId w:val="29"/>
              </w:numPr>
              <w:jc w:val="left"/>
              <w:rPr>
                <w:rFonts w:ascii="宋体" w:hAnsi="宋体" w:eastAsia="宋体" w:cs="宋体"/>
                <w:color w:val="000000"/>
                <w:kern w:val="0"/>
                <w:sz w:val="24"/>
              </w:rPr>
            </w:pPr>
            <w:r>
              <w:rPr>
                <w:rFonts w:hint="eastAsia" w:ascii="宋体" w:hAnsi="宋体" w:eastAsia="宋体" w:cs="宋体"/>
                <w:color w:val="000000"/>
                <w:kern w:val="0"/>
                <w:sz w:val="24"/>
              </w:rPr>
              <w:t>支持静态路由，路由策略，RIP，OSPF，BGP，IS-IS，RIPng，OSPFv3，IS-ISv6，BGP4+；支持IGMP V1/V2/V3， PIM SM，PIM DM，MSDP，MBGP，IPv6 PIM，MLD；</w:t>
            </w:r>
          </w:p>
          <w:p>
            <w:pPr>
              <w:widowControl/>
              <w:numPr>
                <w:ilvl w:val="0"/>
                <w:numId w:val="29"/>
              </w:numPr>
              <w:jc w:val="left"/>
              <w:rPr>
                <w:rFonts w:ascii="宋体" w:hAnsi="宋体" w:eastAsia="宋体" w:cs="宋体"/>
                <w:color w:val="000000"/>
                <w:kern w:val="0"/>
                <w:sz w:val="24"/>
              </w:rPr>
            </w:pPr>
            <w:r>
              <w:rPr>
                <w:rFonts w:hint="eastAsia" w:ascii="宋体" w:hAnsi="宋体" w:eastAsia="宋体" w:cs="宋体"/>
                <w:color w:val="000000"/>
                <w:kern w:val="0"/>
                <w:sz w:val="24"/>
              </w:rPr>
              <w:t>支持IPsec VPN，GRE VPN，DSVPN，A2A VPN，L2TP VPN，L2TPv3 VPN；</w:t>
            </w:r>
          </w:p>
          <w:p>
            <w:pPr>
              <w:widowControl/>
              <w:numPr>
                <w:ilvl w:val="0"/>
                <w:numId w:val="29"/>
              </w:numPr>
              <w:jc w:val="left"/>
              <w:rPr>
                <w:rFonts w:ascii="宋体" w:hAnsi="宋体" w:eastAsia="宋体" w:cs="宋体"/>
                <w:color w:val="000000"/>
                <w:kern w:val="0"/>
                <w:sz w:val="24"/>
              </w:rPr>
            </w:pPr>
            <w:r>
              <w:rPr>
                <w:rFonts w:hint="eastAsia" w:ascii="宋体" w:hAnsi="宋体" w:eastAsia="宋体" w:cs="宋体"/>
                <w:color w:val="000000"/>
                <w:kern w:val="0"/>
                <w:sz w:val="24"/>
              </w:rPr>
              <w:t>部署SDWAN方案可支持首包识别、特征识别、自定义应用应用特征库数量≥6000；</w:t>
            </w:r>
          </w:p>
          <w:p>
            <w:pPr>
              <w:widowControl/>
              <w:numPr>
                <w:ilvl w:val="0"/>
                <w:numId w:val="29"/>
              </w:numPr>
              <w:jc w:val="left"/>
              <w:rPr>
                <w:rFonts w:ascii="宋体" w:hAnsi="宋体" w:eastAsia="宋体" w:cs="宋体"/>
                <w:color w:val="000000"/>
                <w:kern w:val="0"/>
                <w:sz w:val="24"/>
              </w:rPr>
            </w:pPr>
            <w:r>
              <w:rPr>
                <w:rFonts w:hint="eastAsia" w:ascii="宋体" w:hAnsi="宋体" w:eastAsia="宋体" w:cs="宋体"/>
                <w:color w:val="000000"/>
                <w:kern w:val="0"/>
                <w:sz w:val="24"/>
              </w:rPr>
              <w:t>支持SDWAN，支持应用级智能选路，基于链路质量选路，保障关键应用体验，ZTP零配置开局；</w:t>
            </w:r>
          </w:p>
          <w:p>
            <w:pPr>
              <w:widowControl/>
              <w:numPr>
                <w:ilvl w:val="0"/>
                <w:numId w:val="29"/>
              </w:numPr>
              <w:jc w:val="left"/>
              <w:rPr>
                <w:rFonts w:ascii="宋体" w:hAnsi="宋体" w:eastAsia="宋体" w:cs="宋体"/>
                <w:color w:val="000000"/>
                <w:kern w:val="0"/>
                <w:sz w:val="24"/>
              </w:rPr>
            </w:pPr>
            <w:r>
              <w:rPr>
                <w:rFonts w:hint="eastAsia" w:ascii="宋体" w:hAnsi="宋体" w:eastAsia="宋体" w:cs="宋体"/>
                <w:color w:val="000000"/>
                <w:kern w:val="0"/>
                <w:sz w:val="24"/>
              </w:rPr>
              <w:t>▲采用自研全自主化CPU及转发芯片，</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lang w:val="en-US" w:eastAsia="zh-CN"/>
              </w:rPr>
              <w:t>须</w:t>
            </w:r>
            <w:r>
              <w:rPr>
                <w:rFonts w:hint="eastAsia" w:ascii="宋体" w:hAnsi="宋体" w:eastAsia="宋体" w:cs="宋体"/>
                <w:color w:val="000000"/>
                <w:kern w:val="0"/>
                <w:sz w:val="24"/>
              </w:rPr>
              <w:t>提供CNAS/CMA/CAICT认证检测机构出具的测试报告证明</w:t>
            </w:r>
            <w:r>
              <w:rPr>
                <w:rFonts w:hint="eastAsia" w:ascii="宋体" w:hAnsi="宋体" w:eastAsia="宋体" w:cs="宋体"/>
                <w:color w:val="000000"/>
                <w:kern w:val="0"/>
                <w:sz w:val="24"/>
                <w:lang w:eastAsia="zh-CN"/>
              </w:rPr>
              <w:t>。）</w:t>
            </w:r>
          </w:p>
          <w:p>
            <w:pPr>
              <w:widowControl/>
              <w:numPr>
                <w:ilvl w:val="0"/>
                <w:numId w:val="29"/>
              </w:numPr>
              <w:jc w:val="left"/>
              <w:rPr>
                <w:rFonts w:ascii="宋体" w:hAnsi="宋体" w:eastAsia="宋体" w:cs="宋体"/>
                <w:color w:val="000000"/>
                <w:kern w:val="0"/>
                <w:sz w:val="24"/>
              </w:rPr>
            </w:pPr>
            <w:r>
              <w:rPr>
                <w:rFonts w:hint="eastAsia" w:ascii="宋体" w:hAnsi="宋体" w:eastAsia="宋体" w:cs="宋体"/>
                <w:color w:val="000000"/>
                <w:kern w:val="0"/>
                <w:sz w:val="24"/>
              </w:rPr>
              <w:t>支持U盘、邮件、DHCP 等开局部署方式，以适应各种不同场景的需求；</w:t>
            </w:r>
          </w:p>
          <w:p>
            <w:pPr>
              <w:widowControl/>
              <w:numPr>
                <w:ilvl w:val="0"/>
                <w:numId w:val="29"/>
              </w:numPr>
              <w:jc w:val="left"/>
              <w:rPr>
                <w:rFonts w:ascii="宋体" w:hAnsi="宋体" w:eastAsia="宋体" w:cs="宋体"/>
                <w:color w:val="000000"/>
                <w:kern w:val="0"/>
                <w:sz w:val="24"/>
              </w:rPr>
            </w:pPr>
            <w:r>
              <w:rPr>
                <w:rFonts w:hint="eastAsia" w:ascii="宋体" w:hAnsi="宋体" w:eastAsia="宋体" w:cs="宋体"/>
                <w:color w:val="000000"/>
                <w:kern w:val="0"/>
                <w:sz w:val="24"/>
              </w:rPr>
              <w:t>本次配置：6个千兆单模光模块、双电源、3年维保。</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1、传输精品网：2、视频及安全服务</w:t>
            </w: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2</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信息网交换机</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30"/>
              </w:numPr>
              <w:jc w:val="left"/>
              <w:rPr>
                <w:rFonts w:ascii="宋体" w:hAnsi="宋体" w:eastAsia="宋体" w:cs="宋体"/>
                <w:color w:val="000000"/>
                <w:kern w:val="0"/>
                <w:sz w:val="24"/>
              </w:rPr>
            </w:pPr>
            <w:r>
              <w:rPr>
                <w:rFonts w:hint="eastAsia" w:ascii="宋体" w:hAnsi="宋体" w:eastAsia="宋体" w:cs="宋体"/>
                <w:color w:val="000000"/>
                <w:kern w:val="0"/>
                <w:sz w:val="24"/>
              </w:rPr>
              <w:t>交换容量≥160Tbps，转发性能≥36000Mpps；</w:t>
            </w:r>
          </w:p>
          <w:p>
            <w:pPr>
              <w:widowControl/>
              <w:numPr>
                <w:ilvl w:val="0"/>
                <w:numId w:val="30"/>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设备支持主控引擎≥2，业务槽位≥3个，支持颗粒化电源，整机电源槽位数&gt;2； </w:t>
            </w:r>
          </w:p>
          <w:p>
            <w:pPr>
              <w:widowControl/>
              <w:numPr>
                <w:ilvl w:val="0"/>
                <w:numId w:val="30"/>
              </w:numPr>
              <w:jc w:val="left"/>
              <w:rPr>
                <w:rFonts w:ascii="宋体" w:hAnsi="宋体" w:eastAsia="宋体" w:cs="宋体"/>
                <w:color w:val="000000"/>
                <w:kern w:val="0"/>
                <w:sz w:val="24"/>
              </w:rPr>
            </w:pPr>
            <w:r>
              <w:rPr>
                <w:rFonts w:hint="eastAsia" w:ascii="宋体" w:hAnsi="宋体" w:eastAsia="宋体" w:cs="宋体"/>
                <w:color w:val="000000"/>
                <w:kern w:val="0"/>
                <w:sz w:val="24"/>
              </w:rPr>
              <w:t>为适应机柜并排部署，设备机箱（包括业务板卡区）采用后出风风道设计</w:t>
            </w:r>
          </w:p>
          <w:p>
            <w:pPr>
              <w:widowControl/>
              <w:numPr>
                <w:ilvl w:val="0"/>
                <w:numId w:val="30"/>
              </w:numPr>
              <w:jc w:val="left"/>
              <w:rPr>
                <w:rFonts w:ascii="宋体" w:hAnsi="宋体" w:eastAsia="宋体" w:cs="宋体"/>
                <w:color w:val="000000"/>
                <w:kern w:val="0"/>
                <w:sz w:val="24"/>
              </w:rPr>
            </w:pPr>
            <w:r>
              <w:rPr>
                <w:rFonts w:hint="eastAsia" w:ascii="宋体" w:hAnsi="宋体" w:eastAsia="宋体" w:cs="宋体"/>
                <w:color w:val="000000"/>
                <w:kern w:val="0"/>
                <w:sz w:val="24"/>
              </w:rPr>
              <w:t>为了节约机柜空间，整机高≤4U，适用600mm深度机柜；</w:t>
            </w:r>
          </w:p>
          <w:p>
            <w:pPr>
              <w:widowControl/>
              <w:numPr>
                <w:ilvl w:val="0"/>
                <w:numId w:val="30"/>
              </w:numPr>
              <w:jc w:val="left"/>
              <w:rPr>
                <w:rFonts w:ascii="宋体" w:hAnsi="宋体" w:eastAsia="宋体" w:cs="宋体"/>
                <w:color w:val="000000"/>
                <w:kern w:val="0"/>
                <w:sz w:val="24"/>
              </w:rPr>
            </w:pPr>
            <w:r>
              <w:rPr>
                <w:rFonts w:hint="eastAsia" w:ascii="宋体" w:hAnsi="宋体" w:eastAsia="宋体" w:cs="宋体"/>
                <w:color w:val="000000"/>
                <w:kern w:val="0"/>
                <w:sz w:val="24"/>
              </w:rPr>
              <w:t>支持整机 ARP 表项≥16K，IPv4路由转发表项≥128K</w:t>
            </w:r>
          </w:p>
          <w:p>
            <w:pPr>
              <w:widowControl/>
              <w:numPr>
                <w:ilvl w:val="0"/>
                <w:numId w:val="30"/>
              </w:numPr>
              <w:jc w:val="left"/>
              <w:rPr>
                <w:rFonts w:ascii="宋体" w:hAnsi="宋体" w:eastAsia="宋体" w:cs="宋体"/>
                <w:color w:val="000000"/>
                <w:kern w:val="0"/>
                <w:sz w:val="24"/>
              </w:rPr>
            </w:pPr>
            <w:r>
              <w:rPr>
                <w:rFonts w:hint="eastAsia" w:ascii="宋体" w:hAnsi="宋体" w:eastAsia="宋体" w:cs="宋体"/>
                <w:color w:val="000000"/>
                <w:kern w:val="0"/>
                <w:sz w:val="24"/>
              </w:rPr>
              <w:t>支持IPv4/IPv6双栈协议，支持RIP、OSPF、ISIS、BGP等IPv4动态路由协议，支持BGP4/BGP4+RIPng、OSPFv3、ISISv6等动态路由协议；</w:t>
            </w:r>
          </w:p>
          <w:p>
            <w:pPr>
              <w:widowControl/>
              <w:numPr>
                <w:ilvl w:val="0"/>
                <w:numId w:val="30"/>
              </w:numPr>
              <w:jc w:val="left"/>
              <w:rPr>
                <w:rFonts w:ascii="宋体" w:hAnsi="宋体" w:eastAsia="宋体" w:cs="宋体"/>
                <w:color w:val="000000"/>
                <w:kern w:val="0"/>
                <w:sz w:val="24"/>
              </w:rPr>
            </w:pPr>
            <w:r>
              <w:rPr>
                <w:rFonts w:hint="eastAsia" w:ascii="宋体" w:hAnsi="宋体" w:eastAsia="宋体" w:cs="宋体"/>
                <w:color w:val="000000"/>
                <w:kern w:val="0"/>
                <w:sz w:val="24"/>
              </w:rPr>
              <w:t>支持VxLAN功能，支持VxLAN二层网关、三层网关，支持BGP EVPN，支持分布式 Anycast 网关，支持VxLAN Fabric 的自动化部署</w:t>
            </w:r>
          </w:p>
          <w:p>
            <w:pPr>
              <w:widowControl/>
              <w:numPr>
                <w:ilvl w:val="0"/>
                <w:numId w:val="30"/>
              </w:numPr>
              <w:jc w:val="left"/>
              <w:rPr>
                <w:rFonts w:ascii="宋体" w:hAnsi="宋体" w:eastAsia="宋体" w:cs="宋体"/>
                <w:color w:val="000000"/>
                <w:kern w:val="0"/>
                <w:sz w:val="24"/>
              </w:rPr>
            </w:pPr>
            <w:r>
              <w:rPr>
                <w:rFonts w:hint="eastAsia" w:ascii="宋体" w:hAnsi="宋体" w:eastAsia="宋体" w:cs="宋体"/>
                <w:color w:val="000000"/>
                <w:kern w:val="0"/>
                <w:sz w:val="24"/>
              </w:rPr>
              <w:t>支持纵向虚拟化技术，支持把多层网络交换机虚拟为一台设备；</w:t>
            </w:r>
          </w:p>
          <w:p>
            <w:pPr>
              <w:widowControl/>
              <w:numPr>
                <w:ilvl w:val="0"/>
                <w:numId w:val="30"/>
              </w:numPr>
              <w:jc w:val="left"/>
              <w:rPr>
                <w:rFonts w:ascii="宋体" w:hAnsi="宋体" w:eastAsia="宋体" w:cs="宋体"/>
                <w:color w:val="000000"/>
                <w:kern w:val="0"/>
                <w:sz w:val="24"/>
              </w:rPr>
            </w:pPr>
            <w:r>
              <w:rPr>
                <w:rFonts w:hint="eastAsia" w:ascii="宋体" w:hAnsi="宋体" w:eastAsia="宋体" w:cs="宋体"/>
                <w:color w:val="000000"/>
                <w:kern w:val="0"/>
                <w:sz w:val="24"/>
              </w:rPr>
              <w:t>支持真实业务流的实时检测技术，秒级快速故障定位；</w:t>
            </w:r>
          </w:p>
          <w:p>
            <w:pPr>
              <w:widowControl/>
              <w:numPr>
                <w:ilvl w:val="0"/>
                <w:numId w:val="30"/>
              </w:numPr>
              <w:jc w:val="left"/>
              <w:rPr>
                <w:rFonts w:ascii="宋体" w:hAnsi="宋体" w:eastAsia="宋体" w:cs="宋体"/>
                <w:color w:val="000000"/>
                <w:kern w:val="0"/>
                <w:sz w:val="24"/>
              </w:rPr>
            </w:pPr>
            <w:r>
              <w:rPr>
                <w:rFonts w:hint="eastAsia" w:ascii="宋体" w:hAnsi="宋体" w:eastAsia="宋体" w:cs="宋体"/>
                <w:color w:val="000000"/>
                <w:kern w:val="0"/>
                <w:sz w:val="24"/>
              </w:rPr>
              <w:t>支持NetStream 业务分析功能，满足用户对网络流量实时采集、分析需要，支持聚合流量模板，减轻网络采集器系统压力，支持实时流量采集、动态报表生成、属性分析、流量异常告警等功能；</w:t>
            </w:r>
          </w:p>
          <w:p>
            <w:pPr>
              <w:widowControl/>
              <w:numPr>
                <w:ilvl w:val="0"/>
                <w:numId w:val="30"/>
              </w:numPr>
              <w:jc w:val="left"/>
              <w:rPr>
                <w:rFonts w:ascii="宋体" w:hAnsi="宋体" w:eastAsia="宋体" w:cs="宋体"/>
                <w:color w:val="000000"/>
                <w:kern w:val="0"/>
                <w:sz w:val="24"/>
              </w:rPr>
            </w:pPr>
            <w:r>
              <w:rPr>
                <w:rFonts w:hint="eastAsia" w:ascii="宋体" w:hAnsi="宋体" w:eastAsia="宋体" w:cs="宋体"/>
                <w:color w:val="000000"/>
                <w:kern w:val="0"/>
                <w:sz w:val="24"/>
              </w:rPr>
              <w:t>支持 GE/10GE 端口 200ms 大缓存；</w:t>
            </w:r>
          </w:p>
          <w:p>
            <w:pPr>
              <w:widowControl/>
              <w:numPr>
                <w:ilvl w:val="0"/>
                <w:numId w:val="30"/>
              </w:numPr>
              <w:jc w:val="left"/>
              <w:rPr>
                <w:rFonts w:ascii="宋体" w:hAnsi="宋体" w:eastAsia="宋体" w:cs="宋体"/>
                <w:color w:val="000000"/>
                <w:kern w:val="0"/>
                <w:sz w:val="24"/>
              </w:rPr>
            </w:pPr>
            <w:r>
              <w:rPr>
                <w:rFonts w:hint="eastAsia" w:ascii="宋体" w:hAnsi="宋体" w:eastAsia="宋体" w:cs="宋体"/>
                <w:color w:val="000000"/>
                <w:kern w:val="0"/>
                <w:sz w:val="24"/>
              </w:rPr>
              <w:t>支持 5 级 H-QoS；</w:t>
            </w:r>
          </w:p>
          <w:p>
            <w:pPr>
              <w:widowControl/>
              <w:numPr>
                <w:ilvl w:val="0"/>
                <w:numId w:val="30"/>
              </w:numPr>
              <w:jc w:val="left"/>
              <w:rPr>
                <w:rFonts w:ascii="宋体" w:hAnsi="宋体" w:eastAsia="宋体" w:cs="宋体"/>
                <w:color w:val="000000"/>
                <w:kern w:val="0"/>
                <w:sz w:val="24"/>
              </w:rPr>
            </w:pPr>
            <w:r>
              <w:rPr>
                <w:rFonts w:hint="eastAsia" w:ascii="宋体" w:hAnsi="宋体" w:eastAsia="宋体" w:cs="宋体"/>
                <w:color w:val="000000"/>
                <w:kern w:val="0"/>
                <w:sz w:val="24"/>
              </w:rPr>
              <w:t>安全性方面，支持 DHCP Snooping trust, 防止私设 DHCP 服务器；支持 DHCP snooping binding table (DAI, IP source guard), 防止 ARP 攻击、DDOS 攻击、中间人攻击；</w:t>
            </w:r>
          </w:p>
          <w:p>
            <w:pPr>
              <w:widowControl/>
              <w:numPr>
                <w:ilvl w:val="0"/>
                <w:numId w:val="30"/>
              </w:numPr>
              <w:jc w:val="left"/>
              <w:rPr>
                <w:rFonts w:ascii="宋体" w:hAnsi="宋体" w:eastAsia="宋体" w:cs="宋体"/>
                <w:color w:val="000000"/>
                <w:kern w:val="0"/>
                <w:sz w:val="24"/>
              </w:rPr>
            </w:pPr>
            <w:r>
              <w:rPr>
                <w:rFonts w:hint="eastAsia" w:ascii="宋体" w:hAnsi="宋体" w:eastAsia="宋体" w:cs="宋体"/>
                <w:color w:val="000000"/>
                <w:kern w:val="0"/>
                <w:sz w:val="24"/>
              </w:rPr>
              <w:t>支持802.1X、MAC、Portal等认证方式；</w:t>
            </w:r>
          </w:p>
          <w:p>
            <w:pPr>
              <w:widowControl/>
              <w:numPr>
                <w:ilvl w:val="0"/>
                <w:numId w:val="30"/>
              </w:numPr>
              <w:jc w:val="left"/>
              <w:rPr>
                <w:rFonts w:ascii="宋体" w:hAnsi="宋体" w:eastAsia="宋体" w:cs="宋体"/>
                <w:color w:val="000000"/>
                <w:kern w:val="0"/>
                <w:sz w:val="24"/>
              </w:rPr>
            </w:pPr>
            <w:r>
              <w:rPr>
                <w:rFonts w:hint="eastAsia" w:ascii="宋体" w:hAnsi="宋体" w:eastAsia="宋体" w:cs="宋体"/>
                <w:color w:val="000000"/>
                <w:kern w:val="0"/>
                <w:sz w:val="24"/>
              </w:rPr>
              <w:t>支持交换机基于 UCL 用户组方式，用户组内的用户，不论用户在何处登录，获得任何 IP 地址，用户都拥有相同的访问权限；</w:t>
            </w:r>
          </w:p>
          <w:p>
            <w:pPr>
              <w:widowControl/>
              <w:numPr>
                <w:ilvl w:val="0"/>
                <w:numId w:val="30"/>
              </w:numPr>
              <w:jc w:val="left"/>
              <w:rPr>
                <w:rFonts w:ascii="宋体" w:hAnsi="宋体" w:eastAsia="宋体" w:cs="宋体"/>
                <w:color w:val="000000"/>
                <w:kern w:val="0"/>
                <w:sz w:val="24"/>
              </w:rPr>
            </w:pPr>
            <w:r>
              <w:rPr>
                <w:rFonts w:hint="eastAsia" w:ascii="宋体" w:hAnsi="宋体" w:eastAsia="宋体" w:cs="宋体"/>
                <w:color w:val="000000"/>
                <w:kern w:val="0"/>
                <w:sz w:val="24"/>
              </w:rPr>
              <w:t>本次配置：48个千兆电口、16个万兆光口、6个万兆单模光模块、双主控、双电源、3年维保。</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rPr>
            </w:pP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3</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信息网防火墙</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多核AMP+架构，网络层吞吐量6G，并发连接≥200万，每秒新建连接数8万，标准1U机箱，单电源，标准配置6个10/100/1000M自适应电口，2个SFP插槽，另有1个接口板卡扩展插槽，1个Console口， 含3年病毒特征库升级服务，3年入侵防御特征库升级服务，3年硬件维保服务。</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支持与云端联动，至少实现病毒云查杀、URL云识别、应用云识别、云沙箱、威胁情报云检测等功能。</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支持与桌面杀毒或终端管理软件联动，实现基于终端健康状态的访问控制。</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支持IPv6环境，具备高性能IPV6处理能力。</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支持VTEP（VxLan Tunnel EndPoint）模式接入VxLAN网络，并可作为VXLAN二层、三层网关实现VxLan网络与传统以太网的相同子网内、跨子网间互联互通；支持通过绑定VLAN、VNI（VXLAN Network Identifier）、远程VTEP，手动管理VxLan网络；支持MAC、VNI、VTEP静态绑定； </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支持通过802.3ad协议、轮询、热备等方式将多个物理口绑定为一个逻辑接口，实现接口级的冗余，并可根据：源目的MAC组合、MAC和IP组合或TCP/UDP端口组合等方式实现负载和备份； </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支持静态路由、策略路由及动态路由。策略路由支持用户自定义其优先级，动态路由应至少支持RIP v1/v2/ng， OSPFv2/v3，BGP4/4+协议；必须支持静态和动态多播路由，动态多播路由必须支持PIM-SM（稀疏模式）。</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支持基于策略的路由负载，支持根据应用和服务进行智能选路，支持源地址目的地址哈希、源地址哈希、轮询、时延负载、备份、随机、流量均衡、源地址轮询、目的地址哈希、最优链路带宽负载、最优链路带宽备份、跳数负载等不少于12种路由负载均衡方式，支持基于IPv4或IPv6的TCP、HTTP、DNS、ICMP等方式的链路探测，同时TCP与HTTP可使用自定义目标端口进行测试； </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支持ISP路由负载均衡，最大可支持8条链路负载，支持自定义负载权重，支持基于优先级的ISP路由链路备份；支持基于IPv4或IPv6的TCP、HTTP、DNS、ICMP等方式的链路探测，同时TCP与HTTP可使用自定义目标端口进行测试。</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支持全面的NAT转换配置，包括一对一，一对多，多对一的源、目的地址转换，并至少支持FULL_CONE模式和SYMMETRIC模式； </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支持DDNS功能，支持Oray向日葵、Pubyun公云、Noip、Changeip提供的DDNS服务，将动态获取的IP地址映射为固定的域名； </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支持配置基于IPv6地址的安全策略，并在一条策略中可同时启用入侵防御、反病毒、URL过滤、应用识别、反间谍软件等安全功能。</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支持DS-Lite CPE B4功能，支持从DHCPv6服务器或手动方式获取AFTR参数； </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设备接口支持配置IPv6地址，并可使用IPv6地址管理设备；支持IPv6手动及自动的IP/MAC探测及绑定；IPv6下静态路由及策略路由、动态路由，动态路由应包括RIPng、OSPFv3、BGP4+；</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支持将物理防火墙资源，如会话数、安全策略数、源NAT数、目的NAT数，日志存储数量以保留值及最大值的形式自动分配； </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支持虚拟防火墙逻辑接口，可以不占用物理网口的情况下实现虚拟系统之间的相互连接、访问；</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支持在虚系统内独立配置病毒防护、漏洞利用防护、间谍软件防护、URL过滤、文件过滤、内容过滤、邮件过滤、行为管控等安全功能，并可支持对本虚系统内产生的日志进行独立审计； </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支持基于源安全域、目的安全域、源用户、源地址、源地区、目的地址、目的地区、服务、应用、隧道、时间、VLAN等多种方式进行访问控制，并支持地理区域对象的导入； </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 xml:space="preserve">支持应用识别，应用特征库包含的应用数量（非应用协议的规则总数）大于2500种，可深度识别每种应用的属性，为每种应用提供预定义的风险系数，并将应用基于类型、使用场景、数据传输方式等特征分类； </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支持对应用的文件传输行为进行上传、下载、双向的文件类型过滤，应用至少包含协议、网盘、论坛、博客、Webmail五种分类。</w:t>
            </w:r>
          </w:p>
          <w:p>
            <w:pPr>
              <w:widowControl/>
              <w:numPr>
                <w:ilvl w:val="0"/>
                <w:numId w:val="31"/>
              </w:numPr>
              <w:jc w:val="left"/>
              <w:rPr>
                <w:rFonts w:ascii="宋体" w:hAnsi="宋体" w:eastAsia="宋体" w:cs="宋体"/>
                <w:color w:val="000000"/>
                <w:kern w:val="0"/>
                <w:sz w:val="24"/>
              </w:rPr>
            </w:pPr>
            <w:r>
              <w:rPr>
                <w:rFonts w:hint="eastAsia" w:ascii="宋体" w:hAnsi="宋体" w:eastAsia="宋体" w:cs="宋体"/>
                <w:color w:val="000000"/>
                <w:kern w:val="0"/>
                <w:sz w:val="24"/>
              </w:rPr>
              <w:t>▲产品支持高性能一体化智能安全处理引擎，提供高性能一体化智能安全处理引擎软件著作权证书复印件；产品采用语境关联分析技术实现准确的攻击及应用威胁识别，须提供软件著作权登记证书复印件。产品应符合GBT28181-2016公共安全视频监控联网系统信息传输、交换、控制技术要求，</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lang w:val="en-US" w:eastAsia="zh-CN"/>
              </w:rPr>
              <w:t>须</w:t>
            </w:r>
            <w:r>
              <w:rPr>
                <w:rFonts w:hint="eastAsia" w:ascii="宋体" w:hAnsi="宋体" w:eastAsia="宋体" w:cs="宋体"/>
                <w:color w:val="000000"/>
                <w:kern w:val="0"/>
                <w:sz w:val="24"/>
              </w:rPr>
              <w:t>提供CNAS等具有检测资质的检测机构出具的机构检测报告</w:t>
            </w:r>
            <w:r>
              <w:rPr>
                <w:rFonts w:hint="eastAsia" w:ascii="宋体" w:hAnsi="宋体" w:eastAsia="宋体" w:cs="宋体"/>
                <w:color w:val="000000"/>
                <w:kern w:val="0"/>
                <w:sz w:val="24"/>
                <w:lang w:val="en-US" w:eastAsia="zh-CN"/>
              </w:rPr>
              <w:t>复印件.)</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rPr>
            </w:pP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4</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视频终端</w:t>
            </w:r>
          </w:p>
        </w:tc>
        <w:tc>
          <w:tcPr>
            <w:tcW w:w="0" w:type="auto"/>
            <w:tcBorders>
              <w:top w:val="nil"/>
              <w:left w:val="nil"/>
              <w:bottom w:val="single" w:color="auto" w:sz="4" w:space="0"/>
              <w:right w:val="single" w:color="auto" w:sz="4" w:space="0"/>
            </w:tcBorders>
            <w:shd w:val="clear" w:color="auto" w:fill="auto"/>
            <w:vAlign w:val="center"/>
          </w:tcPr>
          <w:p>
            <w:pPr>
              <w:widowControl/>
              <w:numPr>
                <w:ilvl w:val="0"/>
                <w:numId w:val="32"/>
              </w:numPr>
              <w:jc w:val="left"/>
              <w:rPr>
                <w:rFonts w:ascii="宋体" w:hAnsi="宋体" w:eastAsia="宋体" w:cs="宋体"/>
                <w:color w:val="000000"/>
                <w:kern w:val="0"/>
                <w:sz w:val="24"/>
              </w:rPr>
            </w:pPr>
            <w:r>
              <w:rPr>
                <w:rFonts w:hint="eastAsia" w:ascii="宋体" w:hAnsi="宋体" w:eastAsia="宋体" w:cs="宋体"/>
                <w:color w:val="000000"/>
                <w:kern w:val="0"/>
                <w:sz w:val="24"/>
              </w:rPr>
              <w:t>支持ITU-T H.323、IETF SIP协议，具有良好的兼容性和开放性；</w:t>
            </w:r>
          </w:p>
          <w:p>
            <w:pPr>
              <w:widowControl/>
              <w:numPr>
                <w:ilvl w:val="0"/>
                <w:numId w:val="32"/>
              </w:numPr>
              <w:jc w:val="left"/>
              <w:rPr>
                <w:rFonts w:ascii="宋体" w:hAnsi="宋体" w:eastAsia="宋体" w:cs="宋体"/>
                <w:color w:val="000000"/>
                <w:kern w:val="0"/>
                <w:sz w:val="24"/>
              </w:rPr>
            </w:pPr>
            <w:r>
              <w:rPr>
                <w:rFonts w:hint="eastAsia" w:ascii="宋体" w:hAnsi="宋体" w:eastAsia="宋体" w:cs="宋体"/>
                <w:color w:val="000000"/>
                <w:kern w:val="0"/>
                <w:sz w:val="24"/>
              </w:rPr>
              <w:t>支持H.265、H.264 HP、H.264 BP等图像编码协议；</w:t>
            </w:r>
          </w:p>
          <w:p>
            <w:pPr>
              <w:widowControl/>
              <w:numPr>
                <w:ilvl w:val="0"/>
                <w:numId w:val="32"/>
              </w:numPr>
              <w:jc w:val="left"/>
              <w:rPr>
                <w:rFonts w:ascii="宋体" w:hAnsi="宋体" w:eastAsia="宋体" w:cs="宋体"/>
                <w:color w:val="000000"/>
                <w:kern w:val="0"/>
                <w:sz w:val="24"/>
              </w:rPr>
            </w:pPr>
            <w:r>
              <w:rPr>
                <w:rFonts w:hint="eastAsia" w:ascii="宋体" w:hAnsi="宋体" w:eastAsia="宋体" w:cs="宋体"/>
                <w:color w:val="000000"/>
                <w:kern w:val="0"/>
                <w:sz w:val="24"/>
              </w:rPr>
              <w:t>支持支持4K 30fps、1080P 60fps、1080P 30fps、720P 60fps、720P 30fps等分辨率。本次项目配置1080P 30fps对称编解码能力；</w:t>
            </w:r>
          </w:p>
          <w:p>
            <w:pPr>
              <w:widowControl/>
              <w:numPr>
                <w:ilvl w:val="0"/>
                <w:numId w:val="32"/>
              </w:numPr>
              <w:jc w:val="left"/>
              <w:rPr>
                <w:rFonts w:ascii="宋体" w:hAnsi="宋体" w:eastAsia="宋体" w:cs="宋体"/>
                <w:color w:val="000000"/>
                <w:kern w:val="0"/>
                <w:sz w:val="24"/>
              </w:rPr>
            </w:pPr>
            <w:r>
              <w:rPr>
                <w:rFonts w:hint="eastAsia" w:ascii="宋体" w:hAnsi="宋体" w:eastAsia="宋体" w:cs="宋体"/>
                <w:color w:val="000000"/>
                <w:kern w:val="0"/>
                <w:sz w:val="24"/>
              </w:rPr>
              <w:t>支持G.711A、G.722、G.722.1C、G.729A、AAC-LD、Opus等音频协议，支持双声道立体声功能。</w:t>
            </w:r>
          </w:p>
          <w:p>
            <w:pPr>
              <w:widowControl/>
              <w:numPr>
                <w:ilvl w:val="0"/>
                <w:numId w:val="32"/>
              </w:numPr>
              <w:jc w:val="left"/>
              <w:rPr>
                <w:rFonts w:ascii="宋体" w:hAnsi="宋体" w:eastAsia="宋体" w:cs="宋体"/>
                <w:color w:val="000000"/>
                <w:kern w:val="0"/>
                <w:sz w:val="24"/>
              </w:rPr>
            </w:pPr>
            <w:r>
              <w:rPr>
                <w:rFonts w:hint="eastAsia" w:ascii="宋体" w:hAnsi="宋体" w:eastAsia="宋体" w:cs="宋体"/>
                <w:color w:val="000000"/>
                <w:kern w:val="0"/>
                <w:sz w:val="24"/>
              </w:rPr>
              <w:t>支持H.239和BFCP双流协议，支持主流达到1080P 30fps情况下，辅流同时达到1080P 30fps；</w:t>
            </w:r>
          </w:p>
          <w:p>
            <w:pPr>
              <w:widowControl/>
              <w:numPr>
                <w:ilvl w:val="0"/>
                <w:numId w:val="32"/>
              </w:numPr>
              <w:jc w:val="left"/>
              <w:rPr>
                <w:rFonts w:ascii="宋体" w:hAnsi="宋体" w:eastAsia="宋体" w:cs="宋体"/>
                <w:color w:val="000000"/>
                <w:kern w:val="0"/>
                <w:sz w:val="24"/>
              </w:rPr>
            </w:pPr>
            <w:r>
              <w:rPr>
                <w:rFonts w:hint="eastAsia" w:ascii="宋体" w:hAnsi="宋体" w:eastAsia="宋体" w:cs="宋体"/>
                <w:color w:val="000000"/>
                <w:kern w:val="0"/>
                <w:sz w:val="24"/>
              </w:rPr>
              <w:t>▲视频画面经过本地采集、编码、网络传输、解码、显示输出后整体时延不超过120ms。支持≥3路高清视频输入接口、≥2路高清视频输出接口。</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lang w:val="en-US" w:eastAsia="zh-CN"/>
              </w:rPr>
              <w:t>须</w:t>
            </w:r>
            <w:r>
              <w:rPr>
                <w:rFonts w:hint="eastAsia" w:ascii="宋体" w:hAnsi="宋体" w:eastAsia="宋体" w:cs="宋体"/>
                <w:color w:val="000000"/>
                <w:kern w:val="0"/>
                <w:sz w:val="24"/>
              </w:rPr>
              <w:t>提供CNAS/CMA/CAICT认证检测机构出具的测试报告证明</w:t>
            </w:r>
            <w:r>
              <w:rPr>
                <w:rFonts w:hint="eastAsia" w:ascii="宋体" w:hAnsi="宋体" w:eastAsia="宋体" w:cs="宋体"/>
                <w:color w:val="000000"/>
                <w:kern w:val="0"/>
                <w:sz w:val="24"/>
                <w:lang w:val="en-US" w:eastAsia="zh-CN"/>
              </w:rPr>
              <w:t>复印件。）</w:t>
            </w:r>
          </w:p>
          <w:p>
            <w:pPr>
              <w:widowControl/>
              <w:numPr>
                <w:ilvl w:val="0"/>
                <w:numId w:val="32"/>
              </w:numPr>
              <w:jc w:val="left"/>
              <w:rPr>
                <w:rFonts w:ascii="宋体" w:hAnsi="宋体" w:eastAsia="宋体" w:cs="宋体"/>
                <w:color w:val="000000"/>
                <w:kern w:val="0"/>
                <w:sz w:val="24"/>
              </w:rPr>
            </w:pPr>
            <w:r>
              <w:rPr>
                <w:rFonts w:hint="eastAsia" w:ascii="宋体" w:hAnsi="宋体" w:eastAsia="宋体" w:cs="宋体"/>
                <w:color w:val="000000"/>
                <w:kern w:val="0"/>
                <w:sz w:val="24"/>
              </w:rPr>
              <w:t>支持≥5路音频输入接口、≥5路音频输出接口，至少具备卡侬头、RCA等音频接口；</w:t>
            </w:r>
          </w:p>
          <w:p>
            <w:pPr>
              <w:widowControl/>
              <w:numPr>
                <w:ilvl w:val="0"/>
                <w:numId w:val="32"/>
              </w:numPr>
              <w:jc w:val="left"/>
              <w:rPr>
                <w:rFonts w:ascii="宋体" w:hAnsi="宋体" w:eastAsia="宋体" w:cs="宋体"/>
                <w:color w:val="000000"/>
                <w:kern w:val="0"/>
                <w:sz w:val="24"/>
              </w:rPr>
            </w:pPr>
            <w:r>
              <w:rPr>
                <w:rFonts w:hint="eastAsia" w:ascii="宋体" w:hAnsi="宋体" w:eastAsia="宋体" w:cs="宋体"/>
                <w:color w:val="000000"/>
                <w:kern w:val="0"/>
                <w:sz w:val="24"/>
              </w:rPr>
              <w:t>支持30%网络丢包时，语音清晰连续，视频清晰流畅，无卡顿。</w:t>
            </w:r>
          </w:p>
          <w:p>
            <w:pPr>
              <w:widowControl/>
              <w:numPr>
                <w:ilvl w:val="0"/>
                <w:numId w:val="32"/>
              </w:numPr>
              <w:jc w:val="left"/>
              <w:rPr>
                <w:rFonts w:ascii="宋体" w:hAnsi="宋体" w:eastAsia="宋体" w:cs="宋体"/>
                <w:color w:val="000000"/>
                <w:kern w:val="0"/>
                <w:sz w:val="24"/>
              </w:rPr>
            </w:pPr>
            <w:r>
              <w:rPr>
                <w:rFonts w:hint="eastAsia" w:ascii="宋体" w:hAnsi="宋体" w:eastAsia="宋体" w:cs="宋体"/>
                <w:color w:val="000000"/>
                <w:kern w:val="0"/>
                <w:sz w:val="24"/>
              </w:rPr>
              <w:t>标配触控终端，触控屏尺寸≥10英寸，分辨率≥1280×800</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rPr>
            </w:pPr>
            <w:r>
              <w:rPr>
                <w:rFonts w:hint="eastAsia" w:ascii="宋体" w:hAnsi="宋体" w:eastAsia="宋体" w:cs="宋体"/>
                <w:color w:val="000000"/>
                <w:kern w:val="0"/>
                <w:sz w:val="24"/>
              </w:rPr>
              <w:t>台</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1</w:t>
            </w:r>
          </w:p>
        </w:tc>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rPr>
            </w:pPr>
          </w:p>
        </w:tc>
      </w:tr>
      <w:tr>
        <w:tblPrEx>
          <w:tblCellMar>
            <w:top w:w="0" w:type="dxa"/>
            <w:left w:w="108" w:type="dxa"/>
            <w:bottom w:w="0" w:type="dxa"/>
            <w:right w:w="108" w:type="dxa"/>
          </w:tblCellMar>
        </w:tblPrEx>
        <w:trPr>
          <w:trHeight w:val="48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rPr>
            </w:pPr>
            <w:r>
              <w:rPr>
                <w:rFonts w:hint="eastAsia" w:ascii="宋体" w:hAnsi="宋体" w:eastAsia="宋体" w:cs="宋体"/>
                <w:kern w:val="0"/>
                <w:sz w:val="24"/>
              </w:rPr>
              <w:t>5</w:t>
            </w:r>
          </w:p>
        </w:tc>
        <w:tc>
          <w:tcPr>
            <w:tcW w:w="0" w:type="auto"/>
            <w:tcBorders>
              <w:top w:val="nil"/>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4"/>
              </w:rPr>
            </w:pPr>
            <w:r>
              <w:rPr>
                <w:rFonts w:hint="eastAsia" w:ascii="宋体" w:hAnsi="宋体" w:eastAsia="宋体" w:cs="宋体"/>
                <w:kern w:val="0"/>
                <w:sz w:val="24"/>
              </w:rPr>
              <w:t>应急指挥专网服务</w:t>
            </w:r>
          </w:p>
        </w:tc>
        <w:tc>
          <w:tcPr>
            <w:tcW w:w="0" w:type="auto"/>
            <w:tcBorders>
              <w:top w:val="nil"/>
              <w:left w:val="nil"/>
              <w:bottom w:val="single" w:color="auto" w:sz="4" w:space="0"/>
              <w:right w:val="single" w:color="auto" w:sz="4" w:space="0"/>
            </w:tcBorders>
            <w:shd w:val="clear" w:color="auto" w:fill="auto"/>
          </w:tcPr>
          <w:p>
            <w:pPr>
              <w:widowControl/>
              <w:jc w:val="left"/>
              <w:rPr>
                <w:rFonts w:ascii="宋体" w:hAnsi="宋体" w:eastAsia="宋体" w:cs="宋体"/>
                <w:color w:val="000000"/>
                <w:kern w:val="0"/>
                <w:sz w:val="24"/>
                <w:highlight w:val="red"/>
              </w:rPr>
            </w:pPr>
            <w:r>
              <w:rPr>
                <w:rFonts w:hint="eastAsia" w:ascii="宋体" w:hAnsi="宋体" w:eastAsia="宋体" w:cs="宋体"/>
                <w:color w:val="000000"/>
                <w:kern w:val="0"/>
                <w:sz w:val="24"/>
                <w:szCs w:val="24"/>
              </w:rPr>
              <w:t>指挥信息网: 采用双设备、双链路方式，支持IPv4/IPv6双栈</w:t>
            </w:r>
          </w:p>
        </w:tc>
        <w:tc>
          <w:tcPr>
            <w:tcW w:w="0" w:type="auto"/>
            <w:tcBorders>
              <w:top w:val="nil"/>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项</w:t>
            </w:r>
          </w:p>
        </w:tc>
        <w:tc>
          <w:tcPr>
            <w:tcW w:w="0" w:type="auto"/>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4"/>
                <w:highlight w:val="none"/>
              </w:rPr>
            </w:pPr>
            <w:r>
              <w:rPr>
                <w:rFonts w:hint="eastAsia" w:ascii="宋体" w:hAnsi="宋体" w:eastAsia="宋体" w:cs="宋体"/>
                <w:kern w:val="0"/>
                <w:sz w:val="24"/>
                <w:highlight w:val="none"/>
              </w:rPr>
              <w:t>1</w:t>
            </w:r>
          </w:p>
        </w:tc>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rPr>
            </w:pPr>
          </w:p>
        </w:tc>
      </w:tr>
    </w:tbl>
    <w:p/>
    <w:p>
      <w:pPr>
        <w:pStyle w:val="13"/>
        <w:jc w:val="both"/>
        <w:rPr>
          <w:rFonts w:hint="default"/>
        </w:rPr>
      </w:pPr>
      <w:r>
        <w:rPr>
          <w:b/>
        </w:rPr>
        <w:t xml:space="preserve"> </w:t>
      </w:r>
    </w:p>
    <w:p>
      <w:pPr>
        <w:pStyle w:val="13"/>
        <w:jc w:val="both"/>
        <w:outlineLvl w:val="2"/>
        <w:rPr>
          <w:rFonts w:hint="default"/>
        </w:rPr>
      </w:pPr>
      <w:r>
        <w:rPr>
          <w:b/>
          <w:sz w:val="28"/>
        </w:rPr>
        <w:t>三、商务要求（以“★”标示的内容为不允许负偏离的实质性要求）</w:t>
      </w:r>
    </w:p>
    <w:p>
      <w:pPr>
        <w:pStyle w:val="13"/>
        <w:jc w:val="both"/>
        <w:rPr>
          <w:rFonts w:hint="default" w:ascii="宋体" w:hAnsi="宋体" w:eastAsia="宋体" w:cs="宋体"/>
          <w:sz w:val="24"/>
          <w:szCs w:val="24"/>
        </w:rPr>
      </w:pPr>
      <w:r>
        <w:rPr>
          <w:rFonts w:ascii="宋体" w:hAnsi="宋体" w:eastAsia="宋体" w:cs="宋体"/>
          <w:b/>
          <w:sz w:val="24"/>
          <w:szCs w:val="24"/>
        </w:rPr>
        <w:t>采购包1：</w:t>
      </w:r>
    </w:p>
    <w:tbl>
      <w:tblPr>
        <w:tblStyle w:val="11"/>
        <w:tblW w:w="8542" w:type="dxa"/>
        <w:tblInd w:w="0" w:type="dxa"/>
        <w:tblLayout w:type="autofit"/>
        <w:tblCellMar>
          <w:top w:w="0" w:type="dxa"/>
          <w:left w:w="108" w:type="dxa"/>
          <w:bottom w:w="0" w:type="dxa"/>
          <w:right w:w="108" w:type="dxa"/>
        </w:tblCellMar>
      </w:tblPr>
      <w:tblGrid>
        <w:gridCol w:w="1171"/>
        <w:gridCol w:w="1080"/>
        <w:gridCol w:w="2420"/>
        <w:gridCol w:w="3871"/>
      </w:tblGrid>
      <w:tr>
        <w:tblPrEx>
          <w:tblCellMar>
            <w:top w:w="0" w:type="dxa"/>
            <w:left w:w="108" w:type="dxa"/>
            <w:bottom w:w="0" w:type="dxa"/>
            <w:right w:w="108" w:type="dxa"/>
          </w:tblCellMar>
        </w:tblPrEx>
        <w:tc>
          <w:tcPr>
            <w:tcW w:w="1171" w:type="dxa"/>
          </w:tcPr>
          <w:p>
            <w:pPr>
              <w:pStyle w:val="13"/>
              <w:jc w:val="both"/>
              <w:rPr>
                <w:rFonts w:hint="default" w:ascii="宋体" w:hAnsi="宋体" w:eastAsia="宋体" w:cs="宋体"/>
                <w:sz w:val="24"/>
                <w:szCs w:val="24"/>
              </w:rPr>
            </w:pPr>
            <w:r>
              <w:rPr>
                <w:rFonts w:ascii="宋体" w:hAnsi="宋体" w:eastAsia="宋体" w:cs="宋体"/>
                <w:b/>
                <w:sz w:val="24"/>
                <w:szCs w:val="24"/>
              </w:rPr>
              <w:t>序号</w:t>
            </w:r>
          </w:p>
        </w:tc>
        <w:tc>
          <w:tcPr>
            <w:tcW w:w="1080" w:type="dxa"/>
          </w:tcPr>
          <w:p>
            <w:pPr>
              <w:pStyle w:val="13"/>
              <w:jc w:val="both"/>
              <w:rPr>
                <w:rFonts w:hint="default" w:ascii="宋体" w:hAnsi="宋体" w:eastAsia="宋体" w:cs="宋体"/>
                <w:sz w:val="24"/>
                <w:szCs w:val="24"/>
              </w:rPr>
            </w:pPr>
            <w:r>
              <w:rPr>
                <w:rFonts w:ascii="宋体" w:hAnsi="宋体" w:eastAsia="宋体" w:cs="宋体"/>
                <w:b/>
                <w:sz w:val="24"/>
                <w:szCs w:val="24"/>
              </w:rPr>
              <w:t>参数性质</w:t>
            </w:r>
          </w:p>
        </w:tc>
        <w:tc>
          <w:tcPr>
            <w:tcW w:w="2420" w:type="dxa"/>
          </w:tcPr>
          <w:p>
            <w:pPr>
              <w:pStyle w:val="13"/>
              <w:jc w:val="both"/>
              <w:rPr>
                <w:rFonts w:hint="default" w:ascii="宋体" w:hAnsi="宋体" w:eastAsia="宋体" w:cs="宋体"/>
                <w:sz w:val="24"/>
                <w:szCs w:val="24"/>
              </w:rPr>
            </w:pPr>
            <w:r>
              <w:rPr>
                <w:rFonts w:ascii="宋体" w:hAnsi="宋体" w:eastAsia="宋体" w:cs="宋体"/>
                <w:b/>
                <w:sz w:val="24"/>
                <w:szCs w:val="24"/>
              </w:rPr>
              <w:t>类型</w:t>
            </w:r>
          </w:p>
        </w:tc>
        <w:tc>
          <w:tcPr>
            <w:tcW w:w="3871" w:type="dxa"/>
          </w:tcPr>
          <w:p>
            <w:pPr>
              <w:pStyle w:val="13"/>
              <w:jc w:val="both"/>
              <w:rPr>
                <w:rFonts w:hint="default" w:ascii="宋体" w:hAnsi="宋体" w:eastAsia="宋体" w:cs="宋体"/>
                <w:sz w:val="24"/>
                <w:szCs w:val="24"/>
              </w:rPr>
            </w:pPr>
            <w:r>
              <w:rPr>
                <w:rFonts w:ascii="宋体" w:hAnsi="宋体" w:eastAsia="宋体" w:cs="宋体"/>
                <w:b/>
                <w:sz w:val="24"/>
                <w:szCs w:val="24"/>
              </w:rPr>
              <w:t>要求</w:t>
            </w:r>
          </w:p>
        </w:tc>
      </w:tr>
      <w:tr>
        <w:tblPrEx>
          <w:tblCellMar>
            <w:top w:w="0" w:type="dxa"/>
            <w:left w:w="108" w:type="dxa"/>
            <w:bottom w:w="0" w:type="dxa"/>
            <w:right w:w="108" w:type="dxa"/>
          </w:tblCellMar>
        </w:tblPrEx>
        <w:tc>
          <w:tcPr>
            <w:tcW w:w="1171" w:type="dxa"/>
          </w:tcPr>
          <w:p>
            <w:pPr>
              <w:pStyle w:val="13"/>
              <w:jc w:val="both"/>
              <w:rPr>
                <w:rFonts w:hint="default" w:ascii="宋体" w:hAnsi="宋体" w:eastAsia="宋体" w:cs="宋体"/>
                <w:bCs/>
                <w:sz w:val="24"/>
                <w:szCs w:val="24"/>
              </w:rPr>
            </w:pPr>
            <w:r>
              <w:rPr>
                <w:rFonts w:ascii="宋体" w:hAnsi="宋体" w:eastAsia="宋体" w:cs="宋体"/>
                <w:bCs/>
                <w:sz w:val="24"/>
                <w:szCs w:val="24"/>
              </w:rPr>
              <w:t>1</w:t>
            </w:r>
          </w:p>
        </w:tc>
        <w:tc>
          <w:tcPr>
            <w:tcW w:w="1080" w:type="dxa"/>
          </w:tcPr>
          <w:p>
            <w:pPr>
              <w:rPr>
                <w:rFonts w:ascii="宋体" w:hAnsi="宋体" w:eastAsia="宋体" w:cs="宋体"/>
                <w:bCs/>
                <w:sz w:val="24"/>
              </w:rPr>
            </w:pPr>
          </w:p>
        </w:tc>
        <w:tc>
          <w:tcPr>
            <w:tcW w:w="2420" w:type="dxa"/>
          </w:tcPr>
          <w:p>
            <w:pPr>
              <w:pStyle w:val="13"/>
              <w:jc w:val="both"/>
              <w:rPr>
                <w:rFonts w:hint="default" w:ascii="宋体" w:hAnsi="宋体" w:eastAsia="宋体" w:cs="宋体"/>
                <w:bCs/>
                <w:sz w:val="24"/>
                <w:szCs w:val="24"/>
              </w:rPr>
            </w:pPr>
            <w:r>
              <w:rPr>
                <w:rFonts w:ascii="宋体" w:hAnsi="宋体" w:eastAsia="宋体" w:cs="宋体"/>
                <w:bCs/>
                <w:sz w:val="24"/>
                <w:szCs w:val="24"/>
              </w:rPr>
              <w:t>交货时间</w:t>
            </w:r>
          </w:p>
        </w:tc>
        <w:tc>
          <w:tcPr>
            <w:tcW w:w="3871" w:type="dxa"/>
          </w:tcPr>
          <w:p>
            <w:pPr>
              <w:pStyle w:val="13"/>
              <w:jc w:val="both"/>
              <w:rPr>
                <w:rFonts w:hint="default" w:ascii="宋体" w:hAnsi="宋体" w:eastAsia="宋体" w:cs="宋体"/>
                <w:bCs/>
                <w:sz w:val="24"/>
                <w:szCs w:val="24"/>
                <w:highlight w:val="none"/>
              </w:rPr>
            </w:pPr>
            <w:r>
              <w:rPr>
                <w:rFonts w:ascii="宋体" w:hAnsi="宋体" w:eastAsia="宋体" w:cs="宋体"/>
                <w:bCs/>
                <w:sz w:val="24"/>
                <w:szCs w:val="24"/>
                <w:highlight w:val="none"/>
              </w:rPr>
              <w:t>自合同签订之日起</w:t>
            </w:r>
            <w:r>
              <w:rPr>
                <w:rFonts w:hint="eastAsia" w:ascii="宋体" w:hAnsi="宋体" w:eastAsia="宋体" w:cs="宋体"/>
                <w:bCs/>
                <w:sz w:val="24"/>
                <w:szCs w:val="24"/>
                <w:highlight w:val="none"/>
                <w:lang w:val="en-US" w:eastAsia="zh-CN"/>
              </w:rPr>
              <w:t>12</w:t>
            </w:r>
            <w:r>
              <w:rPr>
                <w:rFonts w:ascii="宋体" w:hAnsi="宋体" w:eastAsia="宋体" w:cs="宋体"/>
                <w:bCs/>
                <w:sz w:val="24"/>
                <w:szCs w:val="24"/>
                <w:highlight w:val="none"/>
              </w:rPr>
              <w:t>0日</w:t>
            </w:r>
          </w:p>
        </w:tc>
      </w:tr>
      <w:tr>
        <w:tblPrEx>
          <w:tblCellMar>
            <w:top w:w="0" w:type="dxa"/>
            <w:left w:w="108" w:type="dxa"/>
            <w:bottom w:w="0" w:type="dxa"/>
            <w:right w:w="108" w:type="dxa"/>
          </w:tblCellMar>
        </w:tblPrEx>
        <w:tc>
          <w:tcPr>
            <w:tcW w:w="1171" w:type="dxa"/>
          </w:tcPr>
          <w:p>
            <w:pPr>
              <w:pStyle w:val="13"/>
              <w:jc w:val="both"/>
              <w:rPr>
                <w:rFonts w:hint="default" w:ascii="宋体" w:hAnsi="宋体" w:eastAsia="宋体" w:cs="宋体"/>
                <w:bCs/>
                <w:sz w:val="24"/>
                <w:szCs w:val="24"/>
              </w:rPr>
            </w:pPr>
            <w:r>
              <w:rPr>
                <w:rFonts w:ascii="宋体" w:hAnsi="宋体" w:eastAsia="宋体" w:cs="宋体"/>
                <w:bCs/>
                <w:sz w:val="24"/>
                <w:szCs w:val="24"/>
              </w:rPr>
              <w:t>2</w:t>
            </w:r>
          </w:p>
        </w:tc>
        <w:tc>
          <w:tcPr>
            <w:tcW w:w="1080" w:type="dxa"/>
          </w:tcPr>
          <w:p>
            <w:pPr>
              <w:rPr>
                <w:rFonts w:ascii="宋体" w:hAnsi="宋体" w:eastAsia="宋体" w:cs="宋体"/>
                <w:bCs/>
                <w:sz w:val="24"/>
              </w:rPr>
            </w:pPr>
          </w:p>
        </w:tc>
        <w:tc>
          <w:tcPr>
            <w:tcW w:w="2420" w:type="dxa"/>
          </w:tcPr>
          <w:p>
            <w:pPr>
              <w:pStyle w:val="13"/>
              <w:jc w:val="both"/>
              <w:rPr>
                <w:rFonts w:hint="default" w:ascii="宋体" w:hAnsi="宋体" w:eastAsia="宋体" w:cs="宋体"/>
                <w:bCs/>
                <w:sz w:val="24"/>
                <w:szCs w:val="24"/>
              </w:rPr>
            </w:pPr>
            <w:r>
              <w:rPr>
                <w:rFonts w:ascii="宋体" w:hAnsi="宋体" w:eastAsia="宋体" w:cs="宋体"/>
                <w:bCs/>
                <w:sz w:val="24"/>
                <w:szCs w:val="24"/>
              </w:rPr>
              <w:t>交货地点</w:t>
            </w:r>
          </w:p>
        </w:tc>
        <w:tc>
          <w:tcPr>
            <w:tcW w:w="3871" w:type="dxa"/>
          </w:tcPr>
          <w:p>
            <w:pPr>
              <w:pStyle w:val="13"/>
              <w:jc w:val="both"/>
              <w:rPr>
                <w:rFonts w:hint="default" w:ascii="宋体" w:hAnsi="宋体" w:eastAsia="宋体" w:cs="宋体"/>
                <w:bCs/>
                <w:sz w:val="24"/>
                <w:szCs w:val="24"/>
                <w:lang w:eastAsia="zh-CN"/>
              </w:rPr>
            </w:pPr>
            <w:r>
              <w:rPr>
                <w:rFonts w:ascii="宋体" w:hAnsi="宋体" w:eastAsia="宋体" w:cs="宋体"/>
                <w:bCs/>
                <w:sz w:val="24"/>
                <w:szCs w:val="24"/>
              </w:rPr>
              <w:t>采购人指定</w:t>
            </w:r>
            <w:r>
              <w:rPr>
                <w:rFonts w:ascii="宋体" w:hAnsi="宋体" w:eastAsia="宋体" w:cs="宋体"/>
                <w:bCs/>
                <w:sz w:val="24"/>
                <w:szCs w:val="24"/>
                <w:lang w:eastAsia="zh-CN"/>
              </w:rPr>
              <w:t>地点</w:t>
            </w:r>
          </w:p>
        </w:tc>
      </w:tr>
      <w:tr>
        <w:tblPrEx>
          <w:tblCellMar>
            <w:top w:w="0" w:type="dxa"/>
            <w:left w:w="108" w:type="dxa"/>
            <w:bottom w:w="0" w:type="dxa"/>
            <w:right w:w="108" w:type="dxa"/>
          </w:tblCellMar>
        </w:tblPrEx>
        <w:tc>
          <w:tcPr>
            <w:tcW w:w="1171" w:type="dxa"/>
          </w:tcPr>
          <w:p>
            <w:pPr>
              <w:pStyle w:val="13"/>
              <w:jc w:val="both"/>
              <w:rPr>
                <w:rFonts w:hint="default" w:ascii="宋体" w:hAnsi="宋体" w:eastAsia="宋体" w:cs="宋体"/>
                <w:bCs/>
                <w:sz w:val="24"/>
                <w:szCs w:val="24"/>
              </w:rPr>
            </w:pPr>
            <w:r>
              <w:rPr>
                <w:rFonts w:ascii="宋体" w:hAnsi="宋体" w:eastAsia="宋体" w:cs="宋体"/>
                <w:bCs/>
                <w:sz w:val="24"/>
                <w:szCs w:val="24"/>
              </w:rPr>
              <w:t>3</w:t>
            </w:r>
          </w:p>
        </w:tc>
        <w:tc>
          <w:tcPr>
            <w:tcW w:w="1080" w:type="dxa"/>
          </w:tcPr>
          <w:p>
            <w:pPr>
              <w:rPr>
                <w:rFonts w:ascii="宋体" w:hAnsi="宋体" w:eastAsia="宋体" w:cs="宋体"/>
                <w:bCs/>
                <w:sz w:val="24"/>
              </w:rPr>
            </w:pPr>
          </w:p>
        </w:tc>
        <w:tc>
          <w:tcPr>
            <w:tcW w:w="2420" w:type="dxa"/>
          </w:tcPr>
          <w:p>
            <w:pPr>
              <w:pStyle w:val="13"/>
              <w:jc w:val="both"/>
              <w:rPr>
                <w:rFonts w:hint="default" w:ascii="宋体" w:hAnsi="宋体" w:eastAsia="宋体" w:cs="宋体"/>
                <w:bCs/>
                <w:sz w:val="24"/>
                <w:szCs w:val="24"/>
              </w:rPr>
            </w:pPr>
            <w:r>
              <w:rPr>
                <w:rFonts w:ascii="宋体" w:hAnsi="宋体" w:eastAsia="宋体" w:cs="宋体"/>
                <w:bCs/>
                <w:sz w:val="24"/>
                <w:szCs w:val="24"/>
              </w:rPr>
              <w:t>交货条件</w:t>
            </w:r>
          </w:p>
        </w:tc>
        <w:tc>
          <w:tcPr>
            <w:tcW w:w="3871" w:type="dxa"/>
          </w:tcPr>
          <w:p>
            <w:pPr>
              <w:pStyle w:val="13"/>
              <w:jc w:val="both"/>
              <w:rPr>
                <w:rFonts w:hint="default" w:ascii="宋体" w:hAnsi="宋体" w:eastAsia="宋体" w:cs="宋体"/>
                <w:bCs/>
                <w:sz w:val="24"/>
                <w:szCs w:val="24"/>
              </w:rPr>
            </w:pPr>
            <w:r>
              <w:rPr>
                <w:rFonts w:ascii="宋体" w:hAnsi="宋体" w:eastAsia="宋体" w:cs="宋体"/>
                <w:bCs/>
                <w:sz w:val="24"/>
                <w:szCs w:val="24"/>
              </w:rPr>
              <w:t>项目验收合格后</w:t>
            </w:r>
          </w:p>
        </w:tc>
      </w:tr>
      <w:tr>
        <w:tblPrEx>
          <w:tblCellMar>
            <w:top w:w="0" w:type="dxa"/>
            <w:left w:w="108" w:type="dxa"/>
            <w:bottom w:w="0" w:type="dxa"/>
            <w:right w:w="108" w:type="dxa"/>
          </w:tblCellMar>
        </w:tblPrEx>
        <w:tc>
          <w:tcPr>
            <w:tcW w:w="1171" w:type="dxa"/>
          </w:tcPr>
          <w:p>
            <w:pPr>
              <w:pStyle w:val="13"/>
              <w:jc w:val="both"/>
              <w:rPr>
                <w:rFonts w:hint="default" w:ascii="宋体" w:hAnsi="宋体" w:eastAsia="宋体" w:cs="宋体"/>
                <w:bCs/>
                <w:sz w:val="24"/>
                <w:szCs w:val="24"/>
              </w:rPr>
            </w:pPr>
            <w:r>
              <w:rPr>
                <w:rFonts w:ascii="宋体" w:hAnsi="宋体" w:eastAsia="宋体" w:cs="宋体"/>
                <w:bCs/>
                <w:sz w:val="24"/>
                <w:szCs w:val="24"/>
              </w:rPr>
              <w:t>4</w:t>
            </w:r>
          </w:p>
        </w:tc>
        <w:tc>
          <w:tcPr>
            <w:tcW w:w="1080" w:type="dxa"/>
          </w:tcPr>
          <w:p>
            <w:pPr>
              <w:rPr>
                <w:rFonts w:ascii="宋体" w:hAnsi="宋体" w:eastAsia="宋体" w:cs="宋体"/>
                <w:bCs/>
                <w:sz w:val="24"/>
              </w:rPr>
            </w:pPr>
          </w:p>
        </w:tc>
        <w:tc>
          <w:tcPr>
            <w:tcW w:w="2420" w:type="dxa"/>
          </w:tcPr>
          <w:p>
            <w:pPr>
              <w:pStyle w:val="13"/>
              <w:jc w:val="both"/>
              <w:rPr>
                <w:rFonts w:hint="default" w:ascii="宋体" w:hAnsi="宋体" w:eastAsia="宋体" w:cs="宋体"/>
                <w:bCs/>
                <w:sz w:val="24"/>
                <w:szCs w:val="24"/>
              </w:rPr>
            </w:pPr>
            <w:r>
              <w:rPr>
                <w:rFonts w:ascii="宋体" w:hAnsi="宋体" w:eastAsia="宋体" w:cs="宋体"/>
                <w:bCs/>
                <w:sz w:val="24"/>
                <w:szCs w:val="24"/>
              </w:rPr>
              <w:t>是否邀请投标人验收</w:t>
            </w:r>
          </w:p>
        </w:tc>
        <w:tc>
          <w:tcPr>
            <w:tcW w:w="3871" w:type="dxa"/>
          </w:tcPr>
          <w:p>
            <w:pPr>
              <w:pStyle w:val="13"/>
              <w:jc w:val="both"/>
              <w:rPr>
                <w:rFonts w:hint="default" w:ascii="宋体" w:hAnsi="宋体" w:eastAsia="宋体" w:cs="宋体"/>
                <w:bCs/>
                <w:sz w:val="24"/>
                <w:szCs w:val="24"/>
              </w:rPr>
            </w:pPr>
            <w:r>
              <w:rPr>
                <w:rFonts w:ascii="宋体" w:hAnsi="宋体" w:eastAsia="宋体" w:cs="宋体"/>
                <w:bCs/>
                <w:sz w:val="24"/>
                <w:szCs w:val="24"/>
              </w:rPr>
              <w:t>不邀请投标人验收</w:t>
            </w:r>
          </w:p>
        </w:tc>
      </w:tr>
      <w:tr>
        <w:tblPrEx>
          <w:tblCellMar>
            <w:top w:w="0" w:type="dxa"/>
            <w:left w:w="108" w:type="dxa"/>
            <w:bottom w:w="0" w:type="dxa"/>
            <w:right w:w="108" w:type="dxa"/>
          </w:tblCellMar>
        </w:tblPrEx>
        <w:tc>
          <w:tcPr>
            <w:tcW w:w="1171" w:type="dxa"/>
          </w:tcPr>
          <w:p>
            <w:pPr>
              <w:pStyle w:val="13"/>
              <w:jc w:val="both"/>
              <w:rPr>
                <w:rFonts w:hint="default" w:ascii="宋体" w:hAnsi="宋体" w:eastAsia="宋体" w:cs="宋体"/>
                <w:bCs/>
                <w:sz w:val="24"/>
                <w:szCs w:val="24"/>
              </w:rPr>
            </w:pPr>
            <w:r>
              <w:rPr>
                <w:rFonts w:ascii="宋体" w:hAnsi="宋体" w:eastAsia="宋体" w:cs="宋体"/>
                <w:bCs/>
                <w:sz w:val="24"/>
                <w:szCs w:val="24"/>
              </w:rPr>
              <w:t>5</w:t>
            </w:r>
          </w:p>
        </w:tc>
        <w:tc>
          <w:tcPr>
            <w:tcW w:w="1080" w:type="dxa"/>
          </w:tcPr>
          <w:p>
            <w:pPr>
              <w:rPr>
                <w:rFonts w:ascii="宋体" w:hAnsi="宋体" w:eastAsia="宋体" w:cs="宋体"/>
                <w:bCs/>
                <w:sz w:val="24"/>
              </w:rPr>
            </w:pPr>
          </w:p>
        </w:tc>
        <w:tc>
          <w:tcPr>
            <w:tcW w:w="2420" w:type="dxa"/>
          </w:tcPr>
          <w:p>
            <w:pPr>
              <w:pStyle w:val="13"/>
              <w:jc w:val="both"/>
              <w:rPr>
                <w:rFonts w:hint="default" w:ascii="宋体" w:hAnsi="宋体" w:eastAsia="宋体" w:cs="宋体"/>
                <w:bCs/>
                <w:sz w:val="24"/>
                <w:szCs w:val="24"/>
              </w:rPr>
            </w:pPr>
            <w:r>
              <w:rPr>
                <w:rFonts w:ascii="宋体" w:hAnsi="宋体" w:eastAsia="宋体" w:cs="宋体"/>
                <w:bCs/>
                <w:sz w:val="24"/>
                <w:szCs w:val="24"/>
              </w:rPr>
              <w:t>履约验收方式</w:t>
            </w:r>
          </w:p>
        </w:tc>
        <w:tc>
          <w:tcPr>
            <w:tcW w:w="3871" w:type="dxa"/>
          </w:tcPr>
          <w:p>
            <w:pPr>
              <w:pStyle w:val="13"/>
              <w:jc w:val="both"/>
              <w:rPr>
                <w:rFonts w:hint="default" w:ascii="宋体" w:hAnsi="宋体" w:eastAsia="宋体" w:cs="宋体"/>
                <w:bCs/>
                <w:sz w:val="24"/>
                <w:szCs w:val="24"/>
              </w:rPr>
            </w:pPr>
            <w:r>
              <w:rPr>
                <w:rFonts w:ascii="宋体" w:hAnsi="宋体" w:eastAsia="宋体" w:cs="宋体"/>
                <w:bCs/>
                <w:sz w:val="24"/>
                <w:szCs w:val="24"/>
              </w:rPr>
              <w:t>1、期次1，说明：验收依据：招标文件、投标文件、厂家货物技术标准说明及国家有关的质量标准规定，均为验收依据</w:t>
            </w:r>
          </w:p>
          <w:p>
            <w:pPr>
              <w:pStyle w:val="13"/>
              <w:jc w:val="both"/>
              <w:rPr>
                <w:rFonts w:hint="default" w:ascii="宋体" w:hAnsi="宋体" w:eastAsia="宋体" w:cs="宋体"/>
                <w:bCs/>
                <w:sz w:val="24"/>
                <w:szCs w:val="24"/>
              </w:rPr>
            </w:pPr>
            <w:r>
              <w:rPr>
                <w:rFonts w:ascii="宋体" w:hAnsi="宋体" w:eastAsia="宋体" w:cs="宋体"/>
                <w:bCs/>
                <w:sz w:val="24"/>
                <w:szCs w:val="24"/>
              </w:rPr>
              <w:t>2、期次2，说明：初步验收：货物运抵采购人处后由双方共同对照采购清单及技术要求进行验收</w:t>
            </w:r>
          </w:p>
          <w:p>
            <w:pPr>
              <w:pStyle w:val="13"/>
              <w:jc w:val="both"/>
              <w:rPr>
                <w:rFonts w:hint="default" w:ascii="宋体" w:hAnsi="宋体" w:eastAsia="宋体" w:cs="宋体"/>
                <w:bCs/>
                <w:sz w:val="24"/>
                <w:szCs w:val="24"/>
              </w:rPr>
            </w:pPr>
            <w:r>
              <w:rPr>
                <w:rFonts w:ascii="宋体" w:hAnsi="宋体" w:eastAsia="宋体" w:cs="宋体"/>
                <w:bCs/>
                <w:sz w:val="24"/>
                <w:szCs w:val="24"/>
              </w:rPr>
              <w:t>3、期次3，说明：货物验收：中标人根据采购要求进行设备安装、调试、测试后，由采购人或政府相关部门进行使用性能方面的验收</w:t>
            </w:r>
          </w:p>
          <w:p>
            <w:pPr>
              <w:pStyle w:val="13"/>
              <w:jc w:val="both"/>
              <w:rPr>
                <w:rFonts w:hint="default" w:ascii="宋体" w:hAnsi="宋体" w:eastAsia="宋体" w:cs="宋体"/>
                <w:bCs/>
                <w:sz w:val="24"/>
                <w:szCs w:val="24"/>
              </w:rPr>
            </w:pPr>
            <w:r>
              <w:rPr>
                <w:rFonts w:ascii="宋体" w:hAnsi="宋体" w:eastAsia="宋体" w:cs="宋体"/>
                <w:bCs/>
                <w:sz w:val="24"/>
                <w:szCs w:val="24"/>
              </w:rPr>
              <w:t>4、期次4，说明：采购人有权委托我国相关具有检验资质的部门、单位、机构针对中标货物的精度、性能进行检验。其检验结果将作为验收标准的组成部分之一</w:t>
            </w:r>
          </w:p>
          <w:p>
            <w:pPr>
              <w:pStyle w:val="13"/>
              <w:jc w:val="both"/>
              <w:rPr>
                <w:rFonts w:hint="default" w:ascii="宋体" w:hAnsi="宋体" w:eastAsia="宋体" w:cs="宋体"/>
                <w:bCs/>
                <w:sz w:val="24"/>
                <w:szCs w:val="24"/>
              </w:rPr>
            </w:pPr>
            <w:r>
              <w:rPr>
                <w:rFonts w:ascii="宋体" w:hAnsi="宋体" w:eastAsia="宋体" w:cs="宋体"/>
                <w:bCs/>
                <w:sz w:val="24"/>
                <w:szCs w:val="24"/>
              </w:rPr>
              <w:t>5、期次5，说明：验收时中标人必须派代表参加</w:t>
            </w:r>
          </w:p>
          <w:p>
            <w:pPr>
              <w:pStyle w:val="13"/>
              <w:jc w:val="both"/>
              <w:rPr>
                <w:rFonts w:hint="default" w:ascii="宋体" w:hAnsi="宋体" w:eastAsia="宋体" w:cs="宋体"/>
                <w:bCs/>
                <w:sz w:val="24"/>
                <w:szCs w:val="24"/>
              </w:rPr>
            </w:pPr>
            <w:r>
              <w:rPr>
                <w:rFonts w:ascii="宋体" w:hAnsi="宋体" w:eastAsia="宋体" w:cs="宋体"/>
                <w:bCs/>
                <w:sz w:val="24"/>
                <w:szCs w:val="24"/>
              </w:rPr>
              <w:t>6、期次6，说明：验收过程所发生的一切费用由中标人承担</w:t>
            </w:r>
          </w:p>
        </w:tc>
      </w:tr>
      <w:tr>
        <w:tblPrEx>
          <w:tblCellMar>
            <w:top w:w="0" w:type="dxa"/>
            <w:left w:w="108" w:type="dxa"/>
            <w:bottom w:w="0" w:type="dxa"/>
            <w:right w:w="108" w:type="dxa"/>
          </w:tblCellMar>
        </w:tblPrEx>
        <w:tc>
          <w:tcPr>
            <w:tcW w:w="1171" w:type="dxa"/>
          </w:tcPr>
          <w:p>
            <w:pPr>
              <w:pStyle w:val="13"/>
              <w:jc w:val="both"/>
              <w:rPr>
                <w:rFonts w:hint="default" w:ascii="宋体" w:hAnsi="宋体" w:eastAsia="宋体" w:cs="宋体"/>
                <w:bCs/>
                <w:sz w:val="24"/>
                <w:szCs w:val="24"/>
              </w:rPr>
            </w:pPr>
            <w:r>
              <w:rPr>
                <w:rFonts w:ascii="宋体" w:hAnsi="宋体" w:eastAsia="宋体" w:cs="宋体"/>
                <w:bCs/>
                <w:sz w:val="24"/>
                <w:szCs w:val="24"/>
              </w:rPr>
              <w:t>6</w:t>
            </w:r>
          </w:p>
        </w:tc>
        <w:tc>
          <w:tcPr>
            <w:tcW w:w="1080" w:type="dxa"/>
          </w:tcPr>
          <w:p>
            <w:pPr>
              <w:rPr>
                <w:rFonts w:ascii="宋体" w:hAnsi="宋体" w:eastAsia="宋体" w:cs="宋体"/>
                <w:bCs/>
                <w:sz w:val="24"/>
              </w:rPr>
            </w:pPr>
          </w:p>
        </w:tc>
        <w:tc>
          <w:tcPr>
            <w:tcW w:w="2420" w:type="dxa"/>
          </w:tcPr>
          <w:p>
            <w:pPr>
              <w:pStyle w:val="13"/>
              <w:jc w:val="both"/>
              <w:rPr>
                <w:rFonts w:hint="default" w:ascii="宋体" w:hAnsi="宋体" w:eastAsia="宋体" w:cs="宋体"/>
                <w:bCs/>
                <w:sz w:val="24"/>
                <w:szCs w:val="24"/>
              </w:rPr>
            </w:pPr>
            <w:r>
              <w:rPr>
                <w:rFonts w:ascii="宋体" w:hAnsi="宋体" w:eastAsia="宋体" w:cs="宋体"/>
                <w:bCs/>
                <w:sz w:val="24"/>
                <w:szCs w:val="24"/>
              </w:rPr>
              <w:t>合同支付方式</w:t>
            </w:r>
          </w:p>
        </w:tc>
        <w:tc>
          <w:tcPr>
            <w:tcW w:w="3871" w:type="dxa"/>
          </w:tcPr>
          <w:p>
            <w:pPr>
              <w:pStyle w:val="13"/>
              <w:jc w:val="both"/>
              <w:rPr>
                <w:rFonts w:hint="default" w:ascii="宋体" w:hAnsi="宋体" w:eastAsia="宋体" w:cs="宋体"/>
                <w:bCs/>
                <w:sz w:val="24"/>
                <w:szCs w:val="24"/>
                <w:lang w:eastAsia="zh-CN"/>
              </w:rPr>
            </w:pPr>
            <w:r>
              <w:rPr>
                <w:rFonts w:ascii="宋体" w:hAnsi="宋体" w:eastAsia="宋体" w:cs="宋体"/>
                <w:bCs/>
                <w:sz w:val="24"/>
                <w:szCs w:val="24"/>
              </w:rPr>
              <w:t>1、签订合同后</w:t>
            </w:r>
            <w:r>
              <w:rPr>
                <w:rFonts w:ascii="宋体" w:hAnsi="宋体" w:eastAsia="宋体" w:cs="宋体"/>
                <w:bCs/>
                <w:sz w:val="24"/>
                <w:szCs w:val="24"/>
                <w:lang w:eastAsia="zh-CN"/>
              </w:rPr>
              <w:t>10个工作</w:t>
            </w:r>
            <w:r>
              <w:rPr>
                <w:rFonts w:ascii="宋体" w:hAnsi="宋体" w:eastAsia="宋体" w:cs="宋体"/>
                <w:bCs/>
                <w:sz w:val="24"/>
                <w:szCs w:val="24"/>
              </w:rPr>
              <w:t>日</w:t>
            </w:r>
            <w:r>
              <w:rPr>
                <w:rFonts w:hint="eastAsia" w:ascii="宋体" w:hAnsi="宋体" w:eastAsia="宋体" w:cs="宋体"/>
                <w:bCs/>
                <w:sz w:val="24"/>
                <w:szCs w:val="24"/>
                <w:lang w:val="en-US" w:eastAsia="zh-CN"/>
              </w:rPr>
              <w:t>内</w:t>
            </w:r>
            <w:r>
              <w:rPr>
                <w:rFonts w:ascii="宋体" w:hAnsi="宋体" w:eastAsia="宋体" w:cs="宋体"/>
                <w:bCs/>
                <w:sz w:val="24"/>
                <w:szCs w:val="24"/>
              </w:rPr>
              <w:t>，支付合同总金额的</w:t>
            </w:r>
            <w:r>
              <w:rPr>
                <w:rFonts w:ascii="宋体" w:hAnsi="宋体" w:eastAsia="宋体" w:cs="宋体"/>
                <w:bCs/>
                <w:sz w:val="24"/>
                <w:szCs w:val="24"/>
                <w:lang w:eastAsia="zh-CN"/>
              </w:rPr>
              <w:t>3</w:t>
            </w:r>
            <w:r>
              <w:rPr>
                <w:rFonts w:ascii="宋体" w:hAnsi="宋体" w:eastAsia="宋体" w:cs="宋体"/>
                <w:bCs/>
                <w:sz w:val="24"/>
                <w:szCs w:val="24"/>
              </w:rPr>
              <w:t>0.00%</w:t>
            </w:r>
            <w:r>
              <w:rPr>
                <w:rFonts w:ascii="宋体" w:hAnsi="宋体" w:eastAsia="宋体" w:cs="宋体"/>
                <w:bCs/>
                <w:sz w:val="24"/>
                <w:szCs w:val="24"/>
                <w:lang w:eastAsia="zh-CN"/>
              </w:rPr>
              <w:t>；</w:t>
            </w:r>
          </w:p>
          <w:p>
            <w:pPr>
              <w:pStyle w:val="13"/>
              <w:jc w:val="both"/>
              <w:rPr>
                <w:rFonts w:hint="default" w:ascii="宋体" w:hAnsi="宋体" w:eastAsia="宋体" w:cs="宋体"/>
                <w:bCs/>
                <w:sz w:val="24"/>
                <w:szCs w:val="24"/>
                <w:lang w:eastAsia="zh-CN"/>
              </w:rPr>
            </w:pPr>
            <w:r>
              <w:rPr>
                <w:rFonts w:ascii="宋体" w:hAnsi="宋体" w:eastAsia="宋体" w:cs="宋体"/>
                <w:bCs/>
                <w:sz w:val="24"/>
                <w:szCs w:val="24"/>
              </w:rPr>
              <w:t>2、全部货物交货</w:t>
            </w:r>
            <w:r>
              <w:rPr>
                <w:rFonts w:hint="eastAsia" w:ascii="宋体" w:hAnsi="宋体" w:eastAsia="宋体" w:cs="宋体"/>
                <w:bCs/>
                <w:sz w:val="24"/>
                <w:szCs w:val="24"/>
                <w:lang w:val="en-US" w:eastAsia="zh-CN"/>
              </w:rPr>
              <w:t>完成</w:t>
            </w:r>
            <w:r>
              <w:rPr>
                <w:rFonts w:ascii="宋体" w:hAnsi="宋体" w:eastAsia="宋体" w:cs="宋体"/>
                <w:bCs/>
                <w:sz w:val="24"/>
                <w:szCs w:val="24"/>
              </w:rPr>
              <w:t>后</w:t>
            </w:r>
            <w:r>
              <w:rPr>
                <w:rFonts w:ascii="宋体" w:hAnsi="宋体" w:eastAsia="宋体" w:cs="宋体"/>
                <w:bCs/>
                <w:sz w:val="24"/>
                <w:szCs w:val="24"/>
                <w:lang w:eastAsia="zh-CN"/>
              </w:rPr>
              <w:t>10个工作</w:t>
            </w:r>
            <w:r>
              <w:rPr>
                <w:rFonts w:ascii="宋体" w:hAnsi="宋体" w:eastAsia="宋体" w:cs="宋体"/>
                <w:bCs/>
                <w:sz w:val="24"/>
                <w:szCs w:val="24"/>
              </w:rPr>
              <w:t>日</w:t>
            </w:r>
            <w:r>
              <w:rPr>
                <w:rFonts w:hint="eastAsia" w:ascii="宋体" w:hAnsi="宋体" w:eastAsia="宋体" w:cs="宋体"/>
                <w:bCs/>
                <w:sz w:val="24"/>
                <w:szCs w:val="24"/>
                <w:lang w:val="en-US" w:eastAsia="zh-CN"/>
              </w:rPr>
              <w:t>内</w:t>
            </w:r>
            <w:r>
              <w:rPr>
                <w:rFonts w:ascii="宋体" w:hAnsi="宋体" w:eastAsia="宋体" w:cs="宋体"/>
                <w:bCs/>
                <w:sz w:val="24"/>
                <w:szCs w:val="24"/>
              </w:rPr>
              <w:t>，支付合同总金额的30.00%</w:t>
            </w:r>
            <w:r>
              <w:rPr>
                <w:rFonts w:ascii="宋体" w:hAnsi="宋体" w:eastAsia="宋体" w:cs="宋体"/>
                <w:bCs/>
                <w:sz w:val="24"/>
                <w:szCs w:val="24"/>
                <w:lang w:eastAsia="zh-CN"/>
              </w:rPr>
              <w:t>；</w:t>
            </w:r>
          </w:p>
          <w:p>
            <w:pPr>
              <w:pStyle w:val="13"/>
              <w:jc w:val="both"/>
              <w:rPr>
                <w:rFonts w:hint="default" w:ascii="宋体" w:hAnsi="宋体" w:eastAsia="宋体" w:cs="宋体"/>
                <w:bCs/>
                <w:sz w:val="24"/>
                <w:szCs w:val="24"/>
                <w:lang w:eastAsia="zh-CN"/>
              </w:rPr>
            </w:pPr>
            <w:r>
              <w:rPr>
                <w:rFonts w:ascii="宋体" w:hAnsi="宋体" w:eastAsia="宋体" w:cs="宋体"/>
                <w:bCs/>
                <w:sz w:val="24"/>
                <w:szCs w:val="24"/>
              </w:rPr>
              <w:t>3、所有项目安装调试完毕，验收合格</w:t>
            </w:r>
            <w:r>
              <w:rPr>
                <w:rFonts w:hint="eastAsia" w:ascii="宋体" w:hAnsi="宋体" w:eastAsia="宋体" w:cs="宋体"/>
                <w:bCs/>
                <w:sz w:val="24"/>
                <w:szCs w:val="24"/>
                <w:lang w:val="en-US" w:eastAsia="zh-CN"/>
              </w:rPr>
              <w:t>后</w:t>
            </w:r>
            <w:r>
              <w:rPr>
                <w:rFonts w:ascii="宋体" w:hAnsi="宋体" w:eastAsia="宋体" w:cs="宋体"/>
                <w:bCs/>
                <w:sz w:val="24"/>
                <w:szCs w:val="24"/>
                <w:lang w:eastAsia="zh-CN"/>
              </w:rPr>
              <w:t>10个工作</w:t>
            </w:r>
            <w:r>
              <w:rPr>
                <w:rFonts w:ascii="宋体" w:hAnsi="宋体" w:eastAsia="宋体" w:cs="宋体"/>
                <w:bCs/>
                <w:sz w:val="24"/>
                <w:szCs w:val="24"/>
              </w:rPr>
              <w:t>日</w:t>
            </w:r>
            <w:r>
              <w:rPr>
                <w:rFonts w:hint="eastAsia" w:ascii="宋体" w:hAnsi="宋体" w:eastAsia="宋体" w:cs="宋体"/>
                <w:bCs/>
                <w:sz w:val="24"/>
                <w:szCs w:val="24"/>
                <w:lang w:val="en-US" w:eastAsia="zh-CN"/>
              </w:rPr>
              <w:t>内</w:t>
            </w:r>
            <w:r>
              <w:rPr>
                <w:rFonts w:ascii="宋体" w:hAnsi="宋体" w:eastAsia="宋体" w:cs="宋体"/>
                <w:bCs/>
                <w:sz w:val="24"/>
                <w:szCs w:val="24"/>
              </w:rPr>
              <w:t>，支付</w:t>
            </w:r>
            <w:r>
              <w:rPr>
                <w:rFonts w:ascii="宋体" w:hAnsi="宋体" w:eastAsia="宋体" w:cs="宋体"/>
                <w:bCs/>
                <w:sz w:val="24"/>
                <w:szCs w:val="24"/>
                <w:lang w:eastAsia="zh-CN"/>
              </w:rPr>
              <w:t>剩余</w:t>
            </w:r>
            <w:r>
              <w:rPr>
                <w:rFonts w:ascii="宋体" w:hAnsi="宋体" w:eastAsia="宋体" w:cs="宋体"/>
                <w:bCs/>
                <w:sz w:val="24"/>
                <w:szCs w:val="24"/>
              </w:rPr>
              <w:t>合同总金额的</w:t>
            </w:r>
            <w:r>
              <w:rPr>
                <w:rFonts w:ascii="宋体" w:hAnsi="宋体" w:eastAsia="宋体" w:cs="宋体"/>
                <w:bCs/>
                <w:sz w:val="24"/>
                <w:szCs w:val="24"/>
                <w:lang w:eastAsia="zh-CN"/>
              </w:rPr>
              <w:t>4</w:t>
            </w:r>
            <w:r>
              <w:rPr>
                <w:rFonts w:ascii="宋体" w:hAnsi="宋体" w:eastAsia="宋体" w:cs="宋体"/>
                <w:bCs/>
                <w:sz w:val="24"/>
                <w:szCs w:val="24"/>
              </w:rPr>
              <w:t>0.00%</w:t>
            </w:r>
            <w:r>
              <w:rPr>
                <w:rFonts w:ascii="宋体" w:hAnsi="宋体" w:eastAsia="宋体" w:cs="宋体"/>
                <w:bCs/>
                <w:sz w:val="24"/>
                <w:szCs w:val="24"/>
                <w:lang w:eastAsia="zh-CN"/>
              </w:rPr>
              <w:t>。</w:t>
            </w:r>
          </w:p>
          <w:p>
            <w:pPr>
              <w:pStyle w:val="13"/>
              <w:jc w:val="both"/>
              <w:rPr>
                <w:rFonts w:hint="default" w:ascii="宋体" w:hAnsi="宋体" w:eastAsia="宋体" w:cs="宋体"/>
                <w:bCs/>
                <w:sz w:val="24"/>
                <w:szCs w:val="24"/>
                <w:lang w:eastAsia="zh-CN"/>
              </w:rPr>
            </w:pPr>
            <w:r>
              <w:rPr>
                <w:rFonts w:ascii="宋体" w:hAnsi="宋体" w:eastAsia="宋体" w:cs="宋体"/>
                <w:bCs/>
                <w:sz w:val="24"/>
                <w:szCs w:val="24"/>
                <w:lang w:eastAsia="zh-CN"/>
              </w:rPr>
              <w:t>中标人提交款项申请时，需要提供相对应金额的正式发票。</w:t>
            </w:r>
          </w:p>
        </w:tc>
      </w:tr>
    </w:tbl>
    <w:p>
      <w:pPr>
        <w:pStyle w:val="13"/>
        <w:rPr>
          <w:rFonts w:hint="default" w:ascii="宋体" w:hAnsi="宋体" w:eastAsia="宋体" w:cs="宋体"/>
          <w:b/>
          <w:sz w:val="24"/>
          <w:szCs w:val="24"/>
        </w:rPr>
      </w:pPr>
      <w:r>
        <w:rPr>
          <w:rFonts w:ascii="宋体" w:hAnsi="宋体" w:eastAsia="宋体" w:cs="宋体"/>
          <w:b/>
          <w:sz w:val="24"/>
          <w:szCs w:val="24"/>
        </w:rPr>
        <w:t>履约保证金</w:t>
      </w:r>
    </w:p>
    <w:p>
      <w:pPr>
        <w:pStyle w:val="13"/>
        <w:rPr>
          <w:rFonts w:hint="default" w:ascii="宋体" w:hAnsi="宋体" w:eastAsia="宋体" w:cs="宋体"/>
          <w:bCs/>
          <w:sz w:val="24"/>
          <w:szCs w:val="24"/>
        </w:rPr>
      </w:pPr>
    </w:p>
    <w:p>
      <w:pPr>
        <w:pStyle w:val="13"/>
        <w:ind w:firstLine="480" w:firstLineChars="200"/>
        <w:rPr>
          <w:rFonts w:hint="default" w:ascii="宋体" w:hAnsi="宋体" w:eastAsia="宋体" w:cs="宋体"/>
          <w:bCs/>
          <w:sz w:val="24"/>
          <w:szCs w:val="24"/>
        </w:rPr>
      </w:pPr>
      <w:r>
        <w:rPr>
          <w:rFonts w:ascii="宋体" w:hAnsi="宋体" w:eastAsia="宋体" w:cs="宋体"/>
          <w:bCs/>
          <w:sz w:val="24"/>
          <w:szCs w:val="24"/>
        </w:rPr>
        <w:t>采购包1：缴纳</w:t>
      </w:r>
    </w:p>
    <w:p>
      <w:pPr>
        <w:pStyle w:val="13"/>
        <w:ind w:firstLine="480" w:firstLineChars="200"/>
        <w:rPr>
          <w:rFonts w:hint="default" w:ascii="宋体" w:hAnsi="宋体" w:eastAsia="宋体" w:cs="宋体"/>
          <w:bCs/>
          <w:sz w:val="24"/>
          <w:szCs w:val="24"/>
          <w:highlight w:val="none"/>
        </w:rPr>
      </w:pPr>
      <w:r>
        <w:rPr>
          <w:rFonts w:ascii="宋体" w:hAnsi="宋体" w:eastAsia="宋体" w:cs="宋体"/>
          <w:bCs/>
          <w:sz w:val="24"/>
          <w:szCs w:val="24"/>
          <w:highlight w:val="none"/>
        </w:rPr>
        <w:t>本采购包履约保证金为合同金额的</w:t>
      </w:r>
      <w:r>
        <w:rPr>
          <w:rFonts w:ascii="宋体" w:hAnsi="宋体" w:eastAsia="宋体" w:cs="宋体"/>
          <w:bCs/>
          <w:sz w:val="24"/>
          <w:szCs w:val="24"/>
          <w:highlight w:val="none"/>
          <w:lang w:eastAsia="zh-CN"/>
        </w:rPr>
        <w:t>2</w:t>
      </w:r>
      <w:r>
        <w:rPr>
          <w:rFonts w:ascii="宋体" w:hAnsi="宋体" w:eastAsia="宋体" w:cs="宋体"/>
          <w:bCs/>
          <w:sz w:val="24"/>
          <w:szCs w:val="24"/>
          <w:highlight w:val="none"/>
        </w:rPr>
        <w:t>.0%</w:t>
      </w:r>
    </w:p>
    <w:p>
      <w:pPr>
        <w:pStyle w:val="13"/>
        <w:rPr>
          <w:rFonts w:hint="default" w:ascii="宋体" w:hAnsi="宋体" w:eastAsia="宋体" w:cs="宋体"/>
          <w:bCs/>
          <w:sz w:val="24"/>
          <w:szCs w:val="24"/>
        </w:rPr>
      </w:pPr>
      <w:r>
        <w:rPr>
          <w:rFonts w:ascii="宋体" w:hAnsi="宋体" w:eastAsia="宋体" w:cs="宋体"/>
          <w:bCs/>
          <w:sz w:val="24"/>
          <w:szCs w:val="24"/>
        </w:rPr>
        <w:t>说明：收取时间：合同签订时提交。对符合规定的中小企业减半收取履约保证金。 退还时间：在合同履约一年后，中标人提出退还履约保证金申请，经采购人审核后</w:t>
      </w:r>
      <w:r>
        <w:rPr>
          <w:rFonts w:hint="eastAsia" w:ascii="宋体" w:hAnsi="宋体" w:eastAsia="宋体" w:cs="宋体"/>
          <w:bCs/>
          <w:sz w:val="24"/>
          <w:szCs w:val="24"/>
          <w:lang w:val="en-US" w:eastAsia="zh-CN"/>
        </w:rPr>
        <w:t>10</w:t>
      </w:r>
      <w:r>
        <w:rPr>
          <w:rFonts w:ascii="宋体" w:hAnsi="宋体" w:eastAsia="宋体" w:cs="宋体"/>
          <w:bCs/>
          <w:sz w:val="24"/>
          <w:szCs w:val="24"/>
        </w:rPr>
        <w:t>个工作日内向供应商退清履约保证金。 提交方式：允许供应商自行选择提交履约保证金的方式。 不予退还的情形：供应商未按合同约定承担违约责任的，采购人有权不予退还履约保证金。</w:t>
      </w:r>
    </w:p>
    <w:p>
      <w:pPr>
        <w:pStyle w:val="13"/>
        <w:rPr>
          <w:rFonts w:hint="default" w:ascii="宋体" w:hAnsi="宋体" w:eastAsia="宋体" w:cs="宋体"/>
          <w:bCs/>
          <w:sz w:val="24"/>
          <w:szCs w:val="24"/>
        </w:rPr>
      </w:pPr>
      <w:r>
        <w:rPr>
          <w:rFonts w:ascii="宋体" w:hAnsi="宋体" w:eastAsia="宋体" w:cs="宋体"/>
          <w:bCs/>
          <w:sz w:val="24"/>
          <w:szCs w:val="24"/>
        </w:rPr>
        <w:t>其他商务要求</w:t>
      </w:r>
    </w:p>
    <w:p>
      <w:pPr>
        <w:pStyle w:val="13"/>
        <w:ind w:firstLine="480"/>
        <w:rPr>
          <w:rFonts w:hint="default" w:ascii="宋体" w:hAnsi="宋体" w:eastAsia="宋体" w:cs="宋体"/>
          <w:bCs/>
          <w:sz w:val="24"/>
          <w:szCs w:val="24"/>
        </w:rPr>
      </w:pPr>
    </w:p>
    <w:p>
      <w:pPr>
        <w:pStyle w:val="13"/>
        <w:rPr>
          <w:rFonts w:hint="default" w:ascii="宋体" w:hAnsi="宋体" w:eastAsia="宋体" w:cs="宋体"/>
          <w:bCs/>
          <w:sz w:val="24"/>
          <w:szCs w:val="24"/>
        </w:rPr>
      </w:pPr>
    </w:p>
    <w:p>
      <w:pPr>
        <w:pStyle w:val="13"/>
        <w:spacing w:before="120" w:after="120"/>
        <w:ind w:firstLine="480" w:firstLineChars="200"/>
        <w:rPr>
          <w:rFonts w:hint="default" w:ascii="宋体" w:hAnsi="宋体" w:eastAsia="宋体" w:cs="宋体"/>
          <w:bCs/>
          <w:sz w:val="24"/>
          <w:szCs w:val="24"/>
        </w:rPr>
      </w:pPr>
      <w:r>
        <w:rPr>
          <w:rFonts w:ascii="宋体" w:hAnsi="宋体" w:eastAsia="宋体" w:cs="宋体"/>
          <w:bCs/>
          <w:sz w:val="24"/>
          <w:szCs w:val="24"/>
        </w:rPr>
        <w:t>7 售后服务要求</w:t>
      </w:r>
    </w:p>
    <w:p>
      <w:pPr>
        <w:pStyle w:val="13"/>
        <w:spacing w:before="75" w:after="75"/>
        <w:ind w:firstLine="480" w:firstLineChars="200"/>
        <w:rPr>
          <w:rFonts w:hint="default" w:ascii="宋体" w:hAnsi="宋体" w:eastAsia="宋体" w:cs="宋体"/>
          <w:bCs/>
          <w:sz w:val="24"/>
          <w:szCs w:val="24"/>
        </w:rPr>
      </w:pPr>
      <w:r>
        <w:rPr>
          <w:rFonts w:ascii="宋体" w:hAnsi="宋体" w:eastAsia="宋体" w:cs="宋体"/>
          <w:bCs/>
          <w:sz w:val="24"/>
          <w:szCs w:val="24"/>
        </w:rPr>
        <w:t>7.1 投标人应按照本采购项目特点提供长期良好的售 后 服务，并在投标文件中提供详细具体的售 后 服务承诺条款及保证。</w:t>
      </w:r>
    </w:p>
    <w:p>
      <w:pPr>
        <w:pStyle w:val="13"/>
        <w:spacing w:before="75" w:after="75"/>
        <w:ind w:firstLine="480" w:firstLineChars="200"/>
        <w:rPr>
          <w:rFonts w:hint="default" w:ascii="宋体" w:hAnsi="宋体" w:eastAsia="宋体" w:cs="宋体"/>
          <w:bCs/>
          <w:sz w:val="24"/>
          <w:szCs w:val="24"/>
        </w:rPr>
      </w:pPr>
      <w:r>
        <w:rPr>
          <w:rFonts w:ascii="宋体" w:hAnsi="宋体" w:eastAsia="宋体" w:cs="宋体"/>
          <w:bCs/>
          <w:sz w:val="24"/>
          <w:szCs w:val="24"/>
        </w:rPr>
        <w:t>7.2 质量保证期：整体不少于</w:t>
      </w:r>
      <w:r>
        <w:rPr>
          <w:rFonts w:ascii="宋体" w:hAnsi="宋体" w:eastAsia="宋体" w:cs="宋体"/>
          <w:bCs/>
          <w:sz w:val="24"/>
          <w:szCs w:val="24"/>
          <w:lang w:eastAsia="zh-CN"/>
        </w:rPr>
        <w:t>3</w:t>
      </w:r>
      <w:r>
        <w:rPr>
          <w:rFonts w:ascii="宋体" w:hAnsi="宋体" w:eastAsia="宋体" w:cs="宋体"/>
          <w:bCs/>
          <w:sz w:val="24"/>
          <w:szCs w:val="24"/>
        </w:rPr>
        <w:t>年（清单有要求质保期的部分设备，按照清单设备要求期限执行），自采购人出具系统最终验收合格证明之日起算。质量保证期内发生故障，中标供应商应免费（人为损坏的除外）提供咨询、更换损坏的零部件和维修服务。</w:t>
      </w:r>
    </w:p>
    <w:p>
      <w:pPr>
        <w:pStyle w:val="13"/>
        <w:spacing w:before="75" w:after="75"/>
        <w:ind w:firstLine="480" w:firstLineChars="200"/>
        <w:rPr>
          <w:rFonts w:hint="default" w:ascii="宋体" w:hAnsi="宋体" w:eastAsia="宋体" w:cs="宋体"/>
          <w:bCs/>
          <w:sz w:val="24"/>
          <w:szCs w:val="24"/>
        </w:rPr>
      </w:pPr>
      <w:r>
        <w:rPr>
          <w:rFonts w:ascii="宋体" w:hAnsi="宋体" w:eastAsia="宋体" w:cs="宋体"/>
          <w:bCs/>
          <w:sz w:val="24"/>
          <w:szCs w:val="24"/>
        </w:rPr>
        <w:t>7.3 投标人应根据采购人指定的地点提供免费送货、安装、调试服务。</w:t>
      </w:r>
    </w:p>
    <w:p>
      <w:pPr>
        <w:pStyle w:val="13"/>
        <w:spacing w:before="75" w:after="75"/>
        <w:ind w:firstLine="480" w:firstLineChars="200"/>
        <w:rPr>
          <w:rFonts w:hint="default" w:ascii="宋体" w:hAnsi="宋体" w:eastAsia="宋体" w:cs="宋体"/>
          <w:bCs/>
          <w:sz w:val="24"/>
          <w:szCs w:val="24"/>
        </w:rPr>
      </w:pPr>
      <w:r>
        <w:rPr>
          <w:rFonts w:ascii="宋体" w:hAnsi="宋体" w:eastAsia="宋体" w:cs="宋体"/>
          <w:bCs/>
          <w:sz w:val="24"/>
          <w:szCs w:val="24"/>
        </w:rPr>
        <w:t>7.4 投标人应承诺能长期提供良好的技术支持及备品备件的优惠供应，并提供备品备件易耗件清单（含价格）及专用工具清单（若有）等文件资料。</w:t>
      </w:r>
    </w:p>
    <w:p>
      <w:pPr>
        <w:pStyle w:val="13"/>
        <w:spacing w:before="75" w:after="75"/>
        <w:ind w:firstLine="480" w:firstLineChars="200"/>
        <w:rPr>
          <w:rFonts w:hint="default" w:ascii="宋体" w:hAnsi="宋体" w:eastAsia="宋体" w:cs="宋体"/>
          <w:bCs/>
          <w:sz w:val="24"/>
          <w:szCs w:val="24"/>
        </w:rPr>
      </w:pPr>
      <w:r>
        <w:rPr>
          <w:rFonts w:ascii="宋体" w:hAnsi="宋体" w:eastAsia="宋体" w:cs="宋体"/>
          <w:bCs/>
          <w:sz w:val="24"/>
          <w:szCs w:val="24"/>
        </w:rPr>
        <w:t>7.5 为保证中标人所提供的货物能良好运行，中标人须提出对所有使用人员培训的详细内容及计划及货物操作、功能、维护等方面的培训。</w:t>
      </w:r>
    </w:p>
    <w:p>
      <w:pPr>
        <w:pStyle w:val="13"/>
        <w:spacing w:before="75" w:after="75"/>
        <w:ind w:firstLine="480" w:firstLineChars="200"/>
        <w:rPr>
          <w:rFonts w:hint="default" w:ascii="宋体" w:hAnsi="宋体" w:eastAsia="宋体" w:cs="宋体"/>
          <w:bCs/>
          <w:sz w:val="24"/>
          <w:szCs w:val="24"/>
        </w:rPr>
      </w:pPr>
      <w:r>
        <w:rPr>
          <w:rFonts w:ascii="宋体" w:hAnsi="宋体" w:eastAsia="宋体" w:cs="宋体"/>
          <w:bCs/>
          <w:sz w:val="24"/>
          <w:szCs w:val="24"/>
        </w:rPr>
        <w:t>7.6 免费质保期内若出现任何故障问题，中标人应在接到采购人通知后2小时内电话响应，4小时内到达，24小时内修复；24小时内无法修复的，中标人提供相应配置的代用设备或更换新设备，其中发生一切费用由中标人承担。</w:t>
      </w:r>
    </w:p>
    <w:p>
      <w:pPr>
        <w:pStyle w:val="13"/>
        <w:spacing w:before="75" w:after="75"/>
        <w:ind w:firstLine="480" w:firstLineChars="200"/>
        <w:rPr>
          <w:rFonts w:hint="default" w:ascii="宋体" w:hAnsi="宋体" w:eastAsia="宋体" w:cs="宋体"/>
          <w:bCs/>
          <w:sz w:val="24"/>
          <w:szCs w:val="24"/>
        </w:rPr>
      </w:pPr>
      <w:r>
        <w:rPr>
          <w:rFonts w:ascii="宋体" w:hAnsi="宋体" w:eastAsia="宋体" w:cs="宋体"/>
          <w:bCs/>
          <w:sz w:val="24"/>
          <w:szCs w:val="24"/>
        </w:rPr>
        <w:t>7.7 两次或以上未及时响应的，采购人有权没收其履约保证金。</w:t>
      </w:r>
    </w:p>
    <w:p>
      <w:pPr>
        <w:pStyle w:val="13"/>
        <w:spacing w:before="75" w:after="75"/>
        <w:ind w:firstLine="480" w:firstLineChars="200"/>
        <w:rPr>
          <w:rFonts w:hint="default" w:ascii="宋体" w:hAnsi="宋体" w:eastAsia="宋体" w:cs="宋体"/>
          <w:bCs/>
          <w:sz w:val="24"/>
          <w:szCs w:val="24"/>
        </w:rPr>
      </w:pPr>
      <w:r>
        <w:rPr>
          <w:rFonts w:ascii="宋体" w:hAnsi="宋体" w:eastAsia="宋体" w:cs="宋体"/>
          <w:bCs/>
          <w:sz w:val="24"/>
          <w:szCs w:val="24"/>
        </w:rPr>
        <w:t>7.8 质保期满前1个月内中标人应就所有产品进行一次全面检查，并写出正式报告，如发现潜在问题，应负责排除。如出现质量问题，在质保期内对设备进行维修和零配件的更换。</w:t>
      </w:r>
    </w:p>
    <w:p>
      <w:pPr>
        <w:pStyle w:val="13"/>
        <w:spacing w:before="75" w:after="75"/>
        <w:ind w:firstLine="480" w:firstLineChars="200"/>
        <w:rPr>
          <w:rFonts w:hint="default" w:ascii="宋体" w:hAnsi="宋体" w:eastAsia="宋体" w:cs="宋体"/>
          <w:bCs/>
          <w:sz w:val="24"/>
          <w:szCs w:val="24"/>
        </w:rPr>
      </w:pPr>
      <w:r>
        <w:rPr>
          <w:rFonts w:ascii="宋体" w:hAnsi="宋体" w:eastAsia="宋体" w:cs="宋体"/>
          <w:bCs/>
          <w:sz w:val="24"/>
          <w:szCs w:val="24"/>
        </w:rPr>
        <w:t>7.9 中标人认为有利于采购人的其他优惠条款应单独列明。</w:t>
      </w:r>
    </w:p>
    <w:p>
      <w:pPr>
        <w:pStyle w:val="13"/>
        <w:spacing w:before="120" w:after="120"/>
        <w:ind w:firstLine="480"/>
        <w:rPr>
          <w:rFonts w:hint="default" w:ascii="宋体" w:hAnsi="宋体" w:eastAsia="宋体" w:cs="宋体"/>
          <w:bCs/>
          <w:sz w:val="24"/>
          <w:szCs w:val="24"/>
        </w:rPr>
      </w:pPr>
    </w:p>
    <w:p>
      <w:pPr>
        <w:pStyle w:val="13"/>
        <w:spacing w:before="120" w:after="120"/>
        <w:ind w:firstLine="480"/>
        <w:rPr>
          <w:rFonts w:hint="default" w:ascii="宋体" w:hAnsi="宋体" w:eastAsia="宋体" w:cs="宋体"/>
          <w:bCs/>
          <w:sz w:val="24"/>
          <w:szCs w:val="24"/>
        </w:rPr>
      </w:pPr>
      <w:r>
        <w:rPr>
          <w:rFonts w:ascii="宋体" w:hAnsi="宋体" w:eastAsia="宋体" w:cs="宋体"/>
          <w:bCs/>
          <w:sz w:val="24"/>
          <w:szCs w:val="24"/>
        </w:rPr>
        <w:t>8 报价要求</w:t>
      </w:r>
    </w:p>
    <w:p>
      <w:pPr>
        <w:pStyle w:val="13"/>
        <w:spacing w:before="75" w:after="75"/>
        <w:ind w:firstLine="480" w:firstLineChars="200"/>
        <w:rPr>
          <w:rFonts w:hint="default" w:ascii="宋体" w:hAnsi="宋体" w:eastAsia="宋体" w:cs="宋体"/>
          <w:bCs/>
          <w:sz w:val="24"/>
          <w:szCs w:val="24"/>
        </w:rPr>
      </w:pPr>
      <w:r>
        <w:rPr>
          <w:rFonts w:ascii="宋体" w:hAnsi="宋体" w:eastAsia="宋体" w:cs="宋体"/>
          <w:bCs/>
          <w:sz w:val="24"/>
          <w:szCs w:val="24"/>
        </w:rPr>
        <w:t>8.1 本项目为整体采购，投标人必须对采购项目的所有内容及服务进行完整报价响应。</w:t>
      </w:r>
    </w:p>
    <w:p>
      <w:pPr>
        <w:pStyle w:val="13"/>
        <w:spacing w:before="75" w:after="75"/>
        <w:ind w:firstLine="480" w:firstLineChars="200"/>
        <w:rPr>
          <w:rFonts w:hint="default" w:ascii="宋体" w:hAnsi="宋体" w:eastAsia="宋体" w:cs="宋体"/>
          <w:bCs/>
          <w:sz w:val="24"/>
          <w:szCs w:val="24"/>
        </w:rPr>
      </w:pPr>
      <w:r>
        <w:rPr>
          <w:rFonts w:ascii="宋体" w:hAnsi="宋体" w:eastAsia="宋体" w:cs="宋体"/>
          <w:bCs/>
          <w:sz w:val="24"/>
          <w:szCs w:val="24"/>
        </w:rPr>
        <w:t>8.2 报价应以人民币为货币单位，应分单价、小计和总价。</w:t>
      </w:r>
    </w:p>
    <w:p>
      <w:pPr>
        <w:pStyle w:val="13"/>
        <w:spacing w:before="75" w:after="75"/>
        <w:ind w:firstLine="480" w:firstLineChars="200"/>
        <w:rPr>
          <w:rFonts w:hint="default" w:ascii="宋体" w:hAnsi="宋体" w:eastAsia="宋体" w:cs="宋体"/>
          <w:bCs/>
          <w:sz w:val="24"/>
          <w:szCs w:val="24"/>
        </w:rPr>
      </w:pPr>
      <w:r>
        <w:rPr>
          <w:rFonts w:ascii="宋体" w:hAnsi="宋体" w:eastAsia="宋体" w:cs="宋体"/>
          <w:bCs/>
          <w:sz w:val="24"/>
          <w:szCs w:val="24"/>
        </w:rPr>
        <w:t>8.3 投标人漏报的单价或每单价报价中漏报、少报的费用，视为此项费用已隐含在总报价中，中 标 后不得再向采购人收取任何费用。</w:t>
      </w:r>
    </w:p>
    <w:p>
      <w:pPr>
        <w:pStyle w:val="13"/>
        <w:spacing w:before="75" w:after="75"/>
        <w:ind w:firstLine="480" w:firstLineChars="200"/>
        <w:rPr>
          <w:rFonts w:hint="default" w:ascii="宋体" w:hAnsi="宋体" w:eastAsia="宋体" w:cs="宋体"/>
          <w:bCs/>
          <w:sz w:val="24"/>
          <w:szCs w:val="24"/>
        </w:rPr>
      </w:pPr>
      <w:r>
        <w:rPr>
          <w:rFonts w:ascii="宋体" w:hAnsi="宋体" w:eastAsia="宋体" w:cs="宋体"/>
          <w:bCs/>
          <w:sz w:val="24"/>
          <w:szCs w:val="24"/>
        </w:rPr>
        <w:t>8.4 投标人对每一种货物只能有一个报价，采购单位不接受有选择的报价。</w:t>
      </w:r>
    </w:p>
    <w:p>
      <w:pPr>
        <w:pStyle w:val="13"/>
        <w:spacing w:before="75" w:after="75"/>
        <w:ind w:firstLine="480" w:firstLineChars="200"/>
        <w:rPr>
          <w:rFonts w:hint="default" w:ascii="宋体" w:hAnsi="宋体" w:eastAsia="宋体" w:cs="宋体"/>
          <w:bCs/>
          <w:sz w:val="24"/>
          <w:szCs w:val="24"/>
        </w:rPr>
      </w:pPr>
      <w:r>
        <w:rPr>
          <w:rFonts w:ascii="宋体" w:hAnsi="宋体" w:eastAsia="宋体" w:cs="宋体"/>
          <w:bCs/>
          <w:sz w:val="24"/>
          <w:szCs w:val="24"/>
        </w:rPr>
        <w:t>8.5 投标总价应包含货物经采购人验收合格并交付使用所有可能发生的费用，包括设备（含设备主体、辅助材料、配件）供应、运输、维护费、保险费、采购保管、安装调试、产品检验检测、操作人员培训、人工费、税收、维保费、验收费用、质保服务（含保修期内的上门服务）以及可能漏项漏报等的一切费用，采购人无需再向投标人支付其他任何费用。</w:t>
      </w:r>
    </w:p>
    <w:p>
      <w:pPr>
        <w:pStyle w:val="13"/>
        <w:spacing w:before="75" w:after="75"/>
        <w:ind w:firstLine="480" w:firstLineChars="200"/>
        <w:rPr>
          <w:rFonts w:hint="default" w:ascii="宋体" w:hAnsi="宋体" w:eastAsia="宋体" w:cs="宋体"/>
          <w:bCs/>
          <w:sz w:val="24"/>
          <w:szCs w:val="24"/>
        </w:rPr>
      </w:pPr>
      <w:r>
        <w:rPr>
          <w:rFonts w:ascii="宋体" w:hAnsi="宋体" w:eastAsia="宋体" w:cs="宋体"/>
          <w:bCs/>
          <w:sz w:val="24"/>
          <w:szCs w:val="24"/>
        </w:rPr>
        <w:t>8.6 本项目最高限价为人民币</w:t>
      </w:r>
      <w:r>
        <w:rPr>
          <w:rFonts w:ascii="宋体" w:hAnsi="宋体" w:eastAsia="宋体" w:cs="宋体"/>
          <w:sz w:val="24"/>
          <w:szCs w:val="24"/>
        </w:rPr>
        <w:t>770</w:t>
      </w:r>
      <w:r>
        <w:rPr>
          <w:rFonts w:ascii="宋体" w:hAnsi="宋体" w:eastAsia="宋体" w:cs="宋体"/>
          <w:sz w:val="24"/>
          <w:szCs w:val="24"/>
          <w:lang w:eastAsia="zh-CN"/>
        </w:rPr>
        <w:t>.</w:t>
      </w:r>
      <w:r>
        <w:rPr>
          <w:rFonts w:ascii="宋体" w:hAnsi="宋体" w:eastAsia="宋体" w:cs="宋体"/>
          <w:sz w:val="24"/>
          <w:szCs w:val="24"/>
        </w:rPr>
        <w:t>98</w:t>
      </w:r>
      <w:r>
        <w:rPr>
          <w:rFonts w:ascii="宋体" w:hAnsi="宋体" w:eastAsia="宋体" w:cs="宋体"/>
          <w:sz w:val="24"/>
          <w:szCs w:val="24"/>
          <w:lang w:eastAsia="zh-CN"/>
        </w:rPr>
        <w:t>1315万</w:t>
      </w:r>
      <w:r>
        <w:rPr>
          <w:rFonts w:ascii="宋体" w:hAnsi="宋体" w:eastAsia="宋体" w:cs="宋体"/>
          <w:bCs/>
          <w:sz w:val="24"/>
          <w:szCs w:val="24"/>
        </w:rPr>
        <w:t>元，投标人的投标报价超过最高限价的投标无效。</w:t>
      </w:r>
    </w:p>
    <w:p>
      <w:pPr>
        <w:pStyle w:val="13"/>
        <w:spacing w:before="75" w:after="75"/>
        <w:ind w:firstLine="480" w:firstLineChars="200"/>
        <w:rPr>
          <w:rFonts w:hint="default" w:ascii="宋体" w:hAnsi="宋体" w:eastAsia="宋体" w:cs="宋体"/>
          <w:bCs/>
          <w:sz w:val="24"/>
          <w:szCs w:val="24"/>
        </w:rPr>
      </w:pPr>
      <w:r>
        <w:rPr>
          <w:rFonts w:ascii="宋体" w:hAnsi="宋体" w:eastAsia="宋体" w:cs="宋体"/>
          <w:bCs/>
          <w:sz w:val="24"/>
          <w:szCs w:val="24"/>
        </w:rPr>
        <w:t>8.7 因系统不支持分项报价，投标人应根据本项目实际情况编辑投标分项报价表，在客户端系统中的“价格扣除---小型、微型企业产品”模块上传完整的《投标文件报价部分》，未按要求提交完整的《投标文件报价部分》，由此产生的不利后果由投标人自行承担。</w:t>
      </w:r>
    </w:p>
    <w:p>
      <w:pPr>
        <w:pStyle w:val="13"/>
        <w:spacing w:before="75" w:after="75"/>
        <w:rPr>
          <w:rFonts w:hint="default" w:ascii="宋体" w:hAnsi="宋体" w:eastAsia="宋体" w:cs="宋体"/>
          <w:bCs/>
          <w:sz w:val="24"/>
          <w:szCs w:val="24"/>
        </w:rPr>
      </w:pPr>
      <w:r>
        <w:rPr>
          <w:rFonts w:ascii="宋体" w:hAnsi="宋体" w:eastAsia="宋体" w:cs="宋体"/>
          <w:bCs/>
          <w:sz w:val="24"/>
          <w:szCs w:val="24"/>
        </w:rPr>
        <w:t xml:space="preserve"> </w:t>
      </w:r>
    </w:p>
    <w:p>
      <w:pPr>
        <w:pStyle w:val="13"/>
        <w:spacing w:before="75" w:after="75"/>
        <w:ind w:firstLine="480"/>
        <w:rPr>
          <w:rFonts w:hint="default" w:ascii="宋体" w:hAnsi="宋体" w:eastAsia="宋体" w:cs="宋体"/>
          <w:bCs/>
          <w:sz w:val="24"/>
          <w:szCs w:val="24"/>
        </w:rPr>
      </w:pPr>
      <w:r>
        <w:rPr>
          <w:rFonts w:ascii="宋体" w:hAnsi="宋体" w:eastAsia="宋体" w:cs="宋体"/>
          <w:bCs/>
          <w:sz w:val="24"/>
          <w:szCs w:val="24"/>
        </w:rPr>
        <w:t xml:space="preserve"> </w:t>
      </w:r>
    </w:p>
    <w:p>
      <w:pPr>
        <w:pStyle w:val="13"/>
        <w:spacing w:before="75" w:after="75"/>
        <w:ind w:firstLine="480"/>
        <w:rPr>
          <w:rFonts w:hint="default" w:ascii="黑体" w:hAnsi="黑体" w:eastAsia="黑体" w:cs="黑体"/>
          <w:b/>
          <w:sz w:val="31"/>
        </w:rPr>
      </w:pPr>
    </w:p>
    <w:p>
      <w:pPr>
        <w:pStyle w:val="13"/>
        <w:spacing w:before="75" w:after="75"/>
        <w:ind w:firstLine="480"/>
        <w:rPr>
          <w:rFonts w:hint="default" w:ascii="黑体" w:hAnsi="黑体" w:eastAsia="黑体" w:cs="黑体"/>
          <w:b/>
          <w:sz w:val="31"/>
        </w:rPr>
      </w:pPr>
    </w:p>
    <w:p>
      <w:pPr>
        <w:pStyle w:val="13"/>
        <w:spacing w:before="75" w:after="75"/>
        <w:ind w:firstLine="480"/>
        <w:rPr>
          <w:rFonts w:hint="default" w:ascii="黑体" w:hAnsi="黑体" w:eastAsia="黑体" w:cs="黑体"/>
          <w:b/>
          <w:sz w:val="31"/>
        </w:rPr>
      </w:pPr>
    </w:p>
    <w:p>
      <w:pPr>
        <w:pStyle w:val="13"/>
        <w:spacing w:before="75" w:after="75"/>
        <w:ind w:firstLine="480"/>
        <w:rPr>
          <w:rFonts w:hint="default" w:ascii="黑体" w:hAnsi="黑体" w:eastAsia="黑体" w:cs="黑体"/>
          <w:b/>
          <w:sz w:val="31"/>
        </w:rPr>
      </w:pPr>
    </w:p>
    <w:p>
      <w:pPr>
        <w:pStyle w:val="13"/>
        <w:spacing w:before="75" w:after="75"/>
        <w:ind w:firstLine="480"/>
        <w:rPr>
          <w:rFonts w:hint="default" w:ascii="黑体" w:hAnsi="黑体" w:eastAsia="黑体" w:cs="黑体"/>
          <w:b/>
          <w:sz w:val="31"/>
        </w:rPr>
      </w:pPr>
    </w:p>
    <w:p>
      <w:pPr>
        <w:pStyle w:val="13"/>
        <w:spacing w:before="75" w:after="75"/>
        <w:ind w:firstLine="480"/>
        <w:rPr>
          <w:rFonts w:hint="default" w:ascii="黑体" w:hAnsi="黑体" w:eastAsia="黑体" w:cs="黑体"/>
          <w:b/>
          <w:sz w:val="31"/>
        </w:rPr>
      </w:pPr>
    </w:p>
    <w:p>
      <w:pPr>
        <w:pStyle w:val="13"/>
        <w:spacing w:before="75" w:after="75"/>
        <w:ind w:firstLine="480"/>
        <w:rPr>
          <w:rFonts w:hint="default" w:ascii="黑体" w:hAnsi="黑体" w:eastAsia="黑体" w:cs="黑体"/>
          <w:b/>
          <w:sz w:val="31"/>
        </w:rPr>
      </w:pPr>
    </w:p>
    <w:p>
      <w:pPr>
        <w:pStyle w:val="13"/>
        <w:spacing w:before="75" w:after="75"/>
        <w:ind w:firstLine="480"/>
        <w:rPr>
          <w:rFonts w:hint="default" w:ascii="黑体" w:hAnsi="黑体" w:eastAsia="黑体" w:cs="黑体"/>
          <w:b/>
          <w:sz w:val="31"/>
        </w:rPr>
      </w:pPr>
    </w:p>
    <w:p>
      <w:pPr>
        <w:pStyle w:val="13"/>
        <w:spacing w:before="75" w:after="75"/>
        <w:ind w:firstLine="480"/>
        <w:rPr>
          <w:rFonts w:hint="default" w:ascii="黑体" w:hAnsi="黑体" w:eastAsia="黑体" w:cs="黑体"/>
          <w:b/>
          <w:sz w:val="31"/>
        </w:rPr>
      </w:pPr>
    </w:p>
    <w:p>
      <w:pPr>
        <w:pStyle w:val="13"/>
        <w:spacing w:before="75" w:after="75"/>
        <w:ind w:firstLine="480"/>
        <w:rPr>
          <w:rFonts w:hint="default" w:ascii="黑体" w:hAnsi="黑体" w:eastAsia="黑体" w:cs="黑体"/>
          <w:b/>
          <w:sz w:val="31"/>
        </w:rPr>
      </w:pPr>
    </w:p>
    <w:p>
      <w:pPr>
        <w:pStyle w:val="13"/>
        <w:spacing w:before="75" w:after="75"/>
        <w:ind w:firstLine="480"/>
        <w:rPr>
          <w:rFonts w:ascii="黑体" w:hAnsi="黑体" w:eastAsia="黑体" w:cs="黑体"/>
          <w:b/>
          <w:sz w:val="31"/>
        </w:rPr>
      </w:pPr>
    </w:p>
    <w:p>
      <w:pPr>
        <w:pStyle w:val="13"/>
        <w:spacing w:before="75" w:after="75"/>
        <w:ind w:firstLine="480"/>
        <w:rPr>
          <w:rFonts w:ascii="黑体" w:hAnsi="黑体" w:eastAsia="黑体" w:cs="黑体"/>
          <w:b/>
          <w:sz w:val="31"/>
        </w:rPr>
      </w:pPr>
    </w:p>
    <w:p>
      <w:pPr>
        <w:pStyle w:val="13"/>
        <w:spacing w:before="75" w:after="75"/>
        <w:ind w:firstLine="480"/>
        <w:rPr>
          <w:rFonts w:hint="default"/>
        </w:rPr>
      </w:pPr>
      <w:r>
        <w:rPr>
          <w:rFonts w:ascii="黑体" w:hAnsi="黑体" w:eastAsia="黑体" w:cs="黑体"/>
          <w:b/>
          <w:sz w:val="31"/>
        </w:rPr>
        <w:t>补充条款：</w:t>
      </w:r>
    </w:p>
    <w:p>
      <w:pPr>
        <w:pStyle w:val="13"/>
        <w:spacing w:before="75" w:after="75"/>
        <w:ind w:firstLine="480"/>
        <w:rPr>
          <w:rFonts w:hint="default"/>
        </w:rPr>
      </w:pPr>
      <w:r>
        <w:rPr>
          <w:rFonts w:ascii="楷体" w:hAnsi="楷体" w:eastAsia="楷体" w:cs="楷体"/>
          <w:b/>
          <w:sz w:val="31"/>
        </w:rPr>
        <w:t>说明：本补充条款为招标文件组成部分，补充条款内容与招标文件其他地方内容不一致的，以本补充条款内容为准。请投标人仔细阅读。</w:t>
      </w:r>
    </w:p>
    <w:p>
      <w:pPr>
        <w:pStyle w:val="13"/>
        <w:spacing w:before="75" w:after="75"/>
        <w:ind w:firstLine="480"/>
        <w:rPr>
          <w:rFonts w:hint="default"/>
        </w:rPr>
      </w:pPr>
      <w:r>
        <w:rPr>
          <w:rFonts w:ascii="黑体" w:hAnsi="黑体" w:eastAsia="黑体" w:cs="黑体"/>
          <w:b/>
          <w:sz w:val="31"/>
        </w:rPr>
        <w:t>一、对《第二章  投标人须知前附表》的内容补充如下：</w:t>
      </w:r>
    </w:p>
    <w:p>
      <w:pPr>
        <w:pStyle w:val="13"/>
        <w:spacing w:before="75" w:after="75"/>
        <w:ind w:firstLine="480"/>
        <w:jc w:val="center"/>
        <w:rPr>
          <w:rFonts w:hint="default"/>
        </w:rPr>
      </w:pPr>
      <w:r>
        <w:rPr>
          <w:rFonts w:ascii="黑体" w:hAnsi="黑体" w:eastAsia="黑体" w:cs="黑体"/>
          <w:b/>
          <w:sz w:val="28"/>
        </w:rPr>
        <w:t>一、投标人须知前附表1</w:t>
      </w:r>
    </w:p>
    <w:tbl>
      <w:tblPr>
        <w:tblStyle w:val="11"/>
        <w:tblW w:w="0" w:type="auto"/>
        <w:tblInd w:w="0" w:type="dxa"/>
        <w:tblLayout w:type="autofit"/>
        <w:tblCellMar>
          <w:top w:w="0" w:type="dxa"/>
          <w:left w:w="108" w:type="dxa"/>
          <w:bottom w:w="0" w:type="dxa"/>
          <w:right w:w="108" w:type="dxa"/>
        </w:tblCellMar>
      </w:tblPr>
      <w:tblGrid>
        <w:gridCol w:w="932"/>
        <w:gridCol w:w="1295"/>
        <w:gridCol w:w="6266"/>
      </w:tblGrid>
      <w:tr>
        <w:tblPrEx>
          <w:tblCellMar>
            <w:top w:w="0" w:type="dxa"/>
            <w:left w:w="108" w:type="dxa"/>
            <w:bottom w:w="0" w:type="dxa"/>
            <w:right w:w="108" w:type="dxa"/>
          </w:tblCellMar>
        </w:tblPrEx>
        <w:tc>
          <w:tcPr>
            <w:tcW w:w="93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tcPr>
          <w:p>
            <w:pPr>
              <w:pStyle w:val="13"/>
              <w:ind w:firstLine="480"/>
              <w:jc w:val="center"/>
              <w:rPr>
                <w:rFonts w:hint="default"/>
              </w:rPr>
            </w:pPr>
            <w:r>
              <w:rPr>
                <w:rFonts w:ascii="宋体" w:hAnsi="宋体" w:eastAsia="宋体" w:cs="宋体"/>
                <w:b/>
                <w:sz w:val="24"/>
              </w:rPr>
              <w:t>项号</w:t>
            </w:r>
          </w:p>
        </w:tc>
        <w:tc>
          <w:tcPr>
            <w:tcW w:w="1295"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pPr>
              <w:pStyle w:val="13"/>
              <w:ind w:firstLine="480"/>
              <w:jc w:val="center"/>
              <w:rPr>
                <w:rFonts w:hint="default"/>
              </w:rPr>
            </w:pPr>
            <w:r>
              <w:rPr>
                <w:rFonts w:ascii="宋体" w:hAnsi="宋体" w:eastAsia="宋体" w:cs="宋体"/>
                <w:b/>
                <w:sz w:val="24"/>
              </w:rPr>
              <w:t>招标文件</w:t>
            </w:r>
          </w:p>
          <w:p>
            <w:pPr>
              <w:pStyle w:val="13"/>
              <w:ind w:firstLine="480"/>
              <w:jc w:val="center"/>
              <w:rPr>
                <w:rFonts w:hint="default"/>
              </w:rPr>
            </w:pPr>
            <w:r>
              <w:rPr>
                <w:rFonts w:ascii="宋体" w:hAnsi="宋体" w:eastAsia="宋体" w:cs="宋体"/>
                <w:b/>
                <w:sz w:val="24"/>
              </w:rPr>
              <w:t>（第三章）</w:t>
            </w:r>
          </w:p>
        </w:tc>
        <w:tc>
          <w:tcPr>
            <w:tcW w:w="6266"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pPr>
              <w:pStyle w:val="13"/>
              <w:ind w:firstLine="480"/>
              <w:jc w:val="center"/>
              <w:rPr>
                <w:rFonts w:hint="default"/>
              </w:rPr>
            </w:pPr>
            <w:r>
              <w:rPr>
                <w:rFonts w:ascii="宋体" w:hAnsi="宋体" w:eastAsia="宋体" w:cs="宋体"/>
                <w:b/>
                <w:sz w:val="24"/>
              </w:rPr>
              <w:t>编列内容</w:t>
            </w:r>
          </w:p>
        </w:tc>
      </w:tr>
      <w:tr>
        <w:tblPrEx>
          <w:tblCellMar>
            <w:top w:w="0" w:type="dxa"/>
            <w:left w:w="108" w:type="dxa"/>
            <w:bottom w:w="0" w:type="dxa"/>
            <w:right w:w="108" w:type="dxa"/>
          </w:tblCellMar>
        </w:tblPrEx>
        <w:tc>
          <w:tcPr>
            <w:tcW w:w="9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13"/>
              <w:ind w:firstLine="480"/>
              <w:jc w:val="center"/>
              <w:rPr>
                <w:rFonts w:hint="default"/>
              </w:rPr>
            </w:pPr>
            <w:r>
              <w:rPr>
                <w:rFonts w:ascii="宋体" w:hAnsi="宋体" w:eastAsia="宋体" w:cs="宋体"/>
                <w:b/>
                <w:sz w:val="24"/>
              </w:rPr>
              <w:t>8</w:t>
            </w:r>
          </w:p>
        </w:tc>
        <w:tc>
          <w:tcPr>
            <w:tcW w:w="1295" w:type="dxa"/>
            <w:tcBorders>
              <w:top w:val="nil"/>
              <w:left w:val="nil"/>
              <w:bottom w:val="single" w:color="000000" w:sz="4" w:space="0"/>
              <w:right w:val="single" w:color="000000" w:sz="4" w:space="0"/>
            </w:tcBorders>
            <w:tcMar>
              <w:top w:w="0" w:type="dxa"/>
              <w:left w:w="105" w:type="dxa"/>
              <w:bottom w:w="0" w:type="dxa"/>
              <w:right w:w="105" w:type="dxa"/>
            </w:tcMar>
          </w:tcPr>
          <w:p>
            <w:pPr>
              <w:pStyle w:val="13"/>
              <w:ind w:firstLine="480"/>
              <w:jc w:val="center"/>
              <w:rPr>
                <w:rFonts w:hint="default"/>
              </w:rPr>
            </w:pPr>
            <w:r>
              <w:rPr>
                <w:rFonts w:ascii="宋体" w:hAnsi="宋体" w:eastAsia="宋体" w:cs="宋体"/>
                <w:b/>
                <w:sz w:val="24"/>
              </w:rPr>
              <w:t>15.1-（2）</w:t>
            </w:r>
          </w:p>
        </w:tc>
        <w:tc>
          <w:tcPr>
            <w:tcW w:w="6266" w:type="dxa"/>
            <w:tcBorders>
              <w:top w:val="nil"/>
              <w:left w:val="nil"/>
              <w:bottom w:val="single" w:color="000000" w:sz="4" w:space="0"/>
              <w:right w:val="single" w:color="000000" w:sz="4" w:space="0"/>
            </w:tcBorders>
            <w:tcMar>
              <w:top w:w="0" w:type="dxa"/>
              <w:left w:w="105" w:type="dxa"/>
              <w:bottom w:w="0" w:type="dxa"/>
              <w:right w:w="105" w:type="dxa"/>
            </w:tcMar>
          </w:tcPr>
          <w:p>
            <w:pPr>
              <w:pStyle w:val="13"/>
              <w:ind w:firstLine="480"/>
              <w:rPr>
                <w:rFonts w:hint="default"/>
              </w:rPr>
            </w:pPr>
            <w:r>
              <w:rPr>
                <w:rFonts w:ascii="宋体" w:hAnsi="宋体" w:eastAsia="宋体" w:cs="宋体"/>
                <w:b/>
                <w:sz w:val="24"/>
              </w:rPr>
              <w:t>质疑函应采用下列方式之一提交：</w:t>
            </w:r>
          </w:p>
          <w:p>
            <w:pPr>
              <w:pStyle w:val="13"/>
              <w:ind w:firstLine="480"/>
              <w:rPr>
                <w:rFonts w:hint="default"/>
              </w:rPr>
            </w:pPr>
            <w:r>
              <w:rPr>
                <w:rFonts w:ascii="宋体" w:hAnsi="宋体" w:eastAsia="宋体" w:cs="宋体"/>
                <w:b/>
                <w:sz w:val="24"/>
              </w:rPr>
              <w:t>（1）邮件形式：将质疑函原件扫描发送至邮箱：</w:t>
            </w:r>
            <w:r>
              <w:rPr>
                <w:rFonts w:ascii="宋体" w:hAnsi="宋体" w:eastAsia="宋体" w:cs="宋体"/>
                <w:b/>
                <w:sz w:val="24"/>
                <w:lang w:eastAsia="zh-CN"/>
              </w:rPr>
              <w:t>qzxf2013</w:t>
            </w:r>
            <w:r>
              <w:rPr>
                <w:rFonts w:ascii="宋体" w:hAnsi="宋体" w:eastAsia="宋体" w:cs="宋体"/>
                <w:b/>
                <w:sz w:val="24"/>
              </w:rPr>
              <w:t>@163.com。收到质疑函的时间以邮箱显示的收到时间为准。质疑答复过程中需要核对原件的，质疑人应提供原件核查，否则相关资料可能不被认可。</w:t>
            </w:r>
          </w:p>
          <w:p>
            <w:pPr>
              <w:pStyle w:val="13"/>
              <w:ind w:firstLine="480"/>
              <w:rPr>
                <w:rFonts w:hint="default"/>
              </w:rPr>
            </w:pPr>
            <w:r>
              <w:rPr>
                <w:rFonts w:ascii="宋体" w:hAnsi="宋体" w:eastAsia="宋体" w:cs="宋体"/>
                <w:b/>
                <w:sz w:val="24"/>
              </w:rPr>
              <w:t>（2）快递形式：将质疑函原件快递至</w:t>
            </w:r>
            <w:r>
              <w:rPr>
                <w:rFonts w:ascii="宋体" w:hAnsi="宋体" w:eastAsia="宋体" w:cs="宋体"/>
                <w:b/>
                <w:sz w:val="24"/>
                <w:lang w:eastAsia="zh-CN"/>
              </w:rPr>
              <w:t>泉州市丰泽区东海大街和园第8幢临街商铺3楼278号</w:t>
            </w:r>
            <w:r>
              <w:rPr>
                <w:rFonts w:ascii="宋体" w:hAnsi="宋体" w:eastAsia="宋体" w:cs="宋体"/>
                <w:b/>
                <w:sz w:val="24"/>
              </w:rPr>
              <w:t>，收件人：</w:t>
            </w:r>
            <w:r>
              <w:rPr>
                <w:rFonts w:ascii="宋体" w:hAnsi="宋体" w:eastAsia="宋体" w:cs="宋体"/>
                <w:b/>
                <w:sz w:val="24"/>
                <w:lang w:eastAsia="zh-CN"/>
              </w:rPr>
              <w:t>庄</w:t>
            </w:r>
            <w:r>
              <w:rPr>
                <w:rFonts w:ascii="宋体" w:hAnsi="宋体" w:eastAsia="宋体" w:cs="宋体"/>
                <w:b/>
                <w:sz w:val="24"/>
              </w:rPr>
              <w:t>小姐，电话：059</w:t>
            </w:r>
            <w:r>
              <w:rPr>
                <w:rFonts w:ascii="宋体" w:hAnsi="宋体" w:eastAsia="宋体" w:cs="宋体"/>
                <w:b/>
                <w:sz w:val="24"/>
                <w:lang w:eastAsia="zh-CN"/>
              </w:rPr>
              <w:t>5</w:t>
            </w:r>
            <w:r>
              <w:rPr>
                <w:rFonts w:ascii="宋体" w:hAnsi="宋体" w:eastAsia="宋体" w:cs="宋体"/>
                <w:b/>
                <w:sz w:val="24"/>
              </w:rPr>
              <w:t>-2</w:t>
            </w:r>
            <w:r>
              <w:rPr>
                <w:rFonts w:ascii="宋体" w:hAnsi="宋体" w:eastAsia="宋体" w:cs="宋体"/>
                <w:b/>
                <w:sz w:val="24"/>
                <w:lang w:eastAsia="zh-CN"/>
              </w:rPr>
              <w:t>893752</w:t>
            </w:r>
            <w:r>
              <w:rPr>
                <w:rFonts w:ascii="宋体" w:hAnsi="宋体" w:eastAsia="宋体" w:cs="宋体"/>
                <w:b/>
                <w:sz w:val="24"/>
              </w:rPr>
              <w:t>8。收到质疑函的时间以快递签收时间为准。</w:t>
            </w:r>
          </w:p>
          <w:p>
            <w:pPr>
              <w:pStyle w:val="13"/>
              <w:ind w:firstLine="480"/>
              <w:rPr>
                <w:rFonts w:hint="default"/>
              </w:rPr>
            </w:pPr>
            <w:r>
              <w:rPr>
                <w:rFonts w:ascii="宋体" w:hAnsi="宋体" w:eastAsia="宋体" w:cs="宋体"/>
                <w:b/>
                <w:sz w:val="24"/>
              </w:rPr>
              <w:t>（3）现场送达：将质疑函原件现场送至</w:t>
            </w:r>
            <w:r>
              <w:rPr>
                <w:rFonts w:ascii="宋体" w:hAnsi="宋体" w:eastAsia="宋体" w:cs="宋体"/>
                <w:b/>
                <w:sz w:val="24"/>
                <w:lang w:eastAsia="zh-CN"/>
              </w:rPr>
              <w:t>泉州市丰泽区东海大街和园第8幢临街商铺3楼278号</w:t>
            </w:r>
            <w:r>
              <w:rPr>
                <w:rFonts w:ascii="宋体" w:hAnsi="宋体" w:eastAsia="宋体" w:cs="宋体"/>
                <w:b/>
                <w:sz w:val="24"/>
              </w:rPr>
              <w:t>。收到质疑函的时间以前台签收时间为准。</w:t>
            </w:r>
          </w:p>
          <w:p>
            <w:pPr>
              <w:pStyle w:val="13"/>
              <w:ind w:firstLine="480"/>
              <w:rPr>
                <w:rFonts w:hint="default"/>
              </w:rPr>
            </w:pPr>
            <w:r>
              <w:rPr>
                <w:rFonts w:ascii="宋体" w:hAnsi="宋体" w:eastAsia="宋体" w:cs="宋体"/>
                <w:b/>
                <w:sz w:val="24"/>
              </w:rPr>
              <w:t>注：提交质疑函须附上系统报名截图，质疑函须符合第三章第15条质疑的要求。</w:t>
            </w:r>
          </w:p>
        </w:tc>
      </w:tr>
      <w:tr>
        <w:tblPrEx>
          <w:tblCellMar>
            <w:top w:w="0" w:type="dxa"/>
            <w:left w:w="108" w:type="dxa"/>
            <w:bottom w:w="0" w:type="dxa"/>
            <w:right w:w="108" w:type="dxa"/>
          </w:tblCellMar>
        </w:tblPrEx>
        <w:tc>
          <w:tcPr>
            <w:tcW w:w="9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13"/>
              <w:ind w:firstLine="480"/>
              <w:jc w:val="center"/>
              <w:rPr>
                <w:rFonts w:hint="default"/>
              </w:rPr>
            </w:pPr>
            <w:r>
              <w:rPr>
                <w:rFonts w:ascii="宋体" w:hAnsi="宋体" w:eastAsia="宋体" w:cs="宋体"/>
                <w:b/>
                <w:sz w:val="24"/>
              </w:rPr>
              <w:t>12</w:t>
            </w:r>
          </w:p>
        </w:tc>
        <w:tc>
          <w:tcPr>
            <w:tcW w:w="1295" w:type="dxa"/>
            <w:tcBorders>
              <w:top w:val="nil"/>
              <w:left w:val="nil"/>
              <w:bottom w:val="single" w:color="000000" w:sz="4" w:space="0"/>
              <w:right w:val="single" w:color="000000" w:sz="4" w:space="0"/>
            </w:tcBorders>
            <w:tcMar>
              <w:top w:w="0" w:type="dxa"/>
              <w:left w:w="105" w:type="dxa"/>
              <w:bottom w:w="0" w:type="dxa"/>
              <w:right w:w="105" w:type="dxa"/>
            </w:tcMar>
          </w:tcPr>
          <w:p>
            <w:pPr>
              <w:pStyle w:val="13"/>
              <w:ind w:firstLine="480"/>
              <w:jc w:val="center"/>
              <w:rPr>
                <w:rFonts w:hint="default"/>
              </w:rPr>
            </w:pPr>
            <w:r>
              <w:rPr>
                <w:rFonts w:ascii="宋体" w:hAnsi="宋体" w:eastAsia="宋体" w:cs="宋体"/>
                <w:b/>
                <w:sz w:val="24"/>
              </w:rPr>
              <w:t>17.2</w:t>
            </w:r>
          </w:p>
        </w:tc>
        <w:tc>
          <w:tcPr>
            <w:tcW w:w="6266" w:type="dxa"/>
            <w:tcBorders>
              <w:top w:val="nil"/>
              <w:left w:val="nil"/>
              <w:bottom w:val="single" w:color="000000" w:sz="4" w:space="0"/>
              <w:right w:val="single" w:color="000000" w:sz="4" w:space="0"/>
            </w:tcBorders>
            <w:tcMar>
              <w:top w:w="0" w:type="dxa"/>
              <w:left w:w="105" w:type="dxa"/>
              <w:bottom w:w="0" w:type="dxa"/>
              <w:right w:w="105" w:type="dxa"/>
            </w:tcMar>
          </w:tcPr>
          <w:p>
            <w:pPr>
              <w:pStyle w:val="13"/>
              <w:ind w:firstLine="480"/>
              <w:rPr>
                <w:rFonts w:hint="default"/>
              </w:rPr>
            </w:pPr>
            <w:r>
              <w:rPr>
                <w:rFonts w:ascii="宋体" w:hAnsi="宋体" w:eastAsia="宋体" w:cs="宋体"/>
                <w:b/>
                <w:sz w:val="24"/>
              </w:rPr>
              <w:t>本项目中强制采购节能产品的货物名称：</w:t>
            </w:r>
          </w:p>
          <w:p>
            <w:pPr>
              <w:pStyle w:val="13"/>
              <w:ind w:firstLine="480"/>
              <w:rPr>
                <w:rFonts w:hint="default"/>
              </w:rPr>
            </w:pPr>
            <w:r>
              <w:rPr>
                <w:rFonts w:ascii="宋体" w:hAnsi="宋体" w:eastAsia="宋体" w:cs="宋体"/>
                <w:b/>
                <w:sz w:val="24"/>
              </w:rPr>
              <w:t>采购包1：无。</w:t>
            </w:r>
          </w:p>
          <w:p>
            <w:pPr>
              <w:pStyle w:val="13"/>
              <w:ind w:firstLine="480"/>
              <w:rPr>
                <w:rFonts w:hint="default"/>
              </w:rPr>
            </w:pPr>
            <w:r>
              <w:rPr>
                <w:rFonts w:ascii="宋体" w:hAnsi="宋体" w:eastAsia="宋体" w:cs="宋体"/>
                <w:b/>
                <w:sz w:val="24"/>
              </w:rPr>
              <w:t>注：</w:t>
            </w:r>
            <w:r>
              <w:rPr>
                <w:rFonts w:ascii="宋体" w:hAnsi="宋体" w:eastAsia="宋体" w:cs="宋体"/>
                <w:b/>
                <w:sz w:val="24"/>
                <w:highlight w:val="none"/>
              </w:rPr>
              <w:t>投标人所投上述产品必须具有节能产品认证证书，并提供依据国家确定的认证机构出具的、处于有效期之内的节能产品认证证书复印件，否则投标无效。</w:t>
            </w:r>
          </w:p>
        </w:tc>
      </w:tr>
      <w:tr>
        <w:tblPrEx>
          <w:tblCellMar>
            <w:top w:w="0" w:type="dxa"/>
            <w:left w:w="108" w:type="dxa"/>
            <w:bottom w:w="0" w:type="dxa"/>
            <w:right w:w="108" w:type="dxa"/>
          </w:tblCellMar>
        </w:tblPrEx>
        <w:tc>
          <w:tcPr>
            <w:tcW w:w="93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13"/>
              <w:ind w:firstLine="480"/>
              <w:jc w:val="center"/>
              <w:rPr>
                <w:rFonts w:hint="default"/>
              </w:rPr>
            </w:pPr>
            <w:r>
              <w:rPr>
                <w:rFonts w:ascii="宋体" w:hAnsi="宋体" w:eastAsia="宋体" w:cs="宋体"/>
                <w:b/>
                <w:sz w:val="24"/>
              </w:rPr>
              <w:t>12</w:t>
            </w:r>
          </w:p>
        </w:tc>
        <w:tc>
          <w:tcPr>
            <w:tcW w:w="1295" w:type="dxa"/>
            <w:tcBorders>
              <w:top w:val="nil"/>
              <w:left w:val="nil"/>
              <w:bottom w:val="single" w:color="000000" w:sz="4" w:space="0"/>
              <w:right w:val="single" w:color="000000" w:sz="4" w:space="0"/>
            </w:tcBorders>
            <w:tcMar>
              <w:top w:w="0" w:type="dxa"/>
              <w:left w:w="105" w:type="dxa"/>
              <w:bottom w:w="0" w:type="dxa"/>
              <w:right w:w="105" w:type="dxa"/>
            </w:tcMar>
          </w:tcPr>
          <w:p>
            <w:pPr>
              <w:pStyle w:val="13"/>
              <w:ind w:firstLine="480"/>
              <w:jc w:val="center"/>
              <w:rPr>
                <w:rFonts w:hint="default"/>
              </w:rPr>
            </w:pPr>
            <w:r>
              <w:rPr>
                <w:rFonts w:ascii="宋体" w:hAnsi="宋体" w:eastAsia="宋体" w:cs="宋体"/>
                <w:b/>
                <w:sz w:val="24"/>
              </w:rPr>
              <w:t>19</w:t>
            </w:r>
          </w:p>
        </w:tc>
        <w:tc>
          <w:tcPr>
            <w:tcW w:w="6266" w:type="dxa"/>
            <w:tcBorders>
              <w:top w:val="nil"/>
              <w:left w:val="nil"/>
              <w:bottom w:val="single" w:color="000000" w:sz="4" w:space="0"/>
              <w:right w:val="single" w:color="000000" w:sz="4" w:space="0"/>
            </w:tcBorders>
            <w:tcMar>
              <w:top w:w="0" w:type="dxa"/>
              <w:left w:w="105" w:type="dxa"/>
              <w:bottom w:w="0" w:type="dxa"/>
              <w:right w:w="105" w:type="dxa"/>
            </w:tcMar>
          </w:tcPr>
          <w:p>
            <w:pPr>
              <w:pStyle w:val="13"/>
              <w:ind w:firstLine="480"/>
              <w:rPr>
                <w:rFonts w:hint="default" w:eastAsia="宋体"/>
                <w:highlight w:val="none"/>
                <w:lang w:val="en-US" w:eastAsia="zh-CN"/>
              </w:rPr>
            </w:pPr>
            <w:r>
              <w:rPr>
                <w:rFonts w:ascii="宋体" w:hAnsi="宋体" w:eastAsia="宋体" w:cs="宋体"/>
                <w:b/>
                <w:sz w:val="24"/>
                <w:highlight w:val="none"/>
              </w:rPr>
              <w:t>本项目的核心产品为：</w:t>
            </w:r>
            <w:r>
              <w:rPr>
                <w:rFonts w:hint="eastAsia" w:ascii="宋体" w:hAnsi="宋体" w:eastAsia="宋体" w:cs="宋体"/>
                <w:b/>
                <w:sz w:val="24"/>
                <w:highlight w:val="none"/>
              </w:rPr>
              <w:t>80吋激光高清显示单元</w:t>
            </w:r>
          </w:p>
          <w:p>
            <w:pPr>
              <w:pStyle w:val="13"/>
              <w:ind w:firstLine="480"/>
              <w:rPr>
                <w:rFonts w:hint="default"/>
                <w:highlight w:val="none"/>
              </w:rPr>
            </w:pPr>
            <w:r>
              <w:rPr>
                <w:rFonts w:ascii="宋体" w:hAnsi="宋体" w:eastAsia="宋体" w:cs="宋体"/>
                <w:b/>
                <w:sz w:val="24"/>
                <w:highlight w:val="none"/>
              </w:rPr>
              <w:t>采购包1：</w:t>
            </w:r>
          </w:p>
          <w:p>
            <w:pPr>
              <w:pStyle w:val="13"/>
              <w:ind w:firstLine="480"/>
              <w:rPr>
                <w:rFonts w:hint="default"/>
              </w:rPr>
            </w:pPr>
            <w:r>
              <w:rPr>
                <w:rFonts w:ascii="宋体" w:hAnsi="宋体" w:eastAsia="宋体" w:cs="宋体"/>
                <w:b/>
                <w:sz w:val="24"/>
              </w:rPr>
              <w:t>注：多家投标人提供的核心产品中有任意一个对应产品品牌相同的，按照第四章第6.4条第（2）款第①、②规定处理。</w:t>
            </w:r>
          </w:p>
        </w:tc>
      </w:tr>
    </w:tbl>
    <w:p>
      <w:pPr>
        <w:pStyle w:val="13"/>
        <w:spacing w:before="75" w:after="75"/>
        <w:ind w:firstLine="480"/>
        <w:rPr>
          <w:rFonts w:hint="default"/>
        </w:rPr>
      </w:pPr>
      <w:r>
        <w:rPr>
          <w:b/>
        </w:rPr>
        <w:t xml:space="preserve"> </w:t>
      </w:r>
    </w:p>
    <w:p>
      <w:pPr>
        <w:pStyle w:val="13"/>
        <w:spacing w:before="75" w:after="75"/>
        <w:ind w:firstLine="480"/>
        <w:rPr>
          <w:rFonts w:ascii="黑体" w:hAnsi="黑体" w:eastAsia="黑体" w:cs="黑体"/>
          <w:b/>
          <w:sz w:val="24"/>
          <w:szCs w:val="24"/>
          <w:highlight w:val="yellow"/>
        </w:rPr>
      </w:pPr>
    </w:p>
    <w:p>
      <w:pPr>
        <w:pStyle w:val="13"/>
        <w:spacing w:before="75" w:after="75"/>
        <w:ind w:firstLine="480"/>
        <w:rPr>
          <w:rFonts w:hint="default"/>
          <w:sz w:val="24"/>
          <w:szCs w:val="24"/>
          <w:highlight w:val="none"/>
        </w:rPr>
      </w:pPr>
      <w:r>
        <w:rPr>
          <w:rFonts w:ascii="黑体" w:hAnsi="黑体" w:eastAsia="黑体" w:cs="黑体"/>
          <w:b/>
          <w:sz w:val="24"/>
          <w:szCs w:val="24"/>
          <w:highlight w:val="none"/>
        </w:rPr>
        <w:t>二、对《第三章  投标人须知》的内容补充如下：</w:t>
      </w:r>
    </w:p>
    <w:p>
      <w:pPr>
        <w:pStyle w:val="13"/>
        <w:spacing w:before="75" w:after="75"/>
        <w:ind w:firstLine="480"/>
        <w:rPr>
          <w:rFonts w:hint="default"/>
          <w:sz w:val="24"/>
          <w:szCs w:val="24"/>
          <w:highlight w:val="none"/>
        </w:rPr>
      </w:pPr>
      <w:r>
        <w:rPr>
          <w:rFonts w:ascii="黑体" w:hAnsi="黑体" w:eastAsia="黑体" w:cs="黑体"/>
          <w:b/>
          <w:sz w:val="24"/>
          <w:szCs w:val="24"/>
          <w:highlight w:val="none"/>
        </w:rPr>
        <w:t>（一）《八、政府采购政策》内容补充如下：</w:t>
      </w:r>
    </w:p>
    <w:p>
      <w:pPr>
        <w:pStyle w:val="13"/>
        <w:spacing w:before="75" w:after="75"/>
        <w:ind w:firstLine="480"/>
        <w:rPr>
          <w:rFonts w:hint="default"/>
          <w:sz w:val="24"/>
          <w:szCs w:val="24"/>
          <w:highlight w:val="none"/>
        </w:rPr>
      </w:pPr>
      <w:r>
        <w:rPr>
          <w:rFonts w:ascii="宋体" w:hAnsi="宋体" w:eastAsia="宋体" w:cs="宋体"/>
          <w:b/>
          <w:sz w:val="24"/>
          <w:szCs w:val="24"/>
          <w:highlight w:val="none"/>
        </w:rPr>
        <w:t>预留份额专门面向中小企业采购要求：</w:t>
      </w:r>
    </w:p>
    <w:tbl>
      <w:tblPr>
        <w:tblStyle w:val="11"/>
        <w:tblW w:w="0" w:type="auto"/>
        <w:tblInd w:w="0" w:type="dxa"/>
        <w:tblLayout w:type="autofit"/>
        <w:tblCellMar>
          <w:top w:w="0" w:type="dxa"/>
          <w:left w:w="108" w:type="dxa"/>
          <w:bottom w:w="0" w:type="dxa"/>
          <w:right w:w="108" w:type="dxa"/>
        </w:tblCellMar>
      </w:tblPr>
      <w:tblGrid>
        <w:gridCol w:w="1876"/>
        <w:gridCol w:w="6430"/>
      </w:tblGrid>
      <w:tr>
        <w:tblPrEx>
          <w:tblCellMar>
            <w:top w:w="0" w:type="dxa"/>
            <w:left w:w="108" w:type="dxa"/>
            <w:bottom w:w="0" w:type="dxa"/>
            <w:right w:w="108" w:type="dxa"/>
          </w:tblCellMar>
        </w:tblPrEx>
        <w:tc>
          <w:tcPr>
            <w:tcW w:w="187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tcPr>
          <w:p>
            <w:pPr>
              <w:pStyle w:val="13"/>
              <w:ind w:firstLine="480"/>
              <w:jc w:val="center"/>
              <w:rPr>
                <w:rFonts w:hint="default"/>
                <w:sz w:val="24"/>
                <w:szCs w:val="24"/>
                <w:highlight w:val="none"/>
              </w:rPr>
            </w:pPr>
            <w:r>
              <w:rPr>
                <w:rFonts w:ascii="宋体" w:hAnsi="宋体" w:eastAsia="宋体" w:cs="宋体"/>
                <w:b/>
                <w:sz w:val="24"/>
                <w:szCs w:val="24"/>
                <w:highlight w:val="none"/>
              </w:rPr>
              <w:t>投标货物需满足的条件</w:t>
            </w:r>
          </w:p>
        </w:tc>
        <w:tc>
          <w:tcPr>
            <w:tcW w:w="6430"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pPr>
              <w:pStyle w:val="13"/>
              <w:rPr>
                <w:rFonts w:hint="default"/>
                <w:sz w:val="24"/>
                <w:szCs w:val="24"/>
                <w:highlight w:val="none"/>
              </w:rPr>
            </w:pPr>
            <w:r>
              <w:rPr>
                <w:rFonts w:ascii="宋体" w:hAnsi="宋体" w:eastAsia="宋体" w:cs="宋体"/>
                <w:b/>
                <w:sz w:val="24"/>
                <w:szCs w:val="24"/>
                <w:highlight w:val="none"/>
              </w:rPr>
              <w:t>1、投标货物需满足以下条件，否则投标无效：</w:t>
            </w:r>
          </w:p>
          <w:p>
            <w:pPr>
              <w:pStyle w:val="13"/>
              <w:ind w:firstLine="480"/>
              <w:rPr>
                <w:rFonts w:hint="default"/>
                <w:sz w:val="24"/>
                <w:szCs w:val="24"/>
                <w:highlight w:val="none"/>
              </w:rPr>
            </w:pPr>
            <w:r>
              <w:rPr>
                <w:rFonts w:ascii="宋体" w:hAnsi="宋体" w:eastAsia="宋体" w:cs="宋体"/>
                <w:b/>
                <w:sz w:val="24"/>
                <w:szCs w:val="24"/>
                <w:highlight w:val="none"/>
              </w:rPr>
              <w:t>（1）投标货物中，由中小企业制造的货物金额占比需达到特定资格条件要求的比例。</w:t>
            </w:r>
          </w:p>
          <w:p>
            <w:pPr>
              <w:pStyle w:val="13"/>
              <w:ind w:firstLine="480"/>
              <w:rPr>
                <w:rFonts w:hint="default"/>
                <w:sz w:val="24"/>
                <w:szCs w:val="24"/>
                <w:highlight w:val="none"/>
              </w:rPr>
            </w:pPr>
            <w:r>
              <w:rPr>
                <w:rFonts w:ascii="宋体" w:hAnsi="宋体" w:eastAsia="宋体" w:cs="宋体"/>
                <w:b/>
                <w:sz w:val="24"/>
                <w:szCs w:val="24"/>
                <w:highlight w:val="none"/>
              </w:rPr>
              <w:t>（2）中小企业制造指货物由中小企业生产且使用该中小企业商号或者注册商标。</w:t>
            </w:r>
          </w:p>
          <w:p>
            <w:pPr>
              <w:pStyle w:val="13"/>
              <w:ind w:firstLine="480"/>
              <w:rPr>
                <w:rFonts w:hint="default"/>
                <w:sz w:val="24"/>
                <w:szCs w:val="24"/>
                <w:highlight w:val="none"/>
              </w:rPr>
            </w:pPr>
            <w:r>
              <w:rPr>
                <w:rFonts w:ascii="宋体" w:hAnsi="宋体" w:eastAsia="宋体" w:cs="宋体"/>
                <w:b/>
                <w:sz w:val="24"/>
                <w:szCs w:val="24"/>
                <w:highlight w:val="none"/>
              </w:rPr>
              <w:t>（3）制造企业虽然自身是中小企业，但其与大企业的负责人为同一人，或者与大企业存在直接控股、管理关系的，则视为不属于中小企业。</w:t>
            </w:r>
          </w:p>
          <w:p>
            <w:pPr>
              <w:pStyle w:val="13"/>
              <w:ind w:firstLine="480"/>
              <w:rPr>
                <w:rFonts w:hint="default"/>
                <w:sz w:val="24"/>
                <w:szCs w:val="24"/>
                <w:highlight w:val="none"/>
              </w:rPr>
            </w:pPr>
            <w:r>
              <w:rPr>
                <w:rFonts w:ascii="宋体" w:hAnsi="宋体" w:eastAsia="宋体" w:cs="宋体"/>
                <w:b/>
                <w:sz w:val="24"/>
                <w:szCs w:val="24"/>
                <w:highlight w:val="none"/>
              </w:rPr>
              <w:t>2、监狱企业视同小型、微型企业，若货物制造企业为监狱企业的，提供由省级以上监狱管理局、戒毒管理局（含新疆生产建设兵团）出具的属于监狱企业的证明文件。</w:t>
            </w:r>
          </w:p>
          <w:p>
            <w:pPr>
              <w:pStyle w:val="13"/>
              <w:ind w:firstLine="480"/>
              <w:rPr>
                <w:rFonts w:hint="default"/>
                <w:sz w:val="24"/>
                <w:szCs w:val="24"/>
                <w:highlight w:val="none"/>
              </w:rPr>
            </w:pPr>
            <w:r>
              <w:rPr>
                <w:rFonts w:ascii="宋体" w:hAnsi="宋体" w:eastAsia="宋体" w:cs="宋体"/>
                <w:b/>
                <w:sz w:val="24"/>
                <w:szCs w:val="24"/>
                <w:highlight w:val="none"/>
              </w:rPr>
              <w:t>3、残疾人福利性单位视同小型、微型企业，若货物制造企业为残疾人福利性单位的，提供《残疾人福利性单位声明函》。</w:t>
            </w:r>
          </w:p>
        </w:tc>
      </w:tr>
      <w:tr>
        <w:tblPrEx>
          <w:tblCellMar>
            <w:top w:w="0" w:type="dxa"/>
            <w:left w:w="108" w:type="dxa"/>
            <w:bottom w:w="0" w:type="dxa"/>
            <w:right w:w="108" w:type="dxa"/>
          </w:tblCellMar>
        </w:tblPrEx>
        <w:tc>
          <w:tcPr>
            <w:tcW w:w="1876"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13"/>
              <w:ind w:firstLine="480"/>
              <w:jc w:val="center"/>
              <w:rPr>
                <w:rFonts w:hint="default"/>
                <w:sz w:val="24"/>
                <w:szCs w:val="24"/>
                <w:highlight w:val="none"/>
              </w:rPr>
            </w:pPr>
            <w:r>
              <w:rPr>
                <w:rFonts w:ascii="宋体" w:hAnsi="宋体" w:eastAsia="宋体" w:cs="宋体"/>
                <w:b/>
                <w:sz w:val="24"/>
                <w:szCs w:val="24"/>
                <w:highlight w:val="none"/>
              </w:rPr>
              <w:t>需提供的材料</w:t>
            </w:r>
          </w:p>
        </w:tc>
        <w:tc>
          <w:tcPr>
            <w:tcW w:w="6430" w:type="dxa"/>
            <w:tcBorders>
              <w:top w:val="nil"/>
              <w:left w:val="nil"/>
              <w:bottom w:val="single" w:color="000000" w:sz="4" w:space="0"/>
              <w:right w:val="single" w:color="000000" w:sz="4" w:space="0"/>
            </w:tcBorders>
            <w:tcMar>
              <w:top w:w="0" w:type="dxa"/>
              <w:left w:w="105" w:type="dxa"/>
              <w:bottom w:w="0" w:type="dxa"/>
              <w:right w:w="105" w:type="dxa"/>
            </w:tcMar>
          </w:tcPr>
          <w:p>
            <w:pPr>
              <w:pStyle w:val="13"/>
              <w:ind w:firstLine="480"/>
              <w:rPr>
                <w:rFonts w:hint="default"/>
                <w:sz w:val="24"/>
                <w:szCs w:val="24"/>
                <w:highlight w:val="none"/>
              </w:rPr>
            </w:pPr>
            <w:r>
              <w:rPr>
                <w:rFonts w:ascii="宋体" w:hAnsi="宋体" w:eastAsia="宋体" w:cs="宋体"/>
                <w:b/>
                <w:sz w:val="24"/>
                <w:szCs w:val="24"/>
                <w:highlight w:val="none"/>
              </w:rPr>
              <w:t>投标文件中需提供《中小企业声明函》。若制造企业为监狱企业、残疾人福利性单位的，可不填写《中小企业声明函》，按上述要求提供相应材料即可。</w:t>
            </w:r>
          </w:p>
        </w:tc>
      </w:tr>
      <w:tr>
        <w:tblPrEx>
          <w:tblCellMar>
            <w:top w:w="0" w:type="dxa"/>
            <w:left w:w="108" w:type="dxa"/>
            <w:bottom w:w="0" w:type="dxa"/>
            <w:right w:w="108" w:type="dxa"/>
          </w:tblCellMar>
        </w:tblPrEx>
        <w:tc>
          <w:tcPr>
            <w:tcW w:w="1876"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13"/>
              <w:ind w:firstLine="480"/>
              <w:jc w:val="center"/>
              <w:rPr>
                <w:rFonts w:hint="default"/>
                <w:sz w:val="24"/>
                <w:szCs w:val="24"/>
                <w:highlight w:val="none"/>
              </w:rPr>
            </w:pPr>
            <w:r>
              <w:rPr>
                <w:rFonts w:ascii="宋体" w:hAnsi="宋体" w:eastAsia="宋体" w:cs="宋体"/>
                <w:b/>
                <w:sz w:val="24"/>
                <w:szCs w:val="24"/>
                <w:highlight w:val="none"/>
              </w:rPr>
              <w:t>注意事项</w:t>
            </w:r>
          </w:p>
        </w:tc>
        <w:tc>
          <w:tcPr>
            <w:tcW w:w="6430" w:type="dxa"/>
            <w:tcBorders>
              <w:top w:val="nil"/>
              <w:left w:val="nil"/>
              <w:bottom w:val="single" w:color="000000" w:sz="4" w:space="0"/>
              <w:right w:val="single" w:color="000000" w:sz="4" w:space="0"/>
            </w:tcBorders>
            <w:tcMar>
              <w:top w:w="0" w:type="dxa"/>
              <w:left w:w="105" w:type="dxa"/>
              <w:bottom w:w="0" w:type="dxa"/>
              <w:right w:w="105" w:type="dxa"/>
            </w:tcMar>
          </w:tcPr>
          <w:p>
            <w:pPr>
              <w:pStyle w:val="13"/>
              <w:ind w:firstLine="480"/>
              <w:rPr>
                <w:rFonts w:hint="default"/>
                <w:sz w:val="24"/>
                <w:szCs w:val="24"/>
                <w:highlight w:val="none"/>
              </w:rPr>
            </w:pPr>
            <w:r>
              <w:rPr>
                <w:rFonts w:ascii="宋体" w:hAnsi="宋体" w:eastAsia="宋体" w:cs="宋体"/>
                <w:b/>
                <w:sz w:val="24"/>
                <w:szCs w:val="24"/>
                <w:highlight w:val="none"/>
              </w:rPr>
              <w:t>1、请投标人根据《关于印发中小企业划型标准规定的通知》（工信部联企业〔2011〕300号）规定的标准对企业规模进行认定。</w:t>
            </w:r>
          </w:p>
          <w:p>
            <w:pPr>
              <w:pStyle w:val="13"/>
              <w:ind w:firstLine="480"/>
              <w:rPr>
                <w:rFonts w:hint="default"/>
                <w:sz w:val="24"/>
                <w:szCs w:val="24"/>
                <w:highlight w:val="none"/>
              </w:rPr>
            </w:pPr>
            <w:r>
              <w:rPr>
                <w:rFonts w:ascii="宋体" w:hAnsi="宋体" w:eastAsia="宋体" w:cs="宋体"/>
                <w:b/>
                <w:sz w:val="24"/>
                <w:szCs w:val="24"/>
                <w:highlight w:val="none"/>
              </w:rPr>
              <w:t>2、投标人应当对其出具的《中小企业声明函》真实性负责，投标人出具的《中小企业声明函》内容不实的，属于提供虚假材料谋取中标。在实际操作中，投标人希望获得政策支持的，应从制造商处获得充分、准确的信息。对相关制造商信息了解不充分，或者不能确定相关信息真实、准确的，不建议出具《中小企业声明函》。</w:t>
            </w:r>
          </w:p>
          <w:p>
            <w:pPr>
              <w:pStyle w:val="13"/>
              <w:ind w:firstLine="480"/>
              <w:rPr>
                <w:rFonts w:hint="default"/>
                <w:sz w:val="24"/>
                <w:szCs w:val="24"/>
                <w:highlight w:val="none"/>
              </w:rPr>
            </w:pPr>
            <w:r>
              <w:rPr>
                <w:rFonts w:ascii="宋体" w:hAnsi="宋体" w:eastAsia="宋体" w:cs="宋体"/>
                <w:b/>
                <w:sz w:val="24"/>
                <w:szCs w:val="24"/>
                <w:highlight w:val="none"/>
              </w:rPr>
              <w:t>3、投标人需对声明的真实性负责，中标结果将同时公告中标供应商的《中小企业声明函》，投标人提供的声明函内容不实的，则属于提供虚假材料谋取中标情形，依照《政府采购法》等国家有关规定追究相应责任。</w:t>
            </w:r>
          </w:p>
        </w:tc>
      </w:tr>
      <w:tr>
        <w:tblPrEx>
          <w:tblCellMar>
            <w:top w:w="0" w:type="dxa"/>
            <w:left w:w="108" w:type="dxa"/>
            <w:bottom w:w="0" w:type="dxa"/>
            <w:right w:w="108" w:type="dxa"/>
          </w:tblCellMar>
        </w:tblPrEx>
        <w:tc>
          <w:tcPr>
            <w:tcW w:w="8306"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13"/>
              <w:ind w:firstLine="480"/>
              <w:rPr>
                <w:rFonts w:hint="default"/>
                <w:sz w:val="24"/>
                <w:szCs w:val="24"/>
                <w:highlight w:val="none"/>
              </w:rPr>
            </w:pPr>
            <w:r>
              <w:rPr>
                <w:rFonts w:ascii="宋体" w:hAnsi="宋体" w:eastAsia="宋体" w:cs="宋体"/>
                <w:b/>
                <w:sz w:val="24"/>
                <w:szCs w:val="24"/>
                <w:highlight w:val="none"/>
              </w:rPr>
              <w:t>注：1、中小企业包括中型企业、小型企业、微型企业。</w:t>
            </w:r>
          </w:p>
          <w:p>
            <w:pPr>
              <w:pStyle w:val="13"/>
              <w:ind w:firstLine="480"/>
              <w:rPr>
                <w:rFonts w:hint="default"/>
                <w:sz w:val="24"/>
                <w:szCs w:val="24"/>
                <w:highlight w:val="none"/>
              </w:rPr>
            </w:pPr>
            <w:r>
              <w:rPr>
                <w:rFonts w:ascii="宋体" w:hAnsi="宋体" w:eastAsia="宋体" w:cs="宋体"/>
                <w:b/>
                <w:sz w:val="24"/>
                <w:szCs w:val="24"/>
                <w:highlight w:val="none"/>
              </w:rPr>
              <w:t>2、根据财政部、工信部《政府采购促进中小企业发展管理办法》、《福建省财政厅关于促进中小企业政府采购合同融资健康开展的通知》等政策，投标人中标后如需融资，可通过“福建省政府采购合同融资信息服务平台”（网址：http://120.35.30.176/zcdproject/home）办理“政采贷”。</w:t>
            </w:r>
          </w:p>
        </w:tc>
      </w:tr>
    </w:tbl>
    <w:p>
      <w:pPr>
        <w:pStyle w:val="13"/>
        <w:spacing w:before="75" w:after="75"/>
        <w:ind w:firstLine="480"/>
        <w:rPr>
          <w:rFonts w:hint="default"/>
          <w:highlight w:val="none"/>
        </w:rPr>
      </w:pPr>
      <w:r>
        <w:rPr>
          <w:b/>
          <w:highlight w:val="none"/>
        </w:rPr>
        <w:t xml:space="preserve"> </w:t>
      </w:r>
    </w:p>
    <w:p>
      <w:pPr>
        <w:pStyle w:val="13"/>
        <w:spacing w:before="75" w:after="75"/>
        <w:ind w:firstLine="480"/>
        <w:rPr>
          <w:rFonts w:hint="default"/>
        </w:rPr>
      </w:pPr>
      <w:r>
        <w:br w:type="textWrapping"/>
      </w:r>
      <w:r>
        <w:rPr>
          <w:b/>
        </w:rPr>
        <w:t xml:space="preserve"> </w:t>
      </w:r>
    </w:p>
    <w:p>
      <w:pPr>
        <w:pStyle w:val="13"/>
        <w:spacing w:before="75" w:after="75"/>
        <w:ind w:firstLine="480"/>
        <w:rPr>
          <w:rFonts w:ascii="黑体" w:hAnsi="黑体" w:eastAsia="黑体" w:cs="黑体"/>
          <w:b/>
          <w:sz w:val="31"/>
        </w:rPr>
      </w:pPr>
    </w:p>
    <w:p>
      <w:pPr>
        <w:pStyle w:val="13"/>
        <w:spacing w:before="75" w:after="75"/>
        <w:ind w:firstLine="480"/>
        <w:rPr>
          <w:rFonts w:hint="default"/>
        </w:rPr>
      </w:pPr>
      <w:r>
        <w:rPr>
          <w:rFonts w:ascii="黑体" w:hAnsi="黑体" w:eastAsia="黑体" w:cs="黑体"/>
          <w:b/>
          <w:sz w:val="31"/>
        </w:rPr>
        <w:t>三、对《第七章  电子投标文件格式》的内容补充如下：</w:t>
      </w:r>
    </w:p>
    <w:p>
      <w:pPr>
        <w:pStyle w:val="13"/>
        <w:spacing w:before="75" w:after="75"/>
        <w:ind w:firstLine="480"/>
        <w:rPr>
          <w:rFonts w:hint="default"/>
        </w:rPr>
      </w:pPr>
      <w:r>
        <w:rPr>
          <w:rFonts w:ascii="黑体" w:hAnsi="黑体" w:eastAsia="黑体" w:cs="黑体"/>
          <w:b/>
          <w:sz w:val="31"/>
        </w:rPr>
        <w:t>（一）《资格及资信证明部分》的格式补充如下：</w:t>
      </w:r>
    </w:p>
    <w:p>
      <w:pPr>
        <w:pStyle w:val="13"/>
        <w:spacing w:before="75" w:after="75"/>
        <w:ind w:firstLine="480"/>
        <w:jc w:val="center"/>
        <w:rPr>
          <w:rFonts w:hint="default"/>
        </w:rPr>
      </w:pPr>
      <w:r>
        <w:rPr>
          <w:rFonts w:ascii="黑体" w:hAnsi="黑体" w:eastAsia="黑体" w:cs="黑体"/>
          <w:b/>
          <w:sz w:val="28"/>
        </w:rPr>
        <w:t>二-9中小企业声明函</w:t>
      </w:r>
    </w:p>
    <w:p>
      <w:pPr>
        <w:pStyle w:val="13"/>
        <w:spacing w:before="75" w:after="75"/>
        <w:ind w:firstLine="480"/>
        <w:jc w:val="center"/>
        <w:rPr>
          <w:rFonts w:hint="default"/>
        </w:rPr>
      </w:pPr>
      <w:r>
        <w:rPr>
          <w:rFonts w:ascii="宋体" w:hAnsi="宋体" w:eastAsia="宋体" w:cs="宋体"/>
          <w:b/>
          <w:sz w:val="24"/>
        </w:rPr>
        <w:t>（预留份额专门面向中小企业采购项目适用）</w:t>
      </w:r>
    </w:p>
    <w:p>
      <w:pPr>
        <w:pStyle w:val="13"/>
        <w:spacing w:before="240" w:after="240"/>
        <w:ind w:firstLine="480"/>
        <w:jc w:val="center"/>
        <w:rPr>
          <w:rFonts w:hint="default"/>
        </w:rPr>
      </w:pPr>
      <w:r>
        <w:rPr>
          <w:rFonts w:ascii="宋体" w:hAnsi="宋体" w:eastAsia="宋体" w:cs="宋体"/>
          <w:b/>
          <w:sz w:val="31"/>
        </w:rPr>
        <w:t>中小企业声明函（货物）</w:t>
      </w:r>
    </w:p>
    <w:p>
      <w:pPr>
        <w:pStyle w:val="13"/>
        <w:spacing w:before="75" w:after="75"/>
        <w:ind w:firstLine="480"/>
        <w:rPr>
          <w:rFonts w:hint="default"/>
        </w:rPr>
      </w:pPr>
      <w:r>
        <w:rPr>
          <w:rFonts w:ascii="宋体" w:hAnsi="宋体" w:eastAsia="宋体" w:cs="宋体"/>
          <w:b/>
          <w:sz w:val="24"/>
        </w:rPr>
        <w:t>本公司（联合体）郑重声明，根据《政府采购促进中小企业发展管理办法》（财库〔2020〕46号）的规定，本公司（联合体）参加【永春县应急管理局】的【永春县应急管理信息化建设项目】采购活动，属于【工业】行业，提供的货物由符合政策要求的中小企业制造。相关企业（含联合体中的中小企业、签订分包意向协议的中小企业） 的具体情况如下：</w:t>
      </w:r>
    </w:p>
    <w:tbl>
      <w:tblPr>
        <w:tblStyle w:val="11"/>
        <w:tblW w:w="0" w:type="auto"/>
        <w:tblInd w:w="0" w:type="dxa"/>
        <w:tblLayout w:type="autofit"/>
        <w:tblCellMar>
          <w:top w:w="0" w:type="dxa"/>
          <w:left w:w="108" w:type="dxa"/>
          <w:bottom w:w="0" w:type="dxa"/>
          <w:right w:w="108" w:type="dxa"/>
        </w:tblCellMar>
      </w:tblPr>
      <w:tblGrid>
        <w:gridCol w:w="811"/>
        <w:gridCol w:w="1249"/>
        <w:gridCol w:w="752"/>
        <w:gridCol w:w="833"/>
        <w:gridCol w:w="1413"/>
        <w:gridCol w:w="967"/>
        <w:gridCol w:w="692"/>
        <w:gridCol w:w="1344"/>
      </w:tblGrid>
      <w:tr>
        <w:tblPrEx>
          <w:tblCellMar>
            <w:top w:w="0" w:type="dxa"/>
            <w:left w:w="108" w:type="dxa"/>
            <w:bottom w:w="0" w:type="dxa"/>
            <w:right w:w="108" w:type="dxa"/>
          </w:tblCellMar>
        </w:tblPrEx>
        <w:tc>
          <w:tcPr>
            <w:tcW w:w="60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tcPr>
          <w:p>
            <w:pPr>
              <w:pStyle w:val="13"/>
              <w:jc w:val="both"/>
              <w:rPr>
                <w:rFonts w:hint="default"/>
              </w:rPr>
            </w:pPr>
            <w:r>
              <w:rPr>
                <w:rFonts w:ascii="宋体" w:hAnsi="宋体" w:eastAsia="宋体" w:cs="宋体"/>
                <w:b/>
                <w:sz w:val="24"/>
              </w:rPr>
              <w:t>序号</w:t>
            </w:r>
          </w:p>
        </w:tc>
        <w:tc>
          <w:tcPr>
            <w:tcW w:w="1249"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pPr>
              <w:pStyle w:val="13"/>
              <w:jc w:val="both"/>
              <w:rPr>
                <w:rFonts w:hint="default"/>
              </w:rPr>
            </w:pPr>
            <w:r>
              <w:rPr>
                <w:rFonts w:ascii="宋体" w:hAnsi="宋体" w:eastAsia="宋体" w:cs="宋体"/>
                <w:b/>
                <w:sz w:val="24"/>
              </w:rPr>
              <w:t>标的名称</w:t>
            </w:r>
          </w:p>
        </w:tc>
        <w:tc>
          <w:tcPr>
            <w:tcW w:w="752"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pPr>
              <w:pStyle w:val="13"/>
              <w:jc w:val="both"/>
              <w:rPr>
                <w:rFonts w:hint="default"/>
              </w:rPr>
            </w:pPr>
            <w:r>
              <w:rPr>
                <w:rFonts w:ascii="宋体" w:hAnsi="宋体" w:eastAsia="宋体" w:cs="宋体"/>
                <w:b/>
                <w:sz w:val="24"/>
              </w:rPr>
              <w:t>行业</w:t>
            </w:r>
          </w:p>
        </w:tc>
        <w:tc>
          <w:tcPr>
            <w:tcW w:w="833"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pPr>
              <w:pStyle w:val="13"/>
              <w:jc w:val="both"/>
              <w:rPr>
                <w:rFonts w:hint="default"/>
              </w:rPr>
            </w:pPr>
            <w:r>
              <w:rPr>
                <w:rFonts w:ascii="宋体" w:hAnsi="宋体" w:eastAsia="宋体" w:cs="宋体"/>
                <w:b/>
                <w:sz w:val="24"/>
              </w:rPr>
              <w:t>制造商全称</w:t>
            </w:r>
          </w:p>
        </w:tc>
        <w:tc>
          <w:tcPr>
            <w:tcW w:w="833"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pPr>
              <w:pStyle w:val="13"/>
              <w:jc w:val="both"/>
              <w:rPr>
                <w:rFonts w:hint="default"/>
              </w:rPr>
            </w:pPr>
            <w:r>
              <w:rPr>
                <w:rFonts w:ascii="宋体" w:hAnsi="宋体" w:eastAsia="宋体" w:cs="宋体"/>
                <w:b/>
                <w:sz w:val="24"/>
              </w:rPr>
              <w:t>从业人员</w:t>
            </w:r>
          </w:p>
          <w:p>
            <w:pPr>
              <w:pStyle w:val="13"/>
              <w:ind w:firstLine="480"/>
              <w:jc w:val="center"/>
              <w:rPr>
                <w:rFonts w:hint="default"/>
              </w:rPr>
            </w:pPr>
            <w:r>
              <w:rPr>
                <w:rFonts w:ascii="宋体" w:hAnsi="宋体" w:eastAsia="宋体" w:cs="宋体"/>
                <w:b/>
                <w:sz w:val="24"/>
              </w:rPr>
              <w:t>（人）</w:t>
            </w:r>
          </w:p>
        </w:tc>
        <w:tc>
          <w:tcPr>
            <w:tcW w:w="967"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pPr>
              <w:pStyle w:val="13"/>
              <w:jc w:val="both"/>
              <w:rPr>
                <w:rFonts w:hint="default"/>
              </w:rPr>
            </w:pPr>
            <w:r>
              <w:rPr>
                <w:rFonts w:ascii="宋体" w:hAnsi="宋体" w:eastAsia="宋体" w:cs="宋体"/>
                <w:b/>
                <w:sz w:val="24"/>
              </w:rPr>
              <w:t>营业收入</w:t>
            </w:r>
          </w:p>
          <w:p>
            <w:pPr>
              <w:pStyle w:val="13"/>
              <w:jc w:val="both"/>
              <w:rPr>
                <w:rFonts w:hint="default"/>
              </w:rPr>
            </w:pPr>
            <w:r>
              <w:rPr>
                <w:rFonts w:ascii="宋体" w:hAnsi="宋体" w:eastAsia="宋体" w:cs="宋体"/>
                <w:b/>
                <w:sz w:val="24"/>
              </w:rPr>
              <w:t>（万元）</w:t>
            </w:r>
          </w:p>
        </w:tc>
        <w:tc>
          <w:tcPr>
            <w:tcW w:w="672"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pPr>
              <w:pStyle w:val="13"/>
              <w:jc w:val="both"/>
              <w:rPr>
                <w:rFonts w:hint="default"/>
              </w:rPr>
            </w:pPr>
            <w:r>
              <w:rPr>
                <w:rFonts w:ascii="宋体" w:hAnsi="宋体" w:eastAsia="宋体" w:cs="宋体"/>
                <w:b/>
                <w:sz w:val="24"/>
              </w:rPr>
              <w:t>资产</w:t>
            </w:r>
          </w:p>
          <w:p>
            <w:pPr>
              <w:pStyle w:val="13"/>
              <w:jc w:val="both"/>
              <w:rPr>
                <w:rFonts w:hint="default"/>
              </w:rPr>
            </w:pPr>
            <w:r>
              <w:rPr>
                <w:rFonts w:ascii="宋体" w:hAnsi="宋体" w:eastAsia="宋体" w:cs="宋体"/>
                <w:b/>
                <w:sz w:val="24"/>
              </w:rPr>
              <w:t>总额</w:t>
            </w:r>
          </w:p>
          <w:p>
            <w:pPr>
              <w:pStyle w:val="13"/>
              <w:jc w:val="both"/>
              <w:rPr>
                <w:rFonts w:hint="default"/>
              </w:rPr>
            </w:pPr>
            <w:r>
              <w:rPr>
                <w:rFonts w:ascii="宋体" w:hAnsi="宋体" w:eastAsia="宋体" w:cs="宋体"/>
                <w:b/>
                <w:sz w:val="24"/>
              </w:rPr>
              <w:t>（万元）</w:t>
            </w:r>
          </w:p>
        </w:tc>
        <w:tc>
          <w:tcPr>
            <w:tcW w:w="1344"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pPr>
              <w:pStyle w:val="13"/>
              <w:jc w:val="both"/>
              <w:rPr>
                <w:rFonts w:hint="default"/>
              </w:rPr>
            </w:pPr>
            <w:r>
              <w:rPr>
                <w:rFonts w:ascii="宋体" w:hAnsi="宋体" w:eastAsia="宋体" w:cs="宋体"/>
                <w:b/>
                <w:sz w:val="24"/>
              </w:rPr>
              <w:t>企业类型</w:t>
            </w:r>
          </w:p>
          <w:p>
            <w:pPr>
              <w:pStyle w:val="13"/>
              <w:jc w:val="both"/>
              <w:rPr>
                <w:rFonts w:hint="default"/>
              </w:rPr>
            </w:pPr>
            <w:r>
              <w:rPr>
                <w:rFonts w:ascii="宋体" w:hAnsi="宋体" w:eastAsia="宋体" w:cs="宋体"/>
                <w:b/>
                <w:sz w:val="24"/>
              </w:rPr>
              <w:t>（根据划型标准填写中型企业或小型企业或微型企业）</w:t>
            </w:r>
          </w:p>
        </w:tc>
      </w:tr>
      <w:tr>
        <w:tblPrEx>
          <w:tblCellMar>
            <w:top w:w="0" w:type="dxa"/>
            <w:left w:w="108" w:type="dxa"/>
            <w:bottom w:w="0" w:type="dxa"/>
            <w:right w:w="108" w:type="dxa"/>
          </w:tblCellMar>
        </w:tblPrEx>
        <w:tc>
          <w:tcPr>
            <w:tcW w:w="604"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13"/>
              <w:ind w:firstLine="480"/>
              <w:jc w:val="center"/>
              <w:rPr>
                <w:rFonts w:hint="default"/>
              </w:rPr>
            </w:pPr>
            <w:r>
              <w:rPr>
                <w:rFonts w:ascii="宋体" w:hAnsi="宋体" w:eastAsia="宋体" w:cs="宋体"/>
                <w:b/>
                <w:sz w:val="24"/>
              </w:rPr>
              <w:t>1</w:t>
            </w:r>
          </w:p>
        </w:tc>
        <w:tc>
          <w:tcPr>
            <w:tcW w:w="1249"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752" w:type="dxa"/>
            <w:tcBorders>
              <w:top w:val="nil"/>
              <w:left w:val="nil"/>
              <w:bottom w:val="single" w:color="000000" w:sz="4" w:space="0"/>
              <w:right w:val="single" w:color="000000" w:sz="4" w:space="0"/>
            </w:tcBorders>
            <w:tcMar>
              <w:top w:w="0" w:type="dxa"/>
              <w:left w:w="105" w:type="dxa"/>
              <w:bottom w:w="0" w:type="dxa"/>
              <w:right w:w="105" w:type="dxa"/>
            </w:tcMar>
          </w:tcPr>
          <w:p>
            <w:pPr>
              <w:pStyle w:val="13"/>
              <w:jc w:val="both"/>
              <w:rPr>
                <w:rFonts w:hint="default"/>
              </w:rPr>
            </w:pPr>
            <w:r>
              <w:rPr>
                <w:rFonts w:ascii="宋体" w:hAnsi="宋体" w:eastAsia="宋体" w:cs="宋体"/>
                <w:b/>
                <w:sz w:val="24"/>
              </w:rPr>
              <w:t>工业</w:t>
            </w:r>
          </w:p>
        </w:tc>
        <w:tc>
          <w:tcPr>
            <w:tcW w:w="833"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833"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967"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672"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1344"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r>
      <w:tr>
        <w:tblPrEx>
          <w:tblCellMar>
            <w:top w:w="0" w:type="dxa"/>
            <w:left w:w="108" w:type="dxa"/>
            <w:bottom w:w="0" w:type="dxa"/>
            <w:right w:w="108" w:type="dxa"/>
          </w:tblCellMar>
        </w:tblPrEx>
        <w:tc>
          <w:tcPr>
            <w:tcW w:w="604"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13"/>
              <w:ind w:firstLine="480"/>
              <w:jc w:val="center"/>
              <w:rPr>
                <w:rFonts w:hint="default"/>
              </w:rPr>
            </w:pPr>
            <w:r>
              <w:rPr>
                <w:rFonts w:ascii="宋体" w:hAnsi="宋体" w:eastAsia="宋体" w:cs="宋体"/>
                <w:b/>
                <w:sz w:val="24"/>
              </w:rPr>
              <w:t>2</w:t>
            </w:r>
          </w:p>
        </w:tc>
        <w:tc>
          <w:tcPr>
            <w:tcW w:w="1249"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752" w:type="dxa"/>
            <w:tcBorders>
              <w:top w:val="nil"/>
              <w:left w:val="nil"/>
              <w:bottom w:val="single" w:color="000000" w:sz="4" w:space="0"/>
              <w:right w:val="single" w:color="000000" w:sz="4" w:space="0"/>
            </w:tcBorders>
            <w:tcMar>
              <w:top w:w="0" w:type="dxa"/>
              <w:left w:w="105" w:type="dxa"/>
              <w:bottom w:w="0" w:type="dxa"/>
              <w:right w:w="105" w:type="dxa"/>
            </w:tcMar>
          </w:tcPr>
          <w:p>
            <w:pPr>
              <w:pStyle w:val="13"/>
              <w:jc w:val="both"/>
              <w:rPr>
                <w:rFonts w:hint="default"/>
              </w:rPr>
            </w:pPr>
            <w:r>
              <w:rPr>
                <w:rFonts w:ascii="宋体" w:hAnsi="宋体" w:eastAsia="宋体" w:cs="宋体"/>
                <w:b/>
                <w:sz w:val="24"/>
              </w:rPr>
              <w:t>工业</w:t>
            </w:r>
          </w:p>
        </w:tc>
        <w:tc>
          <w:tcPr>
            <w:tcW w:w="833"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833"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967"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672"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1344"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r>
      <w:tr>
        <w:tblPrEx>
          <w:tblCellMar>
            <w:top w:w="0" w:type="dxa"/>
            <w:left w:w="108" w:type="dxa"/>
            <w:bottom w:w="0" w:type="dxa"/>
            <w:right w:w="108" w:type="dxa"/>
          </w:tblCellMar>
        </w:tblPrEx>
        <w:tc>
          <w:tcPr>
            <w:tcW w:w="604"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1249" w:type="dxa"/>
            <w:tcBorders>
              <w:top w:val="nil"/>
              <w:left w:val="nil"/>
              <w:bottom w:val="single" w:color="000000" w:sz="4" w:space="0"/>
              <w:right w:val="single" w:color="000000" w:sz="4" w:space="0"/>
            </w:tcBorders>
            <w:tcMar>
              <w:top w:w="0" w:type="dxa"/>
              <w:left w:w="105" w:type="dxa"/>
              <w:bottom w:w="0" w:type="dxa"/>
              <w:right w:w="105" w:type="dxa"/>
            </w:tcMar>
          </w:tcPr>
          <w:p>
            <w:pPr>
              <w:pStyle w:val="13"/>
              <w:ind w:firstLine="480"/>
              <w:jc w:val="center"/>
              <w:rPr>
                <w:rFonts w:hint="default"/>
              </w:rPr>
            </w:pPr>
            <w:r>
              <w:rPr>
                <w:rFonts w:ascii="宋体" w:hAnsi="宋体" w:eastAsia="宋体" w:cs="宋体"/>
                <w:b/>
                <w:sz w:val="24"/>
              </w:rPr>
              <w:t>……</w:t>
            </w:r>
          </w:p>
        </w:tc>
        <w:tc>
          <w:tcPr>
            <w:tcW w:w="752"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833"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833"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967"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672"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1344"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r>
    </w:tbl>
    <w:p>
      <w:pPr>
        <w:pStyle w:val="13"/>
        <w:spacing w:before="75" w:after="75"/>
        <w:ind w:firstLine="480"/>
        <w:rPr>
          <w:rFonts w:hint="default"/>
        </w:rPr>
      </w:pPr>
      <w:r>
        <w:rPr>
          <w:rFonts w:ascii="宋体" w:hAnsi="宋体" w:eastAsia="宋体" w:cs="宋体"/>
          <w:b/>
          <w:sz w:val="24"/>
        </w:rPr>
        <w:t>以上企业，不属于大企业的分支机构，不存在控股股东为大企业的情形，也不存在与大企业的负责人为同一人的情形。</w:t>
      </w:r>
    </w:p>
    <w:p>
      <w:pPr>
        <w:pStyle w:val="13"/>
        <w:spacing w:before="75" w:after="75"/>
        <w:ind w:firstLine="480"/>
        <w:rPr>
          <w:rFonts w:hint="default"/>
        </w:rPr>
      </w:pPr>
      <w:r>
        <w:rPr>
          <w:rFonts w:ascii="宋体" w:hAnsi="宋体" w:eastAsia="宋体" w:cs="宋体"/>
          <w:b/>
          <w:sz w:val="24"/>
        </w:rPr>
        <w:t>本企业对上述声明内容的真实性负责。如有虚假，将依法承担相应责任。</w:t>
      </w:r>
    </w:p>
    <w:p>
      <w:pPr>
        <w:pStyle w:val="13"/>
        <w:spacing w:before="75" w:after="75"/>
        <w:ind w:firstLine="480"/>
        <w:rPr>
          <w:rFonts w:hint="default"/>
        </w:rPr>
      </w:pPr>
      <w:r>
        <w:rPr>
          <w:b/>
        </w:rPr>
        <w:t xml:space="preserve"> </w:t>
      </w:r>
    </w:p>
    <w:p>
      <w:pPr>
        <w:pStyle w:val="13"/>
        <w:spacing w:before="75" w:after="75"/>
        <w:ind w:firstLine="480"/>
        <w:rPr>
          <w:rFonts w:hint="default"/>
          <w:highlight w:val="none"/>
        </w:rPr>
      </w:pPr>
      <w:r>
        <w:rPr>
          <w:rFonts w:ascii="宋体" w:hAnsi="宋体" w:eastAsia="宋体" w:cs="宋体"/>
          <w:b/>
          <w:sz w:val="24"/>
          <w:highlight w:val="none"/>
        </w:rPr>
        <w:t>上表中由中型企业制造的货物的报价金额占投标总价的：</w:t>
      </w:r>
      <w:r>
        <w:rPr>
          <w:rFonts w:ascii="宋体" w:hAnsi="宋体" w:eastAsia="宋体" w:cs="宋体"/>
          <w:b/>
          <w:sz w:val="24"/>
          <w:highlight w:val="none"/>
          <w:u w:val="single"/>
        </w:rPr>
        <w:t xml:space="preserve">  %</w:t>
      </w:r>
      <w:r>
        <w:rPr>
          <w:rFonts w:ascii="宋体" w:hAnsi="宋体" w:eastAsia="宋体" w:cs="宋体"/>
          <w:b/>
          <w:sz w:val="24"/>
          <w:highlight w:val="none"/>
        </w:rPr>
        <w:t>，由小型、微型企业制造的货物的报价金额占投标总价的：</w:t>
      </w:r>
      <w:r>
        <w:rPr>
          <w:rFonts w:ascii="宋体" w:hAnsi="宋体" w:eastAsia="宋体" w:cs="宋体"/>
          <w:b/>
          <w:sz w:val="24"/>
          <w:highlight w:val="none"/>
          <w:u w:val="single"/>
        </w:rPr>
        <w:t xml:space="preserve">  %</w:t>
      </w:r>
      <w:r>
        <w:rPr>
          <w:rFonts w:ascii="宋体" w:hAnsi="宋体" w:eastAsia="宋体" w:cs="宋体"/>
          <w:b/>
          <w:sz w:val="24"/>
          <w:highlight w:val="none"/>
        </w:rPr>
        <w:t>。</w:t>
      </w:r>
    </w:p>
    <w:p>
      <w:pPr>
        <w:pStyle w:val="13"/>
        <w:spacing w:before="75" w:after="75"/>
        <w:ind w:firstLine="480"/>
        <w:rPr>
          <w:rFonts w:hint="default"/>
        </w:rPr>
      </w:pPr>
      <w:r>
        <w:rPr>
          <w:b/>
        </w:rPr>
        <w:t xml:space="preserve"> </w:t>
      </w:r>
    </w:p>
    <w:p>
      <w:pPr>
        <w:pStyle w:val="13"/>
        <w:spacing w:before="75" w:after="75"/>
        <w:ind w:firstLine="4080"/>
        <w:rPr>
          <w:rFonts w:hint="default"/>
        </w:rPr>
      </w:pPr>
      <w:r>
        <w:rPr>
          <w:rFonts w:ascii="宋体" w:hAnsi="宋体" w:eastAsia="宋体" w:cs="宋体"/>
          <w:b/>
          <w:sz w:val="24"/>
        </w:rPr>
        <w:t>企业名称（盖章）：</w:t>
      </w:r>
    </w:p>
    <w:p>
      <w:pPr>
        <w:pStyle w:val="13"/>
        <w:spacing w:before="75" w:after="75"/>
        <w:ind w:firstLine="4080"/>
        <w:rPr>
          <w:rFonts w:hint="default"/>
        </w:rPr>
      </w:pPr>
      <w:r>
        <w:rPr>
          <w:rFonts w:ascii="宋体" w:hAnsi="宋体" w:eastAsia="宋体" w:cs="宋体"/>
          <w:b/>
          <w:sz w:val="24"/>
        </w:rPr>
        <w:t>日期：</w:t>
      </w:r>
    </w:p>
    <w:p>
      <w:pPr>
        <w:pStyle w:val="13"/>
        <w:spacing w:before="75" w:after="75"/>
        <w:ind w:firstLine="480"/>
        <w:rPr>
          <w:rFonts w:hint="default"/>
        </w:rPr>
      </w:pPr>
      <w:r>
        <w:rPr>
          <w:rFonts w:ascii="宋体" w:hAnsi="宋体" w:eastAsia="宋体" w:cs="宋体"/>
          <w:b/>
          <w:sz w:val="24"/>
        </w:rPr>
        <w:t>填写说明：</w:t>
      </w:r>
    </w:p>
    <w:p>
      <w:pPr>
        <w:pStyle w:val="13"/>
        <w:spacing w:before="75" w:after="75"/>
        <w:ind w:firstLine="480"/>
        <w:rPr>
          <w:rFonts w:hint="default"/>
          <w:highlight w:val="none"/>
        </w:rPr>
      </w:pPr>
      <w:r>
        <w:rPr>
          <w:rFonts w:ascii="宋体" w:hAnsi="宋体" w:eastAsia="宋体" w:cs="宋体"/>
          <w:b/>
          <w:sz w:val="24"/>
          <w:highlight w:val="none"/>
        </w:rPr>
        <w:t>1、本声明函放在投标文件的《资格及资信证明部分》，因此不得体现报价信息，只需写明占比比例即可。</w:t>
      </w:r>
    </w:p>
    <w:p>
      <w:pPr>
        <w:pStyle w:val="13"/>
        <w:spacing w:before="75" w:after="75"/>
        <w:ind w:firstLine="480"/>
        <w:rPr>
          <w:rFonts w:hint="default"/>
          <w:highlight w:val="none"/>
        </w:rPr>
      </w:pPr>
      <w:r>
        <w:rPr>
          <w:rFonts w:ascii="宋体" w:hAnsi="宋体" w:eastAsia="宋体" w:cs="宋体"/>
          <w:b/>
          <w:sz w:val="24"/>
          <w:highlight w:val="none"/>
        </w:rPr>
        <w:t>比例计算公式：该部分货物报价金额÷投标总价*100%。</w:t>
      </w:r>
    </w:p>
    <w:p>
      <w:pPr>
        <w:pStyle w:val="13"/>
        <w:spacing w:before="75" w:after="75"/>
        <w:ind w:firstLine="480"/>
        <w:rPr>
          <w:rFonts w:hint="default"/>
        </w:rPr>
      </w:pPr>
      <w:r>
        <w:rPr>
          <w:rFonts w:ascii="宋体" w:hAnsi="宋体" w:eastAsia="宋体" w:cs="宋体"/>
          <w:b/>
          <w:sz w:val="24"/>
        </w:rPr>
        <w:t>2、表格中的“标的名称”应与采购的货物名称相对应。</w:t>
      </w:r>
    </w:p>
    <w:p>
      <w:pPr>
        <w:pStyle w:val="13"/>
        <w:spacing w:before="75" w:after="75"/>
        <w:ind w:firstLine="480"/>
        <w:rPr>
          <w:rFonts w:hint="default"/>
        </w:rPr>
      </w:pPr>
      <w:r>
        <w:rPr>
          <w:rFonts w:ascii="宋体" w:hAnsi="宋体" w:eastAsia="宋体" w:cs="宋体"/>
          <w:b/>
          <w:sz w:val="24"/>
        </w:rPr>
        <w:t>3、“工业”行业的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13"/>
        <w:spacing w:before="75" w:after="75"/>
        <w:ind w:firstLine="480"/>
        <w:rPr>
          <w:rFonts w:hint="default"/>
        </w:rPr>
      </w:pPr>
      <w:r>
        <w:rPr>
          <w:rFonts w:ascii="宋体" w:hAnsi="宋体" w:eastAsia="宋体" w:cs="宋体"/>
          <w:b/>
          <w:sz w:val="24"/>
        </w:rPr>
        <w:t>填报的企业类型与划型标准不对应的，将可能导致投标无效。</w:t>
      </w:r>
    </w:p>
    <w:p>
      <w:pPr>
        <w:pStyle w:val="13"/>
        <w:spacing w:before="75" w:after="75"/>
        <w:ind w:firstLine="480"/>
        <w:rPr>
          <w:rFonts w:hint="default"/>
        </w:rPr>
      </w:pPr>
      <w:r>
        <w:rPr>
          <w:rFonts w:ascii="宋体" w:hAnsi="宋体" w:eastAsia="宋体" w:cs="宋体"/>
          <w:b/>
          <w:sz w:val="24"/>
        </w:rPr>
        <w:t>4、从业人员、营业收入、资产总额填报上一年度数据，无上一年度数据的新成立企业可不填报，在空格内填“\”即可。若填报的数据与投标人自己提供的上一年度财务审计报告数据有出入的，将可能导致投标无效。</w:t>
      </w:r>
    </w:p>
    <w:p>
      <w:pPr>
        <w:pStyle w:val="13"/>
        <w:spacing w:before="75" w:after="75"/>
        <w:ind w:firstLine="480"/>
        <w:rPr>
          <w:rFonts w:hint="default"/>
        </w:rPr>
      </w:pPr>
      <w:r>
        <w:rPr>
          <w:rFonts w:ascii="宋体" w:hAnsi="宋体" w:eastAsia="宋体" w:cs="宋体"/>
          <w:b/>
          <w:sz w:val="24"/>
        </w:rPr>
        <w:t>5、若对填写本声明函有疑问的，请及时联系代理机构咨询，否则由此导致的不利后果由投标人自行承担。</w:t>
      </w:r>
    </w:p>
    <w:p>
      <w:pPr>
        <w:pStyle w:val="13"/>
        <w:spacing w:before="75" w:after="75"/>
        <w:ind w:firstLine="480"/>
        <w:rPr>
          <w:rFonts w:hint="default"/>
        </w:rPr>
      </w:pPr>
      <w:r>
        <w:br w:type="textWrapping"/>
      </w:r>
      <w:r>
        <w:rPr>
          <w:b/>
        </w:rPr>
        <w:t xml:space="preserve"> </w:t>
      </w:r>
    </w:p>
    <w:p>
      <w:pPr>
        <w:pStyle w:val="13"/>
        <w:spacing w:before="75" w:after="75"/>
        <w:ind w:firstLine="480"/>
        <w:rPr>
          <w:rFonts w:hint="default"/>
        </w:rPr>
      </w:pPr>
      <w:r>
        <w:rPr>
          <w:rFonts w:ascii="黑体" w:hAnsi="黑体" w:eastAsia="黑体" w:cs="黑体"/>
          <w:b/>
          <w:sz w:val="31"/>
        </w:rPr>
        <w:t>（二）《技术商务部分》的格式补充如下：</w:t>
      </w:r>
    </w:p>
    <w:p>
      <w:pPr>
        <w:pStyle w:val="13"/>
        <w:spacing w:before="75" w:after="75"/>
        <w:ind w:firstLine="480"/>
        <w:jc w:val="center"/>
        <w:rPr>
          <w:rFonts w:hint="default"/>
        </w:rPr>
      </w:pPr>
      <w:r>
        <w:rPr>
          <w:b/>
        </w:rPr>
        <w:t xml:space="preserve"> </w:t>
      </w:r>
    </w:p>
    <w:p>
      <w:pPr>
        <w:pStyle w:val="13"/>
        <w:spacing w:before="75" w:after="75"/>
        <w:ind w:firstLine="480"/>
        <w:jc w:val="center"/>
        <w:rPr>
          <w:rFonts w:hint="default"/>
        </w:rPr>
      </w:pPr>
      <w:r>
        <w:rPr>
          <w:rFonts w:ascii="黑体" w:hAnsi="黑体" w:eastAsia="黑体" w:cs="黑体"/>
          <w:b/>
          <w:sz w:val="28"/>
        </w:rPr>
        <w:t>四、投标人提交的其他资料</w:t>
      </w:r>
    </w:p>
    <w:p>
      <w:pPr>
        <w:pStyle w:val="13"/>
        <w:spacing w:before="75" w:after="75"/>
        <w:ind w:firstLine="480"/>
        <w:jc w:val="center"/>
        <w:rPr>
          <w:rFonts w:hint="default"/>
        </w:rPr>
      </w:pPr>
      <w:r>
        <w:rPr>
          <w:rFonts w:ascii="黑体" w:hAnsi="黑体" w:eastAsia="黑体" w:cs="黑体"/>
          <w:b/>
          <w:sz w:val="28"/>
        </w:rPr>
        <w:t>（一）带“★”号条款逐条响应情况表</w:t>
      </w:r>
    </w:p>
    <w:p>
      <w:pPr>
        <w:pStyle w:val="13"/>
        <w:spacing w:before="75" w:after="75"/>
        <w:ind w:firstLine="480"/>
        <w:rPr>
          <w:rFonts w:hint="default"/>
        </w:rPr>
      </w:pPr>
      <w:r>
        <w:rPr>
          <w:rFonts w:ascii="宋体" w:hAnsi="宋体" w:eastAsia="宋体" w:cs="宋体"/>
          <w:b/>
          <w:sz w:val="24"/>
        </w:rPr>
        <w:t>项目名称：</w:t>
      </w:r>
      <w:r>
        <w:rPr>
          <w:b/>
        </w:rPr>
        <w:t xml:space="preserve">     </w:t>
      </w:r>
      <w:r>
        <w:rPr>
          <w:rFonts w:ascii="宋体" w:hAnsi="宋体" w:eastAsia="宋体" w:cs="宋体"/>
          <w:b/>
          <w:sz w:val="24"/>
        </w:rPr>
        <w:t>招标编号：</w:t>
      </w:r>
    </w:p>
    <w:tbl>
      <w:tblPr>
        <w:tblStyle w:val="11"/>
        <w:tblW w:w="0" w:type="auto"/>
        <w:tblInd w:w="0" w:type="dxa"/>
        <w:tblLayout w:type="autofit"/>
        <w:tblCellMar>
          <w:top w:w="0" w:type="dxa"/>
          <w:left w:w="108" w:type="dxa"/>
          <w:bottom w:w="0" w:type="dxa"/>
          <w:right w:w="108" w:type="dxa"/>
        </w:tblCellMar>
      </w:tblPr>
      <w:tblGrid>
        <w:gridCol w:w="924"/>
        <w:gridCol w:w="3157"/>
        <w:gridCol w:w="1735"/>
        <w:gridCol w:w="2489"/>
      </w:tblGrid>
      <w:tr>
        <w:tblPrEx>
          <w:tblCellMar>
            <w:top w:w="0" w:type="dxa"/>
            <w:left w:w="108" w:type="dxa"/>
            <w:bottom w:w="0" w:type="dxa"/>
            <w:right w:w="108" w:type="dxa"/>
          </w:tblCellMar>
        </w:tblPrEx>
        <w:tc>
          <w:tcPr>
            <w:tcW w:w="92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tcPr>
          <w:p>
            <w:pPr>
              <w:pStyle w:val="13"/>
              <w:ind w:firstLine="480"/>
              <w:jc w:val="center"/>
              <w:rPr>
                <w:rFonts w:hint="default"/>
              </w:rPr>
            </w:pPr>
            <w:r>
              <w:rPr>
                <w:rFonts w:ascii="宋体" w:hAnsi="宋体" w:eastAsia="宋体" w:cs="宋体"/>
                <w:b/>
                <w:sz w:val="19"/>
              </w:rPr>
              <w:t>条款号</w:t>
            </w:r>
          </w:p>
        </w:tc>
        <w:tc>
          <w:tcPr>
            <w:tcW w:w="3157"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pPr>
              <w:pStyle w:val="13"/>
              <w:ind w:firstLine="480"/>
              <w:jc w:val="center"/>
              <w:rPr>
                <w:rFonts w:hint="default"/>
              </w:rPr>
            </w:pPr>
            <w:r>
              <w:rPr>
                <w:rFonts w:ascii="宋体" w:hAnsi="宋体" w:eastAsia="宋体" w:cs="宋体"/>
                <w:b/>
                <w:sz w:val="19"/>
              </w:rPr>
              <w:t>招标文件中带“★”号的条款</w:t>
            </w:r>
          </w:p>
        </w:tc>
        <w:tc>
          <w:tcPr>
            <w:tcW w:w="1735"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pPr>
              <w:pStyle w:val="13"/>
              <w:ind w:firstLine="480"/>
              <w:jc w:val="center"/>
              <w:rPr>
                <w:rFonts w:hint="default"/>
              </w:rPr>
            </w:pPr>
            <w:r>
              <w:rPr>
                <w:rFonts w:ascii="宋体" w:hAnsi="宋体" w:eastAsia="宋体" w:cs="宋体"/>
                <w:b/>
                <w:sz w:val="19"/>
              </w:rPr>
              <w:t>投标响应内容</w:t>
            </w:r>
          </w:p>
        </w:tc>
        <w:tc>
          <w:tcPr>
            <w:tcW w:w="2489"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pPr>
              <w:pStyle w:val="13"/>
              <w:ind w:firstLine="480"/>
              <w:jc w:val="center"/>
              <w:rPr>
                <w:rFonts w:hint="default"/>
              </w:rPr>
            </w:pPr>
            <w:r>
              <w:rPr>
                <w:rFonts w:ascii="宋体" w:hAnsi="宋体" w:eastAsia="宋体" w:cs="宋体"/>
                <w:b/>
                <w:sz w:val="19"/>
              </w:rPr>
              <w:t>对应投标文件页码</w:t>
            </w:r>
          </w:p>
        </w:tc>
      </w:tr>
      <w:tr>
        <w:tblPrEx>
          <w:tblCellMar>
            <w:top w:w="0" w:type="dxa"/>
            <w:left w:w="108" w:type="dxa"/>
            <w:bottom w:w="0" w:type="dxa"/>
            <w:right w:w="108" w:type="dxa"/>
          </w:tblCellMar>
        </w:tblPrEx>
        <w:tc>
          <w:tcPr>
            <w:tcW w:w="924"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3157"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1735"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2489"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r>
      <w:tr>
        <w:tblPrEx>
          <w:tblCellMar>
            <w:top w:w="0" w:type="dxa"/>
            <w:left w:w="108" w:type="dxa"/>
            <w:bottom w:w="0" w:type="dxa"/>
            <w:right w:w="108" w:type="dxa"/>
          </w:tblCellMar>
        </w:tblPrEx>
        <w:tc>
          <w:tcPr>
            <w:tcW w:w="924"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3157"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1735"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2489"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r>
      <w:tr>
        <w:tblPrEx>
          <w:tblCellMar>
            <w:top w:w="0" w:type="dxa"/>
            <w:left w:w="108" w:type="dxa"/>
            <w:bottom w:w="0" w:type="dxa"/>
            <w:right w:w="108" w:type="dxa"/>
          </w:tblCellMar>
        </w:tblPrEx>
        <w:tc>
          <w:tcPr>
            <w:tcW w:w="924"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3157"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1735"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2489"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r>
      <w:tr>
        <w:tblPrEx>
          <w:tblCellMar>
            <w:top w:w="0" w:type="dxa"/>
            <w:left w:w="108" w:type="dxa"/>
            <w:bottom w:w="0" w:type="dxa"/>
            <w:right w:w="108" w:type="dxa"/>
          </w:tblCellMar>
        </w:tblPrEx>
        <w:tc>
          <w:tcPr>
            <w:tcW w:w="924"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3157"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1735"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2489"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r>
      <w:tr>
        <w:tblPrEx>
          <w:tblCellMar>
            <w:top w:w="0" w:type="dxa"/>
            <w:left w:w="108" w:type="dxa"/>
            <w:bottom w:w="0" w:type="dxa"/>
            <w:right w:w="108" w:type="dxa"/>
          </w:tblCellMar>
        </w:tblPrEx>
        <w:tc>
          <w:tcPr>
            <w:tcW w:w="924"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3157"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1735"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2489"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r>
    </w:tbl>
    <w:p>
      <w:pPr>
        <w:pStyle w:val="13"/>
        <w:spacing w:before="75" w:after="75"/>
        <w:ind w:firstLine="480"/>
        <w:rPr>
          <w:rFonts w:hint="default"/>
        </w:rPr>
      </w:pPr>
      <w:r>
        <w:rPr>
          <w:rFonts w:ascii="宋体" w:hAnsi="宋体" w:eastAsia="宋体" w:cs="宋体"/>
          <w:b/>
          <w:sz w:val="24"/>
        </w:rPr>
        <w:t>以上★号条款为招标文件中的所有★号条款，无论是技术指标或文字描述要求，投标人必须逐条如实地书面响应。</w:t>
      </w:r>
    </w:p>
    <w:p>
      <w:pPr>
        <w:pStyle w:val="13"/>
        <w:spacing w:before="75" w:after="75"/>
        <w:ind w:firstLine="480"/>
        <w:rPr>
          <w:rFonts w:hint="default"/>
        </w:rPr>
      </w:pPr>
      <w:r>
        <w:rPr>
          <w:b/>
        </w:rPr>
        <w:t xml:space="preserve"> </w:t>
      </w:r>
    </w:p>
    <w:p>
      <w:pPr>
        <w:pStyle w:val="13"/>
        <w:spacing w:before="75" w:after="75"/>
        <w:ind w:firstLine="4200"/>
        <w:rPr>
          <w:rFonts w:hint="default"/>
        </w:rPr>
      </w:pPr>
      <w:r>
        <w:rPr>
          <w:rFonts w:ascii="宋体" w:hAnsi="宋体" w:eastAsia="宋体" w:cs="宋体"/>
          <w:b/>
          <w:sz w:val="24"/>
        </w:rPr>
        <w:t>投标人全称（加盖公章）：</w:t>
      </w:r>
    </w:p>
    <w:p>
      <w:pPr>
        <w:pStyle w:val="13"/>
        <w:spacing w:before="75" w:after="75"/>
        <w:ind w:firstLine="4200"/>
        <w:rPr>
          <w:rFonts w:hint="default"/>
        </w:rPr>
      </w:pPr>
      <w:r>
        <w:rPr>
          <w:rFonts w:ascii="宋体" w:hAnsi="宋体" w:eastAsia="宋体" w:cs="宋体"/>
          <w:b/>
          <w:sz w:val="24"/>
        </w:rPr>
        <w:t>日   期：</w:t>
      </w:r>
    </w:p>
    <w:p>
      <w:pPr>
        <w:pStyle w:val="13"/>
        <w:spacing w:before="75" w:after="75"/>
        <w:ind w:firstLine="480"/>
        <w:rPr>
          <w:rFonts w:hint="default"/>
        </w:rPr>
      </w:pPr>
      <w:r>
        <w:br w:type="textWrapping"/>
      </w:r>
      <w:r>
        <w:rPr>
          <w:b/>
        </w:rPr>
        <w:t xml:space="preserve"> </w:t>
      </w:r>
    </w:p>
    <w:p>
      <w:pPr>
        <w:pStyle w:val="13"/>
        <w:spacing w:before="75" w:after="75"/>
        <w:ind w:firstLine="480"/>
        <w:jc w:val="both"/>
        <w:rPr>
          <w:rFonts w:ascii="黑体" w:hAnsi="黑体" w:eastAsia="黑体" w:cs="黑体"/>
          <w:b/>
          <w:sz w:val="28"/>
        </w:rPr>
      </w:pPr>
    </w:p>
    <w:p>
      <w:pPr>
        <w:pStyle w:val="13"/>
        <w:spacing w:before="75" w:after="75"/>
        <w:ind w:firstLine="480"/>
        <w:jc w:val="both"/>
        <w:rPr>
          <w:rFonts w:ascii="黑体" w:hAnsi="黑体" w:eastAsia="黑体" w:cs="黑体"/>
          <w:b/>
          <w:sz w:val="28"/>
        </w:rPr>
      </w:pPr>
    </w:p>
    <w:p>
      <w:pPr>
        <w:pStyle w:val="13"/>
        <w:spacing w:before="75" w:after="75"/>
        <w:ind w:firstLine="480"/>
        <w:jc w:val="both"/>
        <w:rPr>
          <w:rFonts w:ascii="黑体" w:hAnsi="黑体" w:eastAsia="黑体" w:cs="黑体"/>
          <w:b/>
          <w:sz w:val="28"/>
        </w:rPr>
      </w:pPr>
    </w:p>
    <w:p>
      <w:pPr>
        <w:pStyle w:val="13"/>
        <w:spacing w:before="75" w:after="75"/>
        <w:ind w:firstLine="480"/>
        <w:jc w:val="both"/>
        <w:rPr>
          <w:rFonts w:hint="default"/>
        </w:rPr>
      </w:pPr>
      <w:r>
        <w:rPr>
          <w:rFonts w:ascii="黑体" w:hAnsi="黑体" w:eastAsia="黑体" w:cs="黑体"/>
          <w:b/>
          <w:sz w:val="28"/>
        </w:rPr>
        <w:t>（二）技术商务评分响应索引表</w:t>
      </w:r>
    </w:p>
    <w:tbl>
      <w:tblPr>
        <w:tblStyle w:val="11"/>
        <w:tblW w:w="0" w:type="auto"/>
        <w:tblInd w:w="0" w:type="dxa"/>
        <w:tblLayout w:type="autofit"/>
        <w:tblCellMar>
          <w:top w:w="0" w:type="dxa"/>
          <w:left w:w="108" w:type="dxa"/>
          <w:bottom w:w="0" w:type="dxa"/>
          <w:right w:w="108" w:type="dxa"/>
        </w:tblCellMar>
      </w:tblPr>
      <w:tblGrid>
        <w:gridCol w:w="1053"/>
        <w:gridCol w:w="4412"/>
        <w:gridCol w:w="2815"/>
      </w:tblGrid>
      <w:tr>
        <w:tblPrEx>
          <w:tblCellMar>
            <w:top w:w="0" w:type="dxa"/>
            <w:left w:w="108" w:type="dxa"/>
            <w:bottom w:w="0" w:type="dxa"/>
            <w:right w:w="108" w:type="dxa"/>
          </w:tblCellMar>
        </w:tblPrEx>
        <w:tc>
          <w:tcPr>
            <w:tcW w:w="700" w:type="dxa"/>
            <w:tcBorders>
              <w:top w:val="double" w:color="000000" w:sz="20" w:space="0"/>
              <w:left w:val="double" w:color="000000" w:sz="20" w:space="0"/>
              <w:bottom w:val="single" w:color="000000" w:sz="4" w:space="0"/>
              <w:right w:val="single" w:color="000000" w:sz="4" w:space="0"/>
            </w:tcBorders>
            <w:tcMar>
              <w:top w:w="0" w:type="dxa"/>
              <w:left w:w="105" w:type="dxa"/>
              <w:bottom w:w="0" w:type="dxa"/>
              <w:right w:w="105" w:type="dxa"/>
            </w:tcMar>
          </w:tcPr>
          <w:p>
            <w:pPr>
              <w:pStyle w:val="13"/>
              <w:spacing w:before="150" w:after="150"/>
              <w:ind w:firstLine="480"/>
              <w:jc w:val="center"/>
              <w:rPr>
                <w:rFonts w:hint="default"/>
              </w:rPr>
            </w:pPr>
            <w:r>
              <w:rPr>
                <w:rFonts w:ascii="宋体" w:hAnsi="宋体" w:eastAsia="宋体" w:cs="宋体"/>
                <w:b/>
                <w:sz w:val="24"/>
              </w:rPr>
              <w:t>序号</w:t>
            </w:r>
          </w:p>
        </w:tc>
        <w:tc>
          <w:tcPr>
            <w:tcW w:w="4412" w:type="dxa"/>
            <w:tcBorders>
              <w:top w:val="double" w:color="000000" w:sz="20" w:space="0"/>
              <w:left w:val="nil"/>
              <w:bottom w:val="single" w:color="000000" w:sz="4" w:space="0"/>
              <w:right w:val="single" w:color="000000" w:sz="4" w:space="0"/>
            </w:tcBorders>
            <w:tcMar>
              <w:top w:w="0" w:type="dxa"/>
              <w:left w:w="105" w:type="dxa"/>
              <w:bottom w:w="0" w:type="dxa"/>
              <w:right w:w="105" w:type="dxa"/>
            </w:tcMar>
          </w:tcPr>
          <w:p>
            <w:pPr>
              <w:pStyle w:val="13"/>
              <w:spacing w:before="150" w:after="150"/>
              <w:ind w:firstLine="480"/>
              <w:jc w:val="center"/>
              <w:rPr>
                <w:rFonts w:hint="default"/>
              </w:rPr>
            </w:pPr>
            <w:r>
              <w:rPr>
                <w:rFonts w:ascii="宋体" w:hAnsi="宋体" w:eastAsia="宋体" w:cs="宋体"/>
                <w:b/>
                <w:sz w:val="24"/>
              </w:rPr>
              <w:t>评分标准要求</w:t>
            </w:r>
          </w:p>
        </w:tc>
        <w:tc>
          <w:tcPr>
            <w:tcW w:w="2815" w:type="dxa"/>
            <w:tcBorders>
              <w:top w:val="double" w:color="000000" w:sz="20" w:space="0"/>
              <w:left w:val="nil"/>
              <w:bottom w:val="single" w:color="000000" w:sz="4" w:space="0"/>
              <w:right w:val="double" w:color="000000" w:sz="20" w:space="0"/>
            </w:tcBorders>
            <w:tcMar>
              <w:top w:w="0" w:type="dxa"/>
              <w:left w:w="105" w:type="dxa"/>
              <w:bottom w:w="0" w:type="dxa"/>
              <w:right w:w="105" w:type="dxa"/>
            </w:tcMar>
          </w:tcPr>
          <w:p>
            <w:pPr>
              <w:pStyle w:val="13"/>
              <w:spacing w:before="150" w:after="150"/>
              <w:ind w:firstLine="480"/>
              <w:jc w:val="center"/>
              <w:rPr>
                <w:rFonts w:hint="default"/>
              </w:rPr>
            </w:pPr>
            <w:r>
              <w:rPr>
                <w:rFonts w:ascii="宋体" w:hAnsi="宋体" w:eastAsia="宋体" w:cs="宋体"/>
                <w:b/>
                <w:sz w:val="24"/>
              </w:rPr>
              <w:t>对应投标文件页码</w:t>
            </w:r>
          </w:p>
        </w:tc>
      </w:tr>
      <w:tr>
        <w:tblPrEx>
          <w:tblCellMar>
            <w:top w:w="0" w:type="dxa"/>
            <w:left w:w="108" w:type="dxa"/>
            <w:bottom w:w="0" w:type="dxa"/>
            <w:right w:w="108" w:type="dxa"/>
          </w:tblCellMar>
        </w:tblPrEx>
        <w:tc>
          <w:tcPr>
            <w:tcW w:w="7927" w:type="dxa"/>
            <w:gridSpan w:val="3"/>
            <w:tcBorders>
              <w:top w:val="nil"/>
              <w:left w:val="double" w:color="000000" w:sz="20" w:space="0"/>
              <w:bottom w:val="single" w:color="000000" w:sz="4" w:space="0"/>
              <w:right w:val="double" w:color="000000" w:sz="20" w:space="0"/>
            </w:tcBorders>
            <w:tcMar>
              <w:top w:w="0" w:type="dxa"/>
              <w:left w:w="105" w:type="dxa"/>
              <w:bottom w:w="0" w:type="dxa"/>
              <w:right w:w="105" w:type="dxa"/>
            </w:tcMar>
          </w:tcPr>
          <w:p>
            <w:pPr>
              <w:pStyle w:val="13"/>
              <w:spacing w:before="150" w:after="150"/>
              <w:ind w:firstLine="480"/>
              <w:jc w:val="center"/>
              <w:rPr>
                <w:rFonts w:hint="default"/>
              </w:rPr>
            </w:pPr>
            <w:r>
              <w:rPr>
                <w:rFonts w:ascii="宋体" w:hAnsi="宋体" w:eastAsia="宋体" w:cs="宋体"/>
                <w:b/>
                <w:sz w:val="24"/>
              </w:rPr>
              <w:t>技术因素评分</w:t>
            </w:r>
          </w:p>
        </w:tc>
      </w:tr>
      <w:tr>
        <w:tblPrEx>
          <w:tblCellMar>
            <w:top w:w="0" w:type="dxa"/>
            <w:left w:w="108" w:type="dxa"/>
            <w:bottom w:w="0" w:type="dxa"/>
            <w:right w:w="108" w:type="dxa"/>
          </w:tblCellMar>
        </w:tblPrEx>
        <w:tc>
          <w:tcPr>
            <w:tcW w:w="700" w:type="dxa"/>
            <w:tcBorders>
              <w:top w:val="nil"/>
              <w:left w:val="double" w:color="000000" w:sz="20" w:space="0"/>
              <w:bottom w:val="single" w:color="000000" w:sz="4" w:space="0"/>
              <w:right w:val="single" w:color="000000" w:sz="4" w:space="0"/>
            </w:tcBorders>
            <w:tcMar>
              <w:top w:w="0" w:type="dxa"/>
              <w:left w:w="105" w:type="dxa"/>
              <w:bottom w:w="0" w:type="dxa"/>
              <w:right w:w="105" w:type="dxa"/>
            </w:tcMar>
          </w:tcPr>
          <w:p>
            <w:pPr>
              <w:pStyle w:val="13"/>
              <w:spacing w:before="150" w:after="150"/>
              <w:ind w:firstLine="480"/>
              <w:jc w:val="center"/>
              <w:rPr>
                <w:rFonts w:hint="default"/>
              </w:rPr>
            </w:pPr>
            <w:r>
              <w:rPr>
                <w:rFonts w:ascii="宋体" w:hAnsi="宋体" w:eastAsia="宋体" w:cs="宋体"/>
                <w:b/>
                <w:sz w:val="24"/>
              </w:rPr>
              <w:t>1-1</w:t>
            </w:r>
          </w:p>
        </w:tc>
        <w:tc>
          <w:tcPr>
            <w:tcW w:w="4412"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2815" w:type="dxa"/>
            <w:tcBorders>
              <w:top w:val="nil"/>
              <w:left w:val="nil"/>
              <w:bottom w:val="single" w:color="000000" w:sz="4" w:space="0"/>
              <w:right w:val="double" w:color="000000" w:sz="20" w:space="0"/>
            </w:tcBorders>
            <w:tcMar>
              <w:top w:w="0" w:type="dxa"/>
              <w:left w:w="105" w:type="dxa"/>
              <w:bottom w:w="0" w:type="dxa"/>
              <w:right w:w="105" w:type="dxa"/>
            </w:tcMar>
          </w:tcPr>
          <w:p>
            <w:pPr>
              <w:pStyle w:val="13"/>
              <w:rPr>
                <w:rFonts w:hint="default"/>
              </w:rPr>
            </w:pPr>
            <w:r>
              <w:rPr>
                <w:b/>
              </w:rPr>
              <w:t xml:space="preserve"> </w:t>
            </w:r>
          </w:p>
        </w:tc>
      </w:tr>
      <w:tr>
        <w:tblPrEx>
          <w:tblCellMar>
            <w:top w:w="0" w:type="dxa"/>
            <w:left w:w="108" w:type="dxa"/>
            <w:bottom w:w="0" w:type="dxa"/>
            <w:right w:w="108" w:type="dxa"/>
          </w:tblCellMar>
        </w:tblPrEx>
        <w:tc>
          <w:tcPr>
            <w:tcW w:w="700" w:type="dxa"/>
            <w:tcBorders>
              <w:top w:val="nil"/>
              <w:left w:val="double" w:color="000000" w:sz="20" w:space="0"/>
              <w:bottom w:val="single" w:color="000000" w:sz="4" w:space="0"/>
              <w:right w:val="single" w:color="000000" w:sz="4" w:space="0"/>
            </w:tcBorders>
            <w:tcMar>
              <w:top w:w="0" w:type="dxa"/>
              <w:left w:w="105" w:type="dxa"/>
              <w:bottom w:w="0" w:type="dxa"/>
              <w:right w:w="105" w:type="dxa"/>
            </w:tcMar>
          </w:tcPr>
          <w:p>
            <w:pPr>
              <w:pStyle w:val="13"/>
              <w:spacing w:before="150" w:after="150"/>
              <w:ind w:firstLine="480"/>
              <w:jc w:val="center"/>
              <w:rPr>
                <w:rFonts w:hint="default"/>
              </w:rPr>
            </w:pPr>
            <w:r>
              <w:rPr>
                <w:rFonts w:ascii="宋体" w:hAnsi="宋体" w:eastAsia="宋体" w:cs="宋体"/>
                <w:b/>
                <w:sz w:val="24"/>
              </w:rPr>
              <w:t>1-2</w:t>
            </w:r>
          </w:p>
        </w:tc>
        <w:tc>
          <w:tcPr>
            <w:tcW w:w="4412"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2815" w:type="dxa"/>
            <w:tcBorders>
              <w:top w:val="nil"/>
              <w:left w:val="nil"/>
              <w:bottom w:val="single" w:color="000000" w:sz="4" w:space="0"/>
              <w:right w:val="double" w:color="000000" w:sz="20" w:space="0"/>
            </w:tcBorders>
            <w:tcMar>
              <w:top w:w="0" w:type="dxa"/>
              <w:left w:w="105" w:type="dxa"/>
              <w:bottom w:w="0" w:type="dxa"/>
              <w:right w:w="105" w:type="dxa"/>
            </w:tcMar>
          </w:tcPr>
          <w:p>
            <w:pPr>
              <w:pStyle w:val="13"/>
              <w:rPr>
                <w:rFonts w:hint="default"/>
              </w:rPr>
            </w:pPr>
            <w:r>
              <w:rPr>
                <w:b/>
              </w:rPr>
              <w:t xml:space="preserve"> </w:t>
            </w:r>
          </w:p>
        </w:tc>
      </w:tr>
      <w:tr>
        <w:tblPrEx>
          <w:tblCellMar>
            <w:top w:w="0" w:type="dxa"/>
            <w:left w:w="108" w:type="dxa"/>
            <w:bottom w:w="0" w:type="dxa"/>
            <w:right w:w="108" w:type="dxa"/>
          </w:tblCellMar>
        </w:tblPrEx>
        <w:tc>
          <w:tcPr>
            <w:tcW w:w="700" w:type="dxa"/>
            <w:tcBorders>
              <w:top w:val="nil"/>
              <w:left w:val="double" w:color="000000" w:sz="20" w:space="0"/>
              <w:bottom w:val="single" w:color="000000" w:sz="4" w:space="0"/>
              <w:right w:val="single" w:color="000000" w:sz="4" w:space="0"/>
            </w:tcBorders>
            <w:tcMar>
              <w:top w:w="0" w:type="dxa"/>
              <w:left w:w="105" w:type="dxa"/>
              <w:bottom w:w="0" w:type="dxa"/>
              <w:right w:w="105" w:type="dxa"/>
            </w:tcMar>
          </w:tcPr>
          <w:p>
            <w:pPr>
              <w:pStyle w:val="13"/>
              <w:spacing w:before="150" w:after="150"/>
              <w:ind w:firstLine="480"/>
              <w:jc w:val="center"/>
              <w:rPr>
                <w:rFonts w:hint="default"/>
              </w:rPr>
            </w:pPr>
            <w:r>
              <w:rPr>
                <w:rFonts w:ascii="宋体" w:hAnsi="宋体" w:eastAsia="宋体" w:cs="宋体"/>
                <w:b/>
                <w:sz w:val="24"/>
              </w:rPr>
              <w:t>1-3</w:t>
            </w:r>
          </w:p>
        </w:tc>
        <w:tc>
          <w:tcPr>
            <w:tcW w:w="4412"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2815" w:type="dxa"/>
            <w:tcBorders>
              <w:top w:val="nil"/>
              <w:left w:val="nil"/>
              <w:bottom w:val="single" w:color="000000" w:sz="4" w:space="0"/>
              <w:right w:val="double" w:color="000000" w:sz="20" w:space="0"/>
            </w:tcBorders>
            <w:tcMar>
              <w:top w:w="0" w:type="dxa"/>
              <w:left w:w="105" w:type="dxa"/>
              <w:bottom w:w="0" w:type="dxa"/>
              <w:right w:w="105" w:type="dxa"/>
            </w:tcMar>
          </w:tcPr>
          <w:p>
            <w:pPr>
              <w:pStyle w:val="13"/>
              <w:rPr>
                <w:rFonts w:hint="default"/>
              </w:rPr>
            </w:pPr>
            <w:r>
              <w:rPr>
                <w:b/>
              </w:rPr>
              <w:t xml:space="preserve"> </w:t>
            </w:r>
          </w:p>
        </w:tc>
      </w:tr>
      <w:tr>
        <w:tblPrEx>
          <w:tblCellMar>
            <w:top w:w="0" w:type="dxa"/>
            <w:left w:w="108" w:type="dxa"/>
            <w:bottom w:w="0" w:type="dxa"/>
            <w:right w:w="108" w:type="dxa"/>
          </w:tblCellMar>
        </w:tblPrEx>
        <w:tc>
          <w:tcPr>
            <w:tcW w:w="700" w:type="dxa"/>
            <w:tcBorders>
              <w:top w:val="nil"/>
              <w:left w:val="double" w:color="000000" w:sz="20" w:space="0"/>
              <w:bottom w:val="single" w:color="000000" w:sz="4" w:space="0"/>
              <w:right w:val="single" w:color="000000" w:sz="4" w:space="0"/>
            </w:tcBorders>
            <w:tcMar>
              <w:top w:w="0" w:type="dxa"/>
              <w:left w:w="105" w:type="dxa"/>
              <w:bottom w:w="0" w:type="dxa"/>
              <w:right w:w="105" w:type="dxa"/>
            </w:tcMar>
          </w:tcPr>
          <w:p>
            <w:pPr>
              <w:pStyle w:val="13"/>
              <w:spacing w:before="150" w:after="150"/>
              <w:ind w:firstLine="480"/>
              <w:jc w:val="center"/>
              <w:rPr>
                <w:rFonts w:hint="default"/>
              </w:rPr>
            </w:pPr>
            <w:r>
              <w:rPr>
                <w:rFonts w:ascii="宋体" w:hAnsi="宋体" w:eastAsia="宋体" w:cs="宋体"/>
                <w:b/>
                <w:sz w:val="24"/>
              </w:rPr>
              <w:t>1-4</w:t>
            </w:r>
          </w:p>
        </w:tc>
        <w:tc>
          <w:tcPr>
            <w:tcW w:w="4412"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2815" w:type="dxa"/>
            <w:tcBorders>
              <w:top w:val="nil"/>
              <w:left w:val="nil"/>
              <w:bottom w:val="single" w:color="000000" w:sz="4" w:space="0"/>
              <w:right w:val="double" w:color="000000" w:sz="20" w:space="0"/>
            </w:tcBorders>
            <w:tcMar>
              <w:top w:w="0" w:type="dxa"/>
              <w:left w:w="105" w:type="dxa"/>
              <w:bottom w:w="0" w:type="dxa"/>
              <w:right w:w="105" w:type="dxa"/>
            </w:tcMar>
          </w:tcPr>
          <w:p>
            <w:pPr>
              <w:pStyle w:val="13"/>
              <w:rPr>
                <w:rFonts w:hint="default"/>
              </w:rPr>
            </w:pPr>
            <w:r>
              <w:rPr>
                <w:b/>
              </w:rPr>
              <w:t xml:space="preserve"> </w:t>
            </w:r>
          </w:p>
        </w:tc>
      </w:tr>
      <w:tr>
        <w:tblPrEx>
          <w:tblCellMar>
            <w:top w:w="0" w:type="dxa"/>
            <w:left w:w="108" w:type="dxa"/>
            <w:bottom w:w="0" w:type="dxa"/>
            <w:right w:w="108" w:type="dxa"/>
          </w:tblCellMar>
        </w:tblPrEx>
        <w:tc>
          <w:tcPr>
            <w:tcW w:w="7927" w:type="dxa"/>
            <w:gridSpan w:val="3"/>
            <w:tcBorders>
              <w:top w:val="nil"/>
              <w:left w:val="double" w:color="000000" w:sz="20" w:space="0"/>
              <w:bottom w:val="single" w:color="000000" w:sz="4" w:space="0"/>
              <w:right w:val="double" w:color="000000" w:sz="20" w:space="0"/>
            </w:tcBorders>
            <w:tcMar>
              <w:top w:w="0" w:type="dxa"/>
              <w:left w:w="105" w:type="dxa"/>
              <w:bottom w:w="0" w:type="dxa"/>
              <w:right w:w="105" w:type="dxa"/>
            </w:tcMar>
          </w:tcPr>
          <w:p>
            <w:pPr>
              <w:pStyle w:val="13"/>
              <w:spacing w:before="150" w:after="150"/>
              <w:ind w:firstLine="480"/>
              <w:jc w:val="center"/>
              <w:rPr>
                <w:rFonts w:hint="default"/>
              </w:rPr>
            </w:pPr>
            <w:r>
              <w:rPr>
                <w:rFonts w:ascii="宋体" w:hAnsi="宋体" w:eastAsia="宋体" w:cs="宋体"/>
                <w:b/>
                <w:sz w:val="24"/>
              </w:rPr>
              <w:t>商务因素评分</w:t>
            </w:r>
          </w:p>
        </w:tc>
      </w:tr>
      <w:tr>
        <w:tblPrEx>
          <w:tblCellMar>
            <w:top w:w="0" w:type="dxa"/>
            <w:left w:w="108" w:type="dxa"/>
            <w:bottom w:w="0" w:type="dxa"/>
            <w:right w:w="108" w:type="dxa"/>
          </w:tblCellMar>
        </w:tblPrEx>
        <w:tc>
          <w:tcPr>
            <w:tcW w:w="700" w:type="dxa"/>
            <w:tcBorders>
              <w:top w:val="nil"/>
              <w:left w:val="double" w:color="000000" w:sz="20" w:space="0"/>
              <w:bottom w:val="single" w:color="000000" w:sz="4" w:space="0"/>
              <w:right w:val="single" w:color="000000" w:sz="4" w:space="0"/>
            </w:tcBorders>
            <w:tcMar>
              <w:top w:w="0" w:type="dxa"/>
              <w:left w:w="105" w:type="dxa"/>
              <w:bottom w:w="0" w:type="dxa"/>
              <w:right w:w="105" w:type="dxa"/>
            </w:tcMar>
          </w:tcPr>
          <w:p>
            <w:pPr>
              <w:pStyle w:val="13"/>
              <w:spacing w:before="150" w:after="150"/>
              <w:ind w:firstLine="480"/>
              <w:jc w:val="center"/>
              <w:rPr>
                <w:rFonts w:hint="default"/>
              </w:rPr>
            </w:pPr>
            <w:r>
              <w:rPr>
                <w:rFonts w:ascii="宋体" w:hAnsi="宋体" w:eastAsia="宋体" w:cs="宋体"/>
                <w:b/>
                <w:sz w:val="24"/>
              </w:rPr>
              <w:t>2-1</w:t>
            </w:r>
          </w:p>
        </w:tc>
        <w:tc>
          <w:tcPr>
            <w:tcW w:w="4412"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2815" w:type="dxa"/>
            <w:tcBorders>
              <w:top w:val="nil"/>
              <w:left w:val="nil"/>
              <w:bottom w:val="single" w:color="000000" w:sz="4" w:space="0"/>
              <w:right w:val="double" w:color="000000" w:sz="20" w:space="0"/>
            </w:tcBorders>
            <w:tcMar>
              <w:top w:w="0" w:type="dxa"/>
              <w:left w:w="105" w:type="dxa"/>
              <w:bottom w:w="0" w:type="dxa"/>
              <w:right w:w="105" w:type="dxa"/>
            </w:tcMar>
          </w:tcPr>
          <w:p>
            <w:pPr>
              <w:pStyle w:val="13"/>
              <w:rPr>
                <w:rFonts w:hint="default"/>
              </w:rPr>
            </w:pPr>
            <w:r>
              <w:rPr>
                <w:b/>
              </w:rPr>
              <w:t xml:space="preserve"> </w:t>
            </w:r>
          </w:p>
        </w:tc>
      </w:tr>
      <w:tr>
        <w:tblPrEx>
          <w:tblCellMar>
            <w:top w:w="0" w:type="dxa"/>
            <w:left w:w="108" w:type="dxa"/>
            <w:bottom w:w="0" w:type="dxa"/>
            <w:right w:w="108" w:type="dxa"/>
          </w:tblCellMar>
        </w:tblPrEx>
        <w:tc>
          <w:tcPr>
            <w:tcW w:w="700" w:type="dxa"/>
            <w:tcBorders>
              <w:top w:val="nil"/>
              <w:left w:val="double" w:color="000000" w:sz="20" w:space="0"/>
              <w:bottom w:val="single" w:color="000000" w:sz="4" w:space="0"/>
              <w:right w:val="single" w:color="000000" w:sz="4" w:space="0"/>
            </w:tcBorders>
            <w:tcMar>
              <w:top w:w="0" w:type="dxa"/>
              <w:left w:w="105" w:type="dxa"/>
              <w:bottom w:w="0" w:type="dxa"/>
              <w:right w:w="105" w:type="dxa"/>
            </w:tcMar>
          </w:tcPr>
          <w:p>
            <w:pPr>
              <w:pStyle w:val="13"/>
              <w:spacing w:before="150" w:after="150"/>
              <w:ind w:firstLine="480"/>
              <w:jc w:val="center"/>
              <w:rPr>
                <w:rFonts w:hint="default"/>
              </w:rPr>
            </w:pPr>
            <w:r>
              <w:rPr>
                <w:rFonts w:ascii="宋体" w:hAnsi="宋体" w:eastAsia="宋体" w:cs="宋体"/>
                <w:b/>
                <w:sz w:val="24"/>
              </w:rPr>
              <w:t>2-2</w:t>
            </w:r>
          </w:p>
        </w:tc>
        <w:tc>
          <w:tcPr>
            <w:tcW w:w="4412"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2815" w:type="dxa"/>
            <w:tcBorders>
              <w:top w:val="nil"/>
              <w:left w:val="nil"/>
              <w:bottom w:val="single" w:color="000000" w:sz="4" w:space="0"/>
              <w:right w:val="double" w:color="000000" w:sz="20" w:space="0"/>
            </w:tcBorders>
            <w:tcMar>
              <w:top w:w="0" w:type="dxa"/>
              <w:left w:w="105" w:type="dxa"/>
              <w:bottom w:w="0" w:type="dxa"/>
              <w:right w:w="105" w:type="dxa"/>
            </w:tcMar>
          </w:tcPr>
          <w:p>
            <w:pPr>
              <w:pStyle w:val="13"/>
              <w:rPr>
                <w:rFonts w:hint="default"/>
              </w:rPr>
            </w:pPr>
            <w:r>
              <w:rPr>
                <w:b/>
              </w:rPr>
              <w:t xml:space="preserve"> </w:t>
            </w:r>
          </w:p>
        </w:tc>
      </w:tr>
      <w:tr>
        <w:tblPrEx>
          <w:tblCellMar>
            <w:top w:w="0" w:type="dxa"/>
            <w:left w:w="108" w:type="dxa"/>
            <w:bottom w:w="0" w:type="dxa"/>
            <w:right w:w="108" w:type="dxa"/>
          </w:tblCellMar>
        </w:tblPrEx>
        <w:tc>
          <w:tcPr>
            <w:tcW w:w="700" w:type="dxa"/>
            <w:tcBorders>
              <w:top w:val="nil"/>
              <w:left w:val="double" w:color="000000" w:sz="20" w:space="0"/>
              <w:bottom w:val="single" w:color="000000" w:sz="4" w:space="0"/>
              <w:right w:val="single" w:color="000000" w:sz="4" w:space="0"/>
            </w:tcBorders>
            <w:tcMar>
              <w:top w:w="0" w:type="dxa"/>
              <w:left w:w="105" w:type="dxa"/>
              <w:bottom w:w="0" w:type="dxa"/>
              <w:right w:w="105" w:type="dxa"/>
            </w:tcMar>
          </w:tcPr>
          <w:p>
            <w:pPr>
              <w:pStyle w:val="13"/>
              <w:spacing w:before="150" w:after="150"/>
              <w:ind w:firstLine="480"/>
              <w:jc w:val="center"/>
              <w:rPr>
                <w:rFonts w:hint="default"/>
              </w:rPr>
            </w:pPr>
            <w:r>
              <w:rPr>
                <w:rFonts w:ascii="宋体" w:hAnsi="宋体" w:eastAsia="宋体" w:cs="宋体"/>
                <w:b/>
                <w:sz w:val="24"/>
              </w:rPr>
              <w:t>2-3</w:t>
            </w:r>
          </w:p>
        </w:tc>
        <w:tc>
          <w:tcPr>
            <w:tcW w:w="4412" w:type="dxa"/>
            <w:tcBorders>
              <w:top w:val="nil"/>
              <w:left w:val="nil"/>
              <w:bottom w:val="single" w:color="000000" w:sz="4"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2815" w:type="dxa"/>
            <w:tcBorders>
              <w:top w:val="nil"/>
              <w:left w:val="nil"/>
              <w:bottom w:val="single" w:color="000000" w:sz="4" w:space="0"/>
              <w:right w:val="double" w:color="000000" w:sz="20" w:space="0"/>
            </w:tcBorders>
            <w:tcMar>
              <w:top w:w="0" w:type="dxa"/>
              <w:left w:w="105" w:type="dxa"/>
              <w:bottom w:w="0" w:type="dxa"/>
              <w:right w:w="105" w:type="dxa"/>
            </w:tcMar>
          </w:tcPr>
          <w:p>
            <w:pPr>
              <w:pStyle w:val="13"/>
              <w:rPr>
                <w:rFonts w:hint="default"/>
              </w:rPr>
            </w:pPr>
            <w:r>
              <w:rPr>
                <w:b/>
              </w:rPr>
              <w:t xml:space="preserve"> </w:t>
            </w:r>
          </w:p>
        </w:tc>
      </w:tr>
      <w:tr>
        <w:tblPrEx>
          <w:tblCellMar>
            <w:top w:w="0" w:type="dxa"/>
            <w:left w:w="108" w:type="dxa"/>
            <w:bottom w:w="0" w:type="dxa"/>
            <w:right w:w="108" w:type="dxa"/>
          </w:tblCellMar>
        </w:tblPrEx>
        <w:tc>
          <w:tcPr>
            <w:tcW w:w="700" w:type="dxa"/>
            <w:tcBorders>
              <w:top w:val="nil"/>
              <w:left w:val="double" w:color="000000" w:sz="20" w:space="0"/>
              <w:bottom w:val="double" w:color="000000" w:sz="20"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4412" w:type="dxa"/>
            <w:tcBorders>
              <w:top w:val="nil"/>
              <w:left w:val="nil"/>
              <w:bottom w:val="double" w:color="000000" w:sz="20" w:space="0"/>
              <w:right w:val="single" w:color="000000" w:sz="4" w:space="0"/>
            </w:tcBorders>
            <w:tcMar>
              <w:top w:w="0" w:type="dxa"/>
              <w:left w:w="105" w:type="dxa"/>
              <w:bottom w:w="0" w:type="dxa"/>
              <w:right w:w="105" w:type="dxa"/>
            </w:tcMar>
          </w:tcPr>
          <w:p>
            <w:pPr>
              <w:pStyle w:val="13"/>
              <w:rPr>
                <w:rFonts w:hint="default"/>
              </w:rPr>
            </w:pPr>
            <w:r>
              <w:rPr>
                <w:b/>
              </w:rPr>
              <w:t xml:space="preserve"> </w:t>
            </w:r>
          </w:p>
        </w:tc>
        <w:tc>
          <w:tcPr>
            <w:tcW w:w="2815" w:type="dxa"/>
            <w:tcBorders>
              <w:top w:val="nil"/>
              <w:left w:val="nil"/>
              <w:bottom w:val="double" w:color="000000" w:sz="20" w:space="0"/>
              <w:right w:val="double" w:color="000000" w:sz="20" w:space="0"/>
            </w:tcBorders>
            <w:tcMar>
              <w:top w:w="0" w:type="dxa"/>
              <w:left w:w="105" w:type="dxa"/>
              <w:bottom w:w="0" w:type="dxa"/>
              <w:right w:w="105" w:type="dxa"/>
            </w:tcMar>
          </w:tcPr>
          <w:p>
            <w:pPr>
              <w:pStyle w:val="13"/>
              <w:rPr>
                <w:rFonts w:hint="default"/>
              </w:rPr>
            </w:pPr>
            <w:r>
              <w:rPr>
                <w:b/>
              </w:rPr>
              <w:t xml:space="preserve"> </w:t>
            </w:r>
          </w:p>
        </w:tc>
      </w:tr>
    </w:tbl>
    <w:p>
      <w:pPr>
        <w:pStyle w:val="13"/>
        <w:spacing w:before="75" w:after="75"/>
        <w:ind w:firstLine="480"/>
        <w:jc w:val="center"/>
        <w:rPr>
          <w:rFonts w:hint="default"/>
        </w:rPr>
      </w:pPr>
      <w:r>
        <w:rPr>
          <w:b/>
        </w:rPr>
        <w:t xml:space="preserve"> </w:t>
      </w:r>
    </w:p>
    <w:p>
      <w:pPr>
        <w:pStyle w:val="13"/>
        <w:spacing w:before="75" w:after="75"/>
        <w:ind w:firstLine="480"/>
        <w:rPr>
          <w:rFonts w:hint="default"/>
        </w:rPr>
      </w:pPr>
      <w:r>
        <w:rPr>
          <w:b/>
        </w:rPr>
        <w:t xml:space="preserve"> </w:t>
      </w:r>
    </w:p>
    <w:p>
      <w:pPr>
        <w:pStyle w:val="13"/>
        <w:spacing w:before="75" w:after="75"/>
        <w:ind w:firstLine="480"/>
        <w:rPr>
          <w:rFonts w:hint="default"/>
        </w:rPr>
      </w:pPr>
    </w:p>
    <w:p>
      <w:pPr>
        <w:pStyle w:val="13"/>
        <w:spacing w:before="120" w:after="120"/>
        <w:ind w:firstLine="480"/>
        <w:jc w:val="center"/>
        <w:rPr>
          <w:rFonts w:hint="default"/>
        </w:rPr>
      </w:pPr>
      <w:r>
        <w:rPr>
          <w:rFonts w:ascii="黑体" w:hAnsi="黑体" w:eastAsia="黑体" w:cs="黑体"/>
          <w:b/>
          <w:sz w:val="31"/>
        </w:rPr>
        <w:t>关于串标情形及后果的告知函</w:t>
      </w:r>
    </w:p>
    <w:p>
      <w:pPr>
        <w:pStyle w:val="13"/>
        <w:spacing w:before="75" w:after="75"/>
        <w:ind w:firstLine="480"/>
        <w:rPr>
          <w:rFonts w:hint="default"/>
        </w:rPr>
      </w:pPr>
      <w:r>
        <w:rPr>
          <w:rFonts w:ascii="宋体" w:hAnsi="宋体" w:eastAsia="宋体" w:cs="宋体"/>
          <w:b/>
          <w:sz w:val="24"/>
        </w:rPr>
        <w:t>根据《</w:t>
      </w:r>
      <w:r>
        <w:rPr>
          <w:rFonts w:ascii="宋体" w:hAnsi="宋体" w:eastAsia="宋体" w:cs="宋体"/>
          <w:b/>
          <w:sz w:val="24"/>
          <w:lang w:eastAsia="zh-CN"/>
        </w:rPr>
        <w:t>泉州</w:t>
      </w:r>
      <w:r>
        <w:rPr>
          <w:rFonts w:ascii="宋体" w:hAnsi="宋体" w:eastAsia="宋体" w:cs="宋体"/>
          <w:b/>
          <w:sz w:val="24"/>
        </w:rPr>
        <w:t>市财政局关于加强涉嫌串通投标情形处理的通知》要求，现将有关串标情形及后果的规定列明如下，请各供应商仔细阅读，在参与本项目采购活动中，要遵纪守法，公平参与竞争，不得从事违法行为，否则将依法承担相应责任：</w:t>
      </w:r>
    </w:p>
    <w:p>
      <w:pPr>
        <w:pStyle w:val="13"/>
        <w:spacing w:before="75" w:after="75"/>
        <w:ind w:firstLine="480"/>
        <w:rPr>
          <w:rFonts w:hint="default"/>
        </w:rPr>
      </w:pPr>
      <w:r>
        <w:rPr>
          <w:rFonts w:ascii="宋体" w:hAnsi="宋体" w:eastAsia="宋体" w:cs="宋体"/>
          <w:b/>
          <w:sz w:val="24"/>
        </w:rPr>
        <w:t>一、串标情形</w:t>
      </w:r>
    </w:p>
    <w:p>
      <w:pPr>
        <w:pStyle w:val="13"/>
        <w:spacing w:before="75" w:after="75"/>
        <w:ind w:firstLine="480"/>
        <w:rPr>
          <w:rFonts w:hint="default"/>
        </w:rPr>
      </w:pPr>
      <w:r>
        <w:rPr>
          <w:rFonts w:ascii="宋体" w:hAnsi="宋体" w:eastAsia="宋体" w:cs="宋体"/>
          <w:b/>
          <w:sz w:val="24"/>
        </w:rPr>
        <w:t>1、《政府采购法》第二十五条：政府采购当事人不得相互串通损害国家利益、社会公共利益和其他当事人的合法权益；不得以任何手段排斥其他供应商参与竞争。供应商不得以向采购人、采购代理机构、评标委员会的组成人员、竞争性谈判小组的组成人员、询价小组的组成人员行贿或者采取其他不正当手段谋取中标或者成交。</w:t>
      </w:r>
    </w:p>
    <w:p>
      <w:pPr>
        <w:pStyle w:val="13"/>
        <w:spacing w:before="75" w:after="75"/>
        <w:ind w:firstLine="480"/>
        <w:rPr>
          <w:rFonts w:hint="default"/>
        </w:rPr>
      </w:pPr>
      <w:r>
        <w:rPr>
          <w:rFonts w:ascii="宋体" w:hAnsi="宋体" w:eastAsia="宋体" w:cs="宋体"/>
          <w:b/>
          <w:sz w:val="24"/>
        </w:rPr>
        <w:t>2、《政府采购法实施条例》第七十四条：有下列情形之一的，属于恶意串通，对供应商依照政府采购法第七十七条第一款的规定追究法律责任，对采购人、采购代理机构及其工作人员依照政府采购法第七十二条的规定追究法律责任：</w:t>
      </w:r>
    </w:p>
    <w:p>
      <w:pPr>
        <w:pStyle w:val="13"/>
        <w:spacing w:before="75" w:after="75"/>
        <w:ind w:firstLine="480"/>
        <w:rPr>
          <w:rFonts w:hint="default"/>
        </w:rPr>
      </w:pPr>
      <w:r>
        <w:rPr>
          <w:rFonts w:ascii="宋体" w:hAnsi="宋体" w:eastAsia="宋体" w:cs="宋体"/>
          <w:b/>
          <w:sz w:val="24"/>
        </w:rPr>
        <w:t>（一）供应商直接或者间接从采购人或者采购代理机构处获得其他供应商的相关情况并修改其投标文件或者响应文件；</w:t>
      </w:r>
    </w:p>
    <w:p>
      <w:pPr>
        <w:pStyle w:val="13"/>
        <w:spacing w:before="75" w:after="75"/>
        <w:ind w:firstLine="480"/>
        <w:rPr>
          <w:rFonts w:hint="default"/>
        </w:rPr>
      </w:pPr>
      <w:r>
        <w:rPr>
          <w:rFonts w:ascii="宋体" w:hAnsi="宋体" w:eastAsia="宋体" w:cs="宋体"/>
          <w:b/>
          <w:sz w:val="24"/>
        </w:rPr>
        <w:t>（二）供应商按照采购人或者采购代理机构的授意撤换、修改投标文件或者响应文件；</w:t>
      </w:r>
    </w:p>
    <w:p>
      <w:pPr>
        <w:pStyle w:val="13"/>
        <w:spacing w:before="75" w:after="75"/>
        <w:ind w:firstLine="480"/>
        <w:rPr>
          <w:rFonts w:hint="default"/>
        </w:rPr>
      </w:pPr>
      <w:r>
        <w:rPr>
          <w:rFonts w:ascii="宋体" w:hAnsi="宋体" w:eastAsia="宋体" w:cs="宋体"/>
          <w:b/>
          <w:sz w:val="24"/>
        </w:rPr>
        <w:t>（三）供应商之间协商报价、技术方案等投标文件或者响应文件的实质性内容；</w:t>
      </w:r>
    </w:p>
    <w:p>
      <w:pPr>
        <w:pStyle w:val="13"/>
        <w:spacing w:before="75" w:after="75"/>
        <w:ind w:firstLine="480"/>
        <w:rPr>
          <w:rFonts w:hint="default"/>
        </w:rPr>
      </w:pPr>
      <w:r>
        <w:rPr>
          <w:rFonts w:ascii="宋体" w:hAnsi="宋体" w:eastAsia="宋体" w:cs="宋体"/>
          <w:b/>
          <w:sz w:val="24"/>
        </w:rPr>
        <w:t>（四）属于同一集团、协会、商会等组织成员的供应商按照该组织要求协同参加政府采购活动；</w:t>
      </w:r>
    </w:p>
    <w:p>
      <w:pPr>
        <w:pStyle w:val="13"/>
        <w:spacing w:before="75" w:after="75"/>
        <w:ind w:firstLine="480"/>
        <w:rPr>
          <w:rFonts w:hint="default"/>
        </w:rPr>
      </w:pPr>
      <w:r>
        <w:rPr>
          <w:rFonts w:ascii="宋体" w:hAnsi="宋体" w:eastAsia="宋体" w:cs="宋体"/>
          <w:b/>
          <w:sz w:val="24"/>
        </w:rPr>
        <w:t>（五）供应商之间事先约定由某一特定供应商中标、成交；</w:t>
      </w:r>
    </w:p>
    <w:p>
      <w:pPr>
        <w:pStyle w:val="13"/>
        <w:spacing w:before="75" w:after="75"/>
        <w:ind w:firstLine="480"/>
        <w:rPr>
          <w:rFonts w:hint="default"/>
        </w:rPr>
      </w:pPr>
      <w:r>
        <w:rPr>
          <w:rFonts w:ascii="宋体" w:hAnsi="宋体" w:eastAsia="宋体" w:cs="宋体"/>
          <w:b/>
          <w:sz w:val="24"/>
        </w:rPr>
        <w:t>（六）供应商之间商定部分供应商放弃参加政府采购活动或者放弃中标、成交；</w:t>
      </w:r>
    </w:p>
    <w:p>
      <w:pPr>
        <w:pStyle w:val="13"/>
        <w:spacing w:before="75" w:after="75"/>
        <w:ind w:firstLine="480"/>
        <w:rPr>
          <w:rFonts w:hint="default"/>
        </w:rPr>
      </w:pPr>
      <w:r>
        <w:rPr>
          <w:rFonts w:ascii="宋体" w:hAnsi="宋体" w:eastAsia="宋体" w:cs="宋体"/>
          <w:b/>
          <w:sz w:val="24"/>
        </w:rPr>
        <w:t>（七）供应商与采购人或者采购代理机构之间、供应商相互之间，为谋求特定供应商中标、成交或者排斥其他供应商的其他串通行为。</w:t>
      </w:r>
    </w:p>
    <w:p>
      <w:pPr>
        <w:pStyle w:val="13"/>
        <w:spacing w:before="75" w:after="75"/>
        <w:ind w:firstLine="480"/>
        <w:rPr>
          <w:rFonts w:hint="default"/>
        </w:rPr>
      </w:pPr>
      <w:r>
        <w:rPr>
          <w:rFonts w:ascii="宋体" w:hAnsi="宋体" w:eastAsia="宋体" w:cs="宋体"/>
          <w:b/>
          <w:sz w:val="24"/>
        </w:rPr>
        <w:t>3、《政府采购货物和服务招标投标管理办法》（财政部令第87号）第三十七条：有下列情形之一的，视为投标人串通投标，其投标无效：</w:t>
      </w:r>
    </w:p>
    <w:p>
      <w:pPr>
        <w:pStyle w:val="13"/>
        <w:spacing w:before="75" w:after="75"/>
        <w:ind w:firstLine="480"/>
        <w:rPr>
          <w:rFonts w:hint="default"/>
        </w:rPr>
      </w:pPr>
      <w:r>
        <w:rPr>
          <w:rFonts w:ascii="宋体" w:hAnsi="宋体" w:eastAsia="宋体" w:cs="宋体"/>
          <w:b/>
          <w:sz w:val="24"/>
        </w:rPr>
        <w:t>（一）不同投标人的投标文件由同一单位或者个人编制；</w:t>
      </w:r>
    </w:p>
    <w:p>
      <w:pPr>
        <w:pStyle w:val="13"/>
        <w:spacing w:before="75" w:after="75"/>
        <w:ind w:firstLine="480"/>
        <w:rPr>
          <w:rFonts w:hint="default"/>
        </w:rPr>
      </w:pPr>
      <w:r>
        <w:rPr>
          <w:rFonts w:ascii="宋体" w:hAnsi="宋体" w:eastAsia="宋体" w:cs="宋体"/>
          <w:b/>
          <w:sz w:val="24"/>
        </w:rPr>
        <w:t>（二）不同投标人委托同一单位或者个人办理投标事宜；</w:t>
      </w:r>
    </w:p>
    <w:p>
      <w:pPr>
        <w:pStyle w:val="13"/>
        <w:spacing w:before="75" w:after="75"/>
        <w:ind w:firstLine="480"/>
        <w:rPr>
          <w:rFonts w:hint="default"/>
        </w:rPr>
      </w:pPr>
      <w:r>
        <w:rPr>
          <w:rFonts w:ascii="宋体" w:hAnsi="宋体" w:eastAsia="宋体" w:cs="宋体"/>
          <w:b/>
          <w:sz w:val="24"/>
        </w:rPr>
        <w:t>（三）不同投标人的投标文件载明的项目管理成员或者联系人员为同一人；</w:t>
      </w:r>
    </w:p>
    <w:p>
      <w:pPr>
        <w:pStyle w:val="13"/>
        <w:spacing w:before="75" w:after="75"/>
        <w:ind w:firstLine="480"/>
        <w:rPr>
          <w:rFonts w:hint="default"/>
        </w:rPr>
      </w:pPr>
      <w:r>
        <w:rPr>
          <w:rFonts w:ascii="宋体" w:hAnsi="宋体" w:eastAsia="宋体" w:cs="宋体"/>
          <w:b/>
          <w:sz w:val="24"/>
        </w:rPr>
        <w:t>（四）不同投标人的投标文件异常一致或者投标报价呈规律性差异；</w:t>
      </w:r>
    </w:p>
    <w:p>
      <w:pPr>
        <w:pStyle w:val="13"/>
        <w:spacing w:before="75" w:after="75"/>
        <w:ind w:firstLine="480"/>
        <w:rPr>
          <w:rFonts w:hint="default"/>
        </w:rPr>
      </w:pPr>
      <w:r>
        <w:rPr>
          <w:rFonts w:ascii="宋体" w:hAnsi="宋体" w:eastAsia="宋体" w:cs="宋体"/>
          <w:b/>
          <w:sz w:val="24"/>
        </w:rPr>
        <w:t>（五）不同投标人的投标文件相互混装；</w:t>
      </w:r>
    </w:p>
    <w:p>
      <w:pPr>
        <w:pStyle w:val="13"/>
        <w:spacing w:before="75" w:after="75"/>
        <w:ind w:firstLine="480"/>
        <w:rPr>
          <w:rFonts w:hint="default"/>
        </w:rPr>
      </w:pPr>
      <w:r>
        <w:rPr>
          <w:rFonts w:ascii="宋体" w:hAnsi="宋体" w:eastAsia="宋体" w:cs="宋体"/>
          <w:b/>
          <w:sz w:val="24"/>
        </w:rPr>
        <w:t>（六）不同投标人的投标保证金从同一单位或者个人的账户转出。</w:t>
      </w:r>
    </w:p>
    <w:p>
      <w:pPr>
        <w:pStyle w:val="13"/>
        <w:spacing w:before="75" w:after="75"/>
        <w:ind w:firstLine="480"/>
        <w:rPr>
          <w:rFonts w:hint="default"/>
        </w:rPr>
      </w:pPr>
      <w:r>
        <w:rPr>
          <w:rFonts w:ascii="宋体" w:hAnsi="宋体" w:eastAsia="宋体" w:cs="宋体"/>
          <w:b/>
          <w:sz w:val="24"/>
        </w:rPr>
        <w:t>4、《福建省财政厅关于电子化政府采购项目中视为串标情形认定与处理的指导意见》（闽财购〔2018〕30号）</w:t>
      </w:r>
    </w:p>
    <w:p>
      <w:pPr>
        <w:pStyle w:val="13"/>
        <w:spacing w:before="75" w:after="75"/>
        <w:ind w:firstLine="480"/>
        <w:rPr>
          <w:rFonts w:hint="default"/>
        </w:rPr>
      </w:pPr>
      <w:r>
        <w:rPr>
          <w:rFonts w:ascii="宋体" w:hAnsi="宋体" w:eastAsia="宋体" w:cs="宋体"/>
          <w:b/>
          <w:sz w:val="24"/>
        </w:rPr>
        <w:t>一、电子化招标项目视为串通情形的认定</w:t>
      </w:r>
    </w:p>
    <w:p>
      <w:pPr>
        <w:pStyle w:val="13"/>
        <w:spacing w:before="75" w:after="75"/>
        <w:ind w:firstLine="480"/>
        <w:rPr>
          <w:rFonts w:hint="default"/>
        </w:rPr>
      </w:pPr>
      <w:r>
        <w:rPr>
          <w:rFonts w:ascii="宋体" w:hAnsi="宋体" w:eastAsia="宋体" w:cs="宋体"/>
          <w:b/>
          <w:sz w:val="24"/>
        </w:rPr>
        <w:t>（一）保证金验核阶段</w:t>
      </w:r>
    </w:p>
    <w:p>
      <w:pPr>
        <w:pStyle w:val="13"/>
        <w:spacing w:before="75" w:after="75"/>
        <w:ind w:firstLine="480"/>
        <w:rPr>
          <w:rFonts w:hint="default"/>
        </w:rPr>
      </w:pPr>
      <w:r>
        <w:rPr>
          <w:rFonts w:ascii="宋体" w:hAnsi="宋体" w:eastAsia="宋体" w:cs="宋体"/>
          <w:b/>
          <w:sz w:val="24"/>
        </w:rPr>
        <w:t>不同投标人的投标保证金转出账户的银行账户名称相同的，属于《政府采购货物和服务招标投标管理办法》（财政部令第87号）第三十七条第（六）项“不同投标人的投标保证金从同一单位或者个人的账户转出”的情形。</w:t>
      </w:r>
    </w:p>
    <w:p>
      <w:pPr>
        <w:pStyle w:val="13"/>
        <w:spacing w:before="75" w:after="75"/>
        <w:ind w:firstLine="480"/>
        <w:rPr>
          <w:rFonts w:hint="default"/>
        </w:rPr>
      </w:pPr>
      <w:r>
        <w:rPr>
          <w:rFonts w:ascii="宋体" w:hAnsi="宋体" w:eastAsia="宋体" w:cs="宋体"/>
          <w:b/>
          <w:sz w:val="24"/>
        </w:rPr>
        <w:t>（二）电子响应文件解密阶段</w:t>
      </w:r>
    </w:p>
    <w:p>
      <w:pPr>
        <w:pStyle w:val="13"/>
        <w:spacing w:before="75" w:after="75"/>
        <w:ind w:firstLine="480"/>
        <w:rPr>
          <w:rFonts w:hint="default"/>
        </w:rPr>
      </w:pPr>
      <w:r>
        <w:rPr>
          <w:rFonts w:ascii="宋体" w:hAnsi="宋体" w:eastAsia="宋体" w:cs="宋体"/>
          <w:b/>
          <w:sz w:val="24"/>
        </w:rPr>
        <w:t>电子响应文件的个性特征与本采购项目的其他响应人存在雷同的，按照以下方式进行认定：</w:t>
      </w:r>
    </w:p>
    <w:p>
      <w:pPr>
        <w:pStyle w:val="13"/>
        <w:spacing w:before="75" w:after="75"/>
        <w:ind w:firstLine="480"/>
        <w:rPr>
          <w:rFonts w:hint="default"/>
        </w:rPr>
      </w:pPr>
      <w:r>
        <w:rPr>
          <w:rFonts w:ascii="宋体" w:hAnsi="宋体" w:eastAsia="宋体" w:cs="宋体"/>
          <w:b/>
          <w:sz w:val="24"/>
        </w:rPr>
        <w:t>1.投标人上传电子投标文件被福建省政府采购网上公开信息系统投标客户端所赋予的项目内部识别码与本招标项目的其他投标人相同的，属于《政府采购货物和服务招标投标管理办法》（财政部令第87号）第三十七条第（一）项“不同投标人的投标文件由同一单位或者个人编制”的情形。</w:t>
      </w:r>
    </w:p>
    <w:p>
      <w:pPr>
        <w:pStyle w:val="13"/>
        <w:spacing w:before="75" w:after="75"/>
        <w:ind w:firstLine="480"/>
        <w:rPr>
          <w:rFonts w:hint="default"/>
        </w:rPr>
      </w:pPr>
      <w:r>
        <w:rPr>
          <w:rFonts w:ascii="宋体" w:hAnsi="宋体" w:eastAsia="宋体" w:cs="宋体"/>
          <w:b/>
          <w:sz w:val="24"/>
        </w:rPr>
        <w:t>2.系统记录的编制电子投标文件使用的计算机或上传电子投标文件使用的计算机网卡MAC地址与本招标项目的其他投标人一致的，属于《政府采购货物和服务招标投标管理办法》（财政部令第87号）第三十七条第（二）项“不同投标人委托同一单位或者个人办理投标事宜”的情形。</w:t>
      </w:r>
    </w:p>
    <w:p>
      <w:pPr>
        <w:pStyle w:val="13"/>
        <w:spacing w:before="75" w:after="75"/>
        <w:ind w:firstLine="480"/>
        <w:rPr>
          <w:rFonts w:hint="default"/>
        </w:rPr>
      </w:pPr>
      <w:r>
        <w:rPr>
          <w:rFonts w:ascii="宋体" w:hAnsi="宋体" w:eastAsia="宋体" w:cs="宋体"/>
          <w:b/>
          <w:sz w:val="24"/>
        </w:rPr>
        <w:t>3.投标人上传的电子投标文件若出现使用本项目其他投标人的数字证书加密的或加盖本项目的其他投标人的电子印章的，属于《政府采购货物和服务招标投标管理办法》（财政部令第87号）第三十七条第（五）项“不同投标人的投标文件相互混装”的情形。</w:t>
      </w:r>
    </w:p>
    <w:p>
      <w:pPr>
        <w:pStyle w:val="13"/>
        <w:spacing w:before="75" w:after="75"/>
        <w:ind w:firstLine="480"/>
        <w:rPr>
          <w:rFonts w:hint="default"/>
        </w:rPr>
      </w:pPr>
      <w:r>
        <w:rPr>
          <w:rFonts w:ascii="宋体" w:hAnsi="宋体" w:eastAsia="宋体" w:cs="宋体"/>
          <w:b/>
          <w:sz w:val="24"/>
        </w:rPr>
        <w:t>5、《福建省财政厅关于福建省省级政府采购货物和服务项目招标文件编制指引和实施指引的补充通知（三）》（闽财购〔2010〕28号）</w:t>
      </w:r>
    </w:p>
    <w:p>
      <w:pPr>
        <w:pStyle w:val="13"/>
        <w:spacing w:before="75" w:after="75"/>
        <w:ind w:firstLine="480"/>
        <w:rPr>
          <w:rFonts w:hint="default"/>
        </w:rPr>
      </w:pPr>
      <w:r>
        <w:rPr>
          <w:rFonts w:ascii="宋体" w:hAnsi="宋体" w:eastAsia="宋体" w:cs="宋体"/>
          <w:b/>
          <w:sz w:val="24"/>
        </w:rPr>
        <w:t>评标委员会在评标过程中发现投标人存在下列情形之一的，可认定其有串通投标行为，并做出其投标无效的决定：</w:t>
      </w:r>
    </w:p>
    <w:p>
      <w:pPr>
        <w:pStyle w:val="13"/>
        <w:spacing w:before="75" w:after="75"/>
        <w:ind w:firstLine="480"/>
        <w:rPr>
          <w:rFonts w:hint="default"/>
        </w:rPr>
      </w:pPr>
      <w:r>
        <w:rPr>
          <w:rFonts w:ascii="宋体" w:hAnsi="宋体" w:eastAsia="宋体" w:cs="宋体"/>
          <w:b/>
          <w:sz w:val="24"/>
        </w:rPr>
        <w:t>（一）不同投标人的投标文件错、漏之处一致或雷同，且不能合理解释的；</w:t>
      </w:r>
    </w:p>
    <w:p>
      <w:pPr>
        <w:pStyle w:val="13"/>
        <w:spacing w:before="75" w:after="75"/>
        <w:ind w:firstLine="480"/>
        <w:rPr>
          <w:rFonts w:hint="default"/>
        </w:rPr>
      </w:pPr>
      <w:r>
        <w:rPr>
          <w:rFonts w:ascii="宋体" w:hAnsi="宋体" w:eastAsia="宋体" w:cs="宋体"/>
          <w:b/>
          <w:sz w:val="24"/>
        </w:rPr>
        <w:t>（二）不同的投标人的法定代表人、委托代理人等由同一个单位缴纳社会保险的；</w:t>
      </w:r>
    </w:p>
    <w:p>
      <w:pPr>
        <w:pStyle w:val="13"/>
        <w:spacing w:before="75" w:after="75"/>
        <w:ind w:firstLine="480"/>
        <w:rPr>
          <w:rFonts w:hint="default"/>
        </w:rPr>
      </w:pPr>
      <w:r>
        <w:rPr>
          <w:rFonts w:ascii="宋体" w:hAnsi="宋体" w:eastAsia="宋体" w:cs="宋体"/>
          <w:b/>
          <w:sz w:val="24"/>
        </w:rPr>
        <w:t>（三）由同一人或分别由几个有利害关系人携带两个以上（含两个）投标人的企业资料参与资格审查、领取招标资料，或代表两个以上（含两个）投标人参加招标答疑会、交纳或退还投标保证金、开标的；</w:t>
      </w:r>
    </w:p>
    <w:p>
      <w:pPr>
        <w:pStyle w:val="13"/>
        <w:spacing w:before="75" w:after="75"/>
        <w:ind w:firstLine="480"/>
        <w:rPr>
          <w:rFonts w:hint="default"/>
        </w:rPr>
      </w:pPr>
      <w:r>
        <w:rPr>
          <w:rFonts w:ascii="宋体" w:hAnsi="宋体" w:eastAsia="宋体" w:cs="宋体"/>
          <w:b/>
          <w:sz w:val="24"/>
        </w:rPr>
        <w:t>（四）有关法律、法规或规章规定的其他串通投标行为。</w:t>
      </w:r>
    </w:p>
    <w:p>
      <w:pPr>
        <w:pStyle w:val="13"/>
        <w:spacing w:before="75" w:after="75"/>
        <w:ind w:firstLine="480"/>
        <w:rPr>
          <w:rFonts w:hint="default"/>
        </w:rPr>
      </w:pPr>
      <w:r>
        <w:rPr>
          <w:rFonts w:ascii="宋体" w:hAnsi="宋体" w:eastAsia="宋体" w:cs="宋体"/>
          <w:b/>
          <w:sz w:val="24"/>
        </w:rPr>
        <w:t>二、后果</w:t>
      </w:r>
    </w:p>
    <w:p>
      <w:pPr>
        <w:pStyle w:val="13"/>
        <w:spacing w:before="75" w:after="75"/>
        <w:ind w:firstLine="480"/>
        <w:rPr>
          <w:rFonts w:hint="default"/>
        </w:rPr>
      </w:pPr>
      <w:r>
        <w:rPr>
          <w:rFonts w:ascii="宋体" w:hAnsi="宋体" w:eastAsia="宋体" w:cs="宋体"/>
          <w:b/>
          <w:sz w:val="24"/>
        </w:rPr>
        <w:t>1、《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pStyle w:val="13"/>
        <w:spacing w:before="75" w:after="75"/>
        <w:ind w:firstLine="480"/>
        <w:rPr>
          <w:rFonts w:hint="default"/>
        </w:rPr>
      </w:pPr>
      <w:r>
        <w:rPr>
          <w:rFonts w:ascii="宋体" w:hAnsi="宋体" w:eastAsia="宋体" w:cs="宋体"/>
          <w:b/>
          <w:sz w:val="24"/>
        </w:rPr>
        <w:t>（三）与采购人、其他供应商或者采购代理机构恶意串通的；</w:t>
      </w:r>
    </w:p>
    <w:p>
      <w:pPr>
        <w:pStyle w:val="13"/>
        <w:spacing w:before="75" w:after="75"/>
        <w:ind w:firstLine="480"/>
        <w:rPr>
          <w:rFonts w:hint="default"/>
        </w:rPr>
      </w:pPr>
      <w:r>
        <w:rPr>
          <w:rFonts w:ascii="宋体" w:hAnsi="宋体" w:eastAsia="宋体" w:cs="宋体"/>
          <w:b/>
          <w:sz w:val="24"/>
        </w:rPr>
        <w:t>供应商有前款第（一）至（五）项情形之一的，中标、成交无效。</w:t>
      </w:r>
    </w:p>
    <w:p>
      <w:pPr>
        <w:pStyle w:val="13"/>
        <w:spacing w:before="75" w:after="75"/>
        <w:ind w:firstLine="480"/>
        <w:rPr>
          <w:rFonts w:hint="default"/>
        </w:rPr>
      </w:pPr>
      <w:r>
        <w:rPr>
          <w:rFonts w:ascii="宋体" w:hAnsi="宋体" w:eastAsia="宋体" w:cs="宋体"/>
          <w:b/>
          <w:sz w:val="24"/>
        </w:rPr>
        <w:t>2、《福建省财政厅关于电子化政府采购项目中视为串标情形认定与处理的指导意见》（闽财购〔2018〕30号）</w:t>
      </w:r>
    </w:p>
    <w:p>
      <w:pPr>
        <w:pStyle w:val="13"/>
        <w:spacing w:before="75" w:after="75"/>
        <w:ind w:firstLine="480"/>
        <w:rPr>
          <w:rFonts w:hint="default"/>
        </w:rPr>
      </w:pPr>
      <w:r>
        <w:rPr>
          <w:rFonts w:ascii="宋体" w:hAnsi="宋体" w:eastAsia="宋体" w:cs="宋体"/>
          <w:b/>
          <w:sz w:val="24"/>
        </w:rPr>
        <w:t>在开标过程中，发现投标（响应）人有上述情形的，采购人、采购代理机构应当根据采购文件认定串通行为，认定其投标（响应）无效，没收其保证金，并书面报告本级财政部门；在评审过程中发现投标（响应）人有上述情形的，资格审查小组或评标委员会（谈判小组、磋商小组、询价小组）应当根据采购文件认定串通行为，认定其投标（响应）无效，没收其保证金，并书面报告本级财政部门。</w:t>
      </w:r>
    </w:p>
    <w:p>
      <w:pPr>
        <w:pStyle w:val="13"/>
        <w:spacing w:before="75" w:after="75"/>
        <w:ind w:firstLine="480"/>
        <w:rPr>
          <w:rFonts w:hint="default"/>
        </w:rPr>
      </w:pPr>
      <w:r>
        <w:rPr>
          <w:rFonts w:ascii="宋体" w:hAnsi="宋体" w:eastAsia="宋体" w:cs="宋体"/>
          <w:b/>
          <w:sz w:val="24"/>
        </w:rPr>
        <w:t>三、虚假应标风险提示</w:t>
      </w:r>
    </w:p>
    <w:p>
      <w:pPr>
        <w:pStyle w:val="13"/>
        <w:spacing w:before="75" w:after="75"/>
        <w:ind w:firstLine="480"/>
        <w:rPr>
          <w:rFonts w:hint="default"/>
        </w:rPr>
      </w:pPr>
      <w:r>
        <w:rPr>
          <w:rFonts w:ascii="宋体" w:hAnsi="宋体" w:eastAsia="宋体" w:cs="宋体"/>
          <w:b/>
          <w:sz w:val="24"/>
        </w:rPr>
        <w:t>政府采购法第七十七条规定：“供 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一）提供虚假材料谋取中标、成交的”。监管部门将严格按照上述法律规定，加强对“提供虚假材料谋取中标的违法行为”的执法力度。相关行政处罚案件，供 应商可登陆中国政府采购网的“政府采购严重违法失信行为记录名单”查询，望引以为戒。</w:t>
      </w:r>
    </w:p>
    <w:p>
      <w:pPr>
        <w:pStyle w:val="13"/>
        <w:spacing w:before="120" w:after="120"/>
        <w:ind w:left="840" w:firstLine="480"/>
        <w:rPr>
          <w:rFonts w:hint="default"/>
        </w:rPr>
      </w:pPr>
      <w:r>
        <w:rPr>
          <w:b/>
        </w:rPr>
        <w:t xml:space="preserve"> </w:t>
      </w:r>
    </w:p>
    <w:p>
      <w:pPr>
        <w:pStyle w:val="13"/>
        <w:ind w:firstLine="480"/>
        <w:jc w:val="both"/>
        <w:outlineLvl w:val="2"/>
        <w:rPr>
          <w:rFonts w:hint="default"/>
        </w:rPr>
      </w:pPr>
      <w:r>
        <w:rPr>
          <w:b/>
          <w:sz w:val="28"/>
        </w:rPr>
        <w:t>四、其他事项</w:t>
      </w:r>
    </w:p>
    <w:p>
      <w:pPr>
        <w:pStyle w:val="13"/>
        <w:ind w:firstLine="480"/>
        <w:jc w:val="both"/>
        <w:rPr>
          <w:rFonts w:hint="default"/>
        </w:rPr>
      </w:pPr>
      <w:r>
        <w:rPr>
          <w:b/>
        </w:rPr>
        <w:t>1、除招标文件另有规定外，若出现有关法律、法规和规章有强制性规定但招标文件未列明的情形，则投标人应按照有关法律、法规和规章强制性规定执行。</w:t>
      </w:r>
    </w:p>
    <w:p>
      <w:pPr>
        <w:pStyle w:val="13"/>
        <w:ind w:firstLine="480"/>
        <w:jc w:val="both"/>
        <w:rPr>
          <w:rFonts w:hint="default"/>
        </w:rPr>
      </w:pPr>
      <w:r>
        <w:rPr>
          <w:b/>
        </w:rPr>
        <w:t>2、其他：</w:t>
      </w:r>
    </w:p>
    <w:p>
      <w:pPr>
        <w:pStyle w:val="13"/>
        <w:ind w:firstLine="480"/>
        <w:jc w:val="both"/>
        <w:rPr>
          <w:rFonts w:hint="default"/>
        </w:rPr>
      </w:pPr>
    </w:p>
    <w:p>
      <w:pPr>
        <w:pStyle w:val="13"/>
        <w:jc w:val="both"/>
        <w:rPr>
          <w:rFonts w:hint="default"/>
        </w:rPr>
      </w:pPr>
      <w:r>
        <w:rPr>
          <w:b/>
        </w:rPr>
        <w:t>详见其他商务要求中的“补充条款”</w:t>
      </w:r>
    </w:p>
    <w:p>
      <w:pPr>
        <w:pStyle w:val="13"/>
        <w:jc w:val="both"/>
        <w:rPr>
          <w:rFonts w:hint="default"/>
        </w:rPr>
      </w:pPr>
    </w:p>
    <w:p>
      <w:pPr>
        <w:pStyle w:val="13"/>
        <w:jc w:val="both"/>
        <w:rPr>
          <w:rFonts w:hint="default"/>
        </w:rPr>
      </w:pPr>
      <w:r>
        <w:rPr>
          <w:b/>
        </w:rPr>
        <w:t xml:space="preserve"> </w:t>
      </w: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rFonts w:hint="default"/>
          <w:b/>
          <w:sz w:val="36"/>
        </w:rPr>
      </w:pPr>
    </w:p>
    <w:p>
      <w:pPr>
        <w:pStyle w:val="13"/>
        <w:jc w:val="center"/>
        <w:outlineLvl w:val="1"/>
        <w:rPr>
          <w:b/>
          <w:sz w:val="36"/>
        </w:rPr>
      </w:pPr>
    </w:p>
    <w:p>
      <w:pPr>
        <w:pStyle w:val="13"/>
        <w:jc w:val="center"/>
        <w:outlineLvl w:val="1"/>
        <w:rPr>
          <w:b/>
          <w:sz w:val="36"/>
        </w:rPr>
      </w:pPr>
    </w:p>
    <w:p>
      <w:pPr>
        <w:pStyle w:val="13"/>
        <w:jc w:val="center"/>
        <w:outlineLvl w:val="1"/>
        <w:rPr>
          <w:b/>
          <w:sz w:val="36"/>
        </w:rPr>
      </w:pPr>
    </w:p>
    <w:p>
      <w:pPr>
        <w:pStyle w:val="13"/>
        <w:jc w:val="center"/>
        <w:outlineLvl w:val="1"/>
        <w:rPr>
          <w:b/>
          <w:sz w:val="36"/>
        </w:rPr>
      </w:pPr>
    </w:p>
    <w:p>
      <w:pPr>
        <w:pStyle w:val="13"/>
        <w:jc w:val="center"/>
        <w:outlineLvl w:val="1"/>
        <w:rPr>
          <w:b/>
          <w:sz w:val="36"/>
        </w:rPr>
      </w:pPr>
    </w:p>
    <w:p>
      <w:pPr>
        <w:pStyle w:val="13"/>
        <w:jc w:val="center"/>
        <w:outlineLvl w:val="1"/>
        <w:rPr>
          <w:b/>
          <w:sz w:val="36"/>
        </w:rPr>
      </w:pPr>
    </w:p>
    <w:p>
      <w:pPr>
        <w:pStyle w:val="13"/>
        <w:jc w:val="center"/>
        <w:outlineLvl w:val="1"/>
        <w:rPr>
          <w:b/>
          <w:sz w:val="36"/>
        </w:rPr>
      </w:pPr>
    </w:p>
    <w:p>
      <w:pPr>
        <w:pStyle w:val="13"/>
        <w:jc w:val="center"/>
        <w:outlineLvl w:val="1"/>
        <w:rPr>
          <w:b/>
          <w:sz w:val="36"/>
        </w:rPr>
      </w:pPr>
    </w:p>
    <w:p>
      <w:pPr>
        <w:pStyle w:val="13"/>
        <w:jc w:val="center"/>
        <w:outlineLvl w:val="1"/>
        <w:rPr>
          <w:rFonts w:hint="default"/>
        </w:rPr>
      </w:pPr>
      <w:r>
        <w:rPr>
          <w:b/>
          <w:sz w:val="36"/>
        </w:rPr>
        <w:t>第六章 政府采购合同</w:t>
      </w:r>
    </w:p>
    <w:p>
      <w:pPr>
        <w:pStyle w:val="13"/>
        <w:jc w:val="center"/>
        <w:outlineLvl w:val="2"/>
        <w:rPr>
          <w:rFonts w:hint="default"/>
        </w:rPr>
      </w:pPr>
      <w:r>
        <w:rPr>
          <w:b/>
          <w:sz w:val="28"/>
        </w:rPr>
        <w:t>参考文本</w:t>
      </w:r>
    </w:p>
    <w:p>
      <w:pPr>
        <w:pStyle w:val="13"/>
        <w:rPr>
          <w:rFonts w:hint="default"/>
        </w:rPr>
      </w:pPr>
    </w:p>
    <w:p>
      <w:pPr>
        <w:pStyle w:val="13"/>
        <w:rPr>
          <w:rFonts w:hint="default"/>
        </w:rPr>
      </w:pPr>
    </w:p>
    <w:p>
      <w:pPr>
        <w:pStyle w:val="13"/>
        <w:rPr>
          <w:rFonts w:hint="default"/>
        </w:rPr>
      </w:pPr>
    </w:p>
    <w:p>
      <w:pPr>
        <w:pStyle w:val="13"/>
        <w:rPr>
          <w:rFonts w:hint="default"/>
        </w:rPr>
      </w:pPr>
    </w:p>
    <w:p>
      <w:pPr>
        <w:pStyle w:val="13"/>
        <w:rPr>
          <w:rFonts w:hint="default"/>
        </w:rPr>
      </w:pPr>
    </w:p>
    <w:p>
      <w:pPr>
        <w:pStyle w:val="13"/>
        <w:rPr>
          <w:rFonts w:hint="default"/>
        </w:rPr>
      </w:pPr>
      <w:r>
        <w:t>合同编号：</w:t>
      </w:r>
    </w:p>
    <w:p>
      <w:pPr>
        <w:pStyle w:val="13"/>
        <w:jc w:val="center"/>
        <w:outlineLvl w:val="1"/>
        <w:rPr>
          <w:rFonts w:hint="default"/>
        </w:rPr>
      </w:pPr>
      <w:r>
        <w:rPr>
          <w:b/>
          <w:sz w:val="36"/>
        </w:rPr>
        <w:t>福建省政府采购合同（货物类）</w:t>
      </w:r>
    </w:p>
    <w:p>
      <w:pPr>
        <w:pStyle w:val="13"/>
        <w:jc w:val="center"/>
        <w:outlineLvl w:val="3"/>
        <w:rPr>
          <w:rFonts w:hint="default"/>
        </w:rPr>
      </w:pPr>
      <w:r>
        <w:rPr>
          <w:b/>
          <w:sz w:val="24"/>
        </w:rPr>
        <w:t>编制说明</w:t>
      </w:r>
      <w:r>
        <w:br w:type="textWrapping"/>
      </w:r>
    </w:p>
    <w:p>
      <w:pPr>
        <w:pStyle w:val="13"/>
        <w:outlineLvl w:val="3"/>
        <w:rPr>
          <w:rFonts w:hint="default"/>
        </w:rPr>
      </w:pPr>
      <w:r>
        <w:rPr>
          <w:b/>
          <w:sz w:val="24"/>
        </w:rPr>
        <w:t>1.签订合同应遵守《中华人民共和国政府采购法》及其实施条例、《中华人民共和国民法典》等法律法规及其他有关规定。</w:t>
      </w:r>
    </w:p>
    <w:p>
      <w:pPr>
        <w:pStyle w:val="13"/>
        <w:outlineLvl w:val="3"/>
        <w:rPr>
          <w:rFonts w:hint="default"/>
        </w:rPr>
      </w:pPr>
      <w:r>
        <w:rPr>
          <w:b/>
          <w:sz w:val="24"/>
        </w:rPr>
        <w:t>2.签订合同时，采购人与中标(成交)人应结合采购文件规定填列相应内容。采购文件已有约定的，双方均不得对约定进行变更或调整；采购文件未作规定的，双方可通过友好协商进行约定。</w:t>
      </w:r>
    </w:p>
    <w:p>
      <w:pPr>
        <w:pStyle w:val="13"/>
        <w:outlineLvl w:val="3"/>
        <w:rPr>
          <w:rFonts w:hint="default"/>
        </w:rPr>
      </w:pPr>
      <w:r>
        <w:rPr>
          <w:b/>
          <w:sz w:val="24"/>
        </w:rPr>
        <w:t>3.政府有关主管部门对若干合同有规范文本的，可使用相应合同文本。</w:t>
      </w:r>
    </w:p>
    <w:p>
      <w:pPr>
        <w:pStyle w:val="13"/>
        <w:outlineLvl w:val="3"/>
        <w:rPr>
          <w:rFonts w:hint="default"/>
        </w:rPr>
      </w:pPr>
      <w:r>
        <w:rPr>
          <w:b/>
          <w:sz w:val="24"/>
        </w:rPr>
        <w:t>4.本合同范本仅供参考，采购人应当根据采购项目的实际需求对合同条款进行修改、补充。</w:t>
      </w:r>
    </w:p>
    <w:p>
      <w:pPr>
        <w:pStyle w:val="13"/>
        <w:rPr>
          <w:rFonts w:hint="default"/>
        </w:rPr>
      </w:pPr>
    </w:p>
    <w:p>
      <w:pPr>
        <w:pStyle w:val="13"/>
        <w:rPr>
          <w:rFonts w:hint="default"/>
        </w:rPr>
      </w:pPr>
      <w:r>
        <w:t>甲方：___________</w:t>
      </w:r>
    </w:p>
    <w:p>
      <w:pPr>
        <w:pStyle w:val="13"/>
        <w:rPr>
          <w:rFonts w:hint="default"/>
        </w:rPr>
      </w:pPr>
      <w:r>
        <w:t>住所地：___________</w:t>
      </w:r>
    </w:p>
    <w:p>
      <w:pPr>
        <w:pStyle w:val="13"/>
        <w:rPr>
          <w:rFonts w:hint="default"/>
        </w:rPr>
      </w:pPr>
      <w:r>
        <w:t>联系人：___________</w:t>
      </w:r>
    </w:p>
    <w:p>
      <w:pPr>
        <w:pStyle w:val="13"/>
        <w:rPr>
          <w:rFonts w:hint="default"/>
        </w:rPr>
      </w:pPr>
      <w:r>
        <w:t>联系电话：___________</w:t>
      </w:r>
    </w:p>
    <w:p>
      <w:pPr>
        <w:pStyle w:val="13"/>
        <w:rPr>
          <w:rFonts w:hint="default"/>
        </w:rPr>
      </w:pPr>
      <w:r>
        <w:t>传真：___________</w:t>
      </w:r>
    </w:p>
    <w:p>
      <w:pPr>
        <w:pStyle w:val="13"/>
        <w:rPr>
          <w:rFonts w:hint="default"/>
        </w:rPr>
      </w:pPr>
      <w:r>
        <w:t>电子邮箱：___________</w:t>
      </w:r>
      <w:r>
        <w:br w:type="textWrapping"/>
      </w:r>
    </w:p>
    <w:p>
      <w:pPr>
        <w:pStyle w:val="13"/>
        <w:rPr>
          <w:rFonts w:hint="default"/>
        </w:rPr>
      </w:pPr>
    </w:p>
    <w:p>
      <w:pPr>
        <w:pStyle w:val="13"/>
        <w:rPr>
          <w:rFonts w:hint="default"/>
        </w:rPr>
      </w:pPr>
      <w:r>
        <w:t>乙方：___________</w:t>
      </w:r>
    </w:p>
    <w:p>
      <w:pPr>
        <w:pStyle w:val="13"/>
        <w:rPr>
          <w:rFonts w:hint="default"/>
        </w:rPr>
      </w:pPr>
      <w:r>
        <w:t>住所地：___________</w:t>
      </w:r>
    </w:p>
    <w:p>
      <w:pPr>
        <w:pStyle w:val="13"/>
        <w:rPr>
          <w:rFonts w:hint="default"/>
        </w:rPr>
      </w:pPr>
      <w:r>
        <w:t>联系人：___________</w:t>
      </w:r>
    </w:p>
    <w:p>
      <w:pPr>
        <w:pStyle w:val="13"/>
        <w:rPr>
          <w:rFonts w:hint="default"/>
        </w:rPr>
      </w:pPr>
      <w:r>
        <w:t>联系电话：___________</w:t>
      </w:r>
    </w:p>
    <w:p>
      <w:pPr>
        <w:pStyle w:val="13"/>
        <w:rPr>
          <w:rFonts w:hint="default"/>
        </w:rPr>
      </w:pPr>
      <w:r>
        <w:t>传真：___________</w:t>
      </w:r>
    </w:p>
    <w:p>
      <w:pPr>
        <w:pStyle w:val="13"/>
        <w:rPr>
          <w:rFonts w:hint="default"/>
        </w:rPr>
      </w:pPr>
      <w:r>
        <w:t>电子邮箱：___________</w:t>
      </w:r>
    </w:p>
    <w:p>
      <w:pPr>
        <w:pStyle w:val="13"/>
        <w:rPr>
          <w:rFonts w:hint="default"/>
        </w:rPr>
      </w:pPr>
      <w:r>
        <w:t>根据项目编号为________的___________项目（以下简称：“本项目”）的采购结果，遵循平等、自愿、公平和诚实信用的原则，双方签署本合同，具体内容如下：</w:t>
      </w:r>
    </w:p>
    <w:p>
      <w:pPr>
        <w:pStyle w:val="13"/>
        <w:outlineLvl w:val="3"/>
        <w:rPr>
          <w:rFonts w:hint="default"/>
        </w:rPr>
      </w:pPr>
      <w:r>
        <w:rPr>
          <w:b/>
          <w:sz w:val="24"/>
        </w:rPr>
        <w:t>一、合同组成部分</w:t>
      </w:r>
    </w:p>
    <w:p>
      <w:pPr>
        <w:pStyle w:val="13"/>
        <w:rPr>
          <w:rFonts w:hint="default"/>
        </w:rPr>
      </w:pPr>
      <w:r>
        <w:t>1.1本合同条款及附件；</w:t>
      </w:r>
    </w:p>
    <w:p>
      <w:pPr>
        <w:pStyle w:val="13"/>
        <w:rPr>
          <w:rFonts w:hint="default"/>
        </w:rPr>
      </w:pPr>
      <w:r>
        <w:t>1.2采购文件及其附件、补充文件；</w:t>
      </w:r>
    </w:p>
    <w:p>
      <w:pPr>
        <w:pStyle w:val="13"/>
        <w:rPr>
          <w:rFonts w:hint="default"/>
        </w:rPr>
      </w:pPr>
      <w:r>
        <w:t>1.3乙方的响应文件及其附件、补充文件；</w:t>
      </w:r>
    </w:p>
    <w:p>
      <w:pPr>
        <w:pStyle w:val="13"/>
        <w:rPr>
          <w:rFonts w:hint="default"/>
        </w:rPr>
      </w:pPr>
      <w:r>
        <w:t>1.4其他文件或材料：</w:t>
      </w:r>
    </w:p>
    <w:p>
      <w:pPr>
        <w:pStyle w:val="13"/>
        <w:outlineLvl w:val="3"/>
        <w:rPr>
          <w:rFonts w:hint="default"/>
        </w:rPr>
      </w:pPr>
      <w:r>
        <w:rPr>
          <w:b/>
          <w:sz w:val="24"/>
        </w:rPr>
        <w:t>二、合同标的</w:t>
      </w:r>
      <w:r>
        <w:br w:type="textWrapping"/>
      </w:r>
    </w:p>
    <w:p>
      <w:pPr>
        <w:pStyle w:val="13"/>
        <w:outlineLvl w:val="3"/>
        <w:rPr>
          <w:rFonts w:hint="default"/>
        </w:rPr>
      </w:pPr>
      <w:r>
        <w:rPr>
          <w:b/>
          <w:sz w:val="24"/>
        </w:rPr>
        <w:t>三、合同金额</w:t>
      </w:r>
    </w:p>
    <w:p>
      <w:pPr>
        <w:pStyle w:val="13"/>
        <w:rPr>
          <w:rFonts w:hint="default"/>
        </w:rPr>
      </w:pPr>
      <w:r>
        <w:t>3.1合同总价：人民币（大写）_________元（￥_________元）；</w:t>
      </w:r>
    </w:p>
    <w:p>
      <w:pPr>
        <w:pStyle w:val="13"/>
        <w:rPr>
          <w:rFonts w:hint="default"/>
        </w:rPr>
      </w:pPr>
      <w:r>
        <w:t>3.2合同总价组成：___________；</w:t>
      </w:r>
    </w:p>
    <w:p>
      <w:pPr>
        <w:pStyle w:val="13"/>
        <w:rPr>
          <w:rFonts w:hint="default"/>
        </w:rPr>
      </w:pPr>
      <w:r>
        <w:t>3.3其他需说明事项：___________；</w:t>
      </w:r>
    </w:p>
    <w:p>
      <w:pPr>
        <w:pStyle w:val="13"/>
        <w:outlineLvl w:val="3"/>
        <w:rPr>
          <w:rFonts w:hint="default"/>
        </w:rPr>
      </w:pPr>
      <w:r>
        <w:rPr>
          <w:b/>
          <w:sz w:val="24"/>
        </w:rPr>
        <w:t>四、合同标的交付</w:t>
      </w:r>
    </w:p>
    <w:p>
      <w:pPr>
        <w:pStyle w:val="13"/>
        <w:rPr>
          <w:rFonts w:hint="default"/>
        </w:rPr>
      </w:pPr>
      <w:r>
        <w:t>4.1交付时间：___________</w:t>
      </w:r>
    </w:p>
    <w:p>
      <w:pPr>
        <w:pStyle w:val="13"/>
        <w:rPr>
          <w:rFonts w:hint="default"/>
        </w:rPr>
      </w:pPr>
      <w:r>
        <w:t>4.2交付地点：___________</w:t>
      </w:r>
    </w:p>
    <w:p>
      <w:pPr>
        <w:pStyle w:val="13"/>
        <w:rPr>
          <w:rFonts w:hint="default"/>
        </w:rPr>
      </w:pPr>
      <w:r>
        <w:t>4.3交付条件：___________</w:t>
      </w:r>
    </w:p>
    <w:p>
      <w:pPr>
        <w:pStyle w:val="13"/>
        <w:rPr>
          <w:rFonts w:hint="default"/>
        </w:rPr>
      </w:pPr>
      <w:r>
        <w:t>4.4供货要求：</w:t>
      </w:r>
    </w:p>
    <w:p>
      <w:pPr>
        <w:pStyle w:val="13"/>
        <w:rPr>
          <w:rFonts w:hint="default"/>
        </w:rPr>
      </w:pPr>
      <w:r>
        <w:t>(1)乙方提供的产品必须是采购文件和响应文件中约定的产品，其技术指标、型号须符合相关要求。供货时，乙方须向甲方提供产品说明书、保修卡、质量保证书等相关资料和原配的附件。原装进口产品（设备）交货时须提供中文产品说明书、保修卡、质量保证书、装箱单、商检证明等资料。制造编号与包装箱编号应一致。</w:t>
      </w:r>
    </w:p>
    <w:p>
      <w:pPr>
        <w:pStyle w:val="13"/>
        <w:rPr>
          <w:rFonts w:hint="default"/>
        </w:rPr>
      </w:pPr>
      <w:r>
        <w:t>(2)乙方提供的全部货物均应采用标准保护措施进行包装，除采购文件中的采购需求另有要求外，乙方所提供的货物包装应当参照财政部办公厅等联合印发的《关于印发&lt;商品包装政府采购需求标准（试行）&gt;         &lt;快递包装政府采购需求标准（试行）&gt;         的通知》（财办库〔2020〕123号）要求，包装应适用于远距离运输、防潮、防震、防锈和防野蛮装卸等要求，确保货物安全无损运抵现场。由于包装、运输、安装、调试等不善所引起的货物损坏或损失均由乙方承担。</w:t>
      </w:r>
    </w:p>
    <w:p>
      <w:pPr>
        <w:pStyle w:val="13"/>
        <w:rPr>
          <w:rFonts w:hint="default"/>
        </w:rPr>
      </w:pPr>
      <w:r>
        <w:t>(3)乙方提供的采购标的应符合国家知识产权法律、法规的规定且非假冒伪劣品；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pPr>
        <w:pStyle w:val="13"/>
        <w:rPr>
          <w:rFonts w:hint="default"/>
        </w:rPr>
      </w:pPr>
      <w:r>
        <w:t>若乙方提供的采购标的不符合国家知识产权法律、法规的规定或被有关主管机关认定为假冒伪劣品，则乙方中标或成交资格将被取消；甲方还将按照有关法律、法规和规章的规定进行处理，具体如下：</w:t>
      </w:r>
    </w:p>
    <w:p>
      <w:pPr>
        <w:pStyle w:val="13"/>
        <w:rPr>
          <w:rFonts w:hint="default"/>
        </w:rPr>
      </w:pPr>
      <w:r>
        <w:t>（4）其他供货要求：</w:t>
      </w:r>
    </w:p>
    <w:p>
      <w:pPr>
        <w:pStyle w:val="13"/>
        <w:outlineLvl w:val="3"/>
        <w:rPr>
          <w:rFonts w:hint="default"/>
        </w:rPr>
      </w:pPr>
      <w:r>
        <w:rPr>
          <w:b/>
          <w:sz w:val="24"/>
        </w:rPr>
        <w:t>五、质量标准及要求</w:t>
      </w:r>
    </w:p>
    <w:p>
      <w:pPr>
        <w:pStyle w:val="13"/>
        <w:rPr>
          <w:rFonts w:hint="default"/>
        </w:rPr>
      </w:pPr>
      <w:r>
        <w:t>5.1质量标准及要求</w:t>
      </w:r>
    </w:p>
    <w:p>
      <w:pPr>
        <w:pStyle w:val="13"/>
        <w:rPr>
          <w:rFonts w:hint="default"/>
        </w:rPr>
      </w:pPr>
      <w:r>
        <w:t>（1）乙方应确保所有产品质量均需符合国家标准、地方标准、行业标准，以及有关技术规范和产品厂家的出厂标准，提供原厂质保书、合格证等有关文件资料，并保证产品是出厂原装合格产品。进口产品须是获得国家商检局颁布安全生产许可证的出厂原装合格产品。</w:t>
      </w:r>
    </w:p>
    <w:p>
      <w:pPr>
        <w:pStyle w:val="13"/>
        <w:rPr>
          <w:rFonts w:hint="default"/>
        </w:rPr>
      </w:pPr>
      <w:r>
        <w:t>（2）其他质量要求</w:t>
      </w:r>
    </w:p>
    <w:p>
      <w:pPr>
        <w:pStyle w:val="13"/>
        <w:rPr>
          <w:rFonts w:hint="default"/>
        </w:rPr>
      </w:pPr>
      <w:r>
        <w:t>5.2节能环保产品要求</w:t>
      </w:r>
    </w:p>
    <w:p>
      <w:pPr>
        <w:pStyle w:val="13"/>
        <w:rPr>
          <w:rFonts w:hint="default"/>
        </w:rPr>
      </w:pPr>
      <w:r>
        <w:t>5.3质量保证范围、质量保证期及售后服务</w:t>
      </w:r>
    </w:p>
    <w:p>
      <w:pPr>
        <w:pStyle w:val="13"/>
        <w:rPr>
          <w:rFonts w:hint="default"/>
        </w:rPr>
      </w:pPr>
      <w:r>
        <w:t>（1）质量保证范围：___________</w:t>
      </w:r>
    </w:p>
    <w:p>
      <w:pPr>
        <w:pStyle w:val="13"/>
        <w:rPr>
          <w:rFonts w:hint="default"/>
        </w:rPr>
      </w:pPr>
      <w:r>
        <w:t>（2）本合同乙方所供应的货物质量保证期自验收合格之日起{_______月。</w:t>
      </w:r>
    </w:p>
    <w:p>
      <w:pPr>
        <w:pStyle w:val="13"/>
        <w:rPr>
          <w:rFonts w:hint="default"/>
        </w:rPr>
      </w:pPr>
      <w:r>
        <w:t>（3）售后服务应按法律法规和采购文件约定执行，具体如下：</w:t>
      </w:r>
    </w:p>
    <w:p>
      <w:pPr>
        <w:pStyle w:val="13"/>
        <w:rPr>
          <w:rFonts w:hint="default"/>
        </w:rPr>
      </w:pPr>
      <w:r>
        <w:t>5.4商品安全责任</w:t>
      </w:r>
    </w:p>
    <w:p>
      <w:pPr>
        <w:pStyle w:val="13"/>
        <w:rPr>
          <w:rFonts w:hint="default"/>
        </w:rPr>
      </w:pPr>
      <w:r>
        <w:t>商品安全责任应按照法律法规和采购文件的规定执行，具体如下：</w:t>
      </w:r>
    </w:p>
    <w:p>
      <w:pPr>
        <w:pStyle w:val="13"/>
        <w:outlineLvl w:val="3"/>
        <w:rPr>
          <w:rFonts w:hint="default"/>
        </w:rPr>
      </w:pPr>
      <w:r>
        <w:rPr>
          <w:b/>
          <w:sz w:val="24"/>
        </w:rPr>
        <w:t>六、安装调试、验收及退、换货</w:t>
      </w:r>
    </w:p>
    <w:p>
      <w:pPr>
        <w:pStyle w:val="13"/>
        <w:rPr>
          <w:rFonts w:hint="default"/>
        </w:rPr>
      </w:pPr>
      <w:r>
        <w:t>6.1安装调试、验收应按照采购文件、乙方响应文件的规定或约定进行，具体如下：</w:t>
      </w:r>
    </w:p>
    <w:p>
      <w:pPr>
        <w:pStyle w:val="13"/>
        <w:rPr>
          <w:rFonts w:hint="default"/>
        </w:rPr>
      </w:pPr>
      <w:r>
        <w:t>6.2本项目是否邀请其他投标人参与验收：</w:t>
      </w:r>
    </w:p>
    <w:p>
      <w:pPr>
        <w:pStyle w:val="13"/>
        <w:rPr>
          <w:rFonts w:hint="default"/>
        </w:rPr>
      </w:pPr>
    </w:p>
    <w:p>
      <w:pPr>
        <w:pStyle w:val="13"/>
        <w:spacing w:line="300" w:lineRule="auto"/>
        <w:rPr>
          <w:rFonts w:hint="default"/>
        </w:rPr>
      </w:pPr>
      <w:r>
        <w:t>不邀请。邀请，具体如下：</w:t>
      </w:r>
    </w:p>
    <w:p>
      <w:pPr>
        <w:pStyle w:val="13"/>
        <w:rPr>
          <w:rFonts w:hint="default"/>
        </w:rPr>
      </w:pPr>
      <w:r>
        <w:t>6.3本项目是否邀请专家参与验收：</w:t>
      </w:r>
    </w:p>
    <w:p>
      <w:pPr>
        <w:pStyle w:val="13"/>
        <w:rPr>
          <w:rFonts w:hint="default"/>
        </w:rPr>
      </w:pPr>
    </w:p>
    <w:p>
      <w:pPr>
        <w:pStyle w:val="13"/>
        <w:spacing w:line="300" w:lineRule="auto"/>
        <w:rPr>
          <w:rFonts w:hint="default"/>
        </w:rPr>
      </w:pPr>
      <w:r>
        <w:t>不邀请。邀请，具体如下：</w:t>
      </w:r>
    </w:p>
    <w:p>
      <w:pPr>
        <w:pStyle w:val="13"/>
        <w:rPr>
          <w:rFonts w:hint="default"/>
        </w:rPr>
      </w:pPr>
      <w:r>
        <w:t>6.4本项目是否邀请国家认可的质量检测机构参与验收：</w:t>
      </w:r>
    </w:p>
    <w:p>
      <w:pPr>
        <w:pStyle w:val="13"/>
        <w:rPr>
          <w:rFonts w:hint="default"/>
        </w:rPr>
      </w:pPr>
    </w:p>
    <w:p>
      <w:pPr>
        <w:pStyle w:val="13"/>
        <w:spacing w:line="300" w:lineRule="auto"/>
        <w:rPr>
          <w:rFonts w:hint="default"/>
        </w:rPr>
      </w:pPr>
      <w:r>
        <w:t>不邀请。邀请，具体如下：</w:t>
      </w:r>
    </w:p>
    <w:p>
      <w:pPr>
        <w:pStyle w:val="13"/>
        <w:rPr>
          <w:rFonts w:hint="default"/>
        </w:rPr>
      </w:pPr>
      <w:r>
        <w:t>6.5履约验收：___________</w:t>
      </w:r>
    </w:p>
    <w:p>
      <w:pPr>
        <w:pStyle w:val="13"/>
        <w:rPr>
          <w:rFonts w:hint="default"/>
        </w:rPr>
      </w:pPr>
      <w:r>
        <w:t>6.6退、换货：___________</w:t>
      </w:r>
    </w:p>
    <w:p>
      <w:pPr>
        <w:pStyle w:val="13"/>
        <w:rPr>
          <w:rFonts w:hint="default"/>
        </w:rPr>
      </w:pPr>
      <w:r>
        <w:t>6.7其他：</w:t>
      </w:r>
    </w:p>
    <w:p>
      <w:pPr>
        <w:pStyle w:val="13"/>
        <w:outlineLvl w:val="3"/>
        <w:rPr>
          <w:rFonts w:hint="default"/>
        </w:rPr>
      </w:pPr>
      <w:r>
        <w:rPr>
          <w:b/>
          <w:sz w:val="24"/>
        </w:rPr>
        <w:t>七、资金支付方式、条件和时间</w:t>
      </w:r>
      <w:r>
        <w:br w:type="textWrapping"/>
      </w:r>
    </w:p>
    <w:p>
      <w:pPr>
        <w:pStyle w:val="13"/>
        <w:outlineLvl w:val="3"/>
        <w:rPr>
          <w:rFonts w:hint="default"/>
        </w:rPr>
      </w:pPr>
      <w:r>
        <w:rPr>
          <w:b/>
          <w:sz w:val="24"/>
        </w:rPr>
        <w:t>八、履约保证金</w:t>
      </w:r>
    </w:p>
    <w:p>
      <w:pPr>
        <w:pStyle w:val="13"/>
        <w:rPr>
          <w:rFonts w:hint="default"/>
        </w:rPr>
      </w:pPr>
      <w:r>
        <w:t>□有，□无。具体如下违约：（按照采购文件规定填写）。</w:t>
      </w:r>
    </w:p>
    <w:p>
      <w:pPr>
        <w:pStyle w:val="13"/>
        <w:rPr>
          <w:rFonts w:hint="default"/>
        </w:rPr>
      </w:pPr>
      <w:r>
        <w:t>8.1乙方向甲方缴纳人民币 元（大写： ）作为本合同的履约保证金。</w:t>
      </w:r>
    </w:p>
    <w:p>
      <w:pPr>
        <w:pStyle w:val="13"/>
        <w:rPr>
          <w:rFonts w:hint="default"/>
        </w:rPr>
      </w:pPr>
      <w:r>
        <w:t>8.2履约保证金缴纳形式：支票/汇票/电汇/保函等非现金形式。</w:t>
      </w:r>
    </w:p>
    <w:p>
      <w:pPr>
        <w:pStyle w:val="13"/>
        <w:rPr>
          <w:rFonts w:hint="default"/>
        </w:rPr>
      </w:pPr>
      <w:r>
        <w:t>8.3履约保证金退还： （根据实际情况填写） 。</w:t>
      </w:r>
    </w:p>
    <w:p>
      <w:pPr>
        <w:pStyle w:val="13"/>
        <w:outlineLvl w:val="3"/>
        <w:rPr>
          <w:rFonts w:hint="default"/>
        </w:rPr>
      </w:pPr>
      <w:r>
        <w:rPr>
          <w:b/>
          <w:sz w:val="24"/>
        </w:rPr>
        <w:t>九、合同期限</w:t>
      </w:r>
      <w:r>
        <w:br w:type="textWrapping"/>
      </w:r>
    </w:p>
    <w:p>
      <w:pPr>
        <w:pStyle w:val="13"/>
        <w:outlineLvl w:val="3"/>
        <w:rPr>
          <w:rFonts w:hint="default"/>
        </w:rPr>
      </w:pPr>
      <w:r>
        <w:rPr>
          <w:b/>
          <w:sz w:val="24"/>
        </w:rPr>
        <w:t>十、违约责任</w:t>
      </w:r>
    </w:p>
    <w:p>
      <w:pPr>
        <w:pStyle w:val="13"/>
        <w:rPr>
          <w:rFonts w:hint="default"/>
        </w:rPr>
      </w:pPr>
      <w:r>
        <w:t>10.1甲方违约责任</w:t>
      </w:r>
    </w:p>
    <w:p>
      <w:pPr>
        <w:pStyle w:val="13"/>
        <w:rPr>
          <w:rFonts w:hint="default"/>
        </w:rPr>
      </w:pPr>
      <w:r>
        <w:t>（1）甲方无正当理由拒收乙方交付的合格产品的，甲方向乙方偿付拒收货款总值_____的违约金</w:t>
      </w:r>
    </w:p>
    <w:p>
      <w:pPr>
        <w:pStyle w:val="13"/>
        <w:rPr>
          <w:rFonts w:hint="default"/>
        </w:rPr>
      </w:pPr>
      <w:r>
        <w:t>甲方无故逾期验收和办理合同款项支付手续的,甲方应按逾期付款总额每日_______向乙方支付违约金。</w:t>
      </w:r>
    </w:p>
    <w:p>
      <w:pPr>
        <w:pStyle w:val="13"/>
        <w:rPr>
          <w:rFonts w:hint="default"/>
        </w:rPr>
      </w:pPr>
      <w:r>
        <w:t>（3）其他违约情形</w:t>
      </w:r>
    </w:p>
    <w:p>
      <w:pPr>
        <w:pStyle w:val="13"/>
        <w:rPr>
          <w:rFonts w:hint="default"/>
        </w:rPr>
      </w:pPr>
      <w:r>
        <w:t>_______</w:t>
      </w:r>
    </w:p>
    <w:p>
      <w:pPr>
        <w:pStyle w:val="13"/>
        <w:rPr>
          <w:rFonts w:hint="default"/>
        </w:rPr>
      </w:pPr>
      <w:r>
        <w:t>10.2乙方违约责任</w:t>
      </w:r>
    </w:p>
    <w:p>
      <w:pPr>
        <w:pStyle w:val="13"/>
        <w:rPr>
          <w:rFonts w:hint="default"/>
        </w:rPr>
      </w:pPr>
      <w:r>
        <w:t>（1）乙方逾期履行服务的，乙方应按逾期交付总额每日_______向甲方支付违约金，由甲方从待付货款中扣除。乙方无正当理由逾期超过约定日期_______仍不能交付的，视为“乙方不按合同约定履约”；</w:t>
      </w:r>
    </w:p>
    <w:p>
      <w:pPr>
        <w:pStyle w:val="13"/>
        <w:rPr>
          <w:rFonts w:hint="default"/>
        </w:rPr>
      </w:pPr>
      <w:r>
        <w:t>（2）乙方所交付的产品不符合合同规定及《采购文件》规定标准的，甲方有权拒收，乙方愿意更换产品但逾期交货的，按乙方逾期交货处理。乙方拒绝更换产品的，视为“乙方不按合同约定履约”；</w:t>
      </w:r>
    </w:p>
    <w:p>
      <w:pPr>
        <w:pStyle w:val="13"/>
        <w:rPr>
          <w:rFonts w:hint="default"/>
        </w:rPr>
      </w:pPr>
      <w:r>
        <w:t>（3）乙方不按合同约定履约的，甲方可以解除采购合同，并对乙方已缴纳的履约保证金作“不予退还”处理。同时，乙方还须按向甲方支付违约金：</w:t>
      </w:r>
    </w:p>
    <w:p>
      <w:pPr>
        <w:pStyle w:val="13"/>
        <w:rPr>
          <w:rFonts w:hint="default"/>
        </w:rPr>
      </w:pPr>
      <w:r>
        <w:t>（4）其他违约情形</w:t>
      </w:r>
    </w:p>
    <w:p>
      <w:pPr>
        <w:pStyle w:val="13"/>
        <w:outlineLvl w:val="3"/>
        <w:rPr>
          <w:rFonts w:hint="default"/>
        </w:rPr>
      </w:pPr>
      <w:r>
        <w:rPr>
          <w:b/>
          <w:sz w:val="24"/>
        </w:rPr>
        <w:t>十一、不可抗力事件处理</w:t>
      </w:r>
    </w:p>
    <w:p>
      <w:pPr>
        <w:pStyle w:val="13"/>
        <w:rPr>
          <w:rFonts w:hint="default"/>
        </w:rPr>
      </w:pPr>
      <w: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pPr>
        <w:pStyle w:val="13"/>
        <w:outlineLvl w:val="3"/>
        <w:rPr>
          <w:rFonts w:hint="default"/>
        </w:rPr>
      </w:pPr>
      <w:r>
        <w:rPr>
          <w:b/>
          <w:sz w:val="24"/>
        </w:rPr>
        <w:t>十二、保密条款</w:t>
      </w:r>
    </w:p>
    <w:p>
      <w:pPr>
        <w:pStyle w:val="13"/>
        <w:rPr>
          <w:rFonts w:hint="default"/>
        </w:rPr>
      </w:pPr>
      <w:r>
        <w:t>12.1对于在采购和合同履行过程中所获悉的属于保密的内容，甲、乙双方均负有保密义务。</w:t>
      </w:r>
    </w:p>
    <w:p>
      <w:pPr>
        <w:pStyle w:val="13"/>
        <w:rPr>
          <w:rFonts w:hint="default"/>
        </w:rPr>
      </w:pPr>
      <w:r>
        <w:t>12.2其他</w:t>
      </w:r>
    </w:p>
    <w:p>
      <w:pPr>
        <w:pStyle w:val="13"/>
        <w:outlineLvl w:val="3"/>
        <w:rPr>
          <w:rFonts w:hint="default"/>
        </w:rPr>
      </w:pPr>
      <w:r>
        <w:rPr>
          <w:b/>
          <w:sz w:val="24"/>
        </w:rPr>
        <w:t>十三、解决争议的方法</w:t>
      </w:r>
    </w:p>
    <w:p>
      <w:pPr>
        <w:pStyle w:val="13"/>
        <w:rPr>
          <w:rFonts w:hint="default"/>
        </w:rPr>
      </w:pPr>
      <w:r>
        <w:t>13.1甲、乙双方协商解决。</w:t>
      </w:r>
    </w:p>
    <w:p>
      <w:pPr>
        <w:pStyle w:val="13"/>
        <w:rPr>
          <w:rFonts w:hint="default"/>
        </w:rPr>
      </w:pPr>
      <w:r>
        <w:t>13.2若协商解决不成，则通过下列途径之一解决：</w:t>
      </w:r>
    </w:p>
    <w:p>
      <w:pPr>
        <w:pStyle w:val="13"/>
        <w:rPr>
          <w:rFonts w:hint="default"/>
        </w:rPr>
      </w:pPr>
    </w:p>
    <w:p>
      <w:pPr>
        <w:pStyle w:val="13"/>
        <w:spacing w:line="300" w:lineRule="auto"/>
        <w:rPr>
          <w:rFonts w:hint="default"/>
        </w:rPr>
      </w:pPr>
      <w:r>
        <w:t>提交仲裁委员会仲裁，具体如下：</w:t>
      </w:r>
    </w:p>
    <w:p>
      <w:pPr>
        <w:pStyle w:val="13"/>
        <w:spacing w:line="300" w:lineRule="auto"/>
        <w:rPr>
          <w:rFonts w:hint="default"/>
        </w:rPr>
      </w:pPr>
      <w:r>
        <w:t>向人民法院提起诉讼，具体如下：</w:t>
      </w:r>
    </w:p>
    <w:p>
      <w:pPr>
        <w:pStyle w:val="13"/>
        <w:outlineLvl w:val="3"/>
        <w:rPr>
          <w:rFonts w:hint="default"/>
        </w:rPr>
      </w:pPr>
      <w:r>
        <w:rPr>
          <w:b/>
          <w:sz w:val="24"/>
        </w:rPr>
        <w:t>十四、合同其他条款</w:t>
      </w:r>
      <w:r>
        <w:br w:type="textWrapping"/>
      </w:r>
    </w:p>
    <w:p>
      <w:pPr>
        <w:pStyle w:val="13"/>
        <w:outlineLvl w:val="3"/>
        <w:rPr>
          <w:rFonts w:hint="default"/>
        </w:rPr>
      </w:pPr>
      <w:r>
        <w:rPr>
          <w:b/>
          <w:sz w:val="24"/>
        </w:rPr>
        <w:t>十五、其他约定</w:t>
      </w:r>
    </w:p>
    <w:p>
      <w:pPr>
        <w:pStyle w:val="13"/>
        <w:rPr>
          <w:rFonts w:hint="default"/>
        </w:rPr>
      </w:pPr>
      <w:r>
        <w:t>15.1合同文件与本合同具有同等法律效力。</w:t>
      </w:r>
    </w:p>
    <w:p>
      <w:pPr>
        <w:pStyle w:val="13"/>
        <w:rPr>
          <w:rFonts w:hint="default"/>
        </w:rPr>
      </w:pPr>
      <w:r>
        <w:t>15.2合同生效：合同经双方法定代表人或委托代理人签字并加盖单位公章后生效；通过福建省政府采购网上公开信息系统采用电子形式签订合同的，签订之日以系统记载的双方使用各自CA证书在合同上加盖单位公章或合同章的日期中的最晚时间为准。</w:t>
      </w:r>
    </w:p>
    <w:p>
      <w:pPr>
        <w:pStyle w:val="13"/>
        <w:rPr>
          <w:rFonts w:hint="default"/>
        </w:rPr>
      </w:pPr>
      <w:r>
        <w:t>15.3本合同未尽事宜，遵照《中华人民共和国民法典》有关条文执行。</w:t>
      </w:r>
    </w:p>
    <w:p>
      <w:pPr>
        <w:pStyle w:val="13"/>
        <w:rPr>
          <w:rFonts w:hint="default"/>
        </w:rPr>
      </w:pPr>
      <w:r>
        <w:t>15.4本合同正本一式_______份，具有同等法律效力，甲方、乙方各执_______份；副本_______份，_______</w:t>
      </w:r>
    </w:p>
    <w:p>
      <w:pPr>
        <w:pStyle w:val="13"/>
        <w:rPr>
          <w:rFonts w:hint="default"/>
        </w:rPr>
      </w:pPr>
      <w:r>
        <w:t>15.5本合同已用于政府采购合同融资，为本项目提供合同融资的金融机构为：_______，甲乙双方应当按照融资合同的约定进行资金使用及款项支付。</w:t>
      </w:r>
    </w:p>
    <w:p>
      <w:pPr>
        <w:pStyle w:val="13"/>
        <w:rPr>
          <w:rFonts w:hint="default"/>
        </w:rPr>
      </w:pPr>
      <w:r>
        <w:t>中标（成交）供应商应于采购合同签订之日起_______内，向发放政采贷的金融机构提交政府采购中标（成交）通知书和政府采购合同，贷款金额以政府采购合同金额为限。</w:t>
      </w:r>
    </w:p>
    <w:p>
      <w:pPr>
        <w:pStyle w:val="13"/>
        <w:rPr>
          <w:rFonts w:hint="default"/>
        </w:rPr>
      </w:pPr>
      <w:r>
        <w:t>15.6其他</w:t>
      </w:r>
    </w:p>
    <w:p>
      <w:pPr>
        <w:pStyle w:val="13"/>
        <w:outlineLvl w:val="3"/>
        <w:rPr>
          <w:rFonts w:hint="default"/>
        </w:rPr>
      </w:pPr>
      <w:r>
        <w:rPr>
          <w:b/>
          <w:sz w:val="24"/>
        </w:rPr>
        <w:t>十六、合同附件</w:t>
      </w:r>
      <w:r>
        <w:br w:type="textWrapping"/>
      </w:r>
      <w:r>
        <w:br w:type="textWrapping"/>
      </w:r>
    </w:p>
    <w:p>
      <w:pPr>
        <w:pStyle w:val="13"/>
        <w:rPr>
          <w:rFonts w:hint="default"/>
        </w:rPr>
      </w:pPr>
    </w:p>
    <w:p>
      <w:pPr>
        <w:pStyle w:val="13"/>
        <w:rPr>
          <w:rFonts w:hint="default"/>
        </w:rPr>
      </w:pPr>
    </w:p>
    <w:p>
      <w:pPr>
        <w:pStyle w:val="13"/>
        <w:rPr>
          <w:rFonts w:hint="default"/>
        </w:rPr>
      </w:pPr>
      <w:r>
        <w:t>甲方（采购人）：</w:t>
      </w:r>
    </w:p>
    <w:p>
      <w:pPr>
        <w:pStyle w:val="13"/>
        <w:rPr>
          <w:rFonts w:hint="default"/>
        </w:rPr>
      </w:pPr>
      <w:r>
        <w:t>法定（授权）代表人：</w:t>
      </w:r>
    </w:p>
    <w:p>
      <w:pPr>
        <w:pStyle w:val="13"/>
        <w:rPr>
          <w:rFonts w:hint="default"/>
        </w:rPr>
      </w:pPr>
      <w:r>
        <w:t>纳税人识别号：</w:t>
      </w:r>
    </w:p>
    <w:p>
      <w:pPr>
        <w:pStyle w:val="13"/>
        <w:rPr>
          <w:rFonts w:hint="default"/>
        </w:rPr>
      </w:pPr>
      <w:r>
        <w:t>开户银行：</w:t>
      </w:r>
    </w:p>
    <w:p>
      <w:pPr>
        <w:pStyle w:val="13"/>
        <w:rPr>
          <w:rFonts w:hint="default"/>
        </w:rPr>
      </w:pPr>
      <w:r>
        <w:t>账号：</w:t>
      </w:r>
    </w:p>
    <w:p>
      <w:pPr>
        <w:pStyle w:val="13"/>
        <w:spacing w:after="375"/>
        <w:rPr>
          <w:rFonts w:hint="default"/>
        </w:rPr>
      </w:pPr>
    </w:p>
    <w:p>
      <w:pPr>
        <w:pStyle w:val="13"/>
        <w:rPr>
          <w:rFonts w:hint="default"/>
        </w:rPr>
      </w:pPr>
      <w:r>
        <w:t>乙方（中标或成交人）：</w:t>
      </w:r>
    </w:p>
    <w:p>
      <w:pPr>
        <w:pStyle w:val="13"/>
        <w:rPr>
          <w:rFonts w:hint="default"/>
        </w:rPr>
      </w:pPr>
      <w:r>
        <w:t>法定（授权）代表人：</w:t>
      </w:r>
    </w:p>
    <w:p>
      <w:pPr>
        <w:pStyle w:val="13"/>
        <w:rPr>
          <w:rFonts w:hint="default"/>
        </w:rPr>
      </w:pPr>
      <w:r>
        <w:t>纳税人识别号：</w:t>
      </w:r>
    </w:p>
    <w:p>
      <w:pPr>
        <w:pStyle w:val="13"/>
        <w:rPr>
          <w:rFonts w:hint="default"/>
        </w:rPr>
      </w:pPr>
      <w:r>
        <w:t>开户银行：</w:t>
      </w:r>
    </w:p>
    <w:p>
      <w:pPr>
        <w:pStyle w:val="13"/>
        <w:rPr>
          <w:rFonts w:hint="default"/>
        </w:rPr>
      </w:pPr>
      <w:r>
        <w:t>账号：</w:t>
      </w:r>
    </w:p>
    <w:p>
      <w:pPr>
        <w:pStyle w:val="13"/>
        <w:rPr>
          <w:rFonts w:hint="default"/>
        </w:rPr>
      </w:pPr>
    </w:p>
    <w:p>
      <w:pPr>
        <w:pStyle w:val="13"/>
        <w:rPr>
          <w:rFonts w:hint="default"/>
        </w:rPr>
      </w:pPr>
      <w:r>
        <w:t>签订地点：__________</w:t>
      </w:r>
    </w:p>
    <w:p>
      <w:pPr>
        <w:pStyle w:val="13"/>
        <w:rPr>
          <w:rFonts w:hint="default"/>
        </w:rPr>
      </w:pPr>
      <w:r>
        <w:t>签订日期：___年___月___日</w:t>
      </w:r>
    </w:p>
    <w:p>
      <w:pPr>
        <w:pStyle w:val="13"/>
        <w:jc w:val="both"/>
        <w:rPr>
          <w:rFonts w:hint="default"/>
        </w:rPr>
      </w:pPr>
    </w:p>
    <w:p>
      <w:pPr>
        <w:pStyle w:val="13"/>
        <w:jc w:val="both"/>
        <w:rPr>
          <w:rFonts w:hint="default"/>
        </w:rPr>
      </w:pPr>
      <w:r>
        <w:t xml:space="preserve"> </w:t>
      </w:r>
    </w:p>
    <w:p>
      <w:pPr>
        <w:pStyle w:val="13"/>
        <w:jc w:val="center"/>
        <w:outlineLvl w:val="1"/>
        <w:rPr>
          <w:rFonts w:hint="default"/>
        </w:rPr>
      </w:pPr>
      <w:r>
        <w:rPr>
          <w:b/>
          <w:sz w:val="36"/>
        </w:rPr>
        <w:t>第七章 电子投标文件格式</w:t>
      </w:r>
    </w:p>
    <w:p>
      <w:pPr>
        <w:pStyle w:val="13"/>
        <w:jc w:val="center"/>
        <w:outlineLvl w:val="2"/>
        <w:rPr>
          <w:rFonts w:hint="default"/>
        </w:rPr>
      </w:pPr>
      <w:r>
        <w:rPr>
          <w:b/>
          <w:sz w:val="28"/>
        </w:rPr>
        <w:t>编制说明</w:t>
      </w:r>
    </w:p>
    <w:p>
      <w:pPr>
        <w:pStyle w:val="13"/>
        <w:ind w:firstLine="480"/>
        <w:jc w:val="both"/>
        <w:rPr>
          <w:rFonts w:hint="default"/>
        </w:rPr>
      </w:pPr>
      <w:r>
        <w:t>1、除招标文件另有规定外，本章中：</w:t>
      </w:r>
    </w:p>
    <w:p>
      <w:pPr>
        <w:pStyle w:val="13"/>
        <w:ind w:firstLine="480"/>
        <w:jc w:val="both"/>
        <w:rPr>
          <w:rFonts w:hint="default"/>
        </w:rPr>
      </w:pPr>
      <w:r>
        <w:t>1.1涉及投标人的“全称”：</w:t>
      </w:r>
    </w:p>
    <w:p>
      <w:pPr>
        <w:pStyle w:val="13"/>
        <w:ind w:firstLine="480"/>
        <w:jc w:val="both"/>
        <w:rPr>
          <w:rFonts w:hint="default"/>
        </w:rPr>
      </w:pPr>
      <w:r>
        <w:t>（1）不接受联合体投标的，指投标人的全称。</w:t>
      </w:r>
    </w:p>
    <w:p>
      <w:pPr>
        <w:pStyle w:val="13"/>
        <w:ind w:firstLine="480"/>
        <w:jc w:val="both"/>
        <w:rPr>
          <w:rFonts w:hint="default"/>
        </w:rPr>
      </w:pPr>
      <w:r>
        <w:t>（2）接受联合体投标且投标人为联合体的，指牵头方的全称并加注（联合体牵头方），即应表述为：“牵头方的全称（联合体牵头方）”。</w:t>
      </w:r>
    </w:p>
    <w:p>
      <w:pPr>
        <w:pStyle w:val="13"/>
        <w:ind w:firstLine="480"/>
        <w:jc w:val="both"/>
        <w:rPr>
          <w:rFonts w:hint="default"/>
        </w:rPr>
      </w:pPr>
      <w:r>
        <w:t>1.2涉及投标人“加盖单位公章”：</w:t>
      </w:r>
    </w:p>
    <w:p>
      <w:pPr>
        <w:pStyle w:val="13"/>
        <w:ind w:firstLine="480"/>
        <w:jc w:val="both"/>
        <w:rPr>
          <w:rFonts w:hint="default"/>
        </w:rPr>
      </w:pPr>
      <w:r>
        <w:t>（1）不接受联合体投标的，指加盖投标人的单位公章。</w:t>
      </w:r>
    </w:p>
    <w:p>
      <w:pPr>
        <w:pStyle w:val="13"/>
        <w:ind w:firstLine="480"/>
        <w:jc w:val="both"/>
        <w:rPr>
          <w:rFonts w:hint="default"/>
        </w:rPr>
      </w:pPr>
      <w:r>
        <w:t>（2）接受联合体投标且投标人为联合体的，指加盖联合体牵头方的单位公章。</w:t>
      </w:r>
    </w:p>
    <w:p>
      <w:pPr>
        <w:pStyle w:val="13"/>
        <w:ind w:firstLine="480"/>
        <w:jc w:val="both"/>
        <w:rPr>
          <w:rFonts w:hint="default"/>
        </w:rPr>
      </w:pPr>
      <w:r>
        <w:t>1.3涉及“投标人代表签字”：</w:t>
      </w:r>
    </w:p>
    <w:p>
      <w:pPr>
        <w:pStyle w:val="13"/>
        <w:ind w:firstLine="480"/>
        <w:jc w:val="both"/>
        <w:rPr>
          <w:rFonts w:hint="default"/>
        </w:rPr>
      </w:pPr>
      <w:r>
        <w:t>（1）不接受联合体投标的，指由投标人的单位负责人或其授权的委托代理人签字，由委托代理人签字的，应提供“单位授权书”。</w:t>
      </w:r>
    </w:p>
    <w:p>
      <w:pPr>
        <w:pStyle w:val="13"/>
        <w:ind w:firstLine="480"/>
        <w:jc w:val="both"/>
        <w:rPr>
          <w:rFonts w:hint="default"/>
        </w:rPr>
      </w:pPr>
      <w:r>
        <w:t>（2）接受联合体投标且投标人为联合体的，指由联合体牵头方的单位负责人或其授权的委托代理人签字，由委托代理人签字的，应提供“单位授权书”。</w:t>
      </w:r>
    </w:p>
    <w:p>
      <w:pPr>
        <w:pStyle w:val="13"/>
        <w:ind w:firstLine="480"/>
        <w:jc w:val="both"/>
        <w:rPr>
          <w:rFonts w:hint="default"/>
        </w:rPr>
      </w:pPr>
      <w:r>
        <w:t>1.4“其他组织”指合伙企业、非企业专业服务机构、个体工商户、农村承包经营户等。</w:t>
      </w:r>
    </w:p>
    <w:p>
      <w:pPr>
        <w:pStyle w:val="13"/>
        <w:ind w:firstLine="480"/>
        <w:jc w:val="both"/>
        <w:rPr>
          <w:rFonts w:hint="default"/>
        </w:rPr>
      </w:pPr>
      <w:r>
        <w:t>1.5“自然人”指具有完全民事行为能力、能够承担民事责任和义务的中国公民。</w:t>
      </w:r>
    </w:p>
    <w:p>
      <w:pPr>
        <w:pStyle w:val="13"/>
        <w:ind w:firstLine="480"/>
        <w:jc w:val="both"/>
        <w:rPr>
          <w:rFonts w:hint="default"/>
        </w:rPr>
      </w:pPr>
      <w:r>
        <w:t>2、除招标文件另有规定外，本章中“投标人的资格及资信证明文件”：</w:t>
      </w:r>
    </w:p>
    <w:p>
      <w:pPr>
        <w:pStyle w:val="13"/>
        <w:ind w:firstLine="480"/>
        <w:jc w:val="both"/>
        <w:rPr>
          <w:rFonts w:hint="default"/>
        </w:rPr>
      </w:pPr>
      <w:r>
        <w:t>2.1投标人应按照招标文件第四章第1.3条第（2）款规定及本章规定进行编制，如有必要，可增加附页，附页作为资格及资信文件的组成部分。</w:t>
      </w:r>
    </w:p>
    <w:p>
      <w:pPr>
        <w:pStyle w:val="13"/>
        <w:ind w:firstLine="480"/>
        <w:jc w:val="both"/>
        <w:rPr>
          <w:rFonts w:hint="default"/>
        </w:rPr>
      </w:pPr>
      <w:r>
        <w:t>2.2接受联合体投标且投标人为联合体的，联合体中的各方均应按照本章第2.1条规定提交相应的全部资料。</w:t>
      </w:r>
    </w:p>
    <w:p>
      <w:pPr>
        <w:pStyle w:val="13"/>
        <w:ind w:firstLine="480"/>
        <w:jc w:val="both"/>
        <w:rPr>
          <w:rFonts w:hint="default"/>
        </w:rPr>
      </w:pPr>
      <w:r>
        <w:t>3、投标人对电子投标文件的索引应编制页码。</w:t>
      </w:r>
    </w:p>
    <w:p>
      <w:pPr>
        <w:pStyle w:val="13"/>
        <w:ind w:firstLine="480"/>
        <w:jc w:val="both"/>
        <w:rPr>
          <w:rFonts w:hint="default"/>
        </w:rPr>
      </w:pPr>
      <w:r>
        <w:t>4、本章提供格式仅供参考，投标人应根据自身实际情况制作电子投标文件。</w:t>
      </w:r>
    </w:p>
    <w:p>
      <w:pPr>
        <w:pStyle w:val="13"/>
        <w:jc w:val="both"/>
        <w:rPr>
          <w:rFonts w:hint="default"/>
        </w:rPr>
      </w:pPr>
    </w:p>
    <w:p>
      <w:pPr>
        <w:pStyle w:val="13"/>
        <w:jc w:val="both"/>
        <w:rPr>
          <w:rFonts w:hint="default"/>
        </w:rPr>
      </w:pPr>
      <w:r>
        <w:t xml:space="preserve"> </w:t>
      </w: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rPr>
      </w:pPr>
      <w:r>
        <w:rPr>
          <w:b/>
          <w:sz w:val="28"/>
        </w:rPr>
        <w:t>封面格式(资格及资信证明部分)</w:t>
      </w:r>
    </w:p>
    <w:p>
      <w:pPr>
        <w:pStyle w:val="13"/>
        <w:jc w:val="center"/>
        <w:outlineLvl w:val="0"/>
        <w:rPr>
          <w:rFonts w:hint="default"/>
        </w:rPr>
      </w:pPr>
      <w:r>
        <w:rPr>
          <w:b/>
          <w:sz w:val="48"/>
        </w:rPr>
        <w:t>福建省政府采购投标文件</w:t>
      </w:r>
    </w:p>
    <w:p>
      <w:pPr>
        <w:pStyle w:val="13"/>
        <w:jc w:val="center"/>
        <w:outlineLvl w:val="0"/>
        <w:rPr>
          <w:rFonts w:hint="default"/>
        </w:rPr>
      </w:pPr>
      <w:r>
        <w:rPr>
          <w:b/>
          <w:sz w:val="48"/>
        </w:rPr>
        <w:t>（资格及资信证明部分）</w:t>
      </w:r>
      <w:r>
        <w:br w:type="textWrapping"/>
      </w:r>
      <w:r>
        <w:br w:type="textWrapping"/>
      </w:r>
      <w:r>
        <w:br w:type="textWrapping"/>
      </w:r>
    </w:p>
    <w:p>
      <w:pPr>
        <w:pStyle w:val="13"/>
        <w:jc w:val="center"/>
        <w:outlineLvl w:val="1"/>
        <w:rPr>
          <w:rFonts w:hint="default"/>
        </w:rPr>
      </w:pPr>
      <w:r>
        <w:rPr>
          <w:b/>
          <w:sz w:val="36"/>
        </w:rPr>
        <w:t>（填写正本或副本）</w:t>
      </w:r>
      <w:r>
        <w:br w:type="textWrapping"/>
      </w:r>
      <w:r>
        <w:br w:type="textWrapping"/>
      </w:r>
      <w:r>
        <w:br w:type="textWrapping"/>
      </w:r>
      <w:r>
        <w:br w:type="textWrapping"/>
      </w:r>
      <w:r>
        <w:br w:type="textWrapping"/>
      </w:r>
    </w:p>
    <w:p>
      <w:pPr>
        <w:pStyle w:val="13"/>
        <w:jc w:val="center"/>
        <w:outlineLvl w:val="2"/>
        <w:rPr>
          <w:rFonts w:hint="default"/>
        </w:rPr>
      </w:pPr>
      <w:r>
        <w:rPr>
          <w:b/>
          <w:sz w:val="28"/>
        </w:rPr>
        <w:t>（项目名称：（由投标人填写）</w:t>
      </w:r>
    </w:p>
    <w:p>
      <w:pPr>
        <w:pStyle w:val="13"/>
        <w:jc w:val="center"/>
        <w:outlineLvl w:val="2"/>
        <w:rPr>
          <w:rFonts w:hint="default"/>
        </w:rPr>
      </w:pPr>
      <w:r>
        <w:rPr>
          <w:b/>
          <w:sz w:val="28"/>
        </w:rPr>
        <w:t>（备案编号：（由投标人填写）</w:t>
      </w:r>
    </w:p>
    <w:p>
      <w:pPr>
        <w:pStyle w:val="13"/>
        <w:jc w:val="center"/>
        <w:outlineLvl w:val="2"/>
        <w:rPr>
          <w:rFonts w:hint="default"/>
        </w:rPr>
      </w:pPr>
      <w:r>
        <w:rPr>
          <w:b/>
          <w:sz w:val="28"/>
        </w:rPr>
        <w:t>（项目编号：（由投标人填写）</w:t>
      </w:r>
    </w:p>
    <w:p>
      <w:pPr>
        <w:pStyle w:val="13"/>
        <w:jc w:val="center"/>
        <w:outlineLvl w:val="2"/>
        <w:rPr>
          <w:rFonts w:hint="default"/>
        </w:rPr>
      </w:pPr>
      <w:r>
        <w:rPr>
          <w:b/>
          <w:sz w:val="28"/>
        </w:rPr>
        <w:t>（所投采购包：（由投标人填写）</w:t>
      </w:r>
      <w:r>
        <w:br w:type="textWrapping"/>
      </w:r>
      <w:r>
        <w:br w:type="textWrapping"/>
      </w:r>
    </w:p>
    <w:p>
      <w:pPr>
        <w:pStyle w:val="13"/>
        <w:jc w:val="center"/>
        <w:outlineLvl w:val="2"/>
        <w:rPr>
          <w:rFonts w:hint="default"/>
        </w:rPr>
      </w:pPr>
      <w:r>
        <w:rPr>
          <w:b/>
          <w:sz w:val="28"/>
        </w:rPr>
        <w:t>投标人：（填写“全称”）</w:t>
      </w:r>
    </w:p>
    <w:p>
      <w:pPr>
        <w:pStyle w:val="13"/>
        <w:jc w:val="center"/>
        <w:outlineLvl w:val="2"/>
        <w:rPr>
          <w:rFonts w:hint="default"/>
        </w:rPr>
      </w:pPr>
      <w:r>
        <w:rPr>
          <w:b/>
          <w:sz w:val="28"/>
        </w:rPr>
        <w:t>（由投标人填写）年（由投标人填写）月</w:t>
      </w:r>
    </w:p>
    <w:p>
      <w:pPr>
        <w:pStyle w:val="13"/>
        <w:jc w:val="both"/>
        <w:rPr>
          <w:rFonts w:hint="default"/>
        </w:rPr>
      </w:pPr>
    </w:p>
    <w:p>
      <w:pPr>
        <w:pStyle w:val="13"/>
        <w:jc w:val="both"/>
        <w:rPr>
          <w:rFonts w:hint="default"/>
        </w:rPr>
      </w:pPr>
      <w:r>
        <w:t xml:space="preserve"> </w:t>
      </w: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rPr>
      </w:pPr>
      <w:r>
        <w:rPr>
          <w:b/>
          <w:sz w:val="28"/>
        </w:rPr>
        <w:t>索引</w:t>
      </w:r>
    </w:p>
    <w:p>
      <w:pPr>
        <w:pStyle w:val="13"/>
        <w:ind w:firstLine="480"/>
        <w:jc w:val="both"/>
        <w:rPr>
          <w:rFonts w:hint="default"/>
        </w:rPr>
      </w:pPr>
      <w:r>
        <w:t>一、投标函</w:t>
      </w:r>
    </w:p>
    <w:p>
      <w:pPr>
        <w:pStyle w:val="13"/>
        <w:ind w:firstLine="480"/>
        <w:jc w:val="both"/>
        <w:rPr>
          <w:rFonts w:hint="default"/>
        </w:rPr>
      </w:pPr>
      <w:r>
        <w:t>二、投标人的资格及资信证明文件</w:t>
      </w:r>
    </w:p>
    <w:p>
      <w:pPr>
        <w:pStyle w:val="13"/>
        <w:ind w:firstLine="480"/>
        <w:jc w:val="both"/>
        <w:rPr>
          <w:rFonts w:hint="default"/>
        </w:rPr>
      </w:pPr>
      <w:r>
        <w:t>三、投标保证金</w:t>
      </w:r>
    </w:p>
    <w:p>
      <w:pPr>
        <w:pStyle w:val="13"/>
        <w:ind w:firstLine="480"/>
        <w:jc w:val="both"/>
        <w:rPr>
          <w:rFonts w:hint="default"/>
        </w:rPr>
      </w:pPr>
      <w:r>
        <w:t>※注意</w:t>
      </w:r>
    </w:p>
    <w:p>
      <w:pPr>
        <w:pStyle w:val="13"/>
        <w:ind w:firstLine="480"/>
        <w:jc w:val="both"/>
        <w:rPr>
          <w:rFonts w:hint="default"/>
        </w:rPr>
      </w:pPr>
      <w:r>
        <w:t>资格及资信证明部分中不得出现报价部分的全部或部分的投标报价信息（或组成资料），否则资格审查不合格。（联合体协议及分包意向协议中的比例规定，不适用本条款）</w:t>
      </w:r>
    </w:p>
    <w:p>
      <w:pPr>
        <w:pStyle w:val="13"/>
        <w:jc w:val="both"/>
        <w:rPr>
          <w:rFonts w:hint="default"/>
        </w:rPr>
      </w:pPr>
    </w:p>
    <w:p>
      <w:pPr>
        <w:pStyle w:val="13"/>
        <w:jc w:val="both"/>
        <w:rPr>
          <w:rFonts w:hint="default"/>
        </w:rPr>
      </w:pPr>
      <w:r>
        <w:t xml:space="preserve"> </w:t>
      </w: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b/>
          <w:sz w:val="28"/>
        </w:rPr>
      </w:pPr>
    </w:p>
    <w:p>
      <w:pPr>
        <w:pStyle w:val="13"/>
        <w:jc w:val="center"/>
        <w:outlineLvl w:val="2"/>
        <w:rPr>
          <w:rFonts w:hint="default"/>
        </w:rPr>
      </w:pPr>
      <w:r>
        <w:rPr>
          <w:b/>
          <w:sz w:val="28"/>
        </w:rPr>
        <w:t>一、投标函</w:t>
      </w:r>
    </w:p>
    <w:p>
      <w:pPr>
        <w:pStyle w:val="13"/>
        <w:ind w:firstLine="480"/>
        <w:jc w:val="both"/>
        <w:rPr>
          <w:rFonts w:hint="default"/>
        </w:rPr>
      </w:pPr>
      <w:r>
        <w:t>致：</w:t>
      </w:r>
      <w:r>
        <w:rPr>
          <w:u w:val="single"/>
        </w:rPr>
        <w:t>（采购人或采购代理机构）</w:t>
      </w:r>
    </w:p>
    <w:p>
      <w:pPr>
        <w:pStyle w:val="13"/>
        <w:ind w:firstLine="480"/>
        <w:jc w:val="both"/>
        <w:rPr>
          <w:rFonts w:hint="default"/>
        </w:rPr>
      </w:pPr>
      <w:r>
        <w:t>兹收到贵单位关于</w:t>
      </w:r>
      <w:r>
        <w:rPr>
          <w:u w:val="single"/>
        </w:rPr>
        <w:t>（填写“项目名称”）</w:t>
      </w:r>
      <w:r>
        <w:t>项目</w:t>
      </w:r>
      <w:r>
        <w:rPr>
          <w:u w:val="single"/>
        </w:rPr>
        <w:t>（项目编号：　　　　　）</w:t>
      </w:r>
      <w:r>
        <w:t>的投标邀请，本投标人代表</w:t>
      </w:r>
      <w:r>
        <w:rPr>
          <w:u w:val="single"/>
        </w:rPr>
        <w:t>（填写“全名”）</w:t>
      </w:r>
      <w:r>
        <w:t>已获得我方正式授权并代表投标人（填写“全称”）参加投标，并提交电子投标文件。我方提交的全部电子投标文件由下述部分组成：</w:t>
      </w:r>
    </w:p>
    <w:p>
      <w:pPr>
        <w:pStyle w:val="13"/>
        <w:ind w:firstLine="480"/>
        <w:jc w:val="both"/>
        <w:rPr>
          <w:rFonts w:hint="default"/>
        </w:rPr>
      </w:pPr>
      <w:r>
        <w:t>（1）资格及资信证明部分</w:t>
      </w:r>
    </w:p>
    <w:p>
      <w:pPr>
        <w:pStyle w:val="13"/>
        <w:ind w:firstLine="480"/>
        <w:jc w:val="both"/>
        <w:rPr>
          <w:rFonts w:hint="default"/>
        </w:rPr>
      </w:pPr>
      <w:r>
        <w:t>①投标函</w:t>
      </w:r>
    </w:p>
    <w:p>
      <w:pPr>
        <w:pStyle w:val="13"/>
        <w:ind w:firstLine="480"/>
        <w:jc w:val="both"/>
        <w:rPr>
          <w:rFonts w:hint="default"/>
        </w:rPr>
      </w:pPr>
      <w:r>
        <w:t>②投标人的资格及资信证明文件</w:t>
      </w:r>
    </w:p>
    <w:p>
      <w:pPr>
        <w:pStyle w:val="13"/>
        <w:ind w:firstLine="480"/>
        <w:jc w:val="both"/>
        <w:rPr>
          <w:rFonts w:hint="default"/>
        </w:rPr>
      </w:pPr>
      <w:r>
        <w:t>③投标保证金</w:t>
      </w:r>
    </w:p>
    <w:p>
      <w:pPr>
        <w:pStyle w:val="13"/>
        <w:ind w:firstLine="480"/>
        <w:jc w:val="both"/>
        <w:rPr>
          <w:rFonts w:hint="default"/>
        </w:rPr>
      </w:pPr>
      <w:r>
        <w:t>（2）报价部分</w:t>
      </w:r>
    </w:p>
    <w:p>
      <w:pPr>
        <w:pStyle w:val="13"/>
        <w:ind w:firstLine="480"/>
        <w:jc w:val="both"/>
        <w:rPr>
          <w:rFonts w:hint="default"/>
        </w:rPr>
      </w:pPr>
      <w:r>
        <w:t>①开标一览表</w:t>
      </w:r>
    </w:p>
    <w:p>
      <w:pPr>
        <w:pStyle w:val="13"/>
        <w:ind w:firstLine="480"/>
        <w:jc w:val="both"/>
        <w:rPr>
          <w:rFonts w:hint="default"/>
        </w:rPr>
      </w:pPr>
      <w:r>
        <w:t>②投标分项报价表</w:t>
      </w:r>
    </w:p>
    <w:p>
      <w:pPr>
        <w:pStyle w:val="13"/>
        <w:ind w:firstLine="480"/>
        <w:jc w:val="both"/>
        <w:rPr>
          <w:rFonts w:hint="default"/>
        </w:rPr>
      </w:pPr>
      <w:r>
        <w:t>③招标文件规定的价格扣除证明材料（若有）</w:t>
      </w:r>
    </w:p>
    <w:p>
      <w:pPr>
        <w:pStyle w:val="13"/>
        <w:ind w:firstLine="480"/>
        <w:jc w:val="both"/>
        <w:rPr>
          <w:rFonts w:hint="default"/>
        </w:rPr>
      </w:pPr>
      <w:r>
        <w:t>④招标文件规定的加分证明材料（若有）</w:t>
      </w:r>
    </w:p>
    <w:p>
      <w:pPr>
        <w:pStyle w:val="13"/>
        <w:ind w:firstLine="480"/>
        <w:jc w:val="both"/>
        <w:rPr>
          <w:rFonts w:hint="default"/>
        </w:rPr>
      </w:pPr>
      <w:r>
        <w:t>（3）技术商务部分</w:t>
      </w:r>
    </w:p>
    <w:p>
      <w:pPr>
        <w:pStyle w:val="13"/>
        <w:ind w:firstLine="480"/>
        <w:jc w:val="both"/>
        <w:rPr>
          <w:rFonts w:hint="default"/>
        </w:rPr>
      </w:pPr>
      <w:r>
        <w:t>①标的说明一览表</w:t>
      </w:r>
    </w:p>
    <w:p>
      <w:pPr>
        <w:pStyle w:val="13"/>
        <w:ind w:firstLine="480"/>
        <w:jc w:val="both"/>
        <w:rPr>
          <w:rFonts w:hint="default"/>
        </w:rPr>
      </w:pPr>
      <w:r>
        <w:t>②技术和服务要求响应表</w:t>
      </w:r>
    </w:p>
    <w:p>
      <w:pPr>
        <w:pStyle w:val="13"/>
        <w:ind w:firstLine="480"/>
        <w:jc w:val="both"/>
        <w:rPr>
          <w:rFonts w:hint="default"/>
        </w:rPr>
      </w:pPr>
      <w:r>
        <w:t>③商务条件响应表</w:t>
      </w:r>
    </w:p>
    <w:p>
      <w:pPr>
        <w:pStyle w:val="13"/>
        <w:ind w:firstLine="480"/>
        <w:jc w:val="both"/>
        <w:rPr>
          <w:rFonts w:hint="default"/>
        </w:rPr>
      </w:pPr>
      <w:r>
        <w:t>④投标人提交的其他资料（若有）</w:t>
      </w:r>
    </w:p>
    <w:p>
      <w:pPr>
        <w:pStyle w:val="13"/>
        <w:ind w:firstLine="480"/>
        <w:jc w:val="both"/>
        <w:rPr>
          <w:rFonts w:hint="default"/>
        </w:rPr>
      </w:pPr>
      <w:r>
        <w:t>根据本函，本投标人代表宣布我方保证遵守招标文件的全部规定，同时：</w:t>
      </w:r>
    </w:p>
    <w:p>
      <w:pPr>
        <w:pStyle w:val="13"/>
        <w:ind w:firstLine="480"/>
        <w:jc w:val="both"/>
        <w:rPr>
          <w:rFonts w:hint="default"/>
        </w:rPr>
      </w:pPr>
      <w:r>
        <w:t>1、确认：</w:t>
      </w:r>
    </w:p>
    <w:p>
      <w:pPr>
        <w:pStyle w:val="13"/>
        <w:ind w:firstLine="480"/>
        <w:jc w:val="both"/>
        <w:rPr>
          <w:rFonts w:hint="default"/>
        </w:rPr>
      </w:pPr>
      <w:r>
        <w:t>1.1所投采购包的投标报价详见“开标一览表”及“投标分项报价表”。</w:t>
      </w:r>
    </w:p>
    <w:p>
      <w:pPr>
        <w:pStyle w:val="13"/>
        <w:ind w:firstLine="480"/>
        <w:jc w:val="both"/>
        <w:rPr>
          <w:rFonts w:hint="default"/>
        </w:rPr>
      </w:pPr>
      <w:r>
        <w:t>1.2我方已详细审查全部招标文件[包括但不限于：有关附件（若有）、澄清或修改（若有）等]，并自行承担因对全部招标文件理解不正确或误解而产生的相应后果和责任。</w:t>
      </w:r>
    </w:p>
    <w:p>
      <w:pPr>
        <w:pStyle w:val="13"/>
        <w:ind w:firstLine="480"/>
        <w:jc w:val="both"/>
        <w:rPr>
          <w:rFonts w:hint="default"/>
        </w:rPr>
      </w:pPr>
      <w:r>
        <w:t>2、承诺及声明：</w:t>
      </w:r>
    </w:p>
    <w:p>
      <w:pPr>
        <w:pStyle w:val="13"/>
        <w:ind w:firstLine="480"/>
        <w:jc w:val="both"/>
        <w:rPr>
          <w:rFonts w:hint="default"/>
        </w:rPr>
      </w:pPr>
      <w:r>
        <w:t>2.1我方具备招标文件第一章载明的“投标人的资格要求”且符合招标文件第三章载明的“二、投标人”之规定，否则投标无效。</w:t>
      </w:r>
    </w:p>
    <w:p>
      <w:pPr>
        <w:pStyle w:val="13"/>
        <w:ind w:firstLine="480"/>
        <w:jc w:val="both"/>
        <w:rPr>
          <w:rFonts w:hint="default"/>
        </w:rPr>
      </w:pPr>
      <w:r>
        <w:t>2.2我方提交的电子投标文件各组成部分的全部内容及资料是不可割离且真实、有效、准确、完整和不具有任何误导性的，否则产生不利后果由我方承担责任。</w:t>
      </w:r>
    </w:p>
    <w:p>
      <w:pPr>
        <w:pStyle w:val="13"/>
        <w:ind w:firstLine="480"/>
        <w:jc w:val="both"/>
        <w:rPr>
          <w:rFonts w:hint="default"/>
        </w:rPr>
      </w:pPr>
      <w:r>
        <w:t>2.3我方提供的标的价格不高于同期市场价格，否则产生不利后果由我方承担责任。</w:t>
      </w:r>
    </w:p>
    <w:p>
      <w:pPr>
        <w:pStyle w:val="13"/>
        <w:ind w:firstLine="480"/>
        <w:jc w:val="both"/>
        <w:rPr>
          <w:rFonts w:hint="default"/>
        </w:rPr>
      </w:pPr>
      <w:r>
        <w:t>2.4投标保证金：若出现招标文件第三章规定的不予退还情形，同意贵单位不予退还。</w:t>
      </w:r>
    </w:p>
    <w:p>
      <w:pPr>
        <w:pStyle w:val="13"/>
        <w:ind w:firstLine="480"/>
        <w:jc w:val="both"/>
        <w:rPr>
          <w:rFonts w:hint="default"/>
        </w:rPr>
      </w:pPr>
      <w:r>
        <w:t>2.5投标有效期：按照招标文件第三章规定执行，并在招标文件第二章载明的期限内保持有效。</w:t>
      </w:r>
    </w:p>
    <w:p>
      <w:pPr>
        <w:pStyle w:val="13"/>
        <w:ind w:firstLine="480"/>
        <w:jc w:val="both"/>
        <w:rPr>
          <w:rFonts w:hint="default"/>
        </w:rPr>
      </w:pPr>
      <w:r>
        <w:t>2.6若中标，将按照招标文件、我方电子投标文件及政府采购合同履行责任和义务。</w:t>
      </w:r>
    </w:p>
    <w:p>
      <w:pPr>
        <w:pStyle w:val="13"/>
        <w:ind w:firstLine="480"/>
        <w:jc w:val="both"/>
        <w:rPr>
          <w:rFonts w:hint="default"/>
        </w:rPr>
      </w:pPr>
      <w:r>
        <w:t>2.7若贵单位要求，我方同意提供与本项目投标有关的一切资料、数据或文件，并完全理解贵单位不一定要接受最低的投标报价或收到的任何投标。</w:t>
      </w:r>
    </w:p>
    <w:p>
      <w:pPr>
        <w:pStyle w:val="13"/>
        <w:ind w:firstLine="480"/>
        <w:jc w:val="both"/>
        <w:rPr>
          <w:rFonts w:hint="default"/>
        </w:rPr>
      </w:pPr>
      <w:r>
        <w:t>2.8我方承诺电子投标文件所提供的全部资料真实可靠，并接受评标委员会、采购人、采购代理机构、监管部门进一步审查其中任何资料真实性的要求。</w:t>
      </w:r>
    </w:p>
    <w:p>
      <w:pPr>
        <w:pStyle w:val="13"/>
        <w:ind w:firstLine="480"/>
        <w:jc w:val="both"/>
        <w:rPr>
          <w:rFonts w:hint="default"/>
        </w:rPr>
      </w:pPr>
      <w:r>
        <w:t>2.9除招标文件另有规定外，对于贵单位按照下述联络方式发出的任何信息或通知，均视为我方已收悉前述信息或通知的全部内容：</w:t>
      </w:r>
    </w:p>
    <w:p>
      <w:pPr>
        <w:pStyle w:val="13"/>
        <w:ind w:firstLine="480"/>
        <w:jc w:val="both"/>
        <w:rPr>
          <w:rFonts w:hint="default"/>
        </w:rPr>
      </w:pPr>
      <w:r>
        <w:t xml:space="preserve">通信地址：             </w:t>
      </w:r>
      <w:r>
        <w:tab/>
      </w:r>
      <w:r>
        <w:tab/>
      </w:r>
      <w:r>
        <w:tab/>
      </w:r>
      <w:r>
        <w:t xml:space="preserve">                          </w:t>
      </w:r>
    </w:p>
    <w:p>
      <w:pPr>
        <w:pStyle w:val="13"/>
        <w:ind w:firstLine="480"/>
        <w:jc w:val="both"/>
        <w:rPr>
          <w:rFonts w:hint="default"/>
        </w:rPr>
      </w:pPr>
      <w:r>
        <w:t xml:space="preserve">邮编：             </w:t>
      </w:r>
      <w:r>
        <w:tab/>
      </w:r>
      <w:r>
        <w:tab/>
      </w:r>
      <w:r>
        <w:tab/>
      </w:r>
      <w:r>
        <w:t xml:space="preserve">                             </w:t>
      </w:r>
    </w:p>
    <w:p>
      <w:pPr>
        <w:pStyle w:val="13"/>
        <w:ind w:firstLine="480"/>
        <w:jc w:val="both"/>
        <w:rPr>
          <w:rFonts w:hint="default"/>
        </w:rPr>
      </w:pPr>
      <w:r>
        <w:t>联系方法：（包括但不限于：联系人、联系电话、手机、传真、电子邮箱等）</w:t>
      </w:r>
    </w:p>
    <w:p>
      <w:pPr>
        <w:pStyle w:val="13"/>
        <w:ind w:firstLine="480"/>
        <w:jc w:val="both"/>
        <w:rPr>
          <w:rFonts w:hint="default"/>
        </w:rPr>
      </w:pPr>
      <w:r>
        <w:t>投标人：（全称并加盖单位公章）</w:t>
      </w:r>
    </w:p>
    <w:p>
      <w:pPr>
        <w:pStyle w:val="13"/>
        <w:ind w:firstLine="480"/>
        <w:jc w:val="both"/>
        <w:rPr>
          <w:rFonts w:hint="default"/>
        </w:rPr>
      </w:pPr>
      <w:r>
        <w:t>日期：    年   月   日</w:t>
      </w:r>
    </w:p>
    <w:p>
      <w:pPr>
        <w:pStyle w:val="13"/>
        <w:jc w:val="both"/>
        <w:rPr>
          <w:rFonts w:hint="default"/>
        </w:rPr>
      </w:pPr>
    </w:p>
    <w:p>
      <w:pPr>
        <w:pStyle w:val="13"/>
        <w:jc w:val="both"/>
        <w:rPr>
          <w:rFonts w:hint="default"/>
        </w:rPr>
      </w:pPr>
      <w:r>
        <w:t xml:space="preserve"> </w:t>
      </w:r>
    </w:p>
    <w:p>
      <w:pPr>
        <w:pStyle w:val="13"/>
        <w:jc w:val="center"/>
        <w:outlineLvl w:val="2"/>
        <w:rPr>
          <w:rFonts w:hint="default"/>
        </w:rPr>
      </w:pPr>
      <w:r>
        <w:rPr>
          <w:b/>
          <w:sz w:val="28"/>
        </w:rPr>
        <w:t>二、投标人的资格及资信证明文件</w:t>
      </w:r>
    </w:p>
    <w:p>
      <w:pPr>
        <w:pStyle w:val="13"/>
        <w:jc w:val="center"/>
        <w:outlineLvl w:val="3"/>
        <w:rPr>
          <w:rFonts w:hint="default"/>
        </w:rPr>
      </w:pPr>
      <w:r>
        <w:rPr>
          <w:b/>
          <w:sz w:val="24"/>
        </w:rPr>
        <w:t>二-1单位授权书（若有）</w:t>
      </w:r>
    </w:p>
    <w:p>
      <w:pPr>
        <w:pStyle w:val="13"/>
        <w:ind w:firstLine="480"/>
        <w:jc w:val="both"/>
        <w:rPr>
          <w:rFonts w:hint="default"/>
        </w:rPr>
      </w:pPr>
      <w:r>
        <w:t>致：</w:t>
      </w:r>
      <w:r>
        <w:rPr>
          <w:u w:val="single"/>
        </w:rPr>
        <w:t>（采购人或采购代理机构）</w:t>
      </w:r>
    </w:p>
    <w:p>
      <w:pPr>
        <w:pStyle w:val="13"/>
        <w:ind w:firstLine="480"/>
        <w:jc w:val="both"/>
        <w:rPr>
          <w:rFonts w:hint="default"/>
        </w:rPr>
      </w:pPr>
      <w:r>
        <w:t>我方的单位负责人</w:t>
      </w:r>
      <w:r>
        <w:rPr>
          <w:u w:val="single"/>
        </w:rPr>
        <w:t>（填写“单位负责人全名”）</w:t>
      </w:r>
      <w:r>
        <w:t>授权</w:t>
      </w:r>
      <w:r>
        <w:rPr>
          <w:u w:val="single"/>
        </w:rPr>
        <w:t>（填写“投标人代表全名”）</w:t>
      </w:r>
      <w:r>
        <w:t>为投标人代表，代表我方参加</w:t>
      </w:r>
      <w:r>
        <w:rPr>
          <w:u w:val="single"/>
        </w:rPr>
        <w:t>（填写“项目名称”）</w:t>
      </w:r>
      <w:r>
        <w:t>项目（项目编号：</w:t>
      </w:r>
      <w:r>
        <w:rPr>
          <w:u w:val="single"/>
        </w:rPr>
        <w:t>　　　　　</w:t>
      </w:r>
      <w:r>
        <w:t>）的投标，全权代表我方处理投标过程的一切事宜，包括但不限于：投标、参加开标、谈判、澄清、签约等。投标人代表在投标过程中所签署的一切文件和处理与之有关的一切事务，我方均予以认可并对此承担责任。</w:t>
      </w:r>
    </w:p>
    <w:p>
      <w:pPr>
        <w:pStyle w:val="13"/>
        <w:ind w:firstLine="480"/>
        <w:jc w:val="both"/>
        <w:rPr>
          <w:rFonts w:hint="default"/>
        </w:rPr>
      </w:pPr>
      <w:r>
        <w:t>投标人代表无转委权。特此授权。</w:t>
      </w:r>
    </w:p>
    <w:p>
      <w:pPr>
        <w:pStyle w:val="13"/>
        <w:ind w:firstLine="480"/>
        <w:jc w:val="both"/>
        <w:rPr>
          <w:rFonts w:hint="default"/>
        </w:rPr>
      </w:pPr>
      <w:r>
        <w:t>（以下无正文）</w:t>
      </w:r>
    </w:p>
    <w:p>
      <w:pPr>
        <w:pStyle w:val="13"/>
        <w:ind w:firstLine="480"/>
        <w:jc w:val="both"/>
        <w:rPr>
          <w:rFonts w:hint="default"/>
        </w:rPr>
      </w:pPr>
      <w:r>
        <w:t>单位负责人：</w:t>
      </w:r>
      <w:r>
        <w:rPr>
          <w:u w:val="single"/>
        </w:rPr>
        <w:t>　　　　　</w:t>
      </w:r>
      <w:r>
        <w:t>身份证号：</w:t>
      </w:r>
      <w:r>
        <w:rPr>
          <w:u w:val="single"/>
        </w:rPr>
        <w:t>　　　　　</w:t>
      </w:r>
      <w:r>
        <w:t>手机：</w:t>
      </w:r>
      <w:r>
        <w:rPr>
          <w:u w:val="single"/>
        </w:rPr>
        <w:t>　　　　　</w:t>
      </w:r>
    </w:p>
    <w:p>
      <w:pPr>
        <w:pStyle w:val="13"/>
        <w:ind w:firstLine="480"/>
        <w:jc w:val="both"/>
        <w:rPr>
          <w:rFonts w:hint="default"/>
        </w:rPr>
      </w:pPr>
      <w:r>
        <w:t>投标人代表：</w:t>
      </w:r>
      <w:r>
        <w:rPr>
          <w:u w:val="single"/>
        </w:rPr>
        <w:t>　　　　　</w:t>
      </w:r>
      <w:r>
        <w:t>身份证号：</w:t>
      </w:r>
      <w:r>
        <w:rPr>
          <w:u w:val="single"/>
        </w:rPr>
        <w:t>　　　　　</w:t>
      </w:r>
      <w:r>
        <w:t>手机：</w:t>
      </w:r>
      <w:r>
        <w:rPr>
          <w:u w:val="single"/>
        </w:rPr>
        <w:t>　　　　　</w:t>
      </w:r>
    </w:p>
    <w:p>
      <w:pPr>
        <w:pStyle w:val="13"/>
        <w:ind w:firstLine="480"/>
        <w:jc w:val="both"/>
        <w:rPr>
          <w:rFonts w:hint="default"/>
        </w:rPr>
      </w:pPr>
      <w:r>
        <w:t>授权方</w:t>
      </w:r>
    </w:p>
    <w:p>
      <w:pPr>
        <w:pStyle w:val="13"/>
        <w:ind w:firstLine="480"/>
        <w:jc w:val="both"/>
        <w:rPr>
          <w:rFonts w:hint="default"/>
        </w:rPr>
      </w:pPr>
      <w:r>
        <w:t>投标人：</w:t>
      </w:r>
      <w:r>
        <w:rPr>
          <w:u w:val="single"/>
        </w:rPr>
        <w:t>（全称并加盖单位公章）</w:t>
      </w:r>
    </w:p>
    <w:p>
      <w:pPr>
        <w:pStyle w:val="13"/>
        <w:ind w:firstLine="480"/>
        <w:jc w:val="right"/>
        <w:rPr>
          <w:rFonts w:hint="default"/>
        </w:rPr>
      </w:pPr>
      <w:r>
        <w:t>签署日期： 年 月 日</w:t>
      </w:r>
    </w:p>
    <w:p>
      <w:pPr>
        <w:pStyle w:val="13"/>
        <w:ind w:firstLine="480"/>
        <w:jc w:val="both"/>
        <w:rPr>
          <w:rFonts w:hint="default"/>
        </w:rPr>
      </w:pPr>
      <w:r>
        <w:t>附：单位负责人、投标人代表的身份证正反面复印件</w:t>
      </w:r>
    </w:p>
    <w:p>
      <w:pPr>
        <w:pStyle w:val="13"/>
        <w:jc w:val="both"/>
        <w:rPr>
          <w:rFonts w:hint="default"/>
        </w:rPr>
      </w:pPr>
    </w:p>
    <w:p>
      <w:pPr>
        <w:pStyle w:val="13"/>
        <w:pBdr>
          <w:top w:val="dashed" w:color="000000" w:sz="4" w:space="0"/>
          <w:left w:val="dashed" w:color="000000" w:sz="4" w:space="0"/>
          <w:bottom w:val="dashed" w:color="000000" w:sz="4" w:space="0"/>
          <w:right w:val="dashed" w:color="000000" w:sz="4" w:space="0"/>
        </w:pBdr>
        <w:jc w:val="center"/>
        <w:rPr>
          <w:rFonts w:hint="default"/>
        </w:rPr>
      </w:pPr>
    </w:p>
    <w:p>
      <w:pPr>
        <w:pStyle w:val="13"/>
        <w:jc w:val="center"/>
        <w:rPr>
          <w:rFonts w:hint="default"/>
        </w:rPr>
      </w:pPr>
      <w:r>
        <w:t>要求：真实有效且内容完整、清晰、整洁。</w:t>
      </w:r>
    </w:p>
    <w:p>
      <w:pPr>
        <w:pStyle w:val="13"/>
        <w:ind w:firstLine="480"/>
        <w:jc w:val="both"/>
        <w:rPr>
          <w:rFonts w:hint="default"/>
        </w:rPr>
      </w:pPr>
      <w:r>
        <w:t>※注意：</w:t>
      </w:r>
    </w:p>
    <w:p>
      <w:pPr>
        <w:pStyle w:val="13"/>
        <w:ind w:firstLine="480"/>
        <w:jc w:val="both"/>
        <w:rPr>
          <w:rFonts w:hint="default"/>
        </w:rPr>
      </w:pPr>
      <w:r>
        <w:t>1、企业（银行、保险、石油石化、电力、电信等行业除外）、事业单位和社会团体法人的“单位负责人”指法定代表人，即与实际提交的“营业执照等证明文件”载明的一致。</w:t>
      </w:r>
    </w:p>
    <w:p>
      <w:pPr>
        <w:pStyle w:val="13"/>
        <w:ind w:firstLine="480"/>
        <w:jc w:val="both"/>
        <w:rPr>
          <w:rFonts w:hint="default"/>
        </w:rPr>
      </w:pPr>
      <w: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pStyle w:val="13"/>
        <w:ind w:firstLine="480"/>
        <w:jc w:val="both"/>
        <w:rPr>
          <w:rFonts w:hint="default"/>
        </w:rPr>
      </w:pPr>
      <w:r>
        <w:t>3、投标人（自然人除外）：若投标人代表为单位授权的委托代理人，应提供本授权书；若投标人代表为单位负责人，应在此项下提交其身份证正反面复印件，可不提供本授权书。</w:t>
      </w:r>
    </w:p>
    <w:p>
      <w:pPr>
        <w:pStyle w:val="13"/>
        <w:ind w:firstLine="480"/>
        <w:jc w:val="both"/>
        <w:rPr>
          <w:rFonts w:hint="default"/>
        </w:rPr>
      </w:pPr>
      <w:r>
        <w:t>4、投标人为自然人的，可不填写本授权书。</w:t>
      </w:r>
    </w:p>
    <w:p>
      <w:pPr>
        <w:pStyle w:val="13"/>
        <w:jc w:val="both"/>
        <w:rPr>
          <w:rFonts w:hint="default"/>
        </w:rPr>
      </w:pPr>
      <w:r>
        <w:t xml:space="preserve"> </w:t>
      </w:r>
    </w:p>
    <w:p>
      <w:pPr>
        <w:pStyle w:val="13"/>
        <w:jc w:val="center"/>
        <w:outlineLvl w:val="3"/>
        <w:rPr>
          <w:rFonts w:hint="default"/>
        </w:rPr>
      </w:pPr>
      <w:r>
        <w:rPr>
          <w:b/>
          <w:sz w:val="24"/>
        </w:rPr>
        <w:t>二-2营业执照等证明文件</w:t>
      </w:r>
    </w:p>
    <w:p>
      <w:pPr>
        <w:pStyle w:val="13"/>
        <w:ind w:firstLine="480"/>
        <w:jc w:val="both"/>
        <w:rPr>
          <w:rFonts w:hint="default"/>
        </w:rPr>
      </w:pPr>
      <w:r>
        <w:t>致：</w:t>
      </w:r>
      <w:r>
        <w:rPr>
          <w:u w:val="single"/>
        </w:rPr>
        <w:t>（采购人或采购代理机构）</w:t>
      </w:r>
    </w:p>
    <w:p>
      <w:pPr>
        <w:pStyle w:val="13"/>
        <w:ind w:firstLine="480"/>
        <w:jc w:val="both"/>
        <w:rPr>
          <w:rFonts w:hint="default"/>
        </w:rPr>
      </w:pPr>
      <w:r>
        <w:t>（ ）投标人为法人（包括企业、事业单位和社会团体）的</w:t>
      </w:r>
    </w:p>
    <w:p>
      <w:pPr>
        <w:pStyle w:val="13"/>
        <w:ind w:firstLine="480"/>
        <w:jc w:val="both"/>
        <w:rPr>
          <w:rFonts w:hint="default"/>
        </w:rPr>
      </w:pPr>
      <w:r>
        <w:t>现附上由</w:t>
      </w:r>
      <w:r>
        <w:rPr>
          <w:u w:val="single"/>
        </w:rPr>
        <w:t>（（填写“签发机关全称”）</w:t>
      </w:r>
      <w:r>
        <w:t>签发的我方统一社会信用代码（请填写法人的具体证照名称）复印件，该证明材料真实有效，否则我方负全部责任。</w:t>
      </w:r>
    </w:p>
    <w:p>
      <w:pPr>
        <w:pStyle w:val="13"/>
        <w:ind w:firstLine="480"/>
        <w:jc w:val="both"/>
        <w:rPr>
          <w:rFonts w:hint="default"/>
        </w:rPr>
      </w:pPr>
      <w:r>
        <w:t>（ ）投标人为非法人（包括其他组织、自然人）的</w:t>
      </w:r>
    </w:p>
    <w:p>
      <w:pPr>
        <w:pStyle w:val="13"/>
        <w:ind w:firstLine="480"/>
        <w:jc w:val="both"/>
        <w:rPr>
          <w:rFonts w:hint="default"/>
        </w:rPr>
      </w:pPr>
      <w:r>
        <w:t>□现附上由</w:t>
      </w:r>
      <w:r>
        <w:rPr>
          <w:u w:val="single"/>
        </w:rPr>
        <w:t>（（填写“签发机关全称”）</w:t>
      </w:r>
      <w:r>
        <w:t>签发的我方（请填写非自然人的非法人的具体证照名称）复印件，该证明材料真实有效，否则我方负全部责任。</w:t>
      </w:r>
    </w:p>
    <w:p>
      <w:pPr>
        <w:pStyle w:val="13"/>
        <w:ind w:firstLine="480"/>
        <w:jc w:val="both"/>
        <w:rPr>
          <w:rFonts w:hint="default"/>
        </w:rPr>
      </w:pPr>
      <w:r>
        <w:t>□现附上由</w:t>
      </w:r>
      <w:r>
        <w:rPr>
          <w:u w:val="single"/>
        </w:rPr>
        <w:t>（（填写“签发机关全称”）</w:t>
      </w:r>
      <w:r>
        <w:t>签发的我方（请填写自然人的身份证件名称）复印件，该证明材料真实有效，否则我方负全部责任。</w:t>
      </w:r>
    </w:p>
    <w:p>
      <w:pPr>
        <w:pStyle w:val="13"/>
        <w:ind w:firstLine="480"/>
        <w:jc w:val="both"/>
        <w:rPr>
          <w:rFonts w:hint="default"/>
        </w:rPr>
      </w:pPr>
      <w:r>
        <w:t>※注意：</w:t>
      </w:r>
    </w:p>
    <w:p>
      <w:pPr>
        <w:pStyle w:val="13"/>
        <w:ind w:firstLine="480"/>
        <w:jc w:val="both"/>
        <w:rPr>
          <w:rFonts w:hint="default"/>
        </w:rPr>
      </w:pPr>
      <w:r>
        <w:t>1、请投标人按照实际情况编制填写，在相应的（）中打“√”并选择相应的“□”（若有）后，再按照本格式的要求提供相应证明材料的复印件。</w:t>
      </w:r>
    </w:p>
    <w:p>
      <w:pPr>
        <w:pStyle w:val="13"/>
        <w:ind w:firstLine="480"/>
        <w:jc w:val="both"/>
        <w:rPr>
          <w:rFonts w:hint="default"/>
        </w:rPr>
      </w:pPr>
      <w: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jc w:val="both"/>
        <w:rPr>
          <w:rFonts w:hint="default"/>
        </w:rPr>
      </w:pPr>
      <w:r>
        <w:t xml:space="preserve"> </w:t>
      </w:r>
    </w:p>
    <w:p>
      <w:pPr>
        <w:pStyle w:val="13"/>
        <w:jc w:val="center"/>
        <w:outlineLvl w:val="3"/>
        <w:rPr>
          <w:rFonts w:hint="default"/>
        </w:rPr>
      </w:pPr>
      <w:r>
        <w:rPr>
          <w:b/>
          <w:sz w:val="24"/>
        </w:rPr>
        <w:t>二-3财务状况报告（财务报告、或资信证明）</w:t>
      </w:r>
    </w:p>
    <w:p>
      <w:pPr>
        <w:pStyle w:val="13"/>
        <w:ind w:firstLine="480"/>
        <w:jc w:val="both"/>
        <w:rPr>
          <w:rFonts w:hint="default"/>
        </w:rPr>
      </w:pPr>
      <w:r>
        <w:t>致：</w:t>
      </w:r>
      <w:r>
        <w:rPr>
          <w:u w:val="single"/>
        </w:rPr>
        <w:t>（采购人或采购代理机构）</w:t>
      </w:r>
    </w:p>
    <w:p>
      <w:pPr>
        <w:pStyle w:val="13"/>
        <w:ind w:firstLine="480"/>
        <w:jc w:val="both"/>
        <w:rPr>
          <w:rFonts w:hint="default"/>
        </w:rPr>
      </w:pPr>
      <w:r>
        <w:t>（ ）投标人提供财务报告的</w:t>
      </w:r>
    </w:p>
    <w:p>
      <w:pPr>
        <w:pStyle w:val="13"/>
        <w:ind w:firstLine="480"/>
        <w:jc w:val="both"/>
        <w:rPr>
          <w:rFonts w:hint="default"/>
        </w:rPr>
      </w:pPr>
      <w:r>
        <w:t>□企业适用：现附上我方</w:t>
      </w:r>
      <w:r>
        <w:rPr>
          <w:u w:val="single"/>
        </w:rPr>
        <w:t>（填写“具体的年度、或半年度、季度”）</w:t>
      </w:r>
      <w:r>
        <w:t>财务报告复印件，包括资产负债表、利润表、现金流量表、所有者权益变动表（若有）及其附注（若有）、会计师事务所营业执照和注册会计师资格证书，上述证明材料真实有效，否则我方负全部责任。</w:t>
      </w:r>
    </w:p>
    <w:p>
      <w:pPr>
        <w:pStyle w:val="13"/>
        <w:ind w:firstLine="480"/>
        <w:jc w:val="both"/>
        <w:rPr>
          <w:rFonts w:hint="default"/>
        </w:rPr>
      </w:pPr>
      <w:r>
        <w:t>□事业单位适用：现附上我方</w:t>
      </w:r>
      <w:r>
        <w:rPr>
          <w:u w:val="single"/>
        </w:rPr>
        <w:t>（填写“具体的年度、或半年度、或季度”）</w:t>
      </w:r>
      <w:r>
        <w:t>财务报告复印件，包括资产负债表、收入支出表（或收入费用表）、财政补助收入支出表（若有）、会计师事务所营业执照和注册会计师资格证书，上述证明材料真实有效，否则我方负全部责任。</w:t>
      </w:r>
    </w:p>
    <w:p>
      <w:pPr>
        <w:pStyle w:val="13"/>
        <w:ind w:firstLine="480"/>
        <w:jc w:val="both"/>
        <w:rPr>
          <w:rFonts w:hint="default"/>
        </w:rPr>
      </w:pPr>
      <w:r>
        <w:t>□社会团体、民办非企适用：现附上我方</w:t>
      </w:r>
      <w:r>
        <w:rPr>
          <w:u w:val="single"/>
        </w:rPr>
        <w:t>（填写“具体的年度、或半年度、或季度”）</w:t>
      </w:r>
      <w:r>
        <w:t>财务报告复印件，包括资产负债表、业务活动表、现金流量表、会计师事务所营业执照和注册会计师资格证书，上述证明材料真实有效，否则我方负全部责任。</w:t>
      </w:r>
    </w:p>
    <w:p>
      <w:pPr>
        <w:pStyle w:val="13"/>
        <w:ind w:firstLine="480"/>
        <w:jc w:val="both"/>
        <w:rPr>
          <w:rFonts w:hint="default"/>
        </w:rPr>
      </w:pPr>
      <w:r>
        <w:t>（ ）投标人提供资信证明的</w:t>
      </w:r>
    </w:p>
    <w:p>
      <w:pPr>
        <w:pStyle w:val="13"/>
        <w:ind w:firstLine="480"/>
        <w:jc w:val="both"/>
        <w:rPr>
          <w:rFonts w:hint="default"/>
        </w:rPr>
      </w:pPr>
      <w:r>
        <w:t>□非自然人适用（包括企业、事业单位、社会团体和其他组织）：现附上我方银行：</w:t>
      </w:r>
      <w:r>
        <w:rPr>
          <w:u w:val="single"/>
        </w:rPr>
        <w:t>（填写“开户银行全称”）</w:t>
      </w:r>
      <w:r>
        <w:t>出具的资信证明复印件，上述证明材料真实有效，否则我方负全部责任。</w:t>
      </w:r>
    </w:p>
    <w:p>
      <w:pPr>
        <w:pStyle w:val="13"/>
        <w:ind w:firstLine="480"/>
        <w:jc w:val="both"/>
        <w:rPr>
          <w:rFonts w:hint="default"/>
        </w:rPr>
      </w:pPr>
      <w:r>
        <w:t>□自然人适用：现附上我方银行</w:t>
      </w:r>
      <w:r>
        <w:rPr>
          <w:u w:val="single"/>
        </w:rPr>
        <w:t>：（填写自然人的“个人账户的开户银行全称”）</w:t>
      </w:r>
      <w:r>
        <w:t>出具的资信证明复印件，上述证明材料真实有效，否则我方负全部责任。</w:t>
      </w:r>
    </w:p>
    <w:p>
      <w:pPr>
        <w:pStyle w:val="13"/>
        <w:ind w:firstLine="480"/>
        <w:jc w:val="both"/>
        <w:rPr>
          <w:rFonts w:hint="default"/>
        </w:rPr>
      </w:pPr>
      <w:r>
        <w:t>※注意：</w:t>
      </w:r>
    </w:p>
    <w:p>
      <w:pPr>
        <w:pStyle w:val="13"/>
        <w:ind w:firstLine="480"/>
        <w:jc w:val="both"/>
        <w:rPr>
          <w:rFonts w:hint="default"/>
        </w:rPr>
      </w:pPr>
      <w:r>
        <w:t>1、请投标人按照实际情况编制填写，在相应的（）中打“√”并选择相应的“□”（若有）后，再按照本格式的要求提供相应证明材料的复印件。</w:t>
      </w:r>
    </w:p>
    <w:p>
      <w:pPr>
        <w:pStyle w:val="13"/>
        <w:ind w:firstLine="480"/>
        <w:jc w:val="both"/>
        <w:rPr>
          <w:rFonts w:hint="default"/>
        </w:rPr>
      </w:pPr>
      <w:r>
        <w:t>2、投标人提供的财务报告复印件（成立年限按照投标截止时间推算）应符合下列规定：</w:t>
      </w:r>
    </w:p>
    <w:p>
      <w:pPr>
        <w:pStyle w:val="13"/>
        <w:ind w:firstLine="480"/>
        <w:jc w:val="both"/>
        <w:rPr>
          <w:rFonts w:hint="default"/>
        </w:rPr>
      </w:pPr>
      <w:r>
        <w:t>2.1成立年限满1年及以上的投标人，提供经审计的招标文件规定的年度财务报告。</w:t>
      </w:r>
    </w:p>
    <w:p>
      <w:pPr>
        <w:pStyle w:val="13"/>
        <w:ind w:firstLine="480"/>
        <w:jc w:val="both"/>
        <w:rPr>
          <w:rFonts w:hint="default"/>
        </w:rPr>
      </w:pPr>
      <w:r>
        <w:t>2.2成立年限满半年但不足1年的投标人，提供该半年度中任一季度的季度财务报告或该半年度的半年度财务报告。</w:t>
      </w:r>
    </w:p>
    <w:p>
      <w:pPr>
        <w:pStyle w:val="13"/>
        <w:ind w:firstLine="480"/>
        <w:jc w:val="both"/>
        <w:rPr>
          <w:rFonts w:hint="default"/>
        </w:rPr>
      </w:pPr>
      <w: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jc w:val="both"/>
        <w:rPr>
          <w:rFonts w:hint="default"/>
        </w:rPr>
      </w:pPr>
      <w:r>
        <w:t xml:space="preserve"> </w:t>
      </w:r>
    </w:p>
    <w:p>
      <w:pPr>
        <w:pStyle w:val="13"/>
        <w:jc w:val="center"/>
        <w:outlineLvl w:val="3"/>
        <w:rPr>
          <w:rFonts w:hint="default"/>
        </w:rPr>
      </w:pPr>
      <w:r>
        <w:rPr>
          <w:b/>
          <w:sz w:val="24"/>
        </w:rPr>
        <w:t>二-4依法缴纳税收证明材料</w:t>
      </w:r>
    </w:p>
    <w:p>
      <w:pPr>
        <w:pStyle w:val="13"/>
        <w:ind w:firstLine="480"/>
        <w:jc w:val="both"/>
        <w:rPr>
          <w:rFonts w:hint="default"/>
        </w:rPr>
      </w:pPr>
      <w:r>
        <w:t>致：</w:t>
      </w:r>
      <w:r>
        <w:rPr>
          <w:u w:val="single"/>
        </w:rPr>
        <w:t>（采购人或采购代理机构）</w:t>
      </w:r>
    </w:p>
    <w:p>
      <w:pPr>
        <w:pStyle w:val="13"/>
        <w:ind w:firstLine="480"/>
        <w:jc w:val="both"/>
        <w:rPr>
          <w:rFonts w:hint="default"/>
        </w:rPr>
      </w:pPr>
      <w:r>
        <w:t>1、依法缴纳税收的投标人</w:t>
      </w:r>
    </w:p>
    <w:p>
      <w:pPr>
        <w:pStyle w:val="13"/>
        <w:ind w:firstLine="480"/>
        <w:jc w:val="both"/>
        <w:rPr>
          <w:rFonts w:hint="default"/>
        </w:rPr>
      </w:pPr>
      <w:r>
        <w:t>（ ）法人（包括企业、事业单位和社会团体）的</w:t>
      </w:r>
    </w:p>
    <w:p>
      <w:pPr>
        <w:pStyle w:val="13"/>
        <w:ind w:firstLine="480"/>
        <w:jc w:val="both"/>
        <w:rPr>
          <w:rFonts w:hint="default"/>
        </w:rPr>
      </w:pPr>
      <w:r>
        <w:t>现附上自</w:t>
      </w:r>
      <w:r>
        <w:rPr>
          <w:u w:val="single"/>
        </w:rPr>
        <w:t>　　年　　月　　日</w:t>
      </w:r>
      <w:r>
        <w:t>至</w:t>
      </w:r>
      <w:r>
        <w:rPr>
          <w:u w:val="single"/>
        </w:rPr>
        <w:t>　　年　　月　　日</w:t>
      </w:r>
      <w:r>
        <w:t>期间我方缴纳（包括但不限于税务机关出具的专用收据、税收缴纳证明或税收代缴银行的缴款收讫凭证）等税收凭据复印件，上述证明材料真实有效，否则我方负全部责任。</w:t>
      </w:r>
    </w:p>
    <w:p>
      <w:pPr>
        <w:pStyle w:val="13"/>
        <w:ind w:firstLine="480"/>
        <w:jc w:val="both"/>
        <w:rPr>
          <w:rFonts w:hint="default"/>
        </w:rPr>
      </w:pPr>
      <w:r>
        <w:t>（ ）非法人（包括其他组织、自然人）的</w:t>
      </w:r>
    </w:p>
    <w:p>
      <w:pPr>
        <w:pStyle w:val="13"/>
        <w:ind w:firstLine="480"/>
        <w:jc w:val="both"/>
        <w:rPr>
          <w:rFonts w:hint="default"/>
        </w:rPr>
      </w:pPr>
      <w:r>
        <w:t>现附上自</w:t>
      </w:r>
      <w:r>
        <w:rPr>
          <w:u w:val="single"/>
        </w:rPr>
        <w:t>　　年　　月　　日</w:t>
      </w:r>
      <w:r>
        <w:t>至</w:t>
      </w:r>
      <w:r>
        <w:rPr>
          <w:u w:val="single"/>
        </w:rPr>
        <w:t>　　年　　月　　日</w:t>
      </w:r>
      <w:r>
        <w:t>期间我方缴纳（包括但不限于税务机关出具的专用收据、税收缴纳证明或税收代缴银行的缴款收讫凭证）等税收凭据复印件，上述证明材料真实有效，否则我方负全部责任。</w:t>
      </w:r>
    </w:p>
    <w:p>
      <w:pPr>
        <w:pStyle w:val="13"/>
        <w:ind w:firstLine="480"/>
        <w:jc w:val="both"/>
        <w:rPr>
          <w:rFonts w:hint="default"/>
        </w:rPr>
      </w:pPr>
      <w:r>
        <w:t>2、依法免税的投标人</w:t>
      </w:r>
    </w:p>
    <w:p>
      <w:pPr>
        <w:pStyle w:val="13"/>
        <w:ind w:firstLine="480"/>
        <w:jc w:val="both"/>
        <w:rPr>
          <w:rFonts w:hint="default"/>
        </w:rPr>
      </w:pPr>
      <w:r>
        <w:t>（ ）现附上我方依法免税的证明材料复印件，上述证明材料真实有效，否则我方负全部责任。</w:t>
      </w:r>
    </w:p>
    <w:p>
      <w:pPr>
        <w:pStyle w:val="13"/>
        <w:ind w:firstLine="480"/>
        <w:jc w:val="both"/>
        <w:rPr>
          <w:rFonts w:hint="default"/>
        </w:rPr>
      </w:pPr>
      <w:r>
        <w:t>※注意：</w:t>
      </w:r>
    </w:p>
    <w:p>
      <w:pPr>
        <w:pStyle w:val="13"/>
        <w:ind w:firstLine="480"/>
        <w:jc w:val="both"/>
        <w:rPr>
          <w:rFonts w:hint="default"/>
        </w:rPr>
      </w:pPr>
      <w:r>
        <w:t>1、请投标人按照实际情况编制填写，在相应的（）中打“√”，并按照本格式的要求提供相应证明材料的复印件。</w:t>
      </w:r>
    </w:p>
    <w:p>
      <w:pPr>
        <w:pStyle w:val="13"/>
        <w:ind w:firstLine="480"/>
        <w:jc w:val="both"/>
        <w:rPr>
          <w:rFonts w:hint="default"/>
        </w:rPr>
      </w:pPr>
      <w:r>
        <w:t>2、投标人提供的税收缴纳凭据复印件应符合下列规定：</w:t>
      </w:r>
    </w:p>
    <w:p>
      <w:pPr>
        <w:pStyle w:val="13"/>
        <w:ind w:firstLine="480"/>
        <w:jc w:val="both"/>
        <w:rPr>
          <w:rFonts w:hint="default"/>
        </w:rPr>
      </w:pPr>
      <w:r>
        <w:t>2.1投标截止时间前（不含投标截止时间的当月）已依法缴纳税收的投标人，提供投标截止时间前六个月（不含投标截止时间的当月）中任一月份的税收缴纳凭据复印件。</w:t>
      </w:r>
    </w:p>
    <w:p>
      <w:pPr>
        <w:pStyle w:val="13"/>
        <w:ind w:firstLine="480"/>
        <w:jc w:val="both"/>
        <w:rPr>
          <w:rFonts w:hint="default"/>
        </w:rPr>
      </w:pPr>
      <w:r>
        <w:t>2.2投标截止时间的当月成立的投标人，视同满足本项资格条件要求。</w:t>
      </w:r>
    </w:p>
    <w:p>
      <w:pPr>
        <w:pStyle w:val="13"/>
        <w:ind w:firstLine="480"/>
        <w:jc w:val="both"/>
        <w:rPr>
          <w:rFonts w:hint="default"/>
        </w:rPr>
      </w:pPr>
      <w:r>
        <w:t>3、若为依法免税范围的投标人，提供依法免税证明材料的，视同满足本项资格条件要求。</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jc w:val="both"/>
        <w:rPr>
          <w:rFonts w:hint="default"/>
        </w:rPr>
      </w:pPr>
      <w:r>
        <w:t xml:space="preserve"> </w:t>
      </w:r>
    </w:p>
    <w:p>
      <w:pPr>
        <w:pStyle w:val="13"/>
        <w:jc w:val="center"/>
        <w:outlineLvl w:val="3"/>
        <w:rPr>
          <w:rFonts w:hint="default"/>
        </w:rPr>
      </w:pPr>
      <w:r>
        <w:rPr>
          <w:b/>
          <w:sz w:val="24"/>
        </w:rPr>
        <w:t>二-5依法缴纳社会保障资金证明材料</w:t>
      </w:r>
    </w:p>
    <w:p>
      <w:pPr>
        <w:pStyle w:val="13"/>
        <w:ind w:firstLine="480"/>
        <w:jc w:val="both"/>
        <w:rPr>
          <w:rFonts w:hint="default"/>
        </w:rPr>
      </w:pPr>
      <w:r>
        <w:t>致：</w:t>
      </w:r>
      <w:r>
        <w:rPr>
          <w:u w:val="single"/>
        </w:rPr>
        <w:t>（采购人或采购代理机构）</w:t>
      </w:r>
    </w:p>
    <w:p>
      <w:pPr>
        <w:pStyle w:val="13"/>
        <w:ind w:firstLine="480"/>
        <w:jc w:val="both"/>
        <w:rPr>
          <w:rFonts w:hint="default"/>
        </w:rPr>
      </w:pPr>
      <w:r>
        <w:t>1、依法缴纳社会保障资金的投标人</w:t>
      </w:r>
    </w:p>
    <w:p>
      <w:pPr>
        <w:pStyle w:val="13"/>
        <w:ind w:firstLine="480"/>
        <w:jc w:val="both"/>
        <w:rPr>
          <w:rFonts w:hint="default"/>
        </w:rPr>
      </w:pPr>
      <w:r>
        <w:t>（ ）法人（包括企业、事业单位和社会团体）的</w:t>
      </w:r>
    </w:p>
    <w:p>
      <w:pPr>
        <w:pStyle w:val="13"/>
        <w:ind w:firstLine="480"/>
        <w:jc w:val="both"/>
        <w:rPr>
          <w:rFonts w:hint="default"/>
        </w:rPr>
      </w:pPr>
      <w:r>
        <w:t>现附上自</w:t>
      </w:r>
      <w:r>
        <w:rPr>
          <w:u w:val="single"/>
        </w:rPr>
        <w:t>　　年　　月　　日</w:t>
      </w:r>
      <w:r>
        <w:t>至</w:t>
      </w:r>
      <w:r>
        <w:rPr>
          <w:u w:val="single"/>
        </w:rPr>
        <w:t>　　年　　月　　日</w:t>
      </w:r>
      <w:r>
        <w:t>我方缴纳的社会保险凭据（限：税务机关/社会保障资金管理机关的专用收据或社会保险缴纳清单，或社会保险的银行缴款收讫凭证）复印件，上述证明材料真实有效，否则我方负全部责任。</w:t>
      </w:r>
    </w:p>
    <w:p>
      <w:pPr>
        <w:pStyle w:val="13"/>
        <w:ind w:firstLine="480"/>
        <w:jc w:val="both"/>
        <w:rPr>
          <w:rFonts w:hint="default"/>
        </w:rPr>
      </w:pPr>
      <w:r>
        <w:t>（ ）非法人（包括其他组织、自然人）的</w:t>
      </w:r>
    </w:p>
    <w:p>
      <w:pPr>
        <w:pStyle w:val="13"/>
        <w:ind w:firstLine="480"/>
        <w:jc w:val="both"/>
        <w:rPr>
          <w:rFonts w:hint="default"/>
        </w:rPr>
      </w:pPr>
      <w:r>
        <w:t>自</w:t>
      </w:r>
      <w:r>
        <w:rPr>
          <w:u w:val="single"/>
        </w:rPr>
        <w:t>　　年　　月　　日</w:t>
      </w:r>
      <w:r>
        <w:t>至</w:t>
      </w:r>
      <w:r>
        <w:rPr>
          <w:u w:val="single"/>
        </w:rPr>
        <w:t>　　年　　月　　日</w:t>
      </w:r>
      <w:r>
        <w:t>我方缴纳的社会保险凭据（限：税务机关/社会保障资金管理机关的专用收据或社会保险缴纳清单，或社会保险的银行缴款收讫凭证）复印件，上述证明材料真实有效，否则我方负全部责任。</w:t>
      </w:r>
    </w:p>
    <w:p>
      <w:pPr>
        <w:pStyle w:val="13"/>
        <w:ind w:firstLine="480"/>
        <w:jc w:val="both"/>
        <w:rPr>
          <w:rFonts w:hint="default"/>
        </w:rPr>
      </w:pPr>
      <w:r>
        <w:t>2、依法不需要缴纳或暂缓缴纳社会保障资金的投标人</w:t>
      </w:r>
    </w:p>
    <w:p>
      <w:pPr>
        <w:pStyle w:val="13"/>
        <w:ind w:firstLine="480"/>
        <w:jc w:val="both"/>
        <w:rPr>
          <w:rFonts w:hint="default"/>
        </w:rPr>
      </w:pPr>
      <w:r>
        <w:t>（ ）现附上我方依法不需要缴纳或暂缓缴纳社会保障资金证明材料复印件，上述证明材料真实有效，否则我方负全部责任。</w:t>
      </w:r>
    </w:p>
    <w:p>
      <w:pPr>
        <w:pStyle w:val="13"/>
        <w:ind w:firstLine="480"/>
        <w:jc w:val="both"/>
        <w:rPr>
          <w:rFonts w:hint="default"/>
        </w:rPr>
      </w:pPr>
      <w:r>
        <w:t>※注意：</w:t>
      </w:r>
    </w:p>
    <w:p>
      <w:pPr>
        <w:pStyle w:val="13"/>
        <w:ind w:firstLine="480"/>
        <w:jc w:val="both"/>
        <w:rPr>
          <w:rFonts w:hint="default"/>
        </w:rPr>
      </w:pPr>
      <w:r>
        <w:t>1、请投标人按照实际情况编制填写，在相应的（）中打“√”，并按照本格式的要求提供相应证明材料的复印件。</w:t>
      </w:r>
    </w:p>
    <w:p>
      <w:pPr>
        <w:pStyle w:val="13"/>
        <w:ind w:firstLine="480"/>
        <w:jc w:val="both"/>
        <w:rPr>
          <w:rFonts w:hint="default"/>
        </w:rPr>
      </w:pPr>
      <w:r>
        <w:t>2、投标人提供的社会保障资金缴纳凭据复印件应符合下列规定：</w:t>
      </w:r>
    </w:p>
    <w:p>
      <w:pPr>
        <w:pStyle w:val="13"/>
        <w:ind w:firstLine="480"/>
        <w:jc w:val="both"/>
        <w:rPr>
          <w:rFonts w:hint="default"/>
        </w:rPr>
      </w:pPr>
      <w:r>
        <w:t>2.1投标截止时间前（不含投标截止时间的当月）已依法缴纳社会保障资金的投标人，提供投标截止时间前六个月（不含投标截止时间的当月）中任一月份的社会保障资金缴纳凭据复印件。</w:t>
      </w:r>
    </w:p>
    <w:p>
      <w:pPr>
        <w:pStyle w:val="13"/>
        <w:ind w:firstLine="480"/>
        <w:jc w:val="both"/>
        <w:rPr>
          <w:rFonts w:hint="default"/>
        </w:rPr>
      </w:pPr>
      <w:r>
        <w:t>2.2投标截止时间的当月成立的投标人，视同满足本项资格条件要求。</w:t>
      </w:r>
    </w:p>
    <w:p>
      <w:pPr>
        <w:pStyle w:val="13"/>
        <w:ind w:firstLine="480"/>
        <w:jc w:val="both"/>
        <w:rPr>
          <w:rFonts w:hint="default"/>
        </w:rPr>
      </w:pPr>
      <w:r>
        <w:t>3、若为依法不需要缴纳或暂缓缴纳社会保障资金的投标人，提供依法不需要缴纳或暂缓缴纳社会保障资金证明材料的，视同满足本项资格条件要求。</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jc w:val="both"/>
        <w:rPr>
          <w:rFonts w:hint="default"/>
        </w:rPr>
      </w:pPr>
      <w:r>
        <w:t xml:space="preserve"> </w:t>
      </w:r>
    </w:p>
    <w:p>
      <w:pPr>
        <w:pStyle w:val="13"/>
        <w:jc w:val="center"/>
        <w:outlineLvl w:val="3"/>
        <w:rPr>
          <w:rFonts w:hint="default"/>
        </w:rPr>
      </w:pPr>
      <w:r>
        <w:rPr>
          <w:b/>
          <w:sz w:val="24"/>
        </w:rPr>
        <w:t>二-6具备履行合同所必需设备和专业技术能力的声明函（若有）</w:t>
      </w:r>
    </w:p>
    <w:p>
      <w:pPr>
        <w:pStyle w:val="13"/>
        <w:ind w:firstLine="480"/>
        <w:jc w:val="both"/>
        <w:rPr>
          <w:rFonts w:hint="default"/>
        </w:rPr>
      </w:pPr>
      <w:r>
        <w:t>致：</w:t>
      </w:r>
      <w:r>
        <w:rPr>
          <w:u w:val="single"/>
        </w:rPr>
        <w:t>（采购人或采购代理机构）</w:t>
      </w:r>
    </w:p>
    <w:p>
      <w:pPr>
        <w:pStyle w:val="13"/>
        <w:ind w:firstLine="480"/>
        <w:jc w:val="both"/>
        <w:rPr>
          <w:rFonts w:hint="default"/>
        </w:rPr>
      </w:pPr>
      <w:r>
        <w:t>我方具备履行合同所必需的设备和专业技术能力，否则产生不利后果由我方承担责任。</w:t>
      </w:r>
    </w:p>
    <w:p>
      <w:pPr>
        <w:pStyle w:val="13"/>
        <w:ind w:firstLine="960"/>
        <w:jc w:val="both"/>
        <w:rPr>
          <w:rFonts w:hint="default"/>
        </w:rPr>
      </w:pPr>
      <w:r>
        <w:t>特此声明。</w:t>
      </w:r>
    </w:p>
    <w:p>
      <w:pPr>
        <w:pStyle w:val="13"/>
        <w:ind w:firstLine="480"/>
        <w:jc w:val="both"/>
        <w:rPr>
          <w:rFonts w:hint="default"/>
        </w:rPr>
      </w:pPr>
      <w:r>
        <w:t>※注意：</w:t>
      </w:r>
    </w:p>
    <w:p>
      <w:pPr>
        <w:pStyle w:val="13"/>
        <w:ind w:firstLine="480"/>
        <w:jc w:val="both"/>
        <w:rPr>
          <w:rFonts w:hint="default"/>
        </w:rPr>
      </w:pPr>
      <w:r>
        <w:t>1、招标文件未要求投标人提供“具备履行合同所必需的设备和专业技术能力专项证明材料”的，投标人应提供本声明函。</w:t>
      </w:r>
    </w:p>
    <w:p>
      <w:pPr>
        <w:pStyle w:val="13"/>
        <w:ind w:firstLine="480"/>
        <w:jc w:val="both"/>
        <w:rPr>
          <w:rFonts w:hint="default"/>
        </w:rPr>
      </w:pPr>
      <w:r>
        <w:t>2、招标文件要求投标人提供“具备履行合同所必需的设备和专业技术能力专项证明材料”的，投标人可不提供本声明函。</w:t>
      </w:r>
    </w:p>
    <w:p>
      <w:pPr>
        <w:pStyle w:val="13"/>
        <w:ind w:firstLine="480"/>
        <w:jc w:val="both"/>
        <w:rPr>
          <w:rFonts w:hint="default"/>
        </w:rPr>
      </w:pPr>
      <w:r>
        <w:t>3、请投标人根据实际情况如实声明，否则视为提供虚假材料。</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jc w:val="both"/>
        <w:rPr>
          <w:rFonts w:hint="default"/>
        </w:rPr>
      </w:pPr>
      <w:r>
        <w:t xml:space="preserve"> </w:t>
      </w:r>
    </w:p>
    <w:p>
      <w:pPr>
        <w:pStyle w:val="13"/>
        <w:jc w:val="center"/>
        <w:outlineLvl w:val="3"/>
        <w:rPr>
          <w:rFonts w:hint="default"/>
        </w:rPr>
      </w:pPr>
      <w:r>
        <w:rPr>
          <w:b/>
          <w:sz w:val="24"/>
        </w:rPr>
        <w:t>二-7参加采购活动前三年内在经营活动中没有重大违法记录书面声明</w:t>
      </w:r>
    </w:p>
    <w:p>
      <w:pPr>
        <w:pStyle w:val="13"/>
        <w:ind w:firstLine="480"/>
        <w:jc w:val="both"/>
        <w:rPr>
          <w:rFonts w:hint="default"/>
        </w:rPr>
      </w:pPr>
      <w:r>
        <w:t>致：</w:t>
      </w:r>
      <w:r>
        <w:rPr>
          <w:u w:val="single"/>
        </w:rPr>
        <w:t>（采购人或采购代理机构）</w:t>
      </w:r>
    </w:p>
    <w:p>
      <w:pPr>
        <w:pStyle w:val="13"/>
        <w:ind w:firstLine="480"/>
        <w:jc w:val="both"/>
        <w:rPr>
          <w:rFonts w:hint="default"/>
        </w:rPr>
      </w:pPr>
      <w:r>
        <w:t>参加采购活动前三年内，我方在经营活动中没有重大违法记录，即没有因违法经营受到刑事处罚或责令停产停业、吊销许可证或执照、较大数额罚款等行政处罚。否则产生不利后果由我方承担责任。</w:t>
      </w:r>
    </w:p>
    <w:p>
      <w:pPr>
        <w:pStyle w:val="13"/>
        <w:ind w:firstLine="960"/>
        <w:jc w:val="both"/>
        <w:rPr>
          <w:rFonts w:hint="default"/>
        </w:rPr>
      </w:pPr>
      <w:r>
        <w:t>特此声明。</w:t>
      </w:r>
    </w:p>
    <w:p>
      <w:pPr>
        <w:pStyle w:val="13"/>
        <w:ind w:firstLine="480"/>
        <w:jc w:val="both"/>
        <w:rPr>
          <w:rFonts w:hint="default"/>
        </w:rPr>
      </w:pPr>
      <w:r>
        <w:t>※注意：</w:t>
      </w:r>
    </w:p>
    <w:p>
      <w:pPr>
        <w:pStyle w:val="13"/>
        <w:ind w:firstLine="480"/>
        <w:jc w:val="both"/>
        <w:rPr>
          <w:rFonts w:hint="default"/>
        </w:rPr>
      </w:pPr>
      <w: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pPr>
        <w:pStyle w:val="13"/>
        <w:ind w:firstLine="480"/>
        <w:jc w:val="both"/>
        <w:rPr>
          <w:rFonts w:hint="default"/>
        </w:rPr>
      </w:pPr>
      <w:r>
        <w:t>请投标人根据实际情况如实声明，否则视为提供虚假材料。</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jc w:val="both"/>
        <w:rPr>
          <w:rFonts w:hint="default"/>
        </w:rPr>
      </w:pPr>
      <w:r>
        <w:t xml:space="preserve"> </w:t>
      </w:r>
    </w:p>
    <w:p>
      <w:pPr>
        <w:pStyle w:val="13"/>
        <w:jc w:val="center"/>
        <w:outlineLvl w:val="3"/>
        <w:rPr>
          <w:rFonts w:hint="default"/>
        </w:rPr>
      </w:pPr>
      <w:r>
        <w:rPr>
          <w:b/>
          <w:sz w:val="24"/>
        </w:rPr>
        <w:t>二-8信用记录查询提示</w:t>
      </w:r>
    </w:p>
    <w:p>
      <w:pPr>
        <w:pStyle w:val="13"/>
        <w:ind w:firstLine="480"/>
        <w:jc w:val="both"/>
        <w:rPr>
          <w:rFonts w:hint="default"/>
        </w:rPr>
      </w:pPr>
      <w:r>
        <w:t>1、由资格审查小组通过网站查询并打印投标人的信用记录。</w:t>
      </w:r>
    </w:p>
    <w:p>
      <w:pPr>
        <w:pStyle w:val="13"/>
        <w:ind w:firstLine="480"/>
        <w:jc w:val="both"/>
        <w:rPr>
          <w:rFonts w:hint="default"/>
        </w:rPr>
      </w:pPr>
      <w: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pPr>
        <w:pStyle w:val="13"/>
        <w:ind w:firstLine="480"/>
        <w:jc w:val="both"/>
        <w:rPr>
          <w:rFonts w:hint="default"/>
        </w:rPr>
      </w:pPr>
      <w:r>
        <w:t>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pPr>
        <w:pStyle w:val="13"/>
        <w:jc w:val="both"/>
        <w:rPr>
          <w:rFonts w:hint="default"/>
        </w:rPr>
      </w:pPr>
      <w:r>
        <w:t xml:space="preserve"> </w:t>
      </w:r>
    </w:p>
    <w:p>
      <w:pPr>
        <w:pStyle w:val="13"/>
        <w:jc w:val="center"/>
        <w:outlineLvl w:val="3"/>
        <w:rPr>
          <w:rFonts w:hint="default"/>
        </w:rPr>
      </w:pPr>
      <w:r>
        <w:rPr>
          <w:b/>
          <w:sz w:val="24"/>
        </w:rPr>
        <w:t>二-9中小企业声明函</w:t>
      </w:r>
    </w:p>
    <w:p>
      <w:pPr>
        <w:pStyle w:val="13"/>
        <w:jc w:val="center"/>
        <w:outlineLvl w:val="3"/>
        <w:rPr>
          <w:rFonts w:hint="default"/>
        </w:rPr>
      </w:pPr>
      <w:r>
        <w:rPr>
          <w:b/>
          <w:sz w:val="24"/>
        </w:rPr>
        <w:t>（以资格条件落实中小企业扶持政策时适用，若有）</w:t>
      </w:r>
    </w:p>
    <w:p>
      <w:pPr>
        <w:pStyle w:val="13"/>
        <w:jc w:val="center"/>
        <w:outlineLvl w:val="3"/>
        <w:rPr>
          <w:rFonts w:hint="default"/>
        </w:rPr>
      </w:pPr>
      <w:r>
        <w:rPr>
          <w:b/>
          <w:sz w:val="24"/>
        </w:rPr>
        <w:t>中小企业声明函（货物）</w:t>
      </w:r>
    </w:p>
    <w:p>
      <w:pPr>
        <w:pStyle w:val="13"/>
        <w:ind w:firstLine="480"/>
        <w:jc w:val="both"/>
        <w:rPr>
          <w:rFonts w:hint="default"/>
        </w:rPr>
      </w:pPr>
      <w:r>
        <w:t>本公司（联合体）郑重声明，根据《政府采购促进中小企业发展管理办法》（财库﹝2020﹞46 号）的规定，本公司（联合体）参加</w:t>
      </w:r>
      <w:r>
        <w:rPr>
          <w:u w:val="single"/>
        </w:rPr>
        <w:t>（单位名称）</w:t>
      </w:r>
      <w:r>
        <w:t>的</w:t>
      </w:r>
      <w:r>
        <w:rPr>
          <w:u w:val="single"/>
        </w:rPr>
        <w:t>（项目名称）</w:t>
      </w:r>
      <w:r>
        <w:t>采购活动，提供的货物全部由符合政策要求的中小企业制造。相关企业（含联合体中的中小企业、签订分包意向协议的中小企业）的具体情况如下：</w:t>
      </w:r>
    </w:p>
    <w:p>
      <w:pPr>
        <w:pStyle w:val="13"/>
        <w:ind w:firstLine="480"/>
        <w:jc w:val="both"/>
        <w:rPr>
          <w:rFonts w:hint="default"/>
        </w:rPr>
      </w:pPr>
      <w:r>
        <w:t>1.</w:t>
      </w:r>
      <w:r>
        <w:rPr>
          <w:u w:val="single"/>
        </w:rPr>
        <w:t>（标的名称）</w:t>
      </w:r>
      <w:r>
        <w:t>，属于</w:t>
      </w:r>
      <w:r>
        <w:rPr>
          <w:u w:val="single"/>
        </w:rPr>
        <w:t>（采购文件中明确的所属行业）</w:t>
      </w:r>
      <w:r>
        <w:t>行业；制造商为</w:t>
      </w:r>
      <w:r>
        <w:rPr>
          <w:u w:val="single"/>
        </w:rPr>
        <w:t>（企业名称）</w:t>
      </w:r>
      <w:r>
        <w:t>，从业人员</w:t>
      </w:r>
      <w:r>
        <w:rPr>
          <w:u w:val="single"/>
        </w:rPr>
        <w:t>　　　　　</w:t>
      </w:r>
      <w:r>
        <w:t>人，营业收入为</w:t>
      </w:r>
      <w:r>
        <w:rPr>
          <w:u w:val="single"/>
        </w:rPr>
        <w:t>　　　　　</w:t>
      </w:r>
      <w:r>
        <w:t>万元，资产总额为</w:t>
      </w:r>
      <w:r>
        <w:rPr>
          <w:u w:val="single"/>
        </w:rPr>
        <w:t>　　　　　</w:t>
      </w:r>
      <w:r>
        <w:t>万元</w:t>
      </w:r>
      <w:r>
        <w:rPr>
          <w:rFonts w:ascii="宋体" w:hAnsi="宋体" w:eastAsia="宋体" w:cs="宋体"/>
          <w:sz w:val="21"/>
        </w:rPr>
        <w:t>1</w:t>
      </w:r>
      <w:r>
        <w:t>，属于</w:t>
      </w:r>
      <w:r>
        <w:rPr>
          <w:u w:val="single"/>
        </w:rPr>
        <w:t>（中型企业、小型企业、微型企业）</w:t>
      </w:r>
      <w:r>
        <w:t>；</w:t>
      </w:r>
    </w:p>
    <w:p>
      <w:pPr>
        <w:pStyle w:val="13"/>
        <w:ind w:firstLine="480"/>
        <w:jc w:val="both"/>
        <w:rPr>
          <w:rFonts w:hint="default"/>
        </w:rPr>
      </w:pPr>
      <w:r>
        <w:t>2.</w:t>
      </w:r>
      <w:r>
        <w:rPr>
          <w:u w:val="single"/>
        </w:rPr>
        <w:t>（标的名称）</w:t>
      </w:r>
      <w:r>
        <w:t>，属于</w:t>
      </w:r>
      <w:r>
        <w:rPr>
          <w:u w:val="single"/>
        </w:rPr>
        <w:t>（采购文件中明确的所属行业）</w:t>
      </w:r>
      <w:r>
        <w:t>行业；制造商为</w:t>
      </w:r>
      <w:r>
        <w:rPr>
          <w:u w:val="single"/>
        </w:rPr>
        <w:t>（企业名称）</w:t>
      </w:r>
      <w:r>
        <w:t>，从业人员</w:t>
      </w:r>
      <w:r>
        <w:rPr>
          <w:u w:val="single"/>
        </w:rPr>
        <w:t>　　　　　</w:t>
      </w:r>
      <w:r>
        <w:t>人，营业收入为</w:t>
      </w:r>
      <w:r>
        <w:rPr>
          <w:u w:val="single"/>
        </w:rPr>
        <w:t>　　　　　</w:t>
      </w:r>
      <w:r>
        <w:t>万元，资产总额为</w:t>
      </w:r>
      <w:r>
        <w:rPr>
          <w:u w:val="single"/>
        </w:rPr>
        <w:t>　　　　　</w:t>
      </w:r>
      <w:r>
        <w:t>万元，属于</w:t>
      </w:r>
      <w:r>
        <w:rPr>
          <w:u w:val="single"/>
        </w:rPr>
        <w:t>（中型企业、小型企业、微型企业）</w:t>
      </w:r>
      <w:r>
        <w:t>；</w:t>
      </w:r>
    </w:p>
    <w:p>
      <w:pPr>
        <w:pStyle w:val="13"/>
        <w:ind w:firstLine="480"/>
        <w:jc w:val="both"/>
        <w:rPr>
          <w:rFonts w:hint="default"/>
        </w:rPr>
      </w:pPr>
      <w:r>
        <w:t>……</w:t>
      </w:r>
    </w:p>
    <w:p>
      <w:pPr>
        <w:pStyle w:val="13"/>
        <w:ind w:firstLine="480"/>
        <w:jc w:val="both"/>
        <w:rPr>
          <w:rFonts w:hint="default"/>
        </w:rPr>
      </w:pPr>
      <w:r>
        <w:t>以上企业，不属于大企业的分支机构，不存在控股股东为大企业的情形，也不存在与大企业的负责人为同一人的情形。</w:t>
      </w:r>
    </w:p>
    <w:p>
      <w:pPr>
        <w:pStyle w:val="13"/>
        <w:ind w:firstLine="480"/>
        <w:jc w:val="both"/>
        <w:rPr>
          <w:rFonts w:hint="default"/>
        </w:rPr>
      </w:pPr>
      <w:r>
        <w:t>本企业对上述声明内容的真实性负责。如有虚假，将依法承担相应责任。</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ind w:firstLine="480"/>
        <w:jc w:val="both"/>
        <w:rPr>
          <w:rFonts w:hint="default"/>
        </w:rPr>
      </w:pPr>
      <w:r>
        <w:t>※注意：</w:t>
      </w:r>
    </w:p>
    <w:p>
      <w:pPr>
        <w:pStyle w:val="13"/>
        <w:ind w:firstLine="480"/>
        <w:jc w:val="both"/>
        <w:rPr>
          <w:rFonts w:hint="default"/>
        </w:rPr>
      </w:pPr>
      <w:r>
        <w:t>1、从业人员、营业收入、资产总额填报上一年度数据，无上一年度数据的新成立企业可不填报。</w:t>
      </w:r>
    </w:p>
    <w:p>
      <w:pPr>
        <w:pStyle w:val="13"/>
        <w:ind w:firstLine="480"/>
        <w:jc w:val="both"/>
        <w:rPr>
          <w:rFonts w:hint="default"/>
        </w:rPr>
      </w:pPr>
      <w: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13"/>
        <w:ind w:firstLine="480"/>
        <w:jc w:val="both"/>
        <w:rPr>
          <w:rFonts w:hint="default"/>
        </w:rPr>
      </w:pPr>
      <w: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13"/>
        <w:jc w:val="both"/>
        <w:rPr>
          <w:rFonts w:hint="default"/>
        </w:rPr>
      </w:pPr>
      <w:r>
        <w:t xml:space="preserve"> </w:t>
      </w:r>
    </w:p>
    <w:p>
      <w:pPr>
        <w:pStyle w:val="13"/>
        <w:jc w:val="center"/>
        <w:outlineLvl w:val="3"/>
        <w:rPr>
          <w:rFonts w:hint="default"/>
        </w:rPr>
      </w:pPr>
      <w:r>
        <w:rPr>
          <w:b/>
          <w:sz w:val="24"/>
        </w:rPr>
        <w:t>中小企业声明函（工程、服务）</w:t>
      </w:r>
    </w:p>
    <w:p>
      <w:pPr>
        <w:pStyle w:val="13"/>
        <w:ind w:firstLine="480"/>
        <w:jc w:val="both"/>
        <w:rPr>
          <w:rFonts w:hint="default"/>
        </w:rPr>
      </w:pPr>
      <w:r>
        <w:t>本公司（联合体）郑重声明，根据《政府采购促进中小企业发展管理办法》（财库﹝2020﹞46 号）的规定，本公司（联合体）参加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pPr>
        <w:pStyle w:val="13"/>
        <w:ind w:firstLine="480"/>
        <w:jc w:val="both"/>
        <w:rPr>
          <w:rFonts w:hint="default"/>
        </w:rPr>
      </w:pPr>
      <w:r>
        <w:t>1.</w:t>
      </w:r>
      <w:r>
        <w:rPr>
          <w:u w:val="single"/>
        </w:rPr>
        <w:t>（标的名称）</w:t>
      </w:r>
      <w:r>
        <w:t>，属于</w:t>
      </w:r>
      <w:r>
        <w:rPr>
          <w:u w:val="single"/>
        </w:rPr>
        <w:t>（采购文件中明确的所属行业）</w:t>
      </w:r>
      <w:r>
        <w:t>；承建（承接）企业为</w:t>
      </w:r>
      <w:r>
        <w:rPr>
          <w:u w:val="single"/>
        </w:rPr>
        <w:t>（企业名称）</w:t>
      </w:r>
      <w:r>
        <w:t>，从业人员</w:t>
      </w:r>
      <w:r>
        <w:rPr>
          <w:u w:val="single"/>
        </w:rPr>
        <w:t>　　　　　</w:t>
      </w:r>
      <w:r>
        <w:t>人，营业收入为</w:t>
      </w:r>
      <w:r>
        <w:rPr>
          <w:u w:val="single"/>
        </w:rPr>
        <w:t>　　　　　</w:t>
      </w:r>
      <w:r>
        <w:t>万元，资产总额为</w:t>
      </w:r>
      <w:r>
        <w:rPr>
          <w:u w:val="single"/>
        </w:rPr>
        <w:t>　　　　　</w:t>
      </w:r>
      <w:r>
        <w:t>万元</w:t>
      </w:r>
      <w:r>
        <w:rPr>
          <w:rFonts w:ascii="宋体" w:hAnsi="宋体" w:eastAsia="宋体" w:cs="宋体"/>
          <w:sz w:val="21"/>
        </w:rPr>
        <w:t>1</w:t>
      </w:r>
      <w:r>
        <w:t>，属于</w:t>
      </w:r>
      <w:r>
        <w:rPr>
          <w:u w:val="single"/>
        </w:rPr>
        <w:t>（中型企业、小型企业、微型企业）</w:t>
      </w:r>
      <w:r>
        <w:t>；</w:t>
      </w:r>
    </w:p>
    <w:p>
      <w:pPr>
        <w:pStyle w:val="13"/>
        <w:ind w:firstLine="480"/>
        <w:jc w:val="both"/>
        <w:rPr>
          <w:rFonts w:hint="default"/>
        </w:rPr>
      </w:pPr>
      <w:r>
        <w:t>2.</w:t>
      </w:r>
      <w:r>
        <w:rPr>
          <w:u w:val="single"/>
        </w:rPr>
        <w:t>（标的名称）</w:t>
      </w:r>
      <w:r>
        <w:t>，属于</w:t>
      </w:r>
      <w:r>
        <w:rPr>
          <w:u w:val="single"/>
        </w:rPr>
        <w:t>（采购文件中明确的所属行业）</w:t>
      </w:r>
      <w:r>
        <w:t>；承建（承接）企业为</w:t>
      </w:r>
      <w:r>
        <w:rPr>
          <w:u w:val="single"/>
        </w:rPr>
        <w:t>（企业名称）</w:t>
      </w:r>
      <w:r>
        <w:t>，从业人员</w:t>
      </w:r>
      <w:r>
        <w:rPr>
          <w:u w:val="single"/>
        </w:rPr>
        <w:t>　　　　　</w:t>
      </w:r>
      <w:r>
        <w:t>人，营业收入为</w:t>
      </w:r>
      <w:r>
        <w:rPr>
          <w:u w:val="single"/>
        </w:rPr>
        <w:t>　　　　　</w:t>
      </w:r>
      <w:r>
        <w:t>万元，资产总额为</w:t>
      </w:r>
      <w:r>
        <w:rPr>
          <w:u w:val="single"/>
        </w:rPr>
        <w:t>　　　　　</w:t>
      </w:r>
      <w:r>
        <w:t>万元，属于</w:t>
      </w:r>
      <w:r>
        <w:rPr>
          <w:u w:val="single"/>
        </w:rPr>
        <w:t>（中型企业、小型企业、微型企业）</w:t>
      </w:r>
      <w:r>
        <w:t>；</w:t>
      </w:r>
    </w:p>
    <w:p>
      <w:pPr>
        <w:pStyle w:val="13"/>
        <w:ind w:firstLine="480"/>
        <w:jc w:val="both"/>
        <w:rPr>
          <w:rFonts w:hint="default"/>
        </w:rPr>
      </w:pPr>
      <w:r>
        <w:t>……</w:t>
      </w:r>
    </w:p>
    <w:p>
      <w:pPr>
        <w:pStyle w:val="13"/>
        <w:ind w:firstLine="480"/>
        <w:jc w:val="both"/>
        <w:rPr>
          <w:rFonts w:hint="default"/>
        </w:rPr>
      </w:pPr>
      <w:r>
        <w:t>以上企业，不属于大企业的分支机构，不存在控股股东为大企业的情形，也不存在与大企业的负责人为同一人的情形。</w:t>
      </w:r>
    </w:p>
    <w:p>
      <w:pPr>
        <w:pStyle w:val="13"/>
        <w:ind w:firstLine="480"/>
        <w:jc w:val="both"/>
        <w:rPr>
          <w:rFonts w:hint="default"/>
        </w:rPr>
      </w:pPr>
      <w:r>
        <w:t>本企业对上述声明内容的真实性负责。如有虚假，将依法承担相应责任。</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ind w:firstLine="480"/>
        <w:jc w:val="both"/>
        <w:rPr>
          <w:rFonts w:hint="default"/>
        </w:rPr>
      </w:pPr>
      <w:r>
        <w:t>※注意：</w:t>
      </w:r>
    </w:p>
    <w:p>
      <w:pPr>
        <w:pStyle w:val="13"/>
        <w:ind w:firstLine="480"/>
        <w:jc w:val="both"/>
        <w:rPr>
          <w:rFonts w:hint="default"/>
        </w:rPr>
      </w:pPr>
      <w:r>
        <w:t>1、从业人员、营业收入、资产总额填报上一年度数据，无上一年度数据的新成立企业可不填报。</w:t>
      </w:r>
    </w:p>
    <w:p>
      <w:pPr>
        <w:pStyle w:val="13"/>
        <w:ind w:firstLine="480"/>
        <w:jc w:val="both"/>
        <w:rPr>
          <w:rFonts w:hint="default"/>
        </w:rPr>
      </w:pPr>
      <w: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13"/>
        <w:ind w:firstLine="480"/>
        <w:jc w:val="both"/>
        <w:rPr>
          <w:rFonts w:hint="default"/>
        </w:rPr>
      </w:pPr>
      <w: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13"/>
        <w:jc w:val="both"/>
        <w:rPr>
          <w:rFonts w:hint="default"/>
        </w:rPr>
      </w:pPr>
      <w:r>
        <w:t xml:space="preserve"> </w:t>
      </w:r>
    </w:p>
    <w:p>
      <w:pPr>
        <w:pStyle w:val="13"/>
        <w:jc w:val="center"/>
        <w:outlineLvl w:val="3"/>
        <w:rPr>
          <w:rFonts w:hint="default"/>
        </w:rPr>
      </w:pPr>
      <w:r>
        <w:rPr>
          <w:b/>
          <w:sz w:val="24"/>
        </w:rPr>
        <w:t>残疾人福利性单位声明函</w:t>
      </w:r>
    </w:p>
    <w:p>
      <w:pPr>
        <w:pStyle w:val="13"/>
        <w:jc w:val="center"/>
        <w:outlineLvl w:val="3"/>
        <w:rPr>
          <w:rFonts w:hint="default"/>
        </w:rPr>
      </w:pPr>
      <w:r>
        <w:rPr>
          <w:b/>
          <w:sz w:val="24"/>
        </w:rPr>
        <w:t>（以资格条件落实中小企业扶持政策时适用，若有）</w:t>
      </w:r>
    </w:p>
    <w:p>
      <w:pPr>
        <w:pStyle w:val="13"/>
        <w:ind w:firstLine="480"/>
        <w:jc w:val="both"/>
        <w:rPr>
          <w:rFonts w:hint="default"/>
        </w:rPr>
      </w:pPr>
      <w: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13"/>
        <w:ind w:firstLine="480"/>
        <w:jc w:val="both"/>
        <w:rPr>
          <w:rFonts w:hint="default"/>
        </w:rPr>
      </w:pPr>
      <w: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13"/>
        <w:ind w:firstLine="480"/>
        <w:jc w:val="both"/>
        <w:rPr>
          <w:rFonts w:hint="default"/>
        </w:rPr>
      </w:pPr>
      <w:r>
        <w:t>（ ）由本投标人承建的（填写“所投采购包、品目号”）工程</w:t>
      </w:r>
    </w:p>
    <w:p>
      <w:pPr>
        <w:pStyle w:val="13"/>
        <w:ind w:firstLine="480"/>
        <w:jc w:val="both"/>
        <w:rPr>
          <w:rFonts w:hint="default"/>
        </w:rPr>
      </w:pPr>
      <w:r>
        <w:t>（ ）由本投标人承接的（填写“所投采购包、品目号”）服务；</w:t>
      </w:r>
    </w:p>
    <w:p>
      <w:pPr>
        <w:pStyle w:val="13"/>
        <w:ind w:firstLine="480"/>
        <w:jc w:val="both"/>
        <w:rPr>
          <w:rFonts w:hint="default"/>
        </w:rPr>
      </w:pPr>
      <w:r>
        <w:t>本投标人对上述声明的真实性负责。如有虚假，将依法承担相应责任。</w:t>
      </w:r>
    </w:p>
    <w:p>
      <w:pPr>
        <w:pStyle w:val="13"/>
        <w:ind w:firstLine="480"/>
        <w:jc w:val="both"/>
        <w:rPr>
          <w:rFonts w:hint="default"/>
        </w:rPr>
      </w:pPr>
      <w:r>
        <w:t>备注：</w:t>
      </w:r>
    </w:p>
    <w:p>
      <w:pPr>
        <w:pStyle w:val="13"/>
        <w:ind w:firstLine="480"/>
        <w:jc w:val="both"/>
        <w:rPr>
          <w:rFonts w:hint="default"/>
        </w:rPr>
      </w:pPr>
      <w:r>
        <w:t>1、请投标人按照实际情况编制填写本声明函，并在相应的（）中打“√”。</w:t>
      </w:r>
    </w:p>
    <w:p>
      <w:pPr>
        <w:pStyle w:val="13"/>
        <w:ind w:firstLine="480"/>
        <w:jc w:val="both"/>
        <w:rPr>
          <w:rFonts w:hint="default"/>
        </w:rPr>
      </w:pPr>
      <w:r>
        <w:t>2、若《残疾人福利性单位声明函》内容不真实，视为提供虚假材料。</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ind w:firstLine="480"/>
        <w:jc w:val="both"/>
        <w:rPr>
          <w:rFonts w:hint="default"/>
        </w:rPr>
      </w:pPr>
      <w:r>
        <w:t>附：</w:t>
      </w:r>
    </w:p>
    <w:p>
      <w:pPr>
        <w:pStyle w:val="13"/>
        <w:jc w:val="center"/>
        <w:outlineLvl w:val="3"/>
        <w:rPr>
          <w:rFonts w:hint="default"/>
        </w:rPr>
      </w:pPr>
      <w:r>
        <w:rPr>
          <w:b/>
          <w:sz w:val="24"/>
        </w:rPr>
        <w:t>监狱企业证明材料</w:t>
      </w:r>
    </w:p>
    <w:p>
      <w:pPr>
        <w:pStyle w:val="13"/>
        <w:ind w:firstLine="480"/>
        <w:jc w:val="both"/>
        <w:rPr>
          <w:rFonts w:hint="default"/>
        </w:rPr>
      </w:pPr>
      <w:r>
        <w:t>投标人为监狱企业，提供本单位制造的货物（承接的服务），并在电子投标文件中提供省级以上监狱管理局、戒毒管理局（含新疆生产建设兵团）出具的属于监狱企业的证明文件。</w:t>
      </w:r>
    </w:p>
    <w:p>
      <w:pPr>
        <w:pStyle w:val="13"/>
        <w:jc w:val="both"/>
        <w:rPr>
          <w:rFonts w:hint="default"/>
        </w:rPr>
      </w:pPr>
      <w:r>
        <w:t xml:space="preserve"> </w:t>
      </w:r>
    </w:p>
    <w:p>
      <w:pPr>
        <w:pStyle w:val="13"/>
        <w:jc w:val="center"/>
        <w:outlineLvl w:val="3"/>
        <w:rPr>
          <w:rFonts w:hint="default"/>
        </w:rPr>
      </w:pPr>
      <w:r>
        <w:rPr>
          <w:b/>
          <w:sz w:val="24"/>
        </w:rPr>
        <w:t>二-10联合体协议（若有）</w:t>
      </w:r>
    </w:p>
    <w:p>
      <w:pPr>
        <w:pStyle w:val="13"/>
        <w:ind w:firstLine="480"/>
        <w:jc w:val="both"/>
        <w:rPr>
          <w:rFonts w:hint="default"/>
        </w:rPr>
      </w:pPr>
      <w:r>
        <w:t>致：</w:t>
      </w:r>
      <w:r>
        <w:rPr>
          <w:u w:val="single"/>
        </w:rPr>
        <w:t>（采购人或采购代理机构）</w:t>
      </w:r>
    </w:p>
    <w:p>
      <w:pPr>
        <w:pStyle w:val="13"/>
        <w:ind w:firstLine="480"/>
        <w:jc w:val="both"/>
        <w:rPr>
          <w:rFonts w:hint="default"/>
        </w:rPr>
      </w:pPr>
      <w:r>
        <w:t>兹有</w:t>
      </w:r>
      <w:r>
        <w:rPr>
          <w:u w:val="single"/>
        </w:rPr>
        <w:t>（填写“联合体中各方的全称”，各方的全称之间请用“、”分割）</w:t>
      </w:r>
      <w:r>
        <w:t>自愿组成联合体，共同参加</w:t>
      </w:r>
      <w:r>
        <w:rPr>
          <w:u w:val="single"/>
        </w:rPr>
        <w:t>（填写“项目名称”）</w:t>
      </w:r>
      <w:r>
        <w:t>项目（项目编号：</w:t>
      </w:r>
      <w:r>
        <w:rPr>
          <w:u w:val="single"/>
        </w:rPr>
        <w:t>　　　　　　</w:t>
      </w:r>
      <w:r>
        <w:t>）的投标。现就联合体参加本项目投标的有关事宜达成下列协议：</w:t>
      </w:r>
    </w:p>
    <w:p>
      <w:pPr>
        <w:pStyle w:val="13"/>
        <w:ind w:firstLine="480"/>
        <w:jc w:val="both"/>
        <w:rPr>
          <w:rFonts w:hint="default"/>
        </w:rPr>
      </w:pPr>
      <w:r>
        <w:t>一、联合体各方应承担的工作和义务具体如下：</w:t>
      </w:r>
    </w:p>
    <w:p>
      <w:pPr>
        <w:pStyle w:val="13"/>
        <w:ind w:firstLine="480"/>
        <w:jc w:val="both"/>
        <w:rPr>
          <w:rFonts w:hint="default"/>
        </w:rPr>
      </w:pPr>
      <w:r>
        <w:t>1、牵头方（全称）：</w:t>
      </w:r>
      <w:r>
        <w:rPr>
          <w:u w:val="single"/>
        </w:rPr>
        <w:t>（填写“工作及义务的具体内容”）</w:t>
      </w:r>
      <w:r>
        <w:t>；</w:t>
      </w:r>
    </w:p>
    <w:p>
      <w:pPr>
        <w:pStyle w:val="13"/>
        <w:ind w:firstLine="480"/>
        <w:jc w:val="both"/>
        <w:rPr>
          <w:rFonts w:hint="default"/>
        </w:rPr>
      </w:pPr>
      <w:r>
        <w:t>2、成员方：</w:t>
      </w:r>
    </w:p>
    <w:p>
      <w:pPr>
        <w:pStyle w:val="13"/>
        <w:ind w:firstLine="480"/>
        <w:jc w:val="both"/>
        <w:rPr>
          <w:rFonts w:hint="default"/>
        </w:rPr>
      </w:pPr>
      <w:r>
        <w:t>2.1（成员一的全称）：</w:t>
      </w:r>
      <w:r>
        <w:rPr>
          <w:u w:val="single"/>
        </w:rPr>
        <w:t>（填写“工作及义务的具体内容”）</w:t>
      </w:r>
      <w:r>
        <w:t>；</w:t>
      </w:r>
    </w:p>
    <w:p>
      <w:pPr>
        <w:pStyle w:val="13"/>
        <w:ind w:firstLine="480"/>
        <w:jc w:val="both"/>
        <w:rPr>
          <w:rFonts w:hint="default"/>
        </w:rPr>
      </w:pPr>
      <w:r>
        <w:t>……</w:t>
      </w:r>
    </w:p>
    <w:p>
      <w:pPr>
        <w:pStyle w:val="13"/>
        <w:ind w:firstLine="480"/>
        <w:jc w:val="both"/>
        <w:rPr>
          <w:rFonts w:hint="default"/>
        </w:rPr>
      </w:pPr>
      <w:r>
        <w:t>二、联合体各方的合同金额占比，具体如下：</w:t>
      </w:r>
    </w:p>
    <w:p>
      <w:pPr>
        <w:pStyle w:val="13"/>
        <w:ind w:firstLine="480"/>
        <w:jc w:val="both"/>
        <w:rPr>
          <w:rFonts w:hint="default"/>
        </w:rPr>
      </w:pPr>
      <w:r>
        <w:t>1.牵头方（</w:t>
      </w:r>
      <w:r>
        <w:rPr>
          <w:u w:val="single"/>
        </w:rPr>
        <w:t>全称</w:t>
      </w:r>
      <w:r>
        <w:t>）的合同金额占合同总额的</w:t>
      </w:r>
      <w:r>
        <w:rPr>
          <w:u w:val="single"/>
        </w:rPr>
        <w:t>　　</w:t>
      </w:r>
      <w:r>
        <w:t>%；</w:t>
      </w:r>
    </w:p>
    <w:p>
      <w:pPr>
        <w:pStyle w:val="13"/>
        <w:ind w:firstLine="480"/>
        <w:jc w:val="both"/>
        <w:rPr>
          <w:rFonts w:hint="default"/>
        </w:rPr>
      </w:pPr>
      <w:r>
        <w:t>2.成员方：</w:t>
      </w:r>
    </w:p>
    <w:p>
      <w:pPr>
        <w:pStyle w:val="13"/>
        <w:ind w:firstLine="480"/>
        <w:jc w:val="both"/>
        <w:rPr>
          <w:rFonts w:hint="default"/>
        </w:rPr>
      </w:pPr>
      <w:r>
        <w:t>2.1（</w:t>
      </w:r>
      <w:r>
        <w:rPr>
          <w:u w:val="single"/>
        </w:rPr>
        <w:t>成员1的全称</w:t>
      </w:r>
      <w:r>
        <w:t>）的合同金额占合同总额的</w:t>
      </w:r>
      <w:r>
        <w:rPr>
          <w:u w:val="single"/>
        </w:rPr>
        <w:t>　　</w:t>
      </w:r>
      <w:r>
        <w:t>%；</w:t>
      </w:r>
    </w:p>
    <w:p>
      <w:pPr>
        <w:pStyle w:val="13"/>
        <w:ind w:firstLine="480"/>
        <w:jc w:val="both"/>
        <w:rPr>
          <w:rFonts w:hint="default"/>
        </w:rPr>
      </w:pPr>
      <w:r>
        <w:t>……</w:t>
      </w:r>
    </w:p>
    <w:p>
      <w:pPr>
        <w:pStyle w:val="13"/>
        <w:ind w:firstLine="480"/>
        <w:jc w:val="both"/>
        <w:rPr>
          <w:rFonts w:hint="default"/>
        </w:rPr>
      </w:pPr>
      <w:r>
        <w:t>三、联合体各方约定：</w:t>
      </w:r>
    </w:p>
    <w:p>
      <w:pPr>
        <w:pStyle w:val="13"/>
        <w:ind w:firstLine="480"/>
        <w:jc w:val="both"/>
        <w:rPr>
          <w:rFonts w:hint="default"/>
        </w:rPr>
      </w:pPr>
      <w:r>
        <w:t>1、由</w:t>
      </w:r>
      <w:r>
        <w:rPr>
          <w:u w:val="single"/>
        </w:rPr>
        <w:t>（填写“牵头方的全称”）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pPr>
        <w:pStyle w:val="13"/>
        <w:ind w:firstLine="480"/>
        <w:jc w:val="both"/>
        <w:rPr>
          <w:rFonts w:hint="default"/>
        </w:rPr>
      </w:pPr>
      <w:r>
        <w:t>2、联合体各方约定由</w:t>
      </w:r>
      <w:r>
        <w:rPr>
          <w:u w:val="single"/>
        </w:rPr>
        <w:t>（填写“牵头方的全称”）代表联合体办理投标保证金事宜。</w:t>
      </w:r>
    </w:p>
    <w:p>
      <w:pPr>
        <w:pStyle w:val="13"/>
        <w:ind w:firstLine="480"/>
        <w:jc w:val="both"/>
        <w:rPr>
          <w:rFonts w:hint="default"/>
        </w:rPr>
      </w:pPr>
      <w:r>
        <w:t>3、根据福建省财政厅文件（闽财购[2008]10号）的规定，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pPr>
        <w:pStyle w:val="13"/>
        <w:ind w:firstLine="480"/>
        <w:jc w:val="both"/>
        <w:rPr>
          <w:rFonts w:hint="default"/>
        </w:rPr>
      </w:pPr>
      <w:r>
        <w:t>四、若中标，牵头方将代表联合体与采购人就合同签订事宜进行协商；若协商一致，则联合体各方将共同与采购人签订政府采购合同，并就政府采购合同约定的事项对采购人承担连带责任。</w:t>
      </w:r>
    </w:p>
    <w:p>
      <w:pPr>
        <w:pStyle w:val="13"/>
        <w:ind w:firstLine="480"/>
        <w:jc w:val="both"/>
        <w:rPr>
          <w:rFonts w:hint="default"/>
        </w:rPr>
      </w:pPr>
      <w:r>
        <w:t>五、本协议自签署之日起生效，政府采购合同履行完毕后自动失效。</w:t>
      </w:r>
    </w:p>
    <w:p>
      <w:pPr>
        <w:pStyle w:val="13"/>
        <w:ind w:firstLine="480"/>
        <w:jc w:val="both"/>
        <w:rPr>
          <w:rFonts w:hint="default"/>
        </w:rPr>
      </w:pPr>
      <w:r>
        <w:t>六、本协议一式</w:t>
      </w:r>
      <w:r>
        <w:rPr>
          <w:u w:val="single"/>
        </w:rPr>
        <w:t>（填写具体份数）</w:t>
      </w:r>
      <w:r>
        <w:t>份，联合体各方各执一份，电子投标文件中提交一份。</w:t>
      </w:r>
    </w:p>
    <w:p>
      <w:pPr>
        <w:pStyle w:val="13"/>
        <w:ind w:firstLine="480"/>
        <w:jc w:val="both"/>
        <w:rPr>
          <w:rFonts w:hint="default"/>
        </w:rPr>
      </w:pPr>
      <w:r>
        <w:t>（以下无正文）</w:t>
      </w:r>
    </w:p>
    <w:p>
      <w:pPr>
        <w:pStyle w:val="13"/>
        <w:ind w:firstLine="480"/>
        <w:jc w:val="both"/>
        <w:rPr>
          <w:rFonts w:hint="default"/>
        </w:rPr>
      </w:pPr>
      <w:r>
        <w:t>牵头方：</w:t>
      </w:r>
      <w:r>
        <w:rPr>
          <w:u w:val="single"/>
        </w:rPr>
        <w:t>（全称并加盖单位公章）</w:t>
      </w:r>
    </w:p>
    <w:p>
      <w:pPr>
        <w:pStyle w:val="13"/>
        <w:ind w:firstLine="480"/>
        <w:jc w:val="both"/>
        <w:rPr>
          <w:rFonts w:hint="default"/>
        </w:rPr>
      </w:pPr>
      <w:r>
        <w:t>法定代表人或其委托代理人：</w:t>
      </w:r>
      <w:r>
        <w:rPr>
          <w:u w:val="single"/>
        </w:rPr>
        <w:t>（签字或盖章）</w:t>
      </w:r>
    </w:p>
    <w:p>
      <w:pPr>
        <w:pStyle w:val="13"/>
        <w:ind w:firstLine="480"/>
        <w:jc w:val="both"/>
        <w:rPr>
          <w:rFonts w:hint="default"/>
        </w:rPr>
      </w:pPr>
      <w:r>
        <w:t>成员一：</w:t>
      </w:r>
      <w:r>
        <w:rPr>
          <w:u w:val="single"/>
        </w:rPr>
        <w:t>（全称并加盖成员一的单位公章）</w:t>
      </w:r>
    </w:p>
    <w:p>
      <w:pPr>
        <w:pStyle w:val="13"/>
        <w:ind w:firstLine="480"/>
        <w:jc w:val="both"/>
        <w:rPr>
          <w:rFonts w:hint="default"/>
        </w:rPr>
      </w:pPr>
      <w:r>
        <w:t>法定代表人或其委托代理人：</w:t>
      </w:r>
      <w:r>
        <w:rPr>
          <w:u w:val="single"/>
        </w:rPr>
        <w:t>（签字或盖章）</w:t>
      </w:r>
    </w:p>
    <w:p>
      <w:pPr>
        <w:pStyle w:val="13"/>
        <w:ind w:firstLine="480"/>
        <w:jc w:val="both"/>
        <w:rPr>
          <w:rFonts w:hint="default"/>
        </w:rPr>
      </w:pPr>
      <w:r>
        <w:t>……</w:t>
      </w:r>
    </w:p>
    <w:p>
      <w:pPr>
        <w:pStyle w:val="13"/>
        <w:ind w:firstLine="480"/>
        <w:jc w:val="both"/>
        <w:rPr>
          <w:rFonts w:hint="default"/>
        </w:rPr>
      </w:pPr>
      <w:r>
        <w:t>成员**：</w:t>
      </w:r>
      <w:r>
        <w:rPr>
          <w:u w:val="single"/>
        </w:rPr>
        <w:t>（全称并加盖成员**的单位公章）</w:t>
      </w:r>
    </w:p>
    <w:p>
      <w:pPr>
        <w:pStyle w:val="13"/>
        <w:ind w:firstLine="480"/>
        <w:jc w:val="both"/>
        <w:rPr>
          <w:rFonts w:hint="default"/>
        </w:rPr>
      </w:pPr>
      <w:r>
        <w:t>法定代表人或其委托代理人：</w:t>
      </w:r>
      <w:r>
        <w:rPr>
          <w:u w:val="single"/>
        </w:rPr>
        <w:t>（签字或盖章）</w:t>
      </w:r>
    </w:p>
    <w:p>
      <w:pPr>
        <w:pStyle w:val="13"/>
        <w:ind w:firstLine="480"/>
        <w:jc w:val="right"/>
        <w:rPr>
          <w:rFonts w:hint="default"/>
        </w:rPr>
      </w:pPr>
      <w:r>
        <w:t>签署日期：</w:t>
      </w:r>
      <w:r>
        <w:rPr>
          <w:u w:val="single"/>
        </w:rPr>
        <w:t>　　年　　月　　日</w:t>
      </w:r>
    </w:p>
    <w:p>
      <w:pPr>
        <w:pStyle w:val="13"/>
        <w:ind w:firstLine="480"/>
        <w:jc w:val="both"/>
        <w:rPr>
          <w:rFonts w:hint="default"/>
        </w:rPr>
      </w:pPr>
      <w:r>
        <w:t>※注意：</w:t>
      </w:r>
    </w:p>
    <w:p>
      <w:pPr>
        <w:pStyle w:val="13"/>
        <w:ind w:firstLine="480"/>
        <w:jc w:val="both"/>
        <w:rPr>
          <w:rFonts w:hint="default"/>
        </w:rPr>
      </w:pPr>
      <w:r>
        <w:t>1、招标文件接受联合体投标且投标人为联合体的，投标人应提供本协议；否则无须提供。</w:t>
      </w:r>
    </w:p>
    <w:p>
      <w:pPr>
        <w:pStyle w:val="13"/>
        <w:ind w:firstLine="480"/>
        <w:jc w:val="both"/>
        <w:rPr>
          <w:rFonts w:hint="default"/>
        </w:rPr>
      </w:pPr>
      <w:r>
        <w:t>2、本协议由委托代理人签字或盖章的，应按照本章载明的格式提供“单位授权书”。</w:t>
      </w:r>
    </w:p>
    <w:p>
      <w:pPr>
        <w:pStyle w:val="13"/>
        <w:ind w:firstLine="480"/>
        <w:jc w:val="both"/>
        <w:rPr>
          <w:rFonts w:hint="default"/>
        </w:rPr>
      </w:pPr>
      <w:r>
        <w:t>3、在以联合体形式落实中小企业预留份额项目中，投标人除了要提供《中小企业声明函》，还需提供本协议。</w:t>
      </w:r>
    </w:p>
    <w:p>
      <w:pPr>
        <w:pStyle w:val="13"/>
        <w:jc w:val="both"/>
        <w:rPr>
          <w:rFonts w:hint="default"/>
        </w:rPr>
      </w:pPr>
      <w:r>
        <w:t xml:space="preserve"> </w:t>
      </w:r>
    </w:p>
    <w:p>
      <w:pPr>
        <w:pStyle w:val="13"/>
        <w:jc w:val="center"/>
        <w:outlineLvl w:val="3"/>
        <w:rPr>
          <w:rFonts w:hint="default"/>
        </w:rPr>
      </w:pPr>
      <w:r>
        <w:rPr>
          <w:b/>
          <w:sz w:val="24"/>
        </w:rPr>
        <w:t>二-11分包意向协议（若有）</w:t>
      </w:r>
    </w:p>
    <w:p>
      <w:pPr>
        <w:pStyle w:val="13"/>
        <w:ind w:firstLine="480"/>
        <w:jc w:val="both"/>
        <w:rPr>
          <w:rFonts w:hint="default"/>
        </w:rPr>
      </w:pPr>
      <w:r>
        <w:t>甲方（总包方）：</w:t>
      </w:r>
      <w:r>
        <w:rPr>
          <w:u w:val="single"/>
        </w:rPr>
        <w:t>　　　　　　　</w:t>
      </w:r>
      <w:r>
        <w:t>（即本项目的投标人）</w:t>
      </w:r>
    </w:p>
    <w:p>
      <w:pPr>
        <w:pStyle w:val="13"/>
        <w:ind w:firstLine="480"/>
        <w:jc w:val="both"/>
        <w:rPr>
          <w:rFonts w:hint="default"/>
        </w:rPr>
      </w:pPr>
      <w:r>
        <w:t>乙方（分包方）：</w:t>
      </w:r>
      <w:r>
        <w:rPr>
          <w:u w:val="single"/>
        </w:rPr>
        <w:t>　　　　　　　</w:t>
      </w:r>
    </w:p>
    <w:p>
      <w:pPr>
        <w:pStyle w:val="13"/>
        <w:ind w:firstLine="480"/>
        <w:jc w:val="both"/>
        <w:rPr>
          <w:rFonts w:hint="default"/>
        </w:rPr>
      </w:pPr>
      <w:r>
        <w:t>兹有甲方参加</w:t>
      </w:r>
      <w:r>
        <w:rPr>
          <w:u w:val="single"/>
        </w:rPr>
        <w:t>（填写“项目名称”）</w:t>
      </w:r>
      <w:r>
        <w:t>项目（项目编号：</w:t>
      </w:r>
      <w:r>
        <w:rPr>
          <w:u w:val="single"/>
        </w:rPr>
        <w:t>　　　　　　　</w:t>
      </w:r>
      <w:r>
        <w:t>）的政府采购活动。甲方期望将采购项目的部分采购标的分包给乙方完成，而乙方保证能够向甲方提供本协议项下的采购标的，甲、乙双方就合同分包的有关事宜达成下列协议：</w:t>
      </w:r>
    </w:p>
    <w:p>
      <w:pPr>
        <w:pStyle w:val="13"/>
        <w:ind w:firstLine="480"/>
        <w:jc w:val="both"/>
        <w:rPr>
          <w:rFonts w:hint="default"/>
        </w:rPr>
      </w:pPr>
      <w:r>
        <w:t>一、分包标的</w:t>
      </w:r>
    </w:p>
    <w:p>
      <w:pPr>
        <w:pStyle w:val="13"/>
        <w:ind w:firstLine="480"/>
        <w:jc w:val="both"/>
        <w:rPr>
          <w:rFonts w:hint="default"/>
        </w:rPr>
      </w:pPr>
      <w:r>
        <w:rPr>
          <w:u w:val="single"/>
        </w:rPr>
        <w:t>（根据双方的意向填写，可以是表格或文字描述）。</w:t>
      </w:r>
    </w:p>
    <w:p>
      <w:pPr>
        <w:pStyle w:val="13"/>
        <w:ind w:firstLine="480"/>
        <w:jc w:val="both"/>
        <w:rPr>
          <w:rFonts w:hint="default"/>
        </w:rPr>
      </w:pPr>
      <w:r>
        <w:t>二、分包合同金额占比</w:t>
      </w:r>
    </w:p>
    <w:p>
      <w:pPr>
        <w:pStyle w:val="13"/>
        <w:ind w:firstLine="480"/>
        <w:jc w:val="both"/>
        <w:rPr>
          <w:rFonts w:hint="default"/>
        </w:rPr>
      </w:pPr>
      <w:r>
        <w:t>分包合同价占投标总价的比例：</w:t>
      </w:r>
      <w:r>
        <w:rPr>
          <w:u w:val="single"/>
        </w:rPr>
        <w:t>　　　　　</w:t>
      </w:r>
      <w:r>
        <w:t>%</w:t>
      </w:r>
    </w:p>
    <w:p>
      <w:pPr>
        <w:pStyle w:val="13"/>
        <w:ind w:firstLine="480"/>
        <w:jc w:val="both"/>
        <w:rPr>
          <w:rFonts w:hint="default"/>
        </w:rPr>
      </w:pPr>
      <w:r>
        <w:t>三、其他条款</w:t>
      </w:r>
    </w:p>
    <w:p>
      <w:pPr>
        <w:pStyle w:val="13"/>
        <w:ind w:firstLine="480"/>
        <w:jc w:val="both"/>
        <w:rPr>
          <w:rFonts w:hint="default"/>
        </w:rPr>
      </w:pPr>
      <w: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11"/>
        <w:tblW w:w="0" w:type="auto"/>
        <w:tblInd w:w="0" w:type="dxa"/>
        <w:tblLayout w:type="autofit"/>
        <w:tblCellMar>
          <w:top w:w="0" w:type="dxa"/>
          <w:left w:w="108" w:type="dxa"/>
          <w:bottom w:w="0" w:type="dxa"/>
          <w:right w:w="108" w:type="dxa"/>
        </w:tblCellMar>
      </w:tblPr>
      <w:tblGrid>
        <w:gridCol w:w="4153"/>
        <w:gridCol w:w="4153"/>
      </w:tblGrid>
      <w:tr>
        <w:tblPrEx>
          <w:tblCellMar>
            <w:top w:w="0" w:type="dxa"/>
            <w:left w:w="108" w:type="dxa"/>
            <w:bottom w:w="0" w:type="dxa"/>
            <w:right w:w="108" w:type="dxa"/>
          </w:tblCellMar>
        </w:tblPrEx>
        <w:tc>
          <w:tcPr>
            <w:tcW w:w="4153" w:type="dxa"/>
          </w:tcPr>
          <w:p>
            <w:pPr>
              <w:pStyle w:val="13"/>
              <w:jc w:val="both"/>
              <w:rPr>
                <w:rFonts w:hint="default"/>
              </w:rPr>
            </w:pPr>
            <w:r>
              <w:t>甲方：</w:t>
            </w:r>
          </w:p>
        </w:tc>
        <w:tc>
          <w:tcPr>
            <w:tcW w:w="4153" w:type="dxa"/>
          </w:tcPr>
          <w:p>
            <w:pPr>
              <w:pStyle w:val="13"/>
              <w:jc w:val="both"/>
              <w:rPr>
                <w:rFonts w:hint="default"/>
              </w:rPr>
            </w:pPr>
            <w:r>
              <w:t>乙方：</w:t>
            </w:r>
          </w:p>
        </w:tc>
      </w:tr>
      <w:tr>
        <w:tblPrEx>
          <w:tblCellMar>
            <w:top w:w="0" w:type="dxa"/>
            <w:left w:w="108" w:type="dxa"/>
            <w:bottom w:w="0" w:type="dxa"/>
            <w:right w:w="108" w:type="dxa"/>
          </w:tblCellMar>
        </w:tblPrEx>
        <w:tc>
          <w:tcPr>
            <w:tcW w:w="4153" w:type="dxa"/>
          </w:tcPr>
          <w:p>
            <w:pPr>
              <w:pStyle w:val="13"/>
              <w:jc w:val="both"/>
              <w:rPr>
                <w:rFonts w:hint="default"/>
              </w:rPr>
            </w:pPr>
            <w:r>
              <w:t>住所：</w:t>
            </w:r>
          </w:p>
        </w:tc>
        <w:tc>
          <w:tcPr>
            <w:tcW w:w="4153" w:type="dxa"/>
          </w:tcPr>
          <w:p>
            <w:pPr>
              <w:pStyle w:val="13"/>
              <w:jc w:val="both"/>
              <w:rPr>
                <w:rFonts w:hint="default"/>
              </w:rPr>
            </w:pPr>
            <w:r>
              <w:t>住所：</w:t>
            </w:r>
          </w:p>
        </w:tc>
      </w:tr>
      <w:tr>
        <w:tblPrEx>
          <w:tblCellMar>
            <w:top w:w="0" w:type="dxa"/>
            <w:left w:w="108" w:type="dxa"/>
            <w:bottom w:w="0" w:type="dxa"/>
            <w:right w:w="108" w:type="dxa"/>
          </w:tblCellMar>
        </w:tblPrEx>
        <w:tc>
          <w:tcPr>
            <w:tcW w:w="4153" w:type="dxa"/>
          </w:tcPr>
          <w:p>
            <w:pPr>
              <w:pStyle w:val="13"/>
              <w:jc w:val="both"/>
              <w:rPr>
                <w:rFonts w:hint="default"/>
              </w:rPr>
            </w:pPr>
            <w:r>
              <w:t>单位负责人或委托代理人：</w:t>
            </w:r>
          </w:p>
        </w:tc>
        <w:tc>
          <w:tcPr>
            <w:tcW w:w="4153" w:type="dxa"/>
          </w:tcPr>
          <w:p>
            <w:pPr>
              <w:pStyle w:val="13"/>
              <w:jc w:val="both"/>
              <w:rPr>
                <w:rFonts w:hint="default"/>
              </w:rPr>
            </w:pPr>
            <w:r>
              <w:t>单位负责人或委托代理人：</w:t>
            </w:r>
          </w:p>
        </w:tc>
      </w:tr>
      <w:tr>
        <w:tblPrEx>
          <w:tblCellMar>
            <w:top w:w="0" w:type="dxa"/>
            <w:left w:w="108" w:type="dxa"/>
            <w:bottom w:w="0" w:type="dxa"/>
            <w:right w:w="108" w:type="dxa"/>
          </w:tblCellMar>
        </w:tblPrEx>
        <w:tc>
          <w:tcPr>
            <w:tcW w:w="4153" w:type="dxa"/>
          </w:tcPr>
          <w:p>
            <w:pPr>
              <w:pStyle w:val="13"/>
              <w:jc w:val="both"/>
              <w:rPr>
                <w:rFonts w:hint="default"/>
              </w:rPr>
            </w:pPr>
            <w:r>
              <w:t>联系方法：</w:t>
            </w:r>
          </w:p>
        </w:tc>
        <w:tc>
          <w:tcPr>
            <w:tcW w:w="4153" w:type="dxa"/>
          </w:tcPr>
          <w:p>
            <w:pPr>
              <w:pStyle w:val="13"/>
              <w:jc w:val="both"/>
              <w:rPr>
                <w:rFonts w:hint="default"/>
              </w:rPr>
            </w:pPr>
            <w:r>
              <w:t>联系方法：</w:t>
            </w:r>
          </w:p>
        </w:tc>
      </w:tr>
      <w:tr>
        <w:tblPrEx>
          <w:tblCellMar>
            <w:top w:w="0" w:type="dxa"/>
            <w:left w:w="108" w:type="dxa"/>
            <w:bottom w:w="0" w:type="dxa"/>
            <w:right w:w="108" w:type="dxa"/>
          </w:tblCellMar>
        </w:tblPrEx>
        <w:tc>
          <w:tcPr>
            <w:tcW w:w="4153" w:type="dxa"/>
          </w:tcPr>
          <w:p>
            <w:pPr>
              <w:pStyle w:val="13"/>
              <w:jc w:val="both"/>
              <w:rPr>
                <w:rFonts w:hint="default"/>
              </w:rPr>
            </w:pPr>
            <w:r>
              <w:t>开户银行：</w:t>
            </w:r>
          </w:p>
        </w:tc>
        <w:tc>
          <w:tcPr>
            <w:tcW w:w="4153" w:type="dxa"/>
          </w:tcPr>
          <w:p>
            <w:pPr>
              <w:pStyle w:val="13"/>
              <w:jc w:val="both"/>
              <w:rPr>
                <w:rFonts w:hint="default"/>
              </w:rPr>
            </w:pPr>
            <w:r>
              <w:t>开户银行：</w:t>
            </w:r>
          </w:p>
        </w:tc>
      </w:tr>
      <w:tr>
        <w:tblPrEx>
          <w:tblCellMar>
            <w:top w:w="0" w:type="dxa"/>
            <w:left w:w="108" w:type="dxa"/>
            <w:bottom w:w="0" w:type="dxa"/>
            <w:right w:w="108" w:type="dxa"/>
          </w:tblCellMar>
        </w:tblPrEx>
        <w:tc>
          <w:tcPr>
            <w:tcW w:w="4153" w:type="dxa"/>
          </w:tcPr>
          <w:p>
            <w:pPr>
              <w:pStyle w:val="13"/>
              <w:jc w:val="both"/>
              <w:rPr>
                <w:rFonts w:hint="default"/>
              </w:rPr>
            </w:pPr>
            <w:r>
              <w:t>账号：</w:t>
            </w:r>
          </w:p>
        </w:tc>
        <w:tc>
          <w:tcPr>
            <w:tcW w:w="4153" w:type="dxa"/>
          </w:tcPr>
          <w:p>
            <w:pPr>
              <w:pStyle w:val="13"/>
              <w:jc w:val="both"/>
              <w:rPr>
                <w:rFonts w:hint="default"/>
              </w:rPr>
            </w:pPr>
            <w:r>
              <w:t>账号：</w:t>
            </w:r>
          </w:p>
        </w:tc>
      </w:tr>
      <w:tr>
        <w:tblPrEx>
          <w:tblCellMar>
            <w:top w:w="0" w:type="dxa"/>
            <w:left w:w="108" w:type="dxa"/>
            <w:bottom w:w="0" w:type="dxa"/>
            <w:right w:w="108" w:type="dxa"/>
          </w:tblCellMar>
        </w:tblPrEx>
        <w:tc>
          <w:tcPr>
            <w:tcW w:w="8306" w:type="dxa"/>
            <w:gridSpan w:val="2"/>
          </w:tcPr>
          <w:p>
            <w:pPr>
              <w:pStyle w:val="13"/>
              <w:jc w:val="right"/>
              <w:rPr>
                <w:rFonts w:hint="default"/>
              </w:rPr>
            </w:pPr>
            <w:r>
              <w:t>签订地点：</w:t>
            </w:r>
            <w:r>
              <w:rPr>
                <w:u w:val="single"/>
              </w:rPr>
              <w:t>　　　　　　　　　　</w:t>
            </w:r>
          </w:p>
          <w:p>
            <w:pPr>
              <w:pStyle w:val="13"/>
              <w:jc w:val="right"/>
              <w:rPr>
                <w:rFonts w:hint="default"/>
              </w:rPr>
            </w:pPr>
            <w:r>
              <w:t>签约日期：</w:t>
            </w:r>
            <w:r>
              <w:rPr>
                <w:u w:val="single"/>
              </w:rPr>
              <w:t>　　年　　月　　日</w:t>
            </w:r>
          </w:p>
        </w:tc>
      </w:tr>
    </w:tbl>
    <w:p>
      <w:pPr>
        <w:pStyle w:val="13"/>
        <w:ind w:firstLine="480"/>
        <w:jc w:val="both"/>
        <w:rPr>
          <w:rFonts w:hint="default"/>
        </w:rPr>
      </w:pPr>
      <w:r>
        <w:t>※注意：</w:t>
      </w:r>
    </w:p>
    <w:p>
      <w:pPr>
        <w:pStyle w:val="13"/>
        <w:ind w:firstLine="480"/>
        <w:jc w:val="both"/>
        <w:rPr>
          <w:rFonts w:hint="default"/>
        </w:rPr>
      </w:pPr>
      <w:r>
        <w:t>1.招标文件接受合同分包且投标人拟将合同分包的，应提供本协议；否则无须提供。</w:t>
      </w:r>
    </w:p>
    <w:p>
      <w:pPr>
        <w:pStyle w:val="13"/>
        <w:ind w:firstLine="480"/>
        <w:jc w:val="both"/>
        <w:rPr>
          <w:rFonts w:hint="default"/>
        </w:rPr>
      </w:pPr>
      <w:r>
        <w:t>2.本协议由委托代理人签字或盖章的，应按照本章载明的格式提供“单位授权书”。</w:t>
      </w:r>
    </w:p>
    <w:p>
      <w:pPr>
        <w:pStyle w:val="13"/>
        <w:ind w:firstLine="480"/>
        <w:jc w:val="both"/>
        <w:rPr>
          <w:rFonts w:hint="default"/>
        </w:rPr>
      </w:pPr>
      <w:r>
        <w:t>3.在以合同分包形式落实中小企业预留份额项目中，投标人除了要提供《中小企业声明函》，还需提供本协议。</w:t>
      </w:r>
    </w:p>
    <w:p>
      <w:pPr>
        <w:pStyle w:val="13"/>
        <w:jc w:val="both"/>
        <w:rPr>
          <w:rFonts w:hint="default"/>
        </w:rPr>
      </w:pPr>
      <w:r>
        <w:t xml:space="preserve"> </w:t>
      </w:r>
    </w:p>
    <w:p>
      <w:pPr>
        <w:pStyle w:val="13"/>
        <w:jc w:val="center"/>
        <w:outlineLvl w:val="3"/>
        <w:rPr>
          <w:rFonts w:hint="default"/>
        </w:rPr>
      </w:pPr>
      <w:r>
        <w:rPr>
          <w:b/>
          <w:sz w:val="24"/>
        </w:rPr>
        <w:t>二-12其他资格证明文件（若有）</w:t>
      </w:r>
    </w:p>
    <w:p>
      <w:pPr>
        <w:pStyle w:val="13"/>
        <w:jc w:val="center"/>
        <w:outlineLvl w:val="3"/>
        <w:rPr>
          <w:rFonts w:hint="default"/>
        </w:rPr>
      </w:pPr>
      <w:r>
        <w:rPr>
          <w:b/>
          <w:sz w:val="24"/>
        </w:rPr>
        <w:t>二-12-①具备履行合同所必需设备和专业技术能力专项证明材料（若有）</w:t>
      </w:r>
    </w:p>
    <w:p>
      <w:pPr>
        <w:pStyle w:val="13"/>
        <w:ind w:firstLine="480"/>
        <w:jc w:val="both"/>
        <w:rPr>
          <w:rFonts w:hint="default"/>
        </w:rPr>
      </w:pPr>
      <w:r>
        <w:t>致：</w:t>
      </w:r>
      <w:r>
        <w:rPr>
          <w:u w:val="single"/>
        </w:rPr>
        <w:t>（采购人或采购代理机构）</w:t>
      </w:r>
    </w:p>
    <w:p>
      <w:pPr>
        <w:pStyle w:val="13"/>
        <w:ind w:firstLine="480"/>
        <w:jc w:val="both"/>
        <w:rPr>
          <w:rFonts w:hint="default"/>
        </w:rPr>
      </w:pPr>
      <w:r>
        <w:t>现附上我方具备履行合同所必需的设备和专业技术能力的专项证明材料复印件（具体附后），上述证明材料真实有效，否则我方负全部责任。</w:t>
      </w:r>
    </w:p>
    <w:p>
      <w:pPr>
        <w:pStyle w:val="13"/>
        <w:ind w:firstLine="480"/>
        <w:jc w:val="both"/>
        <w:rPr>
          <w:rFonts w:hint="default"/>
        </w:rPr>
      </w:pPr>
      <w:r>
        <w:t>※注意：</w:t>
      </w:r>
    </w:p>
    <w:p>
      <w:pPr>
        <w:pStyle w:val="13"/>
        <w:ind w:firstLine="480"/>
        <w:jc w:val="both"/>
        <w:rPr>
          <w:rFonts w:hint="default"/>
        </w:rPr>
      </w:pPr>
      <w:r>
        <w:t>1、招标文件要求投标人提供“具备履行合同所必需的设备和专业技术能力专项证明材料”的，投标人应按照招标文件规定在此项下提供相应证明材料复印件。</w:t>
      </w:r>
    </w:p>
    <w:p>
      <w:pPr>
        <w:pStyle w:val="13"/>
        <w:ind w:firstLine="480"/>
        <w:jc w:val="both"/>
        <w:rPr>
          <w:rFonts w:hint="default"/>
        </w:rPr>
      </w:pPr>
      <w:r>
        <w:t>2、投标人提供的相应证明材料复印件均应符合：内容完整、清晰、整洁，并由投标人加盖其单位公章。</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jc w:val="both"/>
        <w:rPr>
          <w:rFonts w:hint="default"/>
        </w:rPr>
      </w:pPr>
      <w:r>
        <w:t xml:space="preserve"> </w:t>
      </w:r>
    </w:p>
    <w:p>
      <w:pPr>
        <w:pStyle w:val="13"/>
        <w:jc w:val="center"/>
        <w:outlineLvl w:val="3"/>
        <w:rPr>
          <w:rFonts w:hint="default"/>
        </w:rPr>
      </w:pPr>
      <w:r>
        <w:rPr>
          <w:b/>
          <w:sz w:val="24"/>
        </w:rPr>
        <w:t>二-12-②招标文件规定的其他资格证明文件（若有）</w:t>
      </w:r>
    </w:p>
    <w:p>
      <w:pPr>
        <w:pStyle w:val="13"/>
        <w:ind w:firstLine="480"/>
        <w:jc w:val="center"/>
        <w:rPr>
          <w:rFonts w:hint="default"/>
        </w:rPr>
      </w:pPr>
      <w:r>
        <w:t>编制说明</w:t>
      </w:r>
    </w:p>
    <w:p>
      <w:pPr>
        <w:pStyle w:val="13"/>
        <w:ind w:firstLine="480"/>
        <w:jc w:val="both"/>
        <w:rPr>
          <w:rFonts w:hint="default"/>
        </w:rPr>
      </w:pPr>
      <w:r>
        <w:t>除招标文件另有规定外，招标文件要求提交的除前述资格证明文件外的其他资格证明文件（若有）加盖投标人的单位公章后应在此项下提交。</w:t>
      </w:r>
    </w:p>
    <w:p>
      <w:pPr>
        <w:pStyle w:val="13"/>
        <w:jc w:val="both"/>
        <w:rPr>
          <w:rFonts w:hint="default"/>
        </w:rPr>
      </w:pPr>
    </w:p>
    <w:p>
      <w:pPr>
        <w:pStyle w:val="13"/>
        <w:jc w:val="both"/>
        <w:rPr>
          <w:rFonts w:hint="default"/>
        </w:rPr>
      </w:pPr>
      <w:r>
        <w:t xml:space="preserve"> </w:t>
      </w:r>
    </w:p>
    <w:p>
      <w:pPr>
        <w:pStyle w:val="13"/>
        <w:jc w:val="center"/>
        <w:outlineLvl w:val="2"/>
        <w:rPr>
          <w:rFonts w:hint="default"/>
        </w:rPr>
      </w:pPr>
      <w:r>
        <w:rPr>
          <w:b/>
          <w:sz w:val="28"/>
        </w:rPr>
        <w:t>三、投标保证金</w:t>
      </w:r>
    </w:p>
    <w:p>
      <w:pPr>
        <w:pStyle w:val="13"/>
        <w:ind w:firstLine="480"/>
        <w:jc w:val="center"/>
        <w:rPr>
          <w:rFonts w:hint="default"/>
        </w:rPr>
      </w:pPr>
      <w:r>
        <w:t>编制说明</w:t>
      </w:r>
    </w:p>
    <w:p>
      <w:pPr>
        <w:pStyle w:val="13"/>
        <w:ind w:firstLine="480"/>
        <w:jc w:val="both"/>
        <w:rPr>
          <w:rFonts w:hint="default"/>
        </w:rPr>
      </w:pPr>
      <w:r>
        <w:t>1、在此项下提交的“投标保证金”材料可使用转账凭证复印件或从福建省政府采购网上公开信息系统中下载的有关原始页面的打印件。</w:t>
      </w:r>
    </w:p>
    <w:p>
      <w:pPr>
        <w:pStyle w:val="13"/>
        <w:ind w:firstLine="480"/>
        <w:jc w:val="both"/>
        <w:rPr>
          <w:rFonts w:hint="default"/>
        </w:rPr>
      </w:pPr>
      <w:r>
        <w:t>2、投标保证金是否已提交的认定按照招标文件第三章规定执行。</w:t>
      </w:r>
    </w:p>
    <w:p>
      <w:pPr>
        <w:pStyle w:val="13"/>
        <w:jc w:val="both"/>
        <w:rPr>
          <w:rFonts w:hint="default"/>
        </w:rPr>
      </w:pPr>
    </w:p>
    <w:p>
      <w:pPr>
        <w:pStyle w:val="13"/>
        <w:jc w:val="both"/>
        <w:rPr>
          <w:rFonts w:hint="default"/>
        </w:rPr>
      </w:pPr>
      <w:r>
        <w:t xml:space="preserve"> </w:t>
      </w:r>
    </w:p>
    <w:p>
      <w:pPr>
        <w:pStyle w:val="13"/>
        <w:jc w:val="center"/>
        <w:outlineLvl w:val="2"/>
        <w:rPr>
          <w:rFonts w:hint="default"/>
        </w:rPr>
      </w:pPr>
      <w:r>
        <w:rPr>
          <w:b/>
          <w:sz w:val="28"/>
        </w:rPr>
        <w:t>封面格式(报价部分)</w:t>
      </w:r>
    </w:p>
    <w:p>
      <w:pPr>
        <w:pStyle w:val="13"/>
        <w:jc w:val="center"/>
        <w:outlineLvl w:val="0"/>
        <w:rPr>
          <w:rFonts w:hint="default"/>
        </w:rPr>
      </w:pPr>
      <w:r>
        <w:rPr>
          <w:b/>
          <w:sz w:val="48"/>
        </w:rPr>
        <w:t>福建省政府采购投标文件</w:t>
      </w:r>
    </w:p>
    <w:p>
      <w:pPr>
        <w:pStyle w:val="13"/>
        <w:jc w:val="center"/>
        <w:outlineLvl w:val="0"/>
        <w:rPr>
          <w:rFonts w:hint="default"/>
        </w:rPr>
      </w:pPr>
      <w:r>
        <w:rPr>
          <w:b/>
          <w:sz w:val="48"/>
        </w:rPr>
        <w:t>（报价部分）</w:t>
      </w:r>
      <w:r>
        <w:br w:type="textWrapping"/>
      </w:r>
      <w:r>
        <w:br w:type="textWrapping"/>
      </w:r>
      <w:r>
        <w:br w:type="textWrapping"/>
      </w:r>
    </w:p>
    <w:p>
      <w:pPr>
        <w:pStyle w:val="13"/>
        <w:jc w:val="center"/>
        <w:outlineLvl w:val="1"/>
        <w:rPr>
          <w:rFonts w:hint="default"/>
        </w:rPr>
      </w:pPr>
      <w:r>
        <w:rPr>
          <w:b/>
          <w:sz w:val="36"/>
        </w:rPr>
        <w:t>（填写正本或副本）</w:t>
      </w:r>
      <w:r>
        <w:br w:type="textWrapping"/>
      </w:r>
      <w:r>
        <w:br w:type="textWrapping"/>
      </w:r>
      <w:r>
        <w:br w:type="textWrapping"/>
      </w:r>
      <w:r>
        <w:br w:type="textWrapping"/>
      </w:r>
      <w:r>
        <w:br w:type="textWrapping"/>
      </w:r>
    </w:p>
    <w:p>
      <w:pPr>
        <w:pStyle w:val="13"/>
        <w:jc w:val="center"/>
        <w:outlineLvl w:val="2"/>
        <w:rPr>
          <w:rFonts w:hint="default"/>
        </w:rPr>
      </w:pPr>
      <w:r>
        <w:rPr>
          <w:b/>
          <w:sz w:val="28"/>
        </w:rPr>
        <w:t>（项目名称：（由投标人填写）</w:t>
      </w:r>
    </w:p>
    <w:p>
      <w:pPr>
        <w:pStyle w:val="13"/>
        <w:jc w:val="center"/>
        <w:outlineLvl w:val="2"/>
        <w:rPr>
          <w:rFonts w:hint="default"/>
        </w:rPr>
      </w:pPr>
      <w:r>
        <w:rPr>
          <w:b/>
          <w:sz w:val="28"/>
        </w:rPr>
        <w:t>（备案编号：（由投标人填写）</w:t>
      </w:r>
    </w:p>
    <w:p>
      <w:pPr>
        <w:pStyle w:val="13"/>
        <w:jc w:val="center"/>
        <w:outlineLvl w:val="2"/>
        <w:rPr>
          <w:rFonts w:hint="default"/>
        </w:rPr>
      </w:pPr>
      <w:r>
        <w:rPr>
          <w:b/>
          <w:sz w:val="28"/>
        </w:rPr>
        <w:t>（项目编号：（由投标人填写）</w:t>
      </w:r>
    </w:p>
    <w:p>
      <w:pPr>
        <w:pStyle w:val="13"/>
        <w:jc w:val="center"/>
        <w:outlineLvl w:val="2"/>
        <w:rPr>
          <w:rFonts w:hint="default"/>
        </w:rPr>
      </w:pPr>
      <w:r>
        <w:rPr>
          <w:b/>
          <w:sz w:val="28"/>
        </w:rPr>
        <w:t>（所投采购包：（由投标人填写）</w:t>
      </w:r>
      <w:r>
        <w:br w:type="textWrapping"/>
      </w:r>
      <w:r>
        <w:br w:type="textWrapping"/>
      </w:r>
    </w:p>
    <w:p>
      <w:pPr>
        <w:pStyle w:val="13"/>
        <w:jc w:val="center"/>
        <w:outlineLvl w:val="2"/>
        <w:rPr>
          <w:rFonts w:hint="default"/>
        </w:rPr>
      </w:pPr>
      <w:r>
        <w:rPr>
          <w:b/>
          <w:sz w:val="28"/>
        </w:rPr>
        <w:t>投标人：（填写“全称”）</w:t>
      </w:r>
    </w:p>
    <w:p>
      <w:pPr>
        <w:pStyle w:val="13"/>
        <w:jc w:val="center"/>
        <w:outlineLvl w:val="2"/>
        <w:rPr>
          <w:rFonts w:hint="default"/>
        </w:rPr>
      </w:pPr>
      <w:r>
        <w:rPr>
          <w:b/>
          <w:sz w:val="28"/>
        </w:rPr>
        <w:t>（由投标人填写）年（由投标人填写）月</w:t>
      </w:r>
    </w:p>
    <w:p>
      <w:pPr>
        <w:pStyle w:val="13"/>
        <w:jc w:val="both"/>
        <w:rPr>
          <w:rFonts w:hint="default"/>
        </w:rPr>
      </w:pPr>
    </w:p>
    <w:p>
      <w:pPr>
        <w:pStyle w:val="13"/>
        <w:jc w:val="both"/>
        <w:rPr>
          <w:rFonts w:hint="default"/>
        </w:rPr>
      </w:pPr>
      <w:r>
        <w:t xml:space="preserve"> </w:t>
      </w:r>
    </w:p>
    <w:p>
      <w:pPr>
        <w:pStyle w:val="13"/>
        <w:jc w:val="center"/>
        <w:outlineLvl w:val="2"/>
        <w:rPr>
          <w:rFonts w:hint="default"/>
        </w:rPr>
      </w:pPr>
      <w:r>
        <w:rPr>
          <w:b/>
          <w:sz w:val="28"/>
        </w:rPr>
        <w:t>索引</w:t>
      </w:r>
    </w:p>
    <w:p>
      <w:pPr>
        <w:pStyle w:val="13"/>
        <w:ind w:firstLine="480"/>
        <w:jc w:val="both"/>
        <w:rPr>
          <w:rFonts w:hint="default"/>
        </w:rPr>
      </w:pPr>
      <w:r>
        <w:t>一、开标一览表</w:t>
      </w:r>
    </w:p>
    <w:p>
      <w:pPr>
        <w:pStyle w:val="13"/>
        <w:ind w:firstLine="480"/>
        <w:jc w:val="both"/>
        <w:rPr>
          <w:rFonts w:hint="default"/>
        </w:rPr>
      </w:pPr>
      <w:r>
        <w:t>二、投标分项报价表</w:t>
      </w:r>
    </w:p>
    <w:p>
      <w:pPr>
        <w:pStyle w:val="13"/>
        <w:ind w:firstLine="480"/>
        <w:jc w:val="both"/>
        <w:rPr>
          <w:rFonts w:hint="default"/>
        </w:rPr>
      </w:pPr>
      <w:r>
        <w:t>三、招标文件规定的价格扣除证明材料（若有）</w:t>
      </w:r>
    </w:p>
    <w:p>
      <w:pPr>
        <w:pStyle w:val="13"/>
        <w:ind w:firstLine="480"/>
        <w:jc w:val="both"/>
        <w:rPr>
          <w:rFonts w:hint="default"/>
        </w:rPr>
      </w:pPr>
      <w:r>
        <w:t>四、招标文件规定的加分证明材料（若有）</w:t>
      </w:r>
    </w:p>
    <w:p>
      <w:pPr>
        <w:pStyle w:val="13"/>
        <w:jc w:val="both"/>
        <w:rPr>
          <w:rFonts w:hint="default"/>
        </w:rPr>
      </w:pPr>
    </w:p>
    <w:p>
      <w:pPr>
        <w:pStyle w:val="13"/>
        <w:jc w:val="both"/>
        <w:rPr>
          <w:rFonts w:hint="default"/>
        </w:rPr>
      </w:pPr>
      <w:r>
        <w:t xml:space="preserve"> </w:t>
      </w:r>
    </w:p>
    <w:p>
      <w:pPr>
        <w:pStyle w:val="13"/>
        <w:jc w:val="center"/>
        <w:outlineLvl w:val="2"/>
        <w:rPr>
          <w:rFonts w:hint="default"/>
        </w:rPr>
      </w:pPr>
      <w:r>
        <w:rPr>
          <w:b/>
          <w:sz w:val="28"/>
        </w:rPr>
        <w:t>一、开标一览表</w:t>
      </w:r>
    </w:p>
    <w:p>
      <w:pPr>
        <w:pStyle w:val="13"/>
        <w:ind w:firstLine="480"/>
        <w:jc w:val="both"/>
        <w:rPr>
          <w:rFonts w:hint="default"/>
        </w:rPr>
      </w:pPr>
      <w:r>
        <w:t>项目编号：</w:t>
      </w:r>
      <w:r>
        <w:rPr>
          <w:u w:val="single"/>
        </w:rPr>
        <w:t>　　　　　　　　</w:t>
      </w:r>
    </w:p>
    <w:p>
      <w:pPr>
        <w:pStyle w:val="13"/>
        <w:ind w:firstLine="480"/>
        <w:jc w:val="right"/>
        <w:rPr>
          <w:rFonts w:hint="default"/>
        </w:rPr>
      </w:pPr>
      <w:r>
        <w:t>货币及单位：人民币元</w:t>
      </w:r>
    </w:p>
    <w:tbl>
      <w:tblPr>
        <w:tblStyle w:val="11"/>
        <w:tblW w:w="0" w:type="auto"/>
        <w:tblInd w:w="0" w:type="dxa"/>
        <w:tblLayout w:type="autofit"/>
        <w:tblCellMar>
          <w:top w:w="0" w:type="dxa"/>
          <w:left w:w="108" w:type="dxa"/>
          <w:bottom w:w="0" w:type="dxa"/>
          <w:right w:w="108" w:type="dxa"/>
        </w:tblCellMar>
      </w:tblPr>
      <w:tblGrid>
        <w:gridCol w:w="2076"/>
        <w:gridCol w:w="2076"/>
        <w:gridCol w:w="2076"/>
        <w:gridCol w:w="2076"/>
      </w:tblGrid>
      <w:tr>
        <w:tblPrEx>
          <w:tblCellMar>
            <w:top w:w="0" w:type="dxa"/>
            <w:left w:w="108" w:type="dxa"/>
            <w:bottom w:w="0" w:type="dxa"/>
            <w:right w:w="108" w:type="dxa"/>
          </w:tblCellMar>
        </w:tblPrEx>
        <w:tc>
          <w:tcPr>
            <w:tcW w:w="2076" w:type="dxa"/>
          </w:tcPr>
          <w:p>
            <w:pPr>
              <w:pStyle w:val="13"/>
              <w:jc w:val="both"/>
              <w:rPr>
                <w:rFonts w:hint="default"/>
              </w:rPr>
            </w:pPr>
            <w:r>
              <w:t>采购包</w:t>
            </w:r>
          </w:p>
        </w:tc>
        <w:tc>
          <w:tcPr>
            <w:tcW w:w="2076" w:type="dxa"/>
          </w:tcPr>
          <w:p>
            <w:pPr>
              <w:pStyle w:val="13"/>
              <w:jc w:val="both"/>
              <w:rPr>
                <w:rFonts w:hint="default"/>
              </w:rPr>
            </w:pPr>
            <w:r>
              <w:t>投标报价</w:t>
            </w:r>
          </w:p>
        </w:tc>
        <w:tc>
          <w:tcPr>
            <w:tcW w:w="2076" w:type="dxa"/>
          </w:tcPr>
          <w:p>
            <w:pPr>
              <w:pStyle w:val="13"/>
              <w:jc w:val="both"/>
              <w:rPr>
                <w:rFonts w:hint="default"/>
              </w:rPr>
            </w:pPr>
            <w:r>
              <w:t>投标保证金</w:t>
            </w:r>
          </w:p>
        </w:tc>
        <w:tc>
          <w:tcPr>
            <w:tcW w:w="2076" w:type="dxa"/>
          </w:tcPr>
          <w:p>
            <w:pPr>
              <w:pStyle w:val="13"/>
              <w:jc w:val="both"/>
              <w:rPr>
                <w:rFonts w:hint="default"/>
              </w:rPr>
            </w:pPr>
            <w:r>
              <w:t>备注</w:t>
            </w:r>
          </w:p>
        </w:tc>
      </w:tr>
      <w:tr>
        <w:tblPrEx>
          <w:tblCellMar>
            <w:top w:w="0" w:type="dxa"/>
            <w:left w:w="108" w:type="dxa"/>
            <w:bottom w:w="0" w:type="dxa"/>
            <w:right w:w="108" w:type="dxa"/>
          </w:tblCellMar>
        </w:tblPrEx>
        <w:tc>
          <w:tcPr>
            <w:tcW w:w="2076" w:type="dxa"/>
          </w:tcPr>
          <w:p>
            <w:pPr>
              <w:pStyle w:val="13"/>
              <w:jc w:val="both"/>
              <w:rPr>
                <w:rFonts w:hint="default"/>
              </w:rPr>
            </w:pPr>
            <w:r>
              <w:t>*</w:t>
            </w:r>
          </w:p>
        </w:tc>
        <w:tc>
          <w:tcPr>
            <w:tcW w:w="2076" w:type="dxa"/>
          </w:tcPr>
          <w:p>
            <w:pPr>
              <w:pStyle w:val="13"/>
              <w:jc w:val="both"/>
              <w:rPr>
                <w:rFonts w:hint="default"/>
              </w:rPr>
            </w:pPr>
            <w:r>
              <w:t>投标总价（大写金额）：</w:t>
            </w:r>
            <w:r>
              <w:rPr>
                <w:u w:val="single"/>
              </w:rPr>
              <w:t>　　　　　　　　</w:t>
            </w:r>
          </w:p>
        </w:tc>
        <w:tc>
          <w:tcPr>
            <w:tcW w:w="2076" w:type="dxa"/>
          </w:tcPr>
          <w:p/>
        </w:tc>
        <w:tc>
          <w:tcPr>
            <w:tcW w:w="2076" w:type="dxa"/>
            <w:vMerge w:val="restart"/>
          </w:tcPr>
          <w:p>
            <w:pPr>
              <w:pStyle w:val="13"/>
              <w:jc w:val="both"/>
              <w:rPr>
                <w:rFonts w:hint="default"/>
              </w:rPr>
            </w:pPr>
            <w:r>
              <w:t>a.&gt;投标报价的明细：详见《投标分项报价表》。</w:t>
            </w:r>
          </w:p>
          <w:p>
            <w:pPr>
              <w:pStyle w:val="13"/>
              <w:jc w:val="both"/>
              <w:rPr>
                <w:rFonts w:hint="default"/>
              </w:rPr>
            </w:pPr>
            <w:r>
              <w:t>b.&gt;招标文件规定的价格扣除证明材料（若有）：详见报价部分。</w:t>
            </w:r>
          </w:p>
        </w:tc>
      </w:tr>
      <w:tr>
        <w:tblPrEx>
          <w:tblCellMar>
            <w:top w:w="0" w:type="dxa"/>
            <w:left w:w="108" w:type="dxa"/>
            <w:bottom w:w="0" w:type="dxa"/>
            <w:right w:w="108" w:type="dxa"/>
          </w:tblCellMar>
        </w:tblPrEx>
        <w:tc>
          <w:tcPr>
            <w:tcW w:w="2076" w:type="dxa"/>
          </w:tcPr>
          <w:p>
            <w:pPr>
              <w:pStyle w:val="13"/>
              <w:jc w:val="both"/>
              <w:rPr>
                <w:rFonts w:hint="default"/>
              </w:rPr>
            </w:pPr>
            <w:r>
              <w:t>…</w:t>
            </w:r>
          </w:p>
        </w:tc>
        <w:tc>
          <w:tcPr>
            <w:tcW w:w="2076" w:type="dxa"/>
          </w:tcPr>
          <w:p>
            <w:pPr>
              <w:pStyle w:val="13"/>
              <w:jc w:val="both"/>
              <w:rPr>
                <w:rFonts w:hint="default"/>
              </w:rPr>
            </w:pPr>
            <w:r>
              <w:t>投标总价（大写金额）：</w:t>
            </w:r>
            <w:r>
              <w:rPr>
                <w:u w:val="single"/>
              </w:rPr>
              <w:t>　　　　　　　　</w:t>
            </w:r>
          </w:p>
        </w:tc>
        <w:tc>
          <w:tcPr>
            <w:tcW w:w="2076" w:type="dxa"/>
          </w:tcPr>
          <w:p/>
        </w:tc>
        <w:tc>
          <w:tcPr>
            <w:tcW w:w="2076" w:type="dxa"/>
            <w:vMerge w:val="continue"/>
          </w:tcPr>
          <w:p/>
        </w:tc>
      </w:tr>
    </w:tbl>
    <w:p>
      <w:pPr>
        <w:pStyle w:val="13"/>
        <w:ind w:firstLine="480"/>
        <w:jc w:val="both"/>
        <w:rPr>
          <w:rFonts w:hint="default"/>
        </w:rPr>
      </w:pPr>
      <w:r>
        <w:t>※注意：</w:t>
      </w:r>
    </w:p>
    <w:p>
      <w:pPr>
        <w:pStyle w:val="13"/>
        <w:ind w:firstLine="480"/>
        <w:jc w:val="both"/>
        <w:rPr>
          <w:rFonts w:hint="default"/>
        </w:rPr>
      </w:pPr>
      <w:r>
        <w:t>1、本表应按照下列规定填写：</w:t>
      </w:r>
    </w:p>
    <w:p>
      <w:pPr>
        <w:pStyle w:val="13"/>
        <w:ind w:firstLine="480"/>
        <w:jc w:val="both"/>
        <w:rPr>
          <w:rFonts w:hint="default"/>
        </w:rPr>
      </w:pPr>
      <w:r>
        <w:t>1.1投标人应按照本表格式填写所投的采购包的“投标报价”。</w:t>
      </w:r>
    </w:p>
    <w:p>
      <w:pPr>
        <w:pStyle w:val="13"/>
        <w:ind w:firstLine="480"/>
        <w:jc w:val="both"/>
        <w:rPr>
          <w:rFonts w:hint="default"/>
        </w:rPr>
      </w:pPr>
      <w:r>
        <w:t>1.2本表中列示的“采购包”应与《投标分项报价表》中列示的“采购包”保持一致，即：若本表中列示的“采购包”为“1”时，《投标分项报价表》中列示的“采购包”亦应为“1”，以此类推。</w:t>
      </w:r>
    </w:p>
    <w:p>
      <w:pPr>
        <w:pStyle w:val="13"/>
        <w:ind w:firstLine="480"/>
        <w:jc w:val="both"/>
        <w:rPr>
          <w:rFonts w:hint="default"/>
        </w:rPr>
      </w:pPr>
      <w:r>
        <w:t>1.3“大写金额”指“投标报价”应用“壹、贰、叁、肆、伍、陆、柒、捌、玖、拾、佰、仟、万、亿、元、角、分、零”等进行填写。</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jc w:val="both"/>
        <w:rPr>
          <w:rFonts w:hint="default"/>
        </w:rPr>
      </w:pPr>
    </w:p>
    <w:p>
      <w:pPr>
        <w:pStyle w:val="13"/>
        <w:jc w:val="both"/>
        <w:rPr>
          <w:rFonts w:hint="default"/>
        </w:rPr>
      </w:pPr>
      <w:r>
        <w:t xml:space="preserve"> </w:t>
      </w:r>
    </w:p>
    <w:p>
      <w:pPr>
        <w:pStyle w:val="13"/>
        <w:jc w:val="center"/>
        <w:outlineLvl w:val="2"/>
        <w:rPr>
          <w:rFonts w:hint="default"/>
        </w:rPr>
      </w:pPr>
      <w:r>
        <w:rPr>
          <w:b/>
          <w:sz w:val="28"/>
        </w:rPr>
        <w:t>二、投标分项报价表</w:t>
      </w:r>
    </w:p>
    <w:p>
      <w:pPr>
        <w:pStyle w:val="13"/>
        <w:ind w:firstLine="480"/>
        <w:jc w:val="both"/>
        <w:rPr>
          <w:rFonts w:hint="default"/>
        </w:rPr>
      </w:pPr>
      <w:r>
        <w:t>项目编号：</w:t>
      </w:r>
      <w:r>
        <w:rPr>
          <w:u w:val="single"/>
        </w:rPr>
        <w:t>　　　　　　　　</w:t>
      </w:r>
    </w:p>
    <w:p>
      <w:pPr>
        <w:pStyle w:val="13"/>
        <w:ind w:firstLine="480"/>
        <w:jc w:val="right"/>
        <w:rPr>
          <w:rFonts w:hint="default"/>
        </w:rPr>
      </w:pPr>
      <w:r>
        <w:t>货币及单位：人民币元</w:t>
      </w:r>
    </w:p>
    <w:tbl>
      <w:tblPr>
        <w:tblStyle w:val="11"/>
        <w:tblW w:w="0" w:type="auto"/>
        <w:tblInd w:w="0" w:type="dxa"/>
        <w:tblLayout w:type="autofit"/>
        <w:tblCellMar>
          <w:top w:w="0" w:type="dxa"/>
          <w:left w:w="108" w:type="dxa"/>
          <w:bottom w:w="0" w:type="dxa"/>
          <w:right w:w="108" w:type="dxa"/>
        </w:tblCellMar>
      </w:tblPr>
      <w:tblGrid>
        <w:gridCol w:w="923"/>
        <w:gridCol w:w="923"/>
        <w:gridCol w:w="923"/>
        <w:gridCol w:w="923"/>
        <w:gridCol w:w="923"/>
        <w:gridCol w:w="923"/>
        <w:gridCol w:w="923"/>
        <w:gridCol w:w="923"/>
        <w:gridCol w:w="923"/>
      </w:tblGrid>
      <w:tr>
        <w:tblPrEx>
          <w:tblCellMar>
            <w:top w:w="0" w:type="dxa"/>
            <w:left w:w="108" w:type="dxa"/>
            <w:bottom w:w="0" w:type="dxa"/>
            <w:right w:w="108" w:type="dxa"/>
          </w:tblCellMar>
        </w:tblPrEx>
        <w:tc>
          <w:tcPr>
            <w:tcW w:w="923" w:type="dxa"/>
          </w:tcPr>
          <w:p>
            <w:pPr>
              <w:pStyle w:val="13"/>
              <w:jc w:val="both"/>
              <w:rPr>
                <w:rFonts w:hint="default"/>
              </w:rPr>
            </w:pPr>
            <w:r>
              <w:t>采购包</w:t>
            </w:r>
          </w:p>
        </w:tc>
        <w:tc>
          <w:tcPr>
            <w:tcW w:w="923" w:type="dxa"/>
          </w:tcPr>
          <w:p>
            <w:pPr>
              <w:pStyle w:val="13"/>
              <w:jc w:val="both"/>
              <w:rPr>
                <w:rFonts w:hint="default"/>
              </w:rPr>
            </w:pPr>
            <w:r>
              <w:t>品目号</w:t>
            </w:r>
          </w:p>
        </w:tc>
        <w:tc>
          <w:tcPr>
            <w:tcW w:w="923" w:type="dxa"/>
          </w:tcPr>
          <w:p>
            <w:pPr>
              <w:pStyle w:val="13"/>
              <w:jc w:val="both"/>
              <w:rPr>
                <w:rFonts w:hint="default"/>
              </w:rPr>
            </w:pPr>
            <w:r>
              <w:t>投标标的</w:t>
            </w:r>
          </w:p>
        </w:tc>
        <w:tc>
          <w:tcPr>
            <w:tcW w:w="923" w:type="dxa"/>
          </w:tcPr>
          <w:p>
            <w:pPr>
              <w:pStyle w:val="13"/>
              <w:jc w:val="both"/>
              <w:rPr>
                <w:rFonts w:hint="default"/>
              </w:rPr>
            </w:pPr>
            <w:r>
              <w:t>规格</w:t>
            </w:r>
          </w:p>
        </w:tc>
        <w:tc>
          <w:tcPr>
            <w:tcW w:w="923" w:type="dxa"/>
          </w:tcPr>
          <w:p>
            <w:pPr>
              <w:pStyle w:val="13"/>
              <w:jc w:val="both"/>
              <w:rPr>
                <w:rFonts w:hint="default"/>
              </w:rPr>
            </w:pPr>
            <w:r>
              <w:t>来源地</w:t>
            </w:r>
          </w:p>
        </w:tc>
        <w:tc>
          <w:tcPr>
            <w:tcW w:w="923" w:type="dxa"/>
          </w:tcPr>
          <w:p>
            <w:pPr>
              <w:pStyle w:val="13"/>
              <w:jc w:val="both"/>
              <w:rPr>
                <w:rFonts w:hint="default"/>
              </w:rPr>
            </w:pPr>
            <w:r>
              <w:t>单价（现场）</w:t>
            </w:r>
          </w:p>
        </w:tc>
        <w:tc>
          <w:tcPr>
            <w:tcW w:w="923" w:type="dxa"/>
          </w:tcPr>
          <w:p>
            <w:pPr>
              <w:pStyle w:val="13"/>
              <w:jc w:val="both"/>
              <w:rPr>
                <w:rFonts w:hint="default"/>
              </w:rPr>
            </w:pPr>
            <w:r>
              <w:t>数量</w:t>
            </w:r>
          </w:p>
        </w:tc>
        <w:tc>
          <w:tcPr>
            <w:tcW w:w="923" w:type="dxa"/>
          </w:tcPr>
          <w:p>
            <w:pPr>
              <w:pStyle w:val="13"/>
              <w:jc w:val="both"/>
              <w:rPr>
                <w:rFonts w:hint="default"/>
              </w:rPr>
            </w:pPr>
            <w:r>
              <w:t>总价（现场）</w:t>
            </w:r>
          </w:p>
        </w:tc>
        <w:tc>
          <w:tcPr>
            <w:tcW w:w="923" w:type="dxa"/>
          </w:tcPr>
          <w:p>
            <w:pPr>
              <w:pStyle w:val="13"/>
              <w:jc w:val="both"/>
              <w:rPr>
                <w:rFonts w:hint="default"/>
              </w:rPr>
            </w:pPr>
            <w:r>
              <w:t>备注</w:t>
            </w:r>
          </w:p>
        </w:tc>
      </w:tr>
      <w:tr>
        <w:tblPrEx>
          <w:tblCellMar>
            <w:top w:w="0" w:type="dxa"/>
            <w:left w:w="108" w:type="dxa"/>
            <w:bottom w:w="0" w:type="dxa"/>
            <w:right w:w="108" w:type="dxa"/>
          </w:tblCellMar>
        </w:tblPrEx>
        <w:tc>
          <w:tcPr>
            <w:tcW w:w="923" w:type="dxa"/>
            <w:vMerge w:val="restart"/>
          </w:tcPr>
          <w:p>
            <w:pPr>
              <w:pStyle w:val="13"/>
              <w:jc w:val="both"/>
              <w:rPr>
                <w:rFonts w:hint="default"/>
              </w:rPr>
            </w:pPr>
            <w:r>
              <w:t>*</w:t>
            </w:r>
          </w:p>
        </w:tc>
        <w:tc>
          <w:tcPr>
            <w:tcW w:w="923" w:type="dxa"/>
          </w:tcPr>
          <w:p>
            <w:pPr>
              <w:pStyle w:val="13"/>
              <w:jc w:val="both"/>
              <w:rPr>
                <w:rFonts w:hint="default"/>
              </w:rPr>
            </w:pPr>
            <w:r>
              <w:t>*-1</w:t>
            </w: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r>
      <w:tr>
        <w:tblPrEx>
          <w:tblCellMar>
            <w:top w:w="0" w:type="dxa"/>
            <w:left w:w="108" w:type="dxa"/>
            <w:bottom w:w="0" w:type="dxa"/>
            <w:right w:w="108" w:type="dxa"/>
          </w:tblCellMar>
        </w:tblPrEx>
        <w:tc>
          <w:tcPr>
            <w:tcW w:w="923" w:type="dxa"/>
            <w:vMerge w:val="continue"/>
          </w:tcPr>
          <w:p/>
        </w:tc>
        <w:tc>
          <w:tcPr>
            <w:tcW w:w="923" w:type="dxa"/>
          </w:tcPr>
          <w:p>
            <w:pPr>
              <w:pStyle w:val="13"/>
              <w:jc w:val="both"/>
              <w:rPr>
                <w:rFonts w:hint="default"/>
              </w:rPr>
            </w:pPr>
            <w:r>
              <w:t>…</w:t>
            </w: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r>
      <w:tr>
        <w:tblPrEx>
          <w:tblCellMar>
            <w:top w:w="0" w:type="dxa"/>
            <w:left w:w="108" w:type="dxa"/>
            <w:bottom w:w="0" w:type="dxa"/>
            <w:right w:w="108" w:type="dxa"/>
          </w:tblCellMar>
        </w:tblPrEx>
        <w:tc>
          <w:tcPr>
            <w:tcW w:w="923" w:type="dxa"/>
          </w:tcPr>
          <w:p>
            <w:pPr>
              <w:pStyle w:val="13"/>
              <w:jc w:val="both"/>
              <w:rPr>
                <w:rFonts w:hint="default"/>
              </w:rPr>
            </w:pPr>
            <w:r>
              <w:t>…</w:t>
            </w: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r>
    </w:tbl>
    <w:p>
      <w:pPr>
        <w:pStyle w:val="13"/>
        <w:ind w:firstLine="480"/>
        <w:jc w:val="both"/>
        <w:rPr>
          <w:rFonts w:hint="default"/>
        </w:rPr>
      </w:pPr>
      <w:r>
        <w:t>※注意：</w:t>
      </w:r>
    </w:p>
    <w:p>
      <w:pPr>
        <w:pStyle w:val="13"/>
        <w:ind w:firstLine="480"/>
        <w:jc w:val="both"/>
        <w:rPr>
          <w:rFonts w:hint="default"/>
        </w:rPr>
      </w:pPr>
      <w:r>
        <w:t>1、本表应按照下列规定填写：</w:t>
      </w:r>
    </w:p>
    <w:p>
      <w:pPr>
        <w:pStyle w:val="13"/>
        <w:ind w:firstLine="480"/>
        <w:jc w:val="both"/>
        <w:rPr>
          <w:rFonts w:hint="default"/>
        </w:rPr>
      </w:pPr>
      <w:r>
        <w:t>1.1投标人应按照本表格式填写所投采购包的分项报价，其中：“采购包”、“品目号”、“投标标的”及“数量”应与招标文件《采购标的一览表》中的有关内容（“采购包”、“品目号”、“采购标的”及“数量”）保持一致，“采购包”还应与《开标一览表》中列示的“采购包”保持一致，即：若《开标一览表》中列示的“采购包”为“1”时，本表中列示的“采购包”亦应为“1”，以此类推。</w:t>
      </w:r>
    </w:p>
    <w:p>
      <w:pPr>
        <w:pStyle w:val="13"/>
        <w:ind w:firstLine="480"/>
        <w:jc w:val="both"/>
        <w:rPr>
          <w:rFonts w:hint="default"/>
        </w:rPr>
      </w:pPr>
      <w:r>
        <w:t>1.2“投标标的”为货物的：“规格”项下应填写货物制造厂商赋予的品牌（属于节能、环保清单产品的货物，填写的品牌名称应与清单载明的品牌名称保持一致）及具体型号。“来源地”应填写货物的原产地。</w:t>
      </w:r>
    </w:p>
    <w:p>
      <w:pPr>
        <w:pStyle w:val="13"/>
        <w:ind w:firstLine="480"/>
        <w:jc w:val="both"/>
        <w:rPr>
          <w:rFonts w:hint="default"/>
        </w:rPr>
      </w:pPr>
      <w:r>
        <w:t>1.3“投标标的”为服务的：“规格”项下应填写服务提供者提供的服务标准及品牌（若有）。“来源地”应填写服务提供者的所在地。</w:t>
      </w:r>
    </w:p>
    <w:p>
      <w:pPr>
        <w:pStyle w:val="13"/>
        <w:ind w:firstLine="480"/>
        <w:jc w:val="both"/>
        <w:rPr>
          <w:rFonts w:hint="default"/>
        </w:rPr>
      </w:pPr>
      <w:r>
        <w:t>1.4同一采购包中，“单价（现场）”×“数量”=“总价（现场）”，全部品目号“总价（现场）”的合计金额应与《开标一览表》中相应采购包列示的“投标总价”保持一致。</w:t>
      </w:r>
    </w:p>
    <w:p>
      <w:pPr>
        <w:pStyle w:val="13"/>
        <w:ind w:firstLine="480"/>
        <w:jc w:val="both"/>
        <w:rPr>
          <w:rFonts w:hint="default"/>
        </w:rPr>
      </w:pPr>
      <w:r>
        <w:t>1.5若招标文件要求投标人对“备品备件价格、专用工具价格、技术服务费、安装调试费、检验培训费、运输费、保险费、税收”等进行报价的，请在本表的“备注”项下填写。</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jc w:val="both"/>
        <w:rPr>
          <w:rFonts w:hint="default"/>
        </w:rPr>
      </w:pPr>
    </w:p>
    <w:p>
      <w:pPr>
        <w:pStyle w:val="13"/>
        <w:jc w:val="both"/>
        <w:rPr>
          <w:rFonts w:hint="default"/>
        </w:rPr>
      </w:pPr>
      <w:r>
        <w:t xml:space="preserve"> </w:t>
      </w:r>
    </w:p>
    <w:p>
      <w:pPr>
        <w:pStyle w:val="13"/>
        <w:jc w:val="center"/>
        <w:outlineLvl w:val="2"/>
        <w:rPr>
          <w:rFonts w:hint="default"/>
        </w:rPr>
      </w:pPr>
      <w:r>
        <w:rPr>
          <w:b/>
          <w:sz w:val="28"/>
        </w:rPr>
        <w:t>三、招标文件规定的价格扣除证明材料（若有）</w:t>
      </w:r>
    </w:p>
    <w:p>
      <w:pPr>
        <w:pStyle w:val="13"/>
        <w:jc w:val="center"/>
        <w:outlineLvl w:val="3"/>
        <w:rPr>
          <w:rFonts w:hint="default"/>
        </w:rPr>
      </w:pPr>
      <w:r>
        <w:rPr>
          <w:b/>
          <w:sz w:val="24"/>
        </w:rPr>
        <w:t>三-1优先类节能产品、环境标志产品价格扣除证明材料（若有）</w:t>
      </w:r>
    </w:p>
    <w:p>
      <w:pPr>
        <w:pStyle w:val="13"/>
        <w:jc w:val="center"/>
        <w:outlineLvl w:val="3"/>
        <w:rPr>
          <w:rFonts w:hint="default"/>
        </w:rPr>
      </w:pPr>
      <w:r>
        <w:rPr>
          <w:b/>
          <w:sz w:val="24"/>
        </w:rPr>
        <w:t>三-1-①优先类节能产品、环境标志产品统计表（价格扣除适用，若有）</w:t>
      </w:r>
    </w:p>
    <w:p>
      <w:pPr>
        <w:pStyle w:val="13"/>
        <w:ind w:firstLine="480"/>
        <w:jc w:val="both"/>
        <w:rPr>
          <w:rFonts w:hint="default"/>
        </w:rPr>
      </w:pPr>
      <w:r>
        <w:t>项目编号：</w:t>
      </w:r>
      <w:r>
        <w:rPr>
          <w:u w:val="single"/>
        </w:rPr>
        <w:t>　　　　　　　　</w:t>
      </w:r>
    </w:p>
    <w:p>
      <w:pPr>
        <w:pStyle w:val="13"/>
        <w:ind w:firstLine="480"/>
        <w:jc w:val="right"/>
        <w:rPr>
          <w:rFonts w:hint="default"/>
        </w:rPr>
      </w:pPr>
      <w:r>
        <w:t>货币及单位：人民币元</w:t>
      </w:r>
    </w:p>
    <w:tbl>
      <w:tblPr>
        <w:tblStyle w:val="11"/>
        <w:tblW w:w="0" w:type="auto"/>
        <w:tblInd w:w="0" w:type="dxa"/>
        <w:tblLayout w:type="autofit"/>
        <w:tblCellMar>
          <w:top w:w="0" w:type="dxa"/>
          <w:left w:w="108" w:type="dxa"/>
          <w:bottom w:w="0" w:type="dxa"/>
          <w:right w:w="108" w:type="dxa"/>
        </w:tblCellMar>
      </w:tblPr>
      <w:tblGrid>
        <w:gridCol w:w="1187"/>
        <w:gridCol w:w="1187"/>
        <w:gridCol w:w="1187"/>
        <w:gridCol w:w="1187"/>
        <w:gridCol w:w="1187"/>
        <w:gridCol w:w="1187"/>
        <w:gridCol w:w="1187"/>
      </w:tblGrid>
      <w:tr>
        <w:tblPrEx>
          <w:tblCellMar>
            <w:top w:w="0" w:type="dxa"/>
            <w:left w:w="108" w:type="dxa"/>
            <w:bottom w:w="0" w:type="dxa"/>
            <w:right w:w="108" w:type="dxa"/>
          </w:tblCellMar>
        </w:tblPrEx>
        <w:tc>
          <w:tcPr>
            <w:tcW w:w="1187" w:type="dxa"/>
          </w:tcPr>
          <w:p/>
        </w:tc>
        <w:tc>
          <w:tcPr>
            <w:tcW w:w="7122" w:type="dxa"/>
            <w:gridSpan w:val="6"/>
          </w:tcPr>
          <w:p>
            <w:pPr>
              <w:pStyle w:val="13"/>
              <w:jc w:val="center"/>
              <w:rPr>
                <w:rFonts w:hint="default"/>
              </w:rPr>
            </w:pPr>
            <w:r>
              <w:t>本采购包内属于节能、环境标志产品的情况</w:t>
            </w:r>
          </w:p>
        </w:tc>
      </w:tr>
      <w:tr>
        <w:tblPrEx>
          <w:tblCellMar>
            <w:top w:w="0" w:type="dxa"/>
            <w:left w:w="108" w:type="dxa"/>
            <w:bottom w:w="0" w:type="dxa"/>
            <w:right w:w="108" w:type="dxa"/>
          </w:tblCellMar>
        </w:tblPrEx>
        <w:tc>
          <w:tcPr>
            <w:tcW w:w="1187" w:type="dxa"/>
          </w:tcPr>
          <w:p>
            <w:pPr>
              <w:pStyle w:val="13"/>
              <w:jc w:val="both"/>
              <w:rPr>
                <w:rFonts w:hint="default"/>
              </w:rPr>
            </w:pPr>
            <w:r>
              <w:t>采购包</w:t>
            </w:r>
          </w:p>
        </w:tc>
        <w:tc>
          <w:tcPr>
            <w:tcW w:w="1187" w:type="dxa"/>
          </w:tcPr>
          <w:p>
            <w:pPr>
              <w:pStyle w:val="13"/>
              <w:jc w:val="both"/>
              <w:rPr>
                <w:rFonts w:hint="default"/>
              </w:rPr>
            </w:pPr>
            <w:r>
              <w:t>品目号</w:t>
            </w:r>
          </w:p>
        </w:tc>
        <w:tc>
          <w:tcPr>
            <w:tcW w:w="1187" w:type="dxa"/>
          </w:tcPr>
          <w:p>
            <w:pPr>
              <w:pStyle w:val="13"/>
              <w:jc w:val="both"/>
              <w:rPr>
                <w:rFonts w:hint="default"/>
              </w:rPr>
            </w:pPr>
            <w:r>
              <w:t>货物名称</w:t>
            </w:r>
          </w:p>
        </w:tc>
        <w:tc>
          <w:tcPr>
            <w:tcW w:w="1187" w:type="dxa"/>
          </w:tcPr>
          <w:p>
            <w:pPr>
              <w:pStyle w:val="13"/>
              <w:jc w:val="both"/>
              <w:rPr>
                <w:rFonts w:hint="default"/>
              </w:rPr>
            </w:pPr>
            <w:r>
              <w:t>单价（现场）</w:t>
            </w:r>
          </w:p>
        </w:tc>
        <w:tc>
          <w:tcPr>
            <w:tcW w:w="1187" w:type="dxa"/>
          </w:tcPr>
          <w:p>
            <w:pPr>
              <w:pStyle w:val="13"/>
              <w:jc w:val="both"/>
              <w:rPr>
                <w:rFonts w:hint="default"/>
              </w:rPr>
            </w:pPr>
            <w:r>
              <w:t>数量</w:t>
            </w:r>
          </w:p>
        </w:tc>
        <w:tc>
          <w:tcPr>
            <w:tcW w:w="1187" w:type="dxa"/>
          </w:tcPr>
          <w:p>
            <w:pPr>
              <w:pStyle w:val="13"/>
              <w:jc w:val="both"/>
              <w:rPr>
                <w:rFonts w:hint="default"/>
              </w:rPr>
            </w:pPr>
            <w:r>
              <w:t>总价（现场）</w:t>
            </w:r>
          </w:p>
        </w:tc>
        <w:tc>
          <w:tcPr>
            <w:tcW w:w="1187" w:type="dxa"/>
          </w:tcPr>
          <w:p>
            <w:pPr>
              <w:pStyle w:val="13"/>
              <w:jc w:val="both"/>
              <w:rPr>
                <w:rFonts w:hint="default"/>
              </w:rPr>
            </w:pPr>
            <w:r>
              <w:t>认证种类</w:t>
            </w:r>
          </w:p>
        </w:tc>
      </w:tr>
      <w:tr>
        <w:tblPrEx>
          <w:tblCellMar>
            <w:top w:w="0" w:type="dxa"/>
            <w:left w:w="108" w:type="dxa"/>
            <w:bottom w:w="0" w:type="dxa"/>
            <w:right w:w="108" w:type="dxa"/>
          </w:tblCellMar>
        </w:tblPrEx>
        <w:tc>
          <w:tcPr>
            <w:tcW w:w="1187" w:type="dxa"/>
            <w:vMerge w:val="restart"/>
          </w:tcPr>
          <w:p>
            <w:pPr>
              <w:pStyle w:val="13"/>
              <w:jc w:val="both"/>
              <w:rPr>
                <w:rFonts w:hint="default"/>
              </w:rPr>
            </w:pPr>
            <w:r>
              <w:t>*</w:t>
            </w:r>
          </w:p>
        </w:tc>
        <w:tc>
          <w:tcPr>
            <w:tcW w:w="1187" w:type="dxa"/>
          </w:tcPr>
          <w:p>
            <w:pPr>
              <w:pStyle w:val="13"/>
              <w:jc w:val="both"/>
              <w:rPr>
                <w:rFonts w:hint="default"/>
              </w:rPr>
            </w:pPr>
            <w:r>
              <w:t>*-1</w:t>
            </w:r>
          </w:p>
        </w:tc>
        <w:tc>
          <w:tcPr>
            <w:tcW w:w="1187" w:type="dxa"/>
          </w:tcPr>
          <w:p/>
        </w:tc>
        <w:tc>
          <w:tcPr>
            <w:tcW w:w="1187" w:type="dxa"/>
          </w:tcPr>
          <w:p/>
        </w:tc>
        <w:tc>
          <w:tcPr>
            <w:tcW w:w="1187" w:type="dxa"/>
          </w:tcPr>
          <w:p/>
        </w:tc>
        <w:tc>
          <w:tcPr>
            <w:tcW w:w="1187" w:type="dxa"/>
          </w:tcPr>
          <w:p/>
        </w:tc>
        <w:tc>
          <w:tcPr>
            <w:tcW w:w="1187" w:type="dxa"/>
          </w:tcPr>
          <w:p/>
        </w:tc>
      </w:tr>
      <w:tr>
        <w:tblPrEx>
          <w:tblCellMar>
            <w:top w:w="0" w:type="dxa"/>
            <w:left w:w="108" w:type="dxa"/>
            <w:bottom w:w="0" w:type="dxa"/>
            <w:right w:w="108" w:type="dxa"/>
          </w:tblCellMar>
        </w:tblPrEx>
        <w:tc>
          <w:tcPr>
            <w:tcW w:w="1187" w:type="dxa"/>
            <w:vMerge w:val="continue"/>
          </w:tcPr>
          <w:p/>
        </w:tc>
        <w:tc>
          <w:tcPr>
            <w:tcW w:w="1187" w:type="dxa"/>
          </w:tcPr>
          <w:p>
            <w:pPr>
              <w:pStyle w:val="13"/>
              <w:jc w:val="both"/>
              <w:rPr>
                <w:rFonts w:hint="default"/>
              </w:rPr>
            </w:pPr>
            <w:r>
              <w:t>…</w:t>
            </w:r>
          </w:p>
        </w:tc>
        <w:tc>
          <w:tcPr>
            <w:tcW w:w="1187" w:type="dxa"/>
          </w:tcPr>
          <w:p/>
        </w:tc>
        <w:tc>
          <w:tcPr>
            <w:tcW w:w="1187" w:type="dxa"/>
          </w:tcPr>
          <w:p/>
        </w:tc>
        <w:tc>
          <w:tcPr>
            <w:tcW w:w="1187" w:type="dxa"/>
          </w:tcPr>
          <w:p/>
        </w:tc>
        <w:tc>
          <w:tcPr>
            <w:tcW w:w="1187" w:type="dxa"/>
          </w:tcPr>
          <w:p/>
        </w:tc>
        <w:tc>
          <w:tcPr>
            <w:tcW w:w="1187" w:type="dxa"/>
          </w:tcPr>
          <w:p/>
        </w:tc>
      </w:tr>
      <w:tr>
        <w:tblPrEx>
          <w:tblCellMar>
            <w:top w:w="0" w:type="dxa"/>
            <w:left w:w="108" w:type="dxa"/>
            <w:bottom w:w="0" w:type="dxa"/>
            <w:right w:w="108" w:type="dxa"/>
          </w:tblCellMar>
        </w:tblPrEx>
        <w:tc>
          <w:tcPr>
            <w:tcW w:w="1187" w:type="dxa"/>
          </w:tcPr>
          <w:p>
            <w:pPr>
              <w:pStyle w:val="13"/>
              <w:jc w:val="both"/>
              <w:rPr>
                <w:rFonts w:hint="default"/>
              </w:rPr>
            </w:pPr>
            <w:r>
              <w:t>备注</w:t>
            </w:r>
          </w:p>
        </w:tc>
        <w:tc>
          <w:tcPr>
            <w:tcW w:w="7122" w:type="dxa"/>
            <w:gridSpan w:val="6"/>
          </w:tcPr>
          <w:p>
            <w:pPr>
              <w:pStyle w:val="13"/>
              <w:jc w:val="both"/>
              <w:rPr>
                <w:rFonts w:hint="default"/>
              </w:rPr>
            </w:pPr>
            <w:r>
              <w:t>a.采购包内属于节能、环境标志产品的报价总金额：</w:t>
            </w:r>
            <w:r>
              <w:rPr>
                <w:u w:val="single"/>
              </w:rPr>
              <w:t>　　　　　</w:t>
            </w:r>
            <w:r>
              <w:t>；</w:t>
            </w:r>
          </w:p>
          <w:p>
            <w:pPr>
              <w:pStyle w:val="13"/>
              <w:jc w:val="both"/>
              <w:rPr>
                <w:rFonts w:hint="default"/>
              </w:rPr>
            </w:pPr>
            <w:r>
              <w:t>b.采购包投标总价（报价总金额）：</w:t>
            </w:r>
            <w:r>
              <w:rPr>
                <w:u w:val="single"/>
              </w:rPr>
              <w:t>　　　　　</w:t>
            </w:r>
            <w:r>
              <w:t>；</w:t>
            </w:r>
          </w:p>
          <w:p>
            <w:pPr>
              <w:pStyle w:val="13"/>
              <w:jc w:val="both"/>
              <w:rPr>
                <w:rFonts w:hint="default"/>
              </w:rPr>
            </w:pPr>
            <w:r>
              <w:t>c.“采购包内属于节能、环境标志产品的报价总金额”占“采购包投标总价（报价总金额）”的比例（以%列示）：</w:t>
            </w:r>
            <w:r>
              <w:rPr>
                <w:u w:val="single"/>
              </w:rPr>
              <w:t>　　　　　</w:t>
            </w:r>
            <w:r>
              <w:t>；</w:t>
            </w:r>
          </w:p>
        </w:tc>
      </w:tr>
    </w:tbl>
    <w:p>
      <w:pPr>
        <w:pStyle w:val="13"/>
        <w:ind w:firstLine="480"/>
        <w:jc w:val="both"/>
        <w:rPr>
          <w:rFonts w:hint="default"/>
        </w:rPr>
      </w:pPr>
      <w:r>
        <w:t>※注意：</w:t>
      </w:r>
    </w:p>
    <w:p>
      <w:pPr>
        <w:pStyle w:val="13"/>
        <w:ind w:firstLine="480"/>
        <w:jc w:val="both"/>
        <w:rPr>
          <w:rFonts w:hint="default"/>
        </w:rPr>
      </w:pPr>
      <w:r>
        <w:t>1、对节能、环境标志产品计算价格扣除时，只依据电子投标文件“三-1-②优先类节能产品、环境标志产品证明材料（价格扣除适用，若有）”。</w:t>
      </w:r>
    </w:p>
    <w:p>
      <w:pPr>
        <w:pStyle w:val="13"/>
        <w:ind w:firstLine="480"/>
        <w:jc w:val="both"/>
        <w:rPr>
          <w:rFonts w:hint="default"/>
        </w:rPr>
      </w:pPr>
      <w:r>
        <w:t>2、本表以采购包为单位，不同采购包请分别填写；同一采购包请按照其品目号顺序分别填写。</w:t>
      </w:r>
    </w:p>
    <w:p>
      <w:pPr>
        <w:pStyle w:val="13"/>
        <w:ind w:firstLine="480"/>
        <w:jc w:val="both"/>
        <w:rPr>
          <w:rFonts w:hint="default"/>
        </w:rPr>
      </w:pPr>
      <w:r>
        <w:t>3、具体统计、计算：</w:t>
      </w:r>
    </w:p>
    <w:p>
      <w:pPr>
        <w:pStyle w:val="13"/>
        <w:ind w:firstLine="480"/>
        <w:jc w:val="both"/>
        <w:rPr>
          <w:rFonts w:hint="default"/>
        </w:rPr>
      </w:pPr>
      <w:r>
        <w:t>3.1若节能、环境标志产品仅是构成投标产品的部件、组件或零件，则该投标产品不享受鼓励优惠政策。同一品目中各认证证书不重复计算价格扣除。强制类节能产品不享受价格扣除。</w:t>
      </w:r>
    </w:p>
    <w:p>
      <w:pPr>
        <w:pStyle w:val="13"/>
        <w:ind w:firstLine="480"/>
        <w:jc w:val="both"/>
        <w:rPr>
          <w:rFonts w:hint="default"/>
        </w:rPr>
      </w:pPr>
      <w:r>
        <w:t>3.2计算结果若除不尽，可四舍五入保留到小数点后两位。</w:t>
      </w:r>
    </w:p>
    <w:p>
      <w:pPr>
        <w:pStyle w:val="13"/>
        <w:ind w:firstLine="480"/>
        <w:jc w:val="both"/>
        <w:rPr>
          <w:rFonts w:hint="default"/>
        </w:rPr>
      </w:pPr>
      <w:r>
        <w:t>3.3投标人应按照招标文件要求认真统计、计算，否则评标委员会不予认定。</w:t>
      </w:r>
    </w:p>
    <w:p>
      <w:pPr>
        <w:pStyle w:val="13"/>
        <w:ind w:firstLine="480"/>
        <w:jc w:val="both"/>
        <w:rPr>
          <w:rFonts w:hint="default"/>
        </w:rPr>
      </w:pPr>
      <w:r>
        <w:t>3.4若无节能、环境标志产品，不填写本表，否则，视为提供虚假材料。</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jc w:val="both"/>
        <w:rPr>
          <w:rFonts w:hint="default"/>
        </w:rPr>
      </w:pPr>
      <w:r>
        <w:t xml:space="preserve"> </w:t>
      </w:r>
    </w:p>
    <w:p>
      <w:pPr>
        <w:pStyle w:val="13"/>
        <w:jc w:val="center"/>
        <w:outlineLvl w:val="3"/>
        <w:rPr>
          <w:rFonts w:hint="default"/>
        </w:rPr>
      </w:pPr>
      <w:r>
        <w:rPr>
          <w:b/>
          <w:sz w:val="24"/>
        </w:rPr>
        <w:t>三-1-②优先类节能产品、环境标志产品证明材料（价格扣除适用，若有）</w:t>
      </w:r>
    </w:p>
    <w:p>
      <w:pPr>
        <w:pStyle w:val="13"/>
        <w:jc w:val="center"/>
        <w:outlineLvl w:val="3"/>
        <w:rPr>
          <w:rFonts w:hint="default"/>
        </w:rPr>
      </w:pPr>
      <w:r>
        <w:rPr>
          <w:b/>
          <w:sz w:val="24"/>
        </w:rPr>
        <w:t>三-2小型、微型企业产品等价格扣除证明材料（若有）</w:t>
      </w:r>
    </w:p>
    <w:p>
      <w:pPr>
        <w:pStyle w:val="13"/>
        <w:jc w:val="center"/>
        <w:outlineLvl w:val="3"/>
        <w:rPr>
          <w:rFonts w:hint="default"/>
        </w:rPr>
      </w:pPr>
      <w:r>
        <w:rPr>
          <w:b/>
          <w:sz w:val="24"/>
        </w:rPr>
        <w:t>三-2-①中小企业声明函（价格扣除适用，若有）</w:t>
      </w:r>
    </w:p>
    <w:p>
      <w:pPr>
        <w:pStyle w:val="13"/>
        <w:jc w:val="center"/>
        <w:outlineLvl w:val="3"/>
        <w:rPr>
          <w:rFonts w:hint="default"/>
        </w:rPr>
      </w:pPr>
      <w:r>
        <w:rPr>
          <w:b/>
          <w:sz w:val="24"/>
        </w:rPr>
        <w:t>中小企业声明函（货物）</w:t>
      </w:r>
    </w:p>
    <w:p>
      <w:pPr>
        <w:pStyle w:val="13"/>
        <w:ind w:firstLine="480"/>
        <w:jc w:val="both"/>
        <w:rPr>
          <w:rFonts w:hint="default"/>
        </w:rPr>
      </w:pPr>
      <w:r>
        <w:t>本公司（联合体）郑重声明，根据《政府采购促进中小企业发展管理办法》（财库﹝2020﹞46</w:t>
      </w:r>
      <w:r>
        <w:tab/>
      </w:r>
      <w:r>
        <w:tab/>
      </w:r>
      <w:r>
        <w:tab/>
      </w:r>
      <w:r>
        <w:t xml:space="preserve"> 号）的规定，本公司（联合体）参加</w:t>
      </w:r>
      <w:r>
        <w:rPr>
          <w:u w:val="single"/>
        </w:rPr>
        <w:t>（单位名称）</w:t>
      </w:r>
      <w:r>
        <w:t>的</w:t>
      </w:r>
      <w:r>
        <w:rPr>
          <w:u w:val="single"/>
        </w:rPr>
        <w:t>（项目名称）</w:t>
      </w:r>
      <w:r>
        <w:t>采购活动，提供的货物全部由符合政策要求的中小企业制造。相关企业（含联合体中的中小企业、签订分包意向协议的中小企业）的具体情况如下：</w:t>
      </w:r>
    </w:p>
    <w:p>
      <w:pPr>
        <w:pStyle w:val="13"/>
        <w:ind w:firstLine="480"/>
        <w:jc w:val="both"/>
        <w:rPr>
          <w:rFonts w:hint="default"/>
        </w:rPr>
      </w:pPr>
      <w:r>
        <w:t>1.</w:t>
      </w:r>
      <w:r>
        <w:rPr>
          <w:u w:val="single"/>
        </w:rPr>
        <w:t>（标的名称）</w:t>
      </w:r>
      <w:r>
        <w:t>，属于</w:t>
      </w:r>
      <w:r>
        <w:rPr>
          <w:u w:val="single"/>
        </w:rPr>
        <w:t>（采购文件中明确的所属行业）</w:t>
      </w:r>
      <w:r>
        <w:t>行业；制造商为</w:t>
      </w:r>
      <w:r>
        <w:rPr>
          <w:u w:val="single"/>
        </w:rPr>
        <w:t>（企业名称）</w:t>
      </w:r>
      <w:r>
        <w:t>，从业人员</w:t>
      </w:r>
      <w:r>
        <w:rPr>
          <w:u w:val="single"/>
        </w:rPr>
        <w:t>　　　　　</w:t>
      </w:r>
      <w:r>
        <w:t>人，营业收入为</w:t>
      </w:r>
      <w:r>
        <w:rPr>
          <w:u w:val="single"/>
        </w:rPr>
        <w:t>　　　　　</w:t>
      </w:r>
      <w:r>
        <w:t>万元，资产总额为</w:t>
      </w:r>
      <w:r>
        <w:rPr>
          <w:u w:val="single"/>
        </w:rPr>
        <w:t>　　　　　</w:t>
      </w:r>
      <w:r>
        <w:t>万元</w:t>
      </w:r>
      <w:r>
        <w:rPr>
          <w:rFonts w:ascii="宋体" w:hAnsi="宋体" w:eastAsia="宋体" w:cs="宋体"/>
          <w:sz w:val="21"/>
          <w:vertAlign w:val="superscript"/>
        </w:rPr>
        <w:t>1</w:t>
      </w:r>
      <w:r>
        <w:t>，属于</w:t>
      </w:r>
      <w:r>
        <w:rPr>
          <w:u w:val="single"/>
        </w:rPr>
        <w:t>（中型企业、小型企业、微型企业）</w:t>
      </w:r>
      <w:r>
        <w:t>；</w:t>
      </w:r>
    </w:p>
    <w:p>
      <w:pPr>
        <w:pStyle w:val="13"/>
        <w:ind w:firstLine="480"/>
        <w:jc w:val="both"/>
        <w:rPr>
          <w:rFonts w:hint="default"/>
        </w:rPr>
      </w:pPr>
      <w:r>
        <w:t>2.</w:t>
      </w:r>
      <w:r>
        <w:rPr>
          <w:u w:val="single"/>
        </w:rPr>
        <w:t>（标的名称）</w:t>
      </w:r>
      <w:r>
        <w:t>，属于</w:t>
      </w:r>
      <w:r>
        <w:rPr>
          <w:u w:val="single"/>
        </w:rPr>
        <w:t>（采购文件中明确的所属行业）</w:t>
      </w:r>
      <w:r>
        <w:t>行业；制造商为</w:t>
      </w:r>
      <w:r>
        <w:rPr>
          <w:u w:val="single"/>
        </w:rPr>
        <w:t>（企业名称）</w:t>
      </w:r>
      <w:r>
        <w:t>，从业人员</w:t>
      </w:r>
      <w:r>
        <w:rPr>
          <w:u w:val="single"/>
        </w:rPr>
        <w:t>　　　　　</w:t>
      </w:r>
      <w:r>
        <w:t>人，营业收入为</w:t>
      </w:r>
      <w:r>
        <w:rPr>
          <w:u w:val="single"/>
        </w:rPr>
        <w:t>　　　　　</w:t>
      </w:r>
      <w:r>
        <w:t>万元，资产总额为</w:t>
      </w:r>
      <w:r>
        <w:rPr>
          <w:u w:val="single"/>
        </w:rPr>
        <w:t>　　　　　</w:t>
      </w:r>
      <w:r>
        <w:t>万元，属于</w:t>
      </w:r>
      <w:r>
        <w:rPr>
          <w:u w:val="single"/>
        </w:rPr>
        <w:t>（中型企业、小型企业、微型企业）</w:t>
      </w:r>
      <w:r>
        <w:t>；</w:t>
      </w:r>
    </w:p>
    <w:p>
      <w:pPr>
        <w:pStyle w:val="13"/>
        <w:ind w:firstLine="480"/>
        <w:jc w:val="both"/>
        <w:rPr>
          <w:rFonts w:hint="default"/>
        </w:rPr>
      </w:pPr>
      <w:r>
        <w:t>……</w:t>
      </w:r>
    </w:p>
    <w:p>
      <w:pPr>
        <w:pStyle w:val="13"/>
        <w:ind w:firstLine="480"/>
        <w:jc w:val="both"/>
        <w:rPr>
          <w:rFonts w:hint="default"/>
        </w:rPr>
      </w:pPr>
      <w:r>
        <w:t>以上企业，不属于大企业的分支机构，不存在控股股东为大企业的情形，也不存在与大企业的负责人为同一人的情形。</w:t>
      </w:r>
    </w:p>
    <w:p>
      <w:pPr>
        <w:pStyle w:val="13"/>
        <w:ind w:firstLine="480"/>
        <w:jc w:val="both"/>
        <w:rPr>
          <w:rFonts w:hint="default"/>
        </w:rPr>
      </w:pPr>
      <w:r>
        <w:t>本企业对上述声明内容的真实性负责。如有虚假，将依法承担相应责任。</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ind w:firstLine="480"/>
        <w:jc w:val="both"/>
        <w:rPr>
          <w:rFonts w:hint="default"/>
        </w:rPr>
      </w:pPr>
      <w:r>
        <w:t>※注意：</w:t>
      </w:r>
    </w:p>
    <w:p>
      <w:pPr>
        <w:pStyle w:val="13"/>
        <w:ind w:firstLine="480"/>
        <w:jc w:val="both"/>
        <w:rPr>
          <w:rFonts w:hint="default"/>
        </w:rPr>
      </w:pPr>
      <w:r>
        <w:t>1、从业人员、营业收入、资产总额填报上一年度数据，无上一年度数据的新成立企业可不填报。</w:t>
      </w:r>
    </w:p>
    <w:p>
      <w:pPr>
        <w:pStyle w:val="13"/>
        <w:ind w:firstLine="480"/>
        <w:jc w:val="both"/>
        <w:rPr>
          <w:rFonts w:hint="default"/>
        </w:rPr>
      </w:pPr>
      <w: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13"/>
        <w:ind w:firstLine="480"/>
        <w:jc w:val="both"/>
        <w:rPr>
          <w:rFonts w:hint="default"/>
        </w:rPr>
      </w:pPr>
      <w: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13"/>
        <w:jc w:val="both"/>
        <w:rPr>
          <w:rFonts w:hint="default"/>
        </w:rPr>
      </w:pPr>
      <w:r>
        <w:t xml:space="preserve"> </w:t>
      </w:r>
    </w:p>
    <w:p>
      <w:pPr>
        <w:pStyle w:val="13"/>
        <w:jc w:val="center"/>
        <w:outlineLvl w:val="3"/>
        <w:rPr>
          <w:rFonts w:hint="default"/>
        </w:rPr>
      </w:pPr>
      <w:r>
        <w:rPr>
          <w:b/>
          <w:sz w:val="24"/>
        </w:rPr>
        <w:t>中小企业声明函（工程、服务）</w:t>
      </w:r>
    </w:p>
    <w:p>
      <w:pPr>
        <w:pStyle w:val="13"/>
        <w:ind w:firstLine="480"/>
        <w:jc w:val="both"/>
        <w:rPr>
          <w:rFonts w:hint="default"/>
        </w:rPr>
      </w:pPr>
      <w:r>
        <w:t>本公司（联合体）郑重声明，根据《政府采购促进中小企业发展管理办法》（财库﹝2020﹞46</w:t>
      </w:r>
      <w:r>
        <w:tab/>
      </w:r>
      <w:r>
        <w:tab/>
      </w:r>
      <w:r>
        <w:tab/>
      </w:r>
      <w:r>
        <w:t xml:space="preserve"> 号）的规定，本公司（联合体）参加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pPr>
        <w:pStyle w:val="13"/>
        <w:ind w:firstLine="480"/>
        <w:jc w:val="both"/>
        <w:rPr>
          <w:rFonts w:hint="default"/>
        </w:rPr>
      </w:pPr>
      <w:r>
        <w:t>1.</w:t>
      </w:r>
      <w:r>
        <w:rPr>
          <w:u w:val="single"/>
        </w:rPr>
        <w:t>（标的名称）</w:t>
      </w:r>
      <w:r>
        <w:t>，属于</w:t>
      </w:r>
      <w:r>
        <w:rPr>
          <w:u w:val="single"/>
        </w:rPr>
        <w:t>（采购文件中明确的所属行业）</w:t>
      </w:r>
      <w:r>
        <w:t>；承建（承接）企业为</w:t>
      </w:r>
      <w:r>
        <w:rPr>
          <w:u w:val="single"/>
        </w:rPr>
        <w:t>（企业名称）</w:t>
      </w:r>
      <w:r>
        <w:t>，从业人员</w:t>
      </w:r>
      <w:r>
        <w:rPr>
          <w:u w:val="single"/>
        </w:rPr>
        <w:t>　　　　　</w:t>
      </w:r>
      <w:r>
        <w:t>人，营业收入为</w:t>
      </w:r>
      <w:r>
        <w:rPr>
          <w:u w:val="single"/>
        </w:rPr>
        <w:t>　　　　　</w:t>
      </w:r>
      <w:r>
        <w:t>万元，资产总额为</w:t>
      </w:r>
      <w:r>
        <w:rPr>
          <w:u w:val="single"/>
        </w:rPr>
        <w:t>　　　　　</w:t>
      </w:r>
      <w:r>
        <w:t>万元</w:t>
      </w:r>
      <w:r>
        <w:rPr>
          <w:rFonts w:ascii="宋体" w:hAnsi="宋体" w:eastAsia="宋体" w:cs="宋体"/>
          <w:sz w:val="21"/>
          <w:vertAlign w:val="superscript"/>
        </w:rPr>
        <w:t>1</w:t>
      </w:r>
      <w:r>
        <w:t>，属于</w:t>
      </w:r>
      <w:r>
        <w:rPr>
          <w:u w:val="single"/>
        </w:rPr>
        <w:t>（中型企业、小型企业、微型企业）</w:t>
      </w:r>
      <w:r>
        <w:t>；</w:t>
      </w:r>
    </w:p>
    <w:p>
      <w:pPr>
        <w:pStyle w:val="13"/>
        <w:ind w:firstLine="480"/>
        <w:jc w:val="both"/>
        <w:rPr>
          <w:rFonts w:hint="default"/>
        </w:rPr>
      </w:pPr>
      <w:r>
        <w:t>2.</w:t>
      </w:r>
      <w:r>
        <w:rPr>
          <w:u w:val="single"/>
        </w:rPr>
        <w:t>（标的名称）</w:t>
      </w:r>
      <w:r>
        <w:t>，属于</w:t>
      </w:r>
      <w:r>
        <w:rPr>
          <w:u w:val="single"/>
        </w:rPr>
        <w:t>（采购文件中明确的所属行业）</w:t>
      </w:r>
      <w:r>
        <w:t>；承建（承接）企业为</w:t>
      </w:r>
      <w:r>
        <w:rPr>
          <w:u w:val="single"/>
        </w:rPr>
        <w:t>（企业名称）</w:t>
      </w:r>
      <w:r>
        <w:t>，从业人员</w:t>
      </w:r>
      <w:r>
        <w:rPr>
          <w:u w:val="single"/>
        </w:rPr>
        <w:t>　　　　　</w:t>
      </w:r>
      <w:r>
        <w:t>人，营业收入为</w:t>
      </w:r>
      <w:r>
        <w:rPr>
          <w:u w:val="single"/>
        </w:rPr>
        <w:t>　　　　　</w:t>
      </w:r>
      <w:r>
        <w:t>万元，资产总额为</w:t>
      </w:r>
      <w:r>
        <w:rPr>
          <w:u w:val="single"/>
        </w:rPr>
        <w:t>　　　　　</w:t>
      </w:r>
      <w:r>
        <w:t>万元，属于</w:t>
      </w:r>
      <w:r>
        <w:rPr>
          <w:u w:val="single"/>
        </w:rPr>
        <w:t>（中型企业、小型企业、微型企业）</w:t>
      </w:r>
      <w:r>
        <w:t>；</w:t>
      </w:r>
    </w:p>
    <w:p>
      <w:pPr>
        <w:pStyle w:val="13"/>
        <w:ind w:firstLine="480"/>
        <w:jc w:val="both"/>
        <w:rPr>
          <w:rFonts w:hint="default"/>
        </w:rPr>
      </w:pPr>
      <w:r>
        <w:t>……</w:t>
      </w:r>
    </w:p>
    <w:p>
      <w:pPr>
        <w:pStyle w:val="13"/>
        <w:ind w:firstLine="480"/>
        <w:jc w:val="both"/>
        <w:rPr>
          <w:rFonts w:hint="default"/>
        </w:rPr>
      </w:pPr>
      <w:r>
        <w:t>以上企业，不属于大企业的分支机构，不存在控股股东为大企业的情形，也不存在与大企业的负责人为同一人的情形。</w:t>
      </w:r>
    </w:p>
    <w:p>
      <w:pPr>
        <w:pStyle w:val="13"/>
        <w:ind w:firstLine="480"/>
        <w:jc w:val="both"/>
        <w:rPr>
          <w:rFonts w:hint="default"/>
        </w:rPr>
      </w:pPr>
      <w:r>
        <w:t>本企业对上述声明内容的真实性负责。如有虚假，将依法承担相应责任。</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ind w:firstLine="480"/>
        <w:jc w:val="both"/>
        <w:rPr>
          <w:rFonts w:hint="default"/>
        </w:rPr>
      </w:pPr>
      <w:r>
        <w:t>※注意：</w:t>
      </w:r>
    </w:p>
    <w:p>
      <w:pPr>
        <w:pStyle w:val="13"/>
        <w:ind w:firstLine="480"/>
        <w:jc w:val="both"/>
        <w:rPr>
          <w:rFonts w:hint="default"/>
        </w:rPr>
      </w:pPr>
      <w:r>
        <w:t>1、从业人员、营业收入、资产总额填报上一年度数据，无上一年度数据的新成立企业可不填报。</w:t>
      </w:r>
    </w:p>
    <w:p>
      <w:pPr>
        <w:pStyle w:val="13"/>
        <w:ind w:firstLine="480"/>
        <w:jc w:val="both"/>
        <w:rPr>
          <w:rFonts w:hint="default"/>
        </w:rPr>
      </w:pPr>
      <w: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13"/>
        <w:ind w:firstLine="480"/>
        <w:jc w:val="both"/>
        <w:rPr>
          <w:rFonts w:hint="default"/>
        </w:rPr>
      </w:pPr>
      <w: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13"/>
        <w:jc w:val="both"/>
        <w:rPr>
          <w:rFonts w:hint="default"/>
        </w:rPr>
      </w:pPr>
      <w:r>
        <w:t xml:space="preserve"> </w:t>
      </w:r>
    </w:p>
    <w:p>
      <w:pPr>
        <w:pStyle w:val="13"/>
        <w:jc w:val="center"/>
        <w:outlineLvl w:val="3"/>
        <w:rPr>
          <w:rFonts w:hint="default"/>
        </w:rPr>
      </w:pPr>
      <w:r>
        <w:rPr>
          <w:b/>
          <w:sz w:val="24"/>
        </w:rPr>
        <w:t>三-2-②小型、微型企业等证明材料（价格扣除适用，若有）</w:t>
      </w:r>
    </w:p>
    <w:p>
      <w:pPr>
        <w:pStyle w:val="13"/>
        <w:ind w:firstLine="480"/>
        <w:jc w:val="center"/>
        <w:rPr>
          <w:rFonts w:hint="default"/>
        </w:rPr>
      </w:pPr>
      <w:r>
        <w:t>编制说明</w:t>
      </w:r>
    </w:p>
    <w:p>
      <w:pPr>
        <w:pStyle w:val="13"/>
        <w:ind w:firstLine="480"/>
        <w:jc w:val="both"/>
        <w:rPr>
          <w:rFonts w:hint="default"/>
        </w:rPr>
      </w:pPr>
      <w:r>
        <w:t>1、投标人应按照招标文件要求提供相应证明材料，证明材料应与《中小企业声明函》的内容相一致，否则视为《中小企业声明函》内容不真实。</w:t>
      </w:r>
    </w:p>
    <w:p>
      <w:pPr>
        <w:pStyle w:val="13"/>
        <w:ind w:firstLine="480"/>
        <w:jc w:val="both"/>
        <w:rPr>
          <w:rFonts w:hint="default"/>
        </w:rPr>
      </w:pPr>
      <w:r>
        <w:t>2、投标人为监狱企业的，根据其提供的由省级以上监狱管理局、戒毒管理局（含新疆生产建设兵团）出具的属于监狱企业的证明文件进行认定，监狱企业视同小型、微型企业。</w:t>
      </w:r>
    </w:p>
    <w:p>
      <w:pPr>
        <w:pStyle w:val="13"/>
        <w:ind w:firstLine="480"/>
        <w:jc w:val="both"/>
        <w:rPr>
          <w:rFonts w:hint="default"/>
        </w:rPr>
      </w:pPr>
      <w:r>
        <w:t>3、投标人为残疾人福利性单位的，根据其提供的《残疾人福利性单位声明函》（格式附后）进行认定，残疾人福利性单位视同小型、微型企业。残疾人福利性单位属于小型、微型企业的，不重复享受政策。</w:t>
      </w:r>
    </w:p>
    <w:p>
      <w:pPr>
        <w:pStyle w:val="13"/>
        <w:ind w:firstLine="480"/>
        <w:jc w:val="both"/>
        <w:rPr>
          <w:rFonts w:hint="default"/>
        </w:rPr>
      </w:pPr>
      <w:r>
        <w:t>附：</w:t>
      </w:r>
    </w:p>
    <w:p>
      <w:pPr>
        <w:pStyle w:val="13"/>
        <w:jc w:val="center"/>
        <w:outlineLvl w:val="3"/>
        <w:rPr>
          <w:rFonts w:hint="default"/>
        </w:rPr>
      </w:pPr>
      <w:r>
        <w:rPr>
          <w:b/>
          <w:sz w:val="24"/>
        </w:rPr>
        <w:t>残疾人福利性单位声明函（价格扣除适用，若有）</w:t>
      </w:r>
    </w:p>
    <w:p>
      <w:pPr>
        <w:pStyle w:val="13"/>
        <w:ind w:firstLine="480"/>
        <w:jc w:val="both"/>
        <w:rPr>
          <w:rFonts w:hint="default"/>
        </w:rPr>
      </w:pPr>
      <w:r>
        <w:t>本投标人郑重声明，根据《财政部 民政部</w:t>
      </w:r>
      <w:r>
        <w:tab/>
      </w:r>
      <w:r>
        <w:tab/>
      </w:r>
      <w:r>
        <w:tab/>
      </w:r>
      <w:r>
        <w:t xml:space="preserve">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pPr>
        <w:pStyle w:val="13"/>
        <w:ind w:firstLine="480"/>
        <w:jc w:val="both"/>
        <w:rPr>
          <w:rFonts w:hint="default"/>
        </w:rPr>
      </w:pPr>
      <w:r>
        <w:t>（</w:t>
      </w:r>
      <w:r>
        <w:tab/>
      </w:r>
      <w:r>
        <w:tab/>
      </w:r>
      <w:r>
        <w:tab/>
      </w:r>
      <w:r>
        <w:t xml:space="preserve">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pPr>
        <w:pStyle w:val="13"/>
        <w:ind w:firstLine="480"/>
        <w:jc w:val="both"/>
        <w:rPr>
          <w:rFonts w:hint="default"/>
        </w:rPr>
      </w:pPr>
      <w:r>
        <w:t>（ ）由本投标人承建的（填写“所投采购包、品目号”）工程</w:t>
      </w:r>
    </w:p>
    <w:p>
      <w:pPr>
        <w:pStyle w:val="13"/>
        <w:ind w:firstLine="480"/>
        <w:jc w:val="both"/>
        <w:rPr>
          <w:rFonts w:hint="default"/>
        </w:rPr>
      </w:pPr>
      <w:r>
        <w:t>（ ）由本投标人承接的（填写“所投采购包、品目号”）服务；</w:t>
      </w:r>
    </w:p>
    <w:p>
      <w:pPr>
        <w:pStyle w:val="13"/>
        <w:ind w:firstLine="480"/>
        <w:jc w:val="both"/>
        <w:rPr>
          <w:rFonts w:hint="default"/>
        </w:rPr>
      </w:pPr>
      <w:r>
        <w:t>本投标人对上述声明的真实性负责。如有虚假，将依法承担相应责任。</w:t>
      </w:r>
    </w:p>
    <w:p>
      <w:pPr>
        <w:pStyle w:val="13"/>
        <w:ind w:firstLine="480"/>
        <w:jc w:val="both"/>
        <w:rPr>
          <w:rFonts w:hint="default"/>
        </w:rPr>
      </w:pPr>
      <w:r>
        <w:t>备注：</w:t>
      </w:r>
    </w:p>
    <w:p>
      <w:pPr>
        <w:pStyle w:val="13"/>
        <w:ind w:firstLine="480"/>
        <w:jc w:val="both"/>
        <w:rPr>
          <w:rFonts w:hint="default"/>
        </w:rPr>
      </w:pPr>
      <w:r>
        <w:t>1、请投标人按照实际情况编制填写本声明函，并在相应的（）中打“√”。</w:t>
      </w:r>
    </w:p>
    <w:p>
      <w:pPr>
        <w:pStyle w:val="13"/>
        <w:ind w:firstLine="480"/>
        <w:jc w:val="both"/>
        <w:rPr>
          <w:rFonts w:hint="default"/>
        </w:rPr>
      </w:pPr>
      <w:r>
        <w:t>2、若《残疾人福利性单位声明函》内容不真实，视为提供虚假材料。</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jc w:val="both"/>
        <w:rPr>
          <w:rFonts w:hint="default"/>
        </w:rPr>
      </w:pPr>
      <w:r>
        <w:t xml:space="preserve"> </w:t>
      </w:r>
    </w:p>
    <w:p>
      <w:pPr>
        <w:pStyle w:val="13"/>
        <w:ind w:firstLine="480"/>
        <w:jc w:val="both"/>
        <w:rPr>
          <w:rFonts w:hint="default"/>
        </w:rPr>
      </w:pPr>
      <w:r>
        <w:t>附：</w:t>
      </w:r>
    </w:p>
    <w:p>
      <w:pPr>
        <w:pStyle w:val="13"/>
        <w:jc w:val="center"/>
        <w:outlineLvl w:val="3"/>
        <w:rPr>
          <w:rFonts w:hint="default"/>
        </w:rPr>
      </w:pPr>
      <w:r>
        <w:rPr>
          <w:b/>
          <w:sz w:val="24"/>
        </w:rPr>
        <w:t>监狱企业证明材料</w:t>
      </w:r>
    </w:p>
    <w:p>
      <w:pPr>
        <w:pStyle w:val="13"/>
        <w:ind w:firstLine="480"/>
        <w:jc w:val="both"/>
        <w:rPr>
          <w:rFonts w:hint="default"/>
        </w:rPr>
      </w:pPr>
      <w:r>
        <w:t>投标人为监狱企业，提供本单位制造的货物（承接的服务），并在电子投标文件中提供省级以上监狱管理局、戒毒管理局（含新疆生产建设兵团）出具的属于监狱企业的证明文件。</w:t>
      </w:r>
    </w:p>
    <w:p>
      <w:pPr>
        <w:pStyle w:val="13"/>
        <w:jc w:val="both"/>
        <w:rPr>
          <w:rFonts w:hint="default"/>
        </w:rPr>
      </w:pPr>
      <w:r>
        <w:t xml:space="preserve"> </w:t>
      </w:r>
    </w:p>
    <w:p>
      <w:pPr>
        <w:pStyle w:val="13"/>
        <w:jc w:val="center"/>
        <w:outlineLvl w:val="3"/>
        <w:rPr>
          <w:rFonts w:hint="default"/>
        </w:rPr>
      </w:pPr>
      <w:r>
        <w:rPr>
          <w:b/>
          <w:sz w:val="24"/>
        </w:rPr>
        <w:t>三-3招标文件规定的其他价格扣除证明材料（若有）</w:t>
      </w:r>
    </w:p>
    <w:p>
      <w:pPr>
        <w:pStyle w:val="13"/>
        <w:ind w:firstLine="480"/>
        <w:jc w:val="center"/>
        <w:rPr>
          <w:rFonts w:hint="default"/>
        </w:rPr>
      </w:pPr>
      <w:r>
        <w:t>编制说明</w:t>
      </w:r>
    </w:p>
    <w:p>
      <w:pPr>
        <w:pStyle w:val="13"/>
        <w:ind w:firstLine="480"/>
        <w:jc w:val="both"/>
        <w:rPr>
          <w:rFonts w:hint="default"/>
        </w:rPr>
      </w:pPr>
      <w:r>
        <w:t>若投标人可享受招标文件规定的除“节能（非强制类）、环境标志产品价格扣除”及“小型、微型企业产品等价格扣除”外的其他价格扣除优惠，则投标人应按照招标文件要求提供相应证明材料。</w:t>
      </w:r>
    </w:p>
    <w:p>
      <w:pPr>
        <w:pStyle w:val="13"/>
        <w:jc w:val="both"/>
        <w:rPr>
          <w:rFonts w:hint="default"/>
        </w:rPr>
      </w:pPr>
    </w:p>
    <w:p>
      <w:pPr>
        <w:pStyle w:val="13"/>
        <w:jc w:val="both"/>
        <w:rPr>
          <w:rFonts w:hint="default"/>
        </w:rPr>
      </w:pPr>
      <w:r>
        <w:t xml:space="preserve"> </w:t>
      </w:r>
    </w:p>
    <w:p>
      <w:pPr>
        <w:pStyle w:val="13"/>
        <w:jc w:val="center"/>
        <w:outlineLvl w:val="2"/>
        <w:rPr>
          <w:rFonts w:hint="default"/>
        </w:rPr>
      </w:pPr>
      <w:r>
        <w:rPr>
          <w:b/>
          <w:sz w:val="28"/>
        </w:rPr>
        <w:t>四、招标文件规定的加分证明材料（若有）</w:t>
      </w:r>
    </w:p>
    <w:p>
      <w:pPr>
        <w:pStyle w:val="13"/>
        <w:jc w:val="center"/>
        <w:outlineLvl w:val="3"/>
        <w:rPr>
          <w:rFonts w:hint="default"/>
        </w:rPr>
      </w:pPr>
      <w:r>
        <w:rPr>
          <w:b/>
          <w:sz w:val="24"/>
        </w:rPr>
        <w:t>四-1优先类节能产品、环境标志产品加分证明材料（若有）</w:t>
      </w:r>
    </w:p>
    <w:p>
      <w:pPr>
        <w:pStyle w:val="13"/>
        <w:jc w:val="center"/>
        <w:outlineLvl w:val="3"/>
        <w:rPr>
          <w:rFonts w:hint="default"/>
        </w:rPr>
      </w:pPr>
      <w:r>
        <w:rPr>
          <w:b/>
          <w:sz w:val="24"/>
        </w:rPr>
        <w:t>四-1-①优先类节能产品、环境标志产品统计表（加分适用，若有）</w:t>
      </w:r>
    </w:p>
    <w:p>
      <w:pPr>
        <w:pStyle w:val="13"/>
        <w:ind w:firstLine="480"/>
        <w:jc w:val="both"/>
        <w:rPr>
          <w:rFonts w:hint="default"/>
        </w:rPr>
      </w:pPr>
      <w:r>
        <w:t>项目编号：</w:t>
      </w:r>
      <w:r>
        <w:rPr>
          <w:u w:val="single"/>
        </w:rPr>
        <w:t>　　　　　　　　</w:t>
      </w:r>
    </w:p>
    <w:p>
      <w:pPr>
        <w:pStyle w:val="13"/>
        <w:ind w:firstLine="480"/>
        <w:jc w:val="right"/>
        <w:rPr>
          <w:rFonts w:hint="default"/>
        </w:rPr>
      </w:pPr>
      <w:r>
        <w:t>货币及单位：人民币元</w:t>
      </w:r>
    </w:p>
    <w:tbl>
      <w:tblPr>
        <w:tblStyle w:val="11"/>
        <w:tblW w:w="0" w:type="auto"/>
        <w:tblInd w:w="0" w:type="dxa"/>
        <w:tblLayout w:type="autofit"/>
        <w:tblCellMar>
          <w:top w:w="0" w:type="dxa"/>
          <w:left w:w="108" w:type="dxa"/>
          <w:bottom w:w="0" w:type="dxa"/>
          <w:right w:w="108" w:type="dxa"/>
        </w:tblCellMar>
      </w:tblPr>
      <w:tblGrid>
        <w:gridCol w:w="1187"/>
        <w:gridCol w:w="1187"/>
        <w:gridCol w:w="1187"/>
        <w:gridCol w:w="1187"/>
        <w:gridCol w:w="1187"/>
        <w:gridCol w:w="1187"/>
        <w:gridCol w:w="1187"/>
      </w:tblGrid>
      <w:tr>
        <w:tblPrEx>
          <w:tblCellMar>
            <w:top w:w="0" w:type="dxa"/>
            <w:left w:w="108" w:type="dxa"/>
            <w:bottom w:w="0" w:type="dxa"/>
            <w:right w:w="108" w:type="dxa"/>
          </w:tblCellMar>
        </w:tblPrEx>
        <w:tc>
          <w:tcPr>
            <w:tcW w:w="1187" w:type="dxa"/>
          </w:tcPr>
          <w:p/>
        </w:tc>
        <w:tc>
          <w:tcPr>
            <w:tcW w:w="7122" w:type="dxa"/>
            <w:gridSpan w:val="6"/>
          </w:tcPr>
          <w:p>
            <w:pPr>
              <w:pStyle w:val="13"/>
              <w:jc w:val="center"/>
              <w:rPr>
                <w:rFonts w:hint="default"/>
              </w:rPr>
            </w:pPr>
            <w:r>
              <w:t>本采购包内属于节能、环境标志产品的情况</w:t>
            </w:r>
          </w:p>
        </w:tc>
      </w:tr>
      <w:tr>
        <w:tblPrEx>
          <w:tblCellMar>
            <w:top w:w="0" w:type="dxa"/>
            <w:left w:w="108" w:type="dxa"/>
            <w:bottom w:w="0" w:type="dxa"/>
            <w:right w:w="108" w:type="dxa"/>
          </w:tblCellMar>
        </w:tblPrEx>
        <w:tc>
          <w:tcPr>
            <w:tcW w:w="1187" w:type="dxa"/>
          </w:tcPr>
          <w:p>
            <w:pPr>
              <w:pStyle w:val="13"/>
              <w:jc w:val="both"/>
              <w:rPr>
                <w:rFonts w:hint="default"/>
              </w:rPr>
            </w:pPr>
            <w:r>
              <w:t>采购包</w:t>
            </w:r>
          </w:p>
        </w:tc>
        <w:tc>
          <w:tcPr>
            <w:tcW w:w="1187" w:type="dxa"/>
          </w:tcPr>
          <w:p>
            <w:pPr>
              <w:pStyle w:val="13"/>
              <w:jc w:val="both"/>
              <w:rPr>
                <w:rFonts w:hint="default"/>
              </w:rPr>
            </w:pPr>
            <w:r>
              <w:t>品目号</w:t>
            </w:r>
          </w:p>
        </w:tc>
        <w:tc>
          <w:tcPr>
            <w:tcW w:w="1187" w:type="dxa"/>
          </w:tcPr>
          <w:p>
            <w:pPr>
              <w:pStyle w:val="13"/>
              <w:jc w:val="both"/>
              <w:rPr>
                <w:rFonts w:hint="default"/>
              </w:rPr>
            </w:pPr>
            <w:r>
              <w:t>货物名称</w:t>
            </w:r>
          </w:p>
        </w:tc>
        <w:tc>
          <w:tcPr>
            <w:tcW w:w="1187" w:type="dxa"/>
          </w:tcPr>
          <w:p>
            <w:pPr>
              <w:pStyle w:val="13"/>
              <w:jc w:val="both"/>
              <w:rPr>
                <w:rFonts w:hint="default"/>
              </w:rPr>
            </w:pPr>
            <w:r>
              <w:t>单价（现场）</w:t>
            </w:r>
          </w:p>
        </w:tc>
        <w:tc>
          <w:tcPr>
            <w:tcW w:w="1187" w:type="dxa"/>
          </w:tcPr>
          <w:p>
            <w:pPr>
              <w:pStyle w:val="13"/>
              <w:jc w:val="both"/>
              <w:rPr>
                <w:rFonts w:hint="default"/>
              </w:rPr>
            </w:pPr>
            <w:r>
              <w:t>数量</w:t>
            </w:r>
          </w:p>
        </w:tc>
        <w:tc>
          <w:tcPr>
            <w:tcW w:w="1187" w:type="dxa"/>
          </w:tcPr>
          <w:p>
            <w:pPr>
              <w:pStyle w:val="13"/>
              <w:jc w:val="both"/>
              <w:rPr>
                <w:rFonts w:hint="default"/>
              </w:rPr>
            </w:pPr>
            <w:r>
              <w:t>总价（现场）</w:t>
            </w:r>
          </w:p>
        </w:tc>
        <w:tc>
          <w:tcPr>
            <w:tcW w:w="1187" w:type="dxa"/>
          </w:tcPr>
          <w:p>
            <w:pPr>
              <w:pStyle w:val="13"/>
              <w:jc w:val="both"/>
              <w:rPr>
                <w:rFonts w:hint="default"/>
              </w:rPr>
            </w:pPr>
            <w:r>
              <w:t>认证种类</w:t>
            </w:r>
          </w:p>
        </w:tc>
      </w:tr>
      <w:tr>
        <w:tblPrEx>
          <w:tblCellMar>
            <w:top w:w="0" w:type="dxa"/>
            <w:left w:w="108" w:type="dxa"/>
            <w:bottom w:w="0" w:type="dxa"/>
            <w:right w:w="108" w:type="dxa"/>
          </w:tblCellMar>
        </w:tblPrEx>
        <w:tc>
          <w:tcPr>
            <w:tcW w:w="1187" w:type="dxa"/>
            <w:vMerge w:val="restart"/>
          </w:tcPr>
          <w:p>
            <w:pPr>
              <w:pStyle w:val="13"/>
              <w:jc w:val="both"/>
              <w:rPr>
                <w:rFonts w:hint="default"/>
              </w:rPr>
            </w:pPr>
            <w:r>
              <w:t>*</w:t>
            </w:r>
          </w:p>
        </w:tc>
        <w:tc>
          <w:tcPr>
            <w:tcW w:w="1187" w:type="dxa"/>
          </w:tcPr>
          <w:p>
            <w:pPr>
              <w:pStyle w:val="13"/>
              <w:jc w:val="both"/>
              <w:rPr>
                <w:rFonts w:hint="default"/>
              </w:rPr>
            </w:pPr>
            <w:r>
              <w:t>*-1</w:t>
            </w:r>
          </w:p>
        </w:tc>
        <w:tc>
          <w:tcPr>
            <w:tcW w:w="1187" w:type="dxa"/>
          </w:tcPr>
          <w:p/>
        </w:tc>
        <w:tc>
          <w:tcPr>
            <w:tcW w:w="1187" w:type="dxa"/>
          </w:tcPr>
          <w:p/>
        </w:tc>
        <w:tc>
          <w:tcPr>
            <w:tcW w:w="1187" w:type="dxa"/>
          </w:tcPr>
          <w:p/>
        </w:tc>
        <w:tc>
          <w:tcPr>
            <w:tcW w:w="1187" w:type="dxa"/>
          </w:tcPr>
          <w:p/>
        </w:tc>
        <w:tc>
          <w:tcPr>
            <w:tcW w:w="1187" w:type="dxa"/>
          </w:tcPr>
          <w:p/>
        </w:tc>
      </w:tr>
      <w:tr>
        <w:tc>
          <w:tcPr>
            <w:tcW w:w="1187" w:type="dxa"/>
            <w:vMerge w:val="continue"/>
          </w:tcPr>
          <w:p/>
        </w:tc>
        <w:tc>
          <w:tcPr>
            <w:tcW w:w="1187" w:type="dxa"/>
          </w:tcPr>
          <w:p>
            <w:pPr>
              <w:pStyle w:val="13"/>
              <w:jc w:val="both"/>
              <w:rPr>
                <w:rFonts w:hint="default"/>
              </w:rPr>
            </w:pPr>
            <w:r>
              <w:t>…</w:t>
            </w:r>
          </w:p>
        </w:tc>
        <w:tc>
          <w:tcPr>
            <w:tcW w:w="1187" w:type="dxa"/>
          </w:tcPr>
          <w:p/>
        </w:tc>
        <w:tc>
          <w:tcPr>
            <w:tcW w:w="1187" w:type="dxa"/>
          </w:tcPr>
          <w:p/>
        </w:tc>
        <w:tc>
          <w:tcPr>
            <w:tcW w:w="1187" w:type="dxa"/>
          </w:tcPr>
          <w:p/>
        </w:tc>
        <w:tc>
          <w:tcPr>
            <w:tcW w:w="1187" w:type="dxa"/>
          </w:tcPr>
          <w:p/>
        </w:tc>
        <w:tc>
          <w:tcPr>
            <w:tcW w:w="1187" w:type="dxa"/>
          </w:tcPr>
          <w:p/>
        </w:tc>
      </w:tr>
    </w:tbl>
    <w:p>
      <w:pPr>
        <w:pStyle w:val="13"/>
        <w:ind w:firstLine="480"/>
        <w:jc w:val="both"/>
        <w:rPr>
          <w:rFonts w:hint="default"/>
        </w:rPr>
      </w:pPr>
      <w:r>
        <w:t>※注意：</w:t>
      </w:r>
    </w:p>
    <w:p>
      <w:pPr>
        <w:pStyle w:val="13"/>
        <w:ind w:firstLine="480"/>
        <w:jc w:val="both"/>
        <w:rPr>
          <w:rFonts w:hint="default"/>
        </w:rPr>
      </w:pPr>
      <w:r>
        <w:t>1、对节能、环境标志产品计算价格扣除时，只依据电子投标文件“四-1-②优先类节能产品、环境标志产品加分证明材料（加分适用，若有）”。</w:t>
      </w:r>
    </w:p>
    <w:p>
      <w:pPr>
        <w:pStyle w:val="13"/>
        <w:ind w:firstLine="480"/>
        <w:jc w:val="both"/>
        <w:rPr>
          <w:rFonts w:hint="default"/>
        </w:rPr>
      </w:pPr>
      <w:r>
        <w:t>2、本表以采购包为单位，不同采购包请分别填写；同一采购包请按照其品目号顺序分别填写。</w:t>
      </w:r>
    </w:p>
    <w:p>
      <w:pPr>
        <w:pStyle w:val="13"/>
        <w:ind w:firstLine="480"/>
        <w:jc w:val="both"/>
        <w:rPr>
          <w:rFonts w:hint="default"/>
        </w:rPr>
      </w:pPr>
      <w:r>
        <w:t>3、具体统计、计算：</w:t>
      </w:r>
    </w:p>
    <w:p>
      <w:pPr>
        <w:pStyle w:val="13"/>
        <w:ind w:firstLine="480"/>
        <w:jc w:val="both"/>
        <w:rPr>
          <w:rFonts w:hint="default"/>
        </w:rPr>
      </w:pPr>
      <w:r>
        <w:t>3.1若节能、环境标志产品仅是构成投标产品的部件、组件或零件，则该投标产品不享受鼓励优惠政策。同一品目中各认证证书不重复计算价格扣除。强制类节能产品不享受价格扣除。</w:t>
      </w:r>
    </w:p>
    <w:p>
      <w:pPr>
        <w:pStyle w:val="13"/>
        <w:ind w:firstLine="480"/>
        <w:jc w:val="both"/>
        <w:rPr>
          <w:rFonts w:hint="default"/>
        </w:rPr>
      </w:pPr>
      <w:r>
        <w:t>3.2计算结果若除不尽，可四舍五入保留到小数点后两位。</w:t>
      </w:r>
    </w:p>
    <w:p>
      <w:pPr>
        <w:pStyle w:val="13"/>
        <w:ind w:firstLine="480"/>
        <w:jc w:val="both"/>
        <w:rPr>
          <w:rFonts w:hint="default"/>
        </w:rPr>
      </w:pPr>
      <w:r>
        <w:t>3.3投标人应按照招标文件要求认真统计、计算，否则评标委员会不予认定。</w:t>
      </w:r>
    </w:p>
    <w:p>
      <w:pPr>
        <w:pStyle w:val="13"/>
        <w:ind w:firstLine="480"/>
        <w:jc w:val="both"/>
        <w:rPr>
          <w:rFonts w:hint="default"/>
        </w:rPr>
      </w:pPr>
      <w:r>
        <w:t>3.4若无节能、环境标志产品，不填写本表，否则，视为提供虚假材料。</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jc w:val="both"/>
        <w:rPr>
          <w:rFonts w:hint="default"/>
        </w:rPr>
      </w:pPr>
      <w:r>
        <w:t xml:space="preserve"> </w:t>
      </w:r>
    </w:p>
    <w:p>
      <w:pPr>
        <w:pStyle w:val="13"/>
        <w:jc w:val="center"/>
        <w:outlineLvl w:val="3"/>
        <w:rPr>
          <w:rFonts w:hint="default"/>
        </w:rPr>
      </w:pPr>
      <w:r>
        <w:rPr>
          <w:b/>
          <w:sz w:val="24"/>
        </w:rPr>
        <w:t>四-1-②优先类节能产品、环境标志产品证明材料（加分适用，若有）</w:t>
      </w:r>
    </w:p>
    <w:p>
      <w:pPr>
        <w:pStyle w:val="13"/>
        <w:jc w:val="center"/>
        <w:outlineLvl w:val="3"/>
        <w:rPr>
          <w:rFonts w:hint="default"/>
        </w:rPr>
      </w:pPr>
      <w:r>
        <w:rPr>
          <w:b/>
          <w:sz w:val="24"/>
        </w:rPr>
        <w:t>四-2招标文件规定的其他加分证明材料（若有）</w:t>
      </w:r>
    </w:p>
    <w:p>
      <w:pPr>
        <w:pStyle w:val="13"/>
        <w:ind w:firstLine="480"/>
        <w:jc w:val="center"/>
        <w:rPr>
          <w:rFonts w:hint="default"/>
        </w:rPr>
      </w:pPr>
      <w:r>
        <w:t>编制说明</w:t>
      </w:r>
    </w:p>
    <w:p>
      <w:pPr>
        <w:pStyle w:val="13"/>
        <w:ind w:firstLine="480"/>
        <w:jc w:val="both"/>
        <w:rPr>
          <w:rFonts w:hint="default"/>
        </w:rPr>
      </w:pPr>
      <w:r>
        <w:t>若投标人可享受招标文件规定的除“优先类节能产品、环境标志产品加分”外的其他加分优惠，则投标人应按照招标文件要求提供相应证明材料。</w:t>
      </w:r>
    </w:p>
    <w:p>
      <w:pPr>
        <w:pStyle w:val="13"/>
        <w:jc w:val="both"/>
        <w:rPr>
          <w:rFonts w:hint="default"/>
        </w:rPr>
      </w:pPr>
    </w:p>
    <w:p>
      <w:pPr>
        <w:pStyle w:val="13"/>
        <w:jc w:val="both"/>
        <w:rPr>
          <w:rFonts w:hint="default"/>
        </w:rPr>
      </w:pPr>
      <w:r>
        <w:t xml:space="preserve"> </w:t>
      </w:r>
    </w:p>
    <w:p>
      <w:pPr>
        <w:pStyle w:val="13"/>
        <w:jc w:val="center"/>
        <w:outlineLvl w:val="2"/>
        <w:rPr>
          <w:rFonts w:hint="default"/>
        </w:rPr>
      </w:pPr>
      <w:r>
        <w:rPr>
          <w:b/>
          <w:sz w:val="28"/>
        </w:rPr>
        <w:t>封面格式(技术商务部分)</w:t>
      </w:r>
    </w:p>
    <w:p>
      <w:pPr>
        <w:pStyle w:val="13"/>
        <w:jc w:val="center"/>
        <w:outlineLvl w:val="0"/>
        <w:rPr>
          <w:rFonts w:hint="default"/>
        </w:rPr>
      </w:pPr>
      <w:r>
        <w:rPr>
          <w:b/>
          <w:sz w:val="48"/>
        </w:rPr>
        <w:t>福建省政府采购投标文件</w:t>
      </w:r>
    </w:p>
    <w:p>
      <w:pPr>
        <w:pStyle w:val="13"/>
        <w:jc w:val="center"/>
        <w:outlineLvl w:val="0"/>
        <w:rPr>
          <w:rFonts w:hint="default"/>
        </w:rPr>
      </w:pPr>
      <w:r>
        <w:rPr>
          <w:b/>
          <w:sz w:val="48"/>
        </w:rPr>
        <w:t>（技术商务部分）</w:t>
      </w:r>
      <w:r>
        <w:br w:type="textWrapping"/>
      </w:r>
      <w:r>
        <w:br w:type="textWrapping"/>
      </w:r>
      <w:r>
        <w:br w:type="textWrapping"/>
      </w:r>
    </w:p>
    <w:p>
      <w:pPr>
        <w:pStyle w:val="13"/>
        <w:jc w:val="center"/>
        <w:outlineLvl w:val="1"/>
        <w:rPr>
          <w:rFonts w:hint="default"/>
        </w:rPr>
      </w:pPr>
      <w:r>
        <w:rPr>
          <w:b/>
          <w:sz w:val="36"/>
        </w:rPr>
        <w:t>（填写正本或副本）</w:t>
      </w:r>
      <w:r>
        <w:br w:type="textWrapping"/>
      </w:r>
      <w:r>
        <w:br w:type="textWrapping"/>
      </w:r>
      <w:r>
        <w:br w:type="textWrapping"/>
      </w:r>
      <w:r>
        <w:br w:type="textWrapping"/>
      </w:r>
      <w:r>
        <w:br w:type="textWrapping"/>
      </w:r>
    </w:p>
    <w:p>
      <w:pPr>
        <w:pStyle w:val="13"/>
        <w:jc w:val="center"/>
        <w:outlineLvl w:val="2"/>
        <w:rPr>
          <w:rFonts w:hint="default"/>
        </w:rPr>
      </w:pPr>
      <w:r>
        <w:rPr>
          <w:b/>
          <w:sz w:val="28"/>
        </w:rPr>
        <w:t>（项目名称：（由投标人填写）</w:t>
      </w:r>
    </w:p>
    <w:p>
      <w:pPr>
        <w:pStyle w:val="13"/>
        <w:jc w:val="center"/>
        <w:outlineLvl w:val="2"/>
        <w:rPr>
          <w:rFonts w:hint="default"/>
        </w:rPr>
      </w:pPr>
      <w:r>
        <w:rPr>
          <w:b/>
          <w:sz w:val="28"/>
        </w:rPr>
        <w:t>（备案编号：（由投标人填写）</w:t>
      </w:r>
    </w:p>
    <w:p>
      <w:pPr>
        <w:pStyle w:val="13"/>
        <w:jc w:val="center"/>
        <w:outlineLvl w:val="2"/>
        <w:rPr>
          <w:rFonts w:hint="default"/>
        </w:rPr>
      </w:pPr>
      <w:r>
        <w:rPr>
          <w:b/>
          <w:sz w:val="28"/>
        </w:rPr>
        <w:t>（项目编号：（由投标人填写）</w:t>
      </w:r>
    </w:p>
    <w:p>
      <w:pPr>
        <w:pStyle w:val="13"/>
        <w:jc w:val="center"/>
        <w:outlineLvl w:val="2"/>
        <w:rPr>
          <w:rFonts w:hint="default"/>
        </w:rPr>
      </w:pPr>
      <w:r>
        <w:rPr>
          <w:b/>
          <w:sz w:val="28"/>
        </w:rPr>
        <w:t>（所投采购包：（由投标人填写）</w:t>
      </w:r>
      <w:r>
        <w:br w:type="textWrapping"/>
      </w:r>
      <w:r>
        <w:br w:type="textWrapping"/>
      </w:r>
    </w:p>
    <w:p>
      <w:pPr>
        <w:pStyle w:val="13"/>
        <w:jc w:val="center"/>
        <w:outlineLvl w:val="2"/>
        <w:rPr>
          <w:rFonts w:hint="default"/>
        </w:rPr>
      </w:pPr>
      <w:r>
        <w:rPr>
          <w:b/>
          <w:sz w:val="28"/>
        </w:rPr>
        <w:t>投标人：（填写“全称”）</w:t>
      </w:r>
    </w:p>
    <w:p>
      <w:pPr>
        <w:pStyle w:val="13"/>
        <w:jc w:val="center"/>
        <w:outlineLvl w:val="2"/>
        <w:rPr>
          <w:rFonts w:hint="default"/>
        </w:rPr>
      </w:pPr>
      <w:r>
        <w:rPr>
          <w:b/>
          <w:sz w:val="28"/>
        </w:rPr>
        <w:t>（由投标人填写）年（由投标人填写）月</w:t>
      </w:r>
    </w:p>
    <w:p>
      <w:pPr>
        <w:pStyle w:val="13"/>
        <w:jc w:val="both"/>
        <w:rPr>
          <w:rFonts w:hint="default"/>
        </w:rPr>
      </w:pPr>
    </w:p>
    <w:p>
      <w:pPr>
        <w:pStyle w:val="13"/>
        <w:jc w:val="both"/>
        <w:rPr>
          <w:rFonts w:hint="default"/>
        </w:rPr>
      </w:pPr>
      <w:r>
        <w:t xml:space="preserve"> </w:t>
      </w:r>
    </w:p>
    <w:p>
      <w:pPr>
        <w:pStyle w:val="13"/>
        <w:jc w:val="center"/>
        <w:outlineLvl w:val="2"/>
        <w:rPr>
          <w:rFonts w:hint="default"/>
        </w:rPr>
      </w:pPr>
      <w:r>
        <w:rPr>
          <w:b/>
          <w:sz w:val="28"/>
        </w:rPr>
        <w:t>索引</w:t>
      </w:r>
    </w:p>
    <w:p>
      <w:pPr>
        <w:pStyle w:val="13"/>
        <w:ind w:firstLine="480"/>
        <w:jc w:val="both"/>
        <w:rPr>
          <w:rFonts w:hint="default"/>
        </w:rPr>
      </w:pPr>
      <w:r>
        <w:t>一、标的说明一览表</w:t>
      </w:r>
    </w:p>
    <w:p>
      <w:pPr>
        <w:pStyle w:val="13"/>
        <w:ind w:firstLine="480"/>
        <w:jc w:val="both"/>
        <w:rPr>
          <w:rFonts w:hint="default"/>
        </w:rPr>
      </w:pPr>
      <w:r>
        <w:t>二、技术和服务要求响应表</w:t>
      </w:r>
    </w:p>
    <w:p>
      <w:pPr>
        <w:pStyle w:val="13"/>
        <w:ind w:firstLine="480"/>
        <w:jc w:val="both"/>
        <w:rPr>
          <w:rFonts w:hint="default"/>
        </w:rPr>
      </w:pPr>
      <w:r>
        <w:t>三、商务条件响应表</w:t>
      </w:r>
    </w:p>
    <w:p>
      <w:pPr>
        <w:pStyle w:val="13"/>
        <w:ind w:firstLine="480"/>
        <w:jc w:val="both"/>
        <w:rPr>
          <w:rFonts w:hint="default"/>
        </w:rPr>
      </w:pPr>
      <w:r>
        <w:t>四、投标人提交的其他资料（若有）</w:t>
      </w:r>
    </w:p>
    <w:p>
      <w:pPr>
        <w:pStyle w:val="13"/>
        <w:ind w:firstLine="480"/>
        <w:jc w:val="both"/>
        <w:rPr>
          <w:rFonts w:hint="default"/>
        </w:rPr>
      </w:pPr>
      <w:r>
        <w:t>※注意</w:t>
      </w:r>
    </w:p>
    <w:p>
      <w:pPr>
        <w:pStyle w:val="13"/>
        <w:ind w:firstLine="480"/>
        <w:jc w:val="both"/>
        <w:rPr>
          <w:rFonts w:hint="default"/>
        </w:rPr>
      </w:pPr>
      <w:r>
        <w:t>技术商务部分中不得出现报价部分的全部或部分的投标报价信息（或组成资料），否则符合性审查不合格。</w:t>
      </w:r>
    </w:p>
    <w:p>
      <w:pPr>
        <w:pStyle w:val="13"/>
        <w:jc w:val="both"/>
        <w:rPr>
          <w:rFonts w:hint="default"/>
        </w:rPr>
      </w:pPr>
    </w:p>
    <w:p>
      <w:pPr>
        <w:pStyle w:val="13"/>
        <w:jc w:val="both"/>
        <w:rPr>
          <w:rFonts w:hint="default"/>
        </w:rPr>
      </w:pPr>
      <w:r>
        <w:t xml:space="preserve"> </w:t>
      </w:r>
    </w:p>
    <w:p>
      <w:pPr>
        <w:pStyle w:val="13"/>
        <w:jc w:val="center"/>
        <w:outlineLvl w:val="2"/>
        <w:rPr>
          <w:rFonts w:hint="default"/>
        </w:rPr>
      </w:pPr>
      <w:r>
        <w:rPr>
          <w:b/>
          <w:sz w:val="28"/>
        </w:rPr>
        <w:t>一、标的说明一览表</w:t>
      </w:r>
    </w:p>
    <w:p>
      <w:pPr>
        <w:pStyle w:val="13"/>
        <w:ind w:firstLine="480"/>
        <w:jc w:val="both"/>
        <w:rPr>
          <w:rFonts w:hint="default"/>
        </w:rPr>
      </w:pPr>
      <w:r>
        <w:t>项目编号：</w:t>
      </w:r>
      <w:r>
        <w:rPr>
          <w:u w:val="single"/>
        </w:rPr>
        <w:t>　　　　　　　　</w:t>
      </w:r>
    </w:p>
    <w:tbl>
      <w:tblPr>
        <w:tblStyle w:val="11"/>
        <w:tblW w:w="0" w:type="auto"/>
        <w:tblInd w:w="0" w:type="dxa"/>
        <w:tblLayout w:type="autofit"/>
        <w:tblCellMar>
          <w:top w:w="0" w:type="dxa"/>
          <w:left w:w="108" w:type="dxa"/>
          <w:bottom w:w="0" w:type="dxa"/>
          <w:right w:w="108" w:type="dxa"/>
        </w:tblCellMar>
      </w:tblPr>
      <w:tblGrid>
        <w:gridCol w:w="1384"/>
        <w:gridCol w:w="1384"/>
        <w:gridCol w:w="1384"/>
        <w:gridCol w:w="1384"/>
        <w:gridCol w:w="1384"/>
        <w:gridCol w:w="1384"/>
      </w:tblGrid>
      <w:tr>
        <w:tblPrEx>
          <w:tblCellMar>
            <w:top w:w="0" w:type="dxa"/>
            <w:left w:w="108" w:type="dxa"/>
            <w:bottom w:w="0" w:type="dxa"/>
            <w:right w:w="108" w:type="dxa"/>
          </w:tblCellMar>
        </w:tblPrEx>
        <w:tc>
          <w:tcPr>
            <w:tcW w:w="1384" w:type="dxa"/>
          </w:tcPr>
          <w:p>
            <w:pPr>
              <w:pStyle w:val="13"/>
              <w:jc w:val="both"/>
              <w:rPr>
                <w:rFonts w:hint="default"/>
              </w:rPr>
            </w:pPr>
            <w:r>
              <w:t>采购包</w:t>
            </w:r>
          </w:p>
        </w:tc>
        <w:tc>
          <w:tcPr>
            <w:tcW w:w="1384" w:type="dxa"/>
          </w:tcPr>
          <w:p>
            <w:pPr>
              <w:pStyle w:val="13"/>
              <w:jc w:val="both"/>
              <w:rPr>
                <w:rFonts w:hint="default"/>
              </w:rPr>
            </w:pPr>
            <w:r>
              <w:t>品目号</w:t>
            </w:r>
          </w:p>
        </w:tc>
        <w:tc>
          <w:tcPr>
            <w:tcW w:w="1384" w:type="dxa"/>
          </w:tcPr>
          <w:p>
            <w:pPr>
              <w:pStyle w:val="13"/>
              <w:jc w:val="both"/>
              <w:rPr>
                <w:rFonts w:hint="default"/>
              </w:rPr>
            </w:pPr>
            <w:r>
              <w:t>投标标的</w:t>
            </w:r>
          </w:p>
        </w:tc>
        <w:tc>
          <w:tcPr>
            <w:tcW w:w="1384" w:type="dxa"/>
          </w:tcPr>
          <w:p>
            <w:pPr>
              <w:pStyle w:val="13"/>
              <w:jc w:val="both"/>
              <w:rPr>
                <w:rFonts w:hint="default"/>
              </w:rPr>
            </w:pPr>
            <w:r>
              <w:t>规格</w:t>
            </w:r>
          </w:p>
        </w:tc>
        <w:tc>
          <w:tcPr>
            <w:tcW w:w="1384" w:type="dxa"/>
          </w:tcPr>
          <w:p>
            <w:pPr>
              <w:pStyle w:val="13"/>
              <w:jc w:val="both"/>
              <w:rPr>
                <w:rFonts w:hint="default"/>
              </w:rPr>
            </w:pPr>
            <w:r>
              <w:t>来源地</w:t>
            </w:r>
          </w:p>
        </w:tc>
        <w:tc>
          <w:tcPr>
            <w:tcW w:w="1384" w:type="dxa"/>
          </w:tcPr>
          <w:p>
            <w:pPr>
              <w:pStyle w:val="13"/>
              <w:jc w:val="both"/>
              <w:rPr>
                <w:rFonts w:hint="default"/>
              </w:rPr>
            </w:pPr>
            <w:r>
              <w:t>备注</w:t>
            </w:r>
          </w:p>
        </w:tc>
      </w:tr>
      <w:tr>
        <w:tblPrEx>
          <w:tblCellMar>
            <w:top w:w="0" w:type="dxa"/>
            <w:left w:w="108" w:type="dxa"/>
            <w:bottom w:w="0" w:type="dxa"/>
            <w:right w:w="108" w:type="dxa"/>
          </w:tblCellMar>
        </w:tblPrEx>
        <w:tc>
          <w:tcPr>
            <w:tcW w:w="1384" w:type="dxa"/>
            <w:vMerge w:val="restart"/>
          </w:tcPr>
          <w:p>
            <w:pPr>
              <w:pStyle w:val="13"/>
              <w:jc w:val="both"/>
              <w:rPr>
                <w:rFonts w:hint="default"/>
              </w:rPr>
            </w:pPr>
            <w:r>
              <w:t>*</w:t>
            </w:r>
          </w:p>
        </w:tc>
        <w:tc>
          <w:tcPr>
            <w:tcW w:w="1384" w:type="dxa"/>
          </w:tcPr>
          <w:p>
            <w:pPr>
              <w:pStyle w:val="13"/>
              <w:jc w:val="both"/>
              <w:rPr>
                <w:rFonts w:hint="default"/>
              </w:rPr>
            </w:pPr>
            <w:r>
              <w:t>*-1</w:t>
            </w:r>
          </w:p>
        </w:tc>
        <w:tc>
          <w:tcPr>
            <w:tcW w:w="1384" w:type="dxa"/>
          </w:tcPr>
          <w:p/>
        </w:tc>
        <w:tc>
          <w:tcPr>
            <w:tcW w:w="1384" w:type="dxa"/>
          </w:tcPr>
          <w:p/>
        </w:tc>
        <w:tc>
          <w:tcPr>
            <w:tcW w:w="1384" w:type="dxa"/>
          </w:tcPr>
          <w:p/>
        </w:tc>
        <w:tc>
          <w:tcPr>
            <w:tcW w:w="1384" w:type="dxa"/>
          </w:tcPr>
          <w:p/>
        </w:tc>
      </w:tr>
      <w:tr>
        <w:tblPrEx>
          <w:tblCellMar>
            <w:top w:w="0" w:type="dxa"/>
            <w:left w:w="108" w:type="dxa"/>
            <w:bottom w:w="0" w:type="dxa"/>
            <w:right w:w="108" w:type="dxa"/>
          </w:tblCellMar>
        </w:tblPrEx>
        <w:tc>
          <w:tcPr>
            <w:tcW w:w="1384" w:type="dxa"/>
            <w:vMerge w:val="continue"/>
          </w:tcPr>
          <w:p/>
        </w:tc>
        <w:tc>
          <w:tcPr>
            <w:tcW w:w="1384" w:type="dxa"/>
          </w:tcPr>
          <w:p>
            <w:pPr>
              <w:pStyle w:val="13"/>
              <w:jc w:val="both"/>
              <w:rPr>
                <w:rFonts w:hint="default"/>
              </w:rPr>
            </w:pPr>
            <w:r>
              <w:t>…</w:t>
            </w:r>
          </w:p>
        </w:tc>
        <w:tc>
          <w:tcPr>
            <w:tcW w:w="1384" w:type="dxa"/>
          </w:tcPr>
          <w:p/>
        </w:tc>
        <w:tc>
          <w:tcPr>
            <w:tcW w:w="1384" w:type="dxa"/>
          </w:tcPr>
          <w:p/>
        </w:tc>
        <w:tc>
          <w:tcPr>
            <w:tcW w:w="1384" w:type="dxa"/>
          </w:tcPr>
          <w:p/>
        </w:tc>
        <w:tc>
          <w:tcPr>
            <w:tcW w:w="1384" w:type="dxa"/>
          </w:tcPr>
          <w:p/>
        </w:tc>
      </w:tr>
      <w:tr>
        <w:tblPrEx>
          <w:tblCellMar>
            <w:top w:w="0" w:type="dxa"/>
            <w:left w:w="108" w:type="dxa"/>
            <w:bottom w:w="0" w:type="dxa"/>
            <w:right w:w="108" w:type="dxa"/>
          </w:tblCellMar>
        </w:tblPrEx>
        <w:tc>
          <w:tcPr>
            <w:tcW w:w="1384" w:type="dxa"/>
          </w:tcPr>
          <w:p>
            <w:pPr>
              <w:pStyle w:val="13"/>
              <w:jc w:val="both"/>
              <w:rPr>
                <w:rFonts w:hint="default"/>
              </w:rPr>
            </w:pPr>
            <w:r>
              <w:t>…</w:t>
            </w:r>
          </w:p>
        </w:tc>
        <w:tc>
          <w:tcPr>
            <w:tcW w:w="1384" w:type="dxa"/>
          </w:tcPr>
          <w:p/>
        </w:tc>
        <w:tc>
          <w:tcPr>
            <w:tcW w:w="1384" w:type="dxa"/>
          </w:tcPr>
          <w:p/>
        </w:tc>
        <w:tc>
          <w:tcPr>
            <w:tcW w:w="1384" w:type="dxa"/>
          </w:tcPr>
          <w:p/>
        </w:tc>
        <w:tc>
          <w:tcPr>
            <w:tcW w:w="1384" w:type="dxa"/>
          </w:tcPr>
          <w:p/>
        </w:tc>
        <w:tc>
          <w:tcPr>
            <w:tcW w:w="1384" w:type="dxa"/>
          </w:tcPr>
          <w:p/>
        </w:tc>
      </w:tr>
    </w:tbl>
    <w:p>
      <w:pPr>
        <w:pStyle w:val="13"/>
        <w:ind w:firstLine="480"/>
        <w:jc w:val="both"/>
        <w:rPr>
          <w:rFonts w:hint="default"/>
        </w:rPr>
      </w:pPr>
      <w:r>
        <w:t>※注意：</w:t>
      </w:r>
    </w:p>
    <w:p>
      <w:pPr>
        <w:pStyle w:val="13"/>
        <w:ind w:firstLine="480"/>
        <w:jc w:val="both"/>
        <w:rPr>
          <w:rFonts w:hint="default"/>
        </w:rPr>
      </w:pPr>
      <w:r>
        <w:t>1、本表应按照下列规定填写：</w:t>
      </w:r>
    </w:p>
    <w:p>
      <w:pPr>
        <w:pStyle w:val="13"/>
        <w:ind w:firstLine="480"/>
        <w:jc w:val="both"/>
        <w:rPr>
          <w:rFonts w:hint="default"/>
        </w:rPr>
      </w:pPr>
      <w:r>
        <w:t>1.1“采购包”、“品目号”、“投标标的”及“数量”应与招标文件《采购标的一览表》中的有关内容（“采购包”、“品目号”、“采购标的”及“数量”）保持一致。</w:t>
      </w:r>
    </w:p>
    <w:p>
      <w:pPr>
        <w:pStyle w:val="13"/>
        <w:ind w:firstLine="480"/>
        <w:jc w:val="both"/>
        <w:rPr>
          <w:rFonts w:hint="default"/>
        </w:rPr>
      </w:pPr>
      <w: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pPr>
        <w:pStyle w:val="13"/>
        <w:ind w:firstLine="480"/>
        <w:jc w:val="both"/>
        <w:rPr>
          <w:rFonts w:hint="default"/>
        </w:rPr>
      </w:pPr>
      <w:r>
        <w:t>1.3“投标标的”为服务的：“规格”项下应填写服务提供者提供的服务标准及品牌（若有）。“来源地”应填写服务提供者的所在地。“备注”项下应填写关于服务标准所涵盖的具体项目或内容的说明等。</w:t>
      </w:r>
    </w:p>
    <w:p>
      <w:pPr>
        <w:pStyle w:val="13"/>
        <w:ind w:firstLine="480"/>
        <w:jc w:val="both"/>
        <w:rPr>
          <w:rFonts w:hint="default"/>
        </w:rPr>
      </w:pPr>
      <w:r>
        <w:t>2、投标人需要说明的内容若需特殊表达，应先在本表中进行相应说明，再另页应答，但应做好标注说明，方便评委查阅评审。未标注说明可能导致的不利的评审后果由投标人自行承担。</w:t>
      </w:r>
    </w:p>
    <w:p>
      <w:pPr>
        <w:pStyle w:val="13"/>
        <w:ind w:firstLine="480"/>
        <w:jc w:val="both"/>
        <w:rPr>
          <w:rFonts w:hint="default"/>
        </w:rPr>
      </w:pPr>
      <w:r>
        <w:t>3、电子投标文件中涉及“投标标的”、“数量”、“规格”、“来源地”的内容若不一致，应以本表为准。</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jc w:val="both"/>
        <w:rPr>
          <w:rFonts w:hint="default"/>
        </w:rPr>
      </w:pPr>
    </w:p>
    <w:p>
      <w:pPr>
        <w:pStyle w:val="13"/>
        <w:jc w:val="both"/>
        <w:rPr>
          <w:rFonts w:hint="default"/>
        </w:rPr>
      </w:pPr>
      <w:r>
        <w:t xml:space="preserve"> </w:t>
      </w:r>
    </w:p>
    <w:p>
      <w:pPr>
        <w:pStyle w:val="13"/>
        <w:jc w:val="center"/>
        <w:outlineLvl w:val="2"/>
        <w:rPr>
          <w:rFonts w:hint="default"/>
        </w:rPr>
      </w:pPr>
      <w:r>
        <w:rPr>
          <w:b/>
          <w:sz w:val="28"/>
        </w:rPr>
        <w:t>二、技术和服务要求响应表</w:t>
      </w:r>
    </w:p>
    <w:p>
      <w:pPr>
        <w:pStyle w:val="13"/>
        <w:ind w:firstLine="480"/>
        <w:jc w:val="both"/>
        <w:rPr>
          <w:rFonts w:hint="default"/>
        </w:rPr>
      </w:pPr>
      <w:r>
        <w:t>项目编号：</w:t>
      </w:r>
      <w:r>
        <w:rPr>
          <w:u w:val="single"/>
        </w:rPr>
        <w:t>　　　　　　　　</w:t>
      </w:r>
    </w:p>
    <w:tbl>
      <w:tblPr>
        <w:tblStyle w:val="11"/>
        <w:tblW w:w="0" w:type="auto"/>
        <w:tblInd w:w="0" w:type="dxa"/>
        <w:tblLayout w:type="autofit"/>
        <w:tblCellMar>
          <w:top w:w="0" w:type="dxa"/>
          <w:left w:w="108" w:type="dxa"/>
          <w:bottom w:w="0" w:type="dxa"/>
          <w:right w:w="108" w:type="dxa"/>
        </w:tblCellMar>
      </w:tblPr>
      <w:tblGrid>
        <w:gridCol w:w="1661"/>
        <w:gridCol w:w="1661"/>
        <w:gridCol w:w="1661"/>
        <w:gridCol w:w="1661"/>
        <w:gridCol w:w="1661"/>
      </w:tblGrid>
      <w:tr>
        <w:tblPrEx>
          <w:tblCellMar>
            <w:top w:w="0" w:type="dxa"/>
            <w:left w:w="108" w:type="dxa"/>
            <w:bottom w:w="0" w:type="dxa"/>
            <w:right w:w="108" w:type="dxa"/>
          </w:tblCellMar>
        </w:tblPrEx>
        <w:tc>
          <w:tcPr>
            <w:tcW w:w="1661" w:type="dxa"/>
          </w:tcPr>
          <w:p>
            <w:pPr>
              <w:pStyle w:val="13"/>
              <w:jc w:val="both"/>
              <w:rPr>
                <w:rFonts w:hint="default"/>
              </w:rPr>
            </w:pPr>
            <w:r>
              <w:t>采购包</w:t>
            </w:r>
          </w:p>
        </w:tc>
        <w:tc>
          <w:tcPr>
            <w:tcW w:w="1661" w:type="dxa"/>
          </w:tcPr>
          <w:p>
            <w:pPr>
              <w:pStyle w:val="13"/>
              <w:jc w:val="both"/>
              <w:rPr>
                <w:rFonts w:hint="default"/>
              </w:rPr>
            </w:pPr>
            <w:r>
              <w:t>品目号</w:t>
            </w:r>
          </w:p>
        </w:tc>
        <w:tc>
          <w:tcPr>
            <w:tcW w:w="1661" w:type="dxa"/>
          </w:tcPr>
          <w:p>
            <w:pPr>
              <w:pStyle w:val="13"/>
              <w:jc w:val="both"/>
              <w:rPr>
                <w:rFonts w:hint="default"/>
              </w:rPr>
            </w:pPr>
            <w:r>
              <w:t>技术和服务要求</w:t>
            </w:r>
          </w:p>
        </w:tc>
        <w:tc>
          <w:tcPr>
            <w:tcW w:w="1661" w:type="dxa"/>
          </w:tcPr>
          <w:p>
            <w:pPr>
              <w:pStyle w:val="13"/>
              <w:jc w:val="both"/>
              <w:rPr>
                <w:rFonts w:hint="default"/>
              </w:rPr>
            </w:pPr>
            <w:r>
              <w:t>投标响应</w:t>
            </w:r>
          </w:p>
        </w:tc>
        <w:tc>
          <w:tcPr>
            <w:tcW w:w="1661" w:type="dxa"/>
          </w:tcPr>
          <w:p>
            <w:pPr>
              <w:pStyle w:val="13"/>
              <w:jc w:val="both"/>
              <w:rPr>
                <w:rFonts w:hint="default"/>
              </w:rPr>
            </w:pPr>
            <w:r>
              <w:t>是否偏离及说明</w:t>
            </w:r>
          </w:p>
        </w:tc>
      </w:tr>
      <w:tr>
        <w:tblPrEx>
          <w:tblCellMar>
            <w:top w:w="0" w:type="dxa"/>
            <w:left w:w="108" w:type="dxa"/>
            <w:bottom w:w="0" w:type="dxa"/>
            <w:right w:w="108" w:type="dxa"/>
          </w:tblCellMar>
        </w:tblPrEx>
        <w:tc>
          <w:tcPr>
            <w:tcW w:w="1661" w:type="dxa"/>
            <w:vMerge w:val="restart"/>
          </w:tcPr>
          <w:p>
            <w:pPr>
              <w:pStyle w:val="13"/>
              <w:jc w:val="both"/>
              <w:rPr>
                <w:rFonts w:hint="default"/>
              </w:rPr>
            </w:pPr>
            <w:r>
              <w:t>*</w:t>
            </w:r>
          </w:p>
        </w:tc>
        <w:tc>
          <w:tcPr>
            <w:tcW w:w="1661" w:type="dxa"/>
          </w:tcPr>
          <w:p>
            <w:pPr>
              <w:pStyle w:val="13"/>
              <w:jc w:val="both"/>
              <w:rPr>
                <w:rFonts w:hint="default"/>
              </w:rPr>
            </w:pPr>
            <w:r>
              <w:t>*-1</w:t>
            </w:r>
          </w:p>
        </w:tc>
        <w:tc>
          <w:tcPr>
            <w:tcW w:w="1661" w:type="dxa"/>
          </w:tcPr>
          <w:p/>
        </w:tc>
        <w:tc>
          <w:tcPr>
            <w:tcW w:w="1661" w:type="dxa"/>
          </w:tcPr>
          <w:p/>
        </w:tc>
        <w:tc>
          <w:tcPr>
            <w:tcW w:w="1661" w:type="dxa"/>
          </w:tcPr>
          <w:p/>
        </w:tc>
      </w:tr>
      <w:tr>
        <w:tblPrEx>
          <w:tblCellMar>
            <w:top w:w="0" w:type="dxa"/>
            <w:left w:w="108" w:type="dxa"/>
            <w:bottom w:w="0" w:type="dxa"/>
            <w:right w:w="108" w:type="dxa"/>
          </w:tblCellMar>
        </w:tblPrEx>
        <w:tc>
          <w:tcPr>
            <w:tcW w:w="1661" w:type="dxa"/>
            <w:vMerge w:val="continue"/>
          </w:tcPr>
          <w:p/>
        </w:tc>
        <w:tc>
          <w:tcPr>
            <w:tcW w:w="1661" w:type="dxa"/>
          </w:tcPr>
          <w:p>
            <w:pPr>
              <w:pStyle w:val="13"/>
              <w:jc w:val="both"/>
              <w:rPr>
                <w:rFonts w:hint="default"/>
              </w:rPr>
            </w:pPr>
            <w:r>
              <w:t>…</w:t>
            </w:r>
          </w:p>
        </w:tc>
        <w:tc>
          <w:tcPr>
            <w:tcW w:w="1661" w:type="dxa"/>
          </w:tcPr>
          <w:p/>
        </w:tc>
        <w:tc>
          <w:tcPr>
            <w:tcW w:w="1661" w:type="dxa"/>
          </w:tcPr>
          <w:p/>
        </w:tc>
        <w:tc>
          <w:tcPr>
            <w:tcW w:w="1661" w:type="dxa"/>
          </w:tcPr>
          <w:p/>
        </w:tc>
      </w:tr>
      <w:tr>
        <w:tblPrEx>
          <w:tblCellMar>
            <w:top w:w="0" w:type="dxa"/>
            <w:left w:w="108" w:type="dxa"/>
            <w:bottom w:w="0" w:type="dxa"/>
            <w:right w:w="108" w:type="dxa"/>
          </w:tblCellMar>
        </w:tblPrEx>
        <w:tc>
          <w:tcPr>
            <w:tcW w:w="1661" w:type="dxa"/>
          </w:tcPr>
          <w:p>
            <w:pPr>
              <w:pStyle w:val="13"/>
              <w:jc w:val="both"/>
              <w:rPr>
                <w:rFonts w:hint="default"/>
              </w:rPr>
            </w:pPr>
            <w:r>
              <w:t>…</w:t>
            </w:r>
          </w:p>
        </w:tc>
        <w:tc>
          <w:tcPr>
            <w:tcW w:w="1661" w:type="dxa"/>
          </w:tcPr>
          <w:p/>
        </w:tc>
        <w:tc>
          <w:tcPr>
            <w:tcW w:w="1661" w:type="dxa"/>
          </w:tcPr>
          <w:p/>
        </w:tc>
        <w:tc>
          <w:tcPr>
            <w:tcW w:w="1661" w:type="dxa"/>
          </w:tcPr>
          <w:p/>
        </w:tc>
        <w:tc>
          <w:tcPr>
            <w:tcW w:w="1661" w:type="dxa"/>
          </w:tcPr>
          <w:p/>
        </w:tc>
      </w:tr>
    </w:tbl>
    <w:p>
      <w:pPr>
        <w:pStyle w:val="13"/>
        <w:ind w:firstLine="480"/>
        <w:jc w:val="both"/>
        <w:rPr>
          <w:rFonts w:hint="default"/>
        </w:rPr>
      </w:pPr>
      <w:r>
        <w:t>※注意：</w:t>
      </w:r>
    </w:p>
    <w:p>
      <w:pPr>
        <w:pStyle w:val="13"/>
        <w:ind w:firstLine="480"/>
        <w:jc w:val="both"/>
        <w:rPr>
          <w:rFonts w:hint="default"/>
        </w:rPr>
      </w:pPr>
      <w:r>
        <w:t>1、本表应按照下列规定填写：</w:t>
      </w:r>
    </w:p>
    <w:p>
      <w:pPr>
        <w:pStyle w:val="13"/>
        <w:ind w:firstLine="480"/>
        <w:jc w:val="both"/>
        <w:rPr>
          <w:rFonts w:hint="default"/>
        </w:rPr>
      </w:pPr>
      <w:r>
        <w:t>1.1“技术和服务要求”项下填写的内容应与招标文件第五章“技术和服务要求”的内容保持一致。</w:t>
      </w:r>
    </w:p>
    <w:p>
      <w:pPr>
        <w:pStyle w:val="13"/>
        <w:ind w:firstLine="480"/>
        <w:jc w:val="both"/>
        <w:rPr>
          <w:rFonts w:hint="default"/>
        </w:rPr>
      </w:pPr>
      <w: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pPr>
        <w:pStyle w:val="13"/>
        <w:ind w:firstLine="480"/>
        <w:jc w:val="both"/>
        <w:rPr>
          <w:rFonts w:hint="default"/>
        </w:rPr>
      </w:pPr>
      <w:r>
        <w:t>1.3“是否偏离及说明”项下应按下列规定填写：优于的，填写“正偏离”；符合的，填写“无偏离”；低于的，填写“负偏离”。</w:t>
      </w:r>
    </w:p>
    <w:p>
      <w:pPr>
        <w:pStyle w:val="13"/>
        <w:ind w:firstLine="480"/>
        <w:jc w:val="both"/>
        <w:rPr>
          <w:rFonts w:hint="default"/>
        </w:rPr>
      </w:pPr>
      <w:r>
        <w:t>2、投标人需要说明的内容若需特殊表达，应先在本表中进行相应说明，再另页应答，但应做好标注说明，方便评委查阅评审。未标注说明可能导致的不利的评审后果由投标人自行承担。</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jc w:val="both"/>
        <w:rPr>
          <w:rFonts w:hint="default"/>
        </w:rPr>
      </w:pPr>
    </w:p>
    <w:p>
      <w:pPr>
        <w:pStyle w:val="13"/>
        <w:jc w:val="both"/>
        <w:rPr>
          <w:rFonts w:hint="default"/>
        </w:rPr>
      </w:pPr>
      <w:r>
        <w:t xml:space="preserve"> </w:t>
      </w:r>
    </w:p>
    <w:p>
      <w:pPr>
        <w:pStyle w:val="13"/>
        <w:jc w:val="center"/>
        <w:outlineLvl w:val="2"/>
        <w:rPr>
          <w:rFonts w:hint="default"/>
        </w:rPr>
      </w:pPr>
      <w:r>
        <w:rPr>
          <w:b/>
          <w:sz w:val="28"/>
        </w:rPr>
        <w:t>三、商务条件响应表</w:t>
      </w:r>
    </w:p>
    <w:p>
      <w:pPr>
        <w:pStyle w:val="13"/>
        <w:ind w:firstLine="480"/>
        <w:jc w:val="both"/>
        <w:rPr>
          <w:rFonts w:hint="default"/>
        </w:rPr>
      </w:pPr>
      <w:r>
        <w:t>项目编号：</w:t>
      </w:r>
      <w:r>
        <w:rPr>
          <w:u w:val="single"/>
        </w:rPr>
        <w:t>　　　　　　　　</w:t>
      </w:r>
    </w:p>
    <w:tbl>
      <w:tblPr>
        <w:tblStyle w:val="11"/>
        <w:tblW w:w="0" w:type="auto"/>
        <w:tblInd w:w="0" w:type="dxa"/>
        <w:tblLayout w:type="autofit"/>
        <w:tblCellMar>
          <w:top w:w="0" w:type="dxa"/>
          <w:left w:w="108" w:type="dxa"/>
          <w:bottom w:w="0" w:type="dxa"/>
          <w:right w:w="108" w:type="dxa"/>
        </w:tblCellMar>
      </w:tblPr>
      <w:tblGrid>
        <w:gridCol w:w="1661"/>
        <w:gridCol w:w="1661"/>
        <w:gridCol w:w="1661"/>
        <w:gridCol w:w="1661"/>
        <w:gridCol w:w="1661"/>
      </w:tblGrid>
      <w:tr>
        <w:tblPrEx>
          <w:tblCellMar>
            <w:top w:w="0" w:type="dxa"/>
            <w:left w:w="108" w:type="dxa"/>
            <w:bottom w:w="0" w:type="dxa"/>
            <w:right w:w="108" w:type="dxa"/>
          </w:tblCellMar>
        </w:tblPrEx>
        <w:tc>
          <w:tcPr>
            <w:tcW w:w="1661" w:type="dxa"/>
          </w:tcPr>
          <w:p>
            <w:pPr>
              <w:pStyle w:val="13"/>
              <w:jc w:val="both"/>
              <w:rPr>
                <w:rFonts w:hint="default"/>
              </w:rPr>
            </w:pPr>
            <w:r>
              <w:t>采购包</w:t>
            </w:r>
          </w:p>
        </w:tc>
        <w:tc>
          <w:tcPr>
            <w:tcW w:w="1661" w:type="dxa"/>
          </w:tcPr>
          <w:p>
            <w:pPr>
              <w:pStyle w:val="13"/>
              <w:jc w:val="both"/>
              <w:rPr>
                <w:rFonts w:hint="default"/>
              </w:rPr>
            </w:pPr>
            <w:r>
              <w:t>品目号</w:t>
            </w:r>
          </w:p>
        </w:tc>
        <w:tc>
          <w:tcPr>
            <w:tcW w:w="1661" w:type="dxa"/>
          </w:tcPr>
          <w:p>
            <w:pPr>
              <w:pStyle w:val="13"/>
              <w:jc w:val="both"/>
              <w:rPr>
                <w:rFonts w:hint="default"/>
              </w:rPr>
            </w:pPr>
            <w:r>
              <w:t>商务条件</w:t>
            </w:r>
          </w:p>
        </w:tc>
        <w:tc>
          <w:tcPr>
            <w:tcW w:w="1661" w:type="dxa"/>
          </w:tcPr>
          <w:p>
            <w:pPr>
              <w:pStyle w:val="13"/>
              <w:jc w:val="both"/>
              <w:rPr>
                <w:rFonts w:hint="default"/>
              </w:rPr>
            </w:pPr>
            <w:r>
              <w:t>投标响应</w:t>
            </w:r>
          </w:p>
        </w:tc>
        <w:tc>
          <w:tcPr>
            <w:tcW w:w="1661" w:type="dxa"/>
          </w:tcPr>
          <w:p>
            <w:pPr>
              <w:pStyle w:val="13"/>
              <w:jc w:val="both"/>
              <w:rPr>
                <w:rFonts w:hint="default"/>
              </w:rPr>
            </w:pPr>
            <w:r>
              <w:t>是否偏离及说明</w:t>
            </w:r>
          </w:p>
        </w:tc>
      </w:tr>
      <w:tr>
        <w:tblPrEx>
          <w:tblCellMar>
            <w:top w:w="0" w:type="dxa"/>
            <w:left w:w="108" w:type="dxa"/>
            <w:bottom w:w="0" w:type="dxa"/>
            <w:right w:w="108" w:type="dxa"/>
          </w:tblCellMar>
        </w:tblPrEx>
        <w:tc>
          <w:tcPr>
            <w:tcW w:w="1661" w:type="dxa"/>
            <w:vMerge w:val="restart"/>
          </w:tcPr>
          <w:p>
            <w:pPr>
              <w:pStyle w:val="13"/>
              <w:jc w:val="both"/>
              <w:rPr>
                <w:rFonts w:hint="default"/>
              </w:rPr>
            </w:pPr>
            <w:r>
              <w:t>*</w:t>
            </w:r>
          </w:p>
        </w:tc>
        <w:tc>
          <w:tcPr>
            <w:tcW w:w="1661" w:type="dxa"/>
          </w:tcPr>
          <w:p>
            <w:pPr>
              <w:pStyle w:val="13"/>
              <w:jc w:val="both"/>
              <w:rPr>
                <w:rFonts w:hint="default"/>
              </w:rPr>
            </w:pPr>
            <w:r>
              <w:t>*-1</w:t>
            </w:r>
          </w:p>
        </w:tc>
        <w:tc>
          <w:tcPr>
            <w:tcW w:w="1661" w:type="dxa"/>
          </w:tcPr>
          <w:p/>
        </w:tc>
        <w:tc>
          <w:tcPr>
            <w:tcW w:w="1661" w:type="dxa"/>
          </w:tcPr>
          <w:p/>
        </w:tc>
        <w:tc>
          <w:tcPr>
            <w:tcW w:w="1661" w:type="dxa"/>
          </w:tcPr>
          <w:p/>
        </w:tc>
      </w:tr>
      <w:tr>
        <w:tblPrEx>
          <w:tblCellMar>
            <w:top w:w="0" w:type="dxa"/>
            <w:left w:w="108" w:type="dxa"/>
            <w:bottom w:w="0" w:type="dxa"/>
            <w:right w:w="108" w:type="dxa"/>
          </w:tblCellMar>
        </w:tblPrEx>
        <w:tc>
          <w:tcPr>
            <w:tcW w:w="1661" w:type="dxa"/>
            <w:vMerge w:val="continue"/>
          </w:tcPr>
          <w:p/>
        </w:tc>
        <w:tc>
          <w:tcPr>
            <w:tcW w:w="1661" w:type="dxa"/>
          </w:tcPr>
          <w:p>
            <w:pPr>
              <w:pStyle w:val="13"/>
              <w:jc w:val="both"/>
              <w:rPr>
                <w:rFonts w:hint="default"/>
              </w:rPr>
            </w:pPr>
            <w:r>
              <w:t>…</w:t>
            </w:r>
          </w:p>
        </w:tc>
        <w:tc>
          <w:tcPr>
            <w:tcW w:w="1661" w:type="dxa"/>
          </w:tcPr>
          <w:p/>
        </w:tc>
        <w:tc>
          <w:tcPr>
            <w:tcW w:w="1661" w:type="dxa"/>
          </w:tcPr>
          <w:p/>
        </w:tc>
        <w:tc>
          <w:tcPr>
            <w:tcW w:w="1661" w:type="dxa"/>
          </w:tcPr>
          <w:p/>
        </w:tc>
      </w:tr>
      <w:tr>
        <w:tblPrEx>
          <w:tblCellMar>
            <w:top w:w="0" w:type="dxa"/>
            <w:left w:w="108" w:type="dxa"/>
            <w:bottom w:w="0" w:type="dxa"/>
            <w:right w:w="108" w:type="dxa"/>
          </w:tblCellMar>
        </w:tblPrEx>
        <w:tc>
          <w:tcPr>
            <w:tcW w:w="1661" w:type="dxa"/>
          </w:tcPr>
          <w:p>
            <w:pPr>
              <w:pStyle w:val="13"/>
              <w:jc w:val="both"/>
              <w:rPr>
                <w:rFonts w:hint="default"/>
              </w:rPr>
            </w:pPr>
            <w:r>
              <w:t>…</w:t>
            </w:r>
          </w:p>
        </w:tc>
        <w:tc>
          <w:tcPr>
            <w:tcW w:w="1661" w:type="dxa"/>
          </w:tcPr>
          <w:p/>
        </w:tc>
        <w:tc>
          <w:tcPr>
            <w:tcW w:w="1661" w:type="dxa"/>
          </w:tcPr>
          <w:p/>
        </w:tc>
        <w:tc>
          <w:tcPr>
            <w:tcW w:w="1661" w:type="dxa"/>
          </w:tcPr>
          <w:p/>
        </w:tc>
        <w:tc>
          <w:tcPr>
            <w:tcW w:w="1661" w:type="dxa"/>
          </w:tcPr>
          <w:p/>
        </w:tc>
      </w:tr>
    </w:tbl>
    <w:p>
      <w:pPr>
        <w:pStyle w:val="13"/>
        <w:ind w:firstLine="480"/>
        <w:jc w:val="both"/>
        <w:rPr>
          <w:rFonts w:hint="default"/>
        </w:rPr>
      </w:pPr>
      <w:r>
        <w:t>※注意：</w:t>
      </w:r>
    </w:p>
    <w:p>
      <w:pPr>
        <w:pStyle w:val="13"/>
        <w:ind w:firstLine="480"/>
        <w:jc w:val="both"/>
        <w:rPr>
          <w:rFonts w:hint="default"/>
        </w:rPr>
      </w:pPr>
      <w:r>
        <w:t>1、本表应按照下列规定填写：</w:t>
      </w:r>
    </w:p>
    <w:p>
      <w:pPr>
        <w:pStyle w:val="13"/>
        <w:ind w:firstLine="480"/>
        <w:jc w:val="both"/>
        <w:rPr>
          <w:rFonts w:hint="default"/>
        </w:rPr>
      </w:pPr>
      <w:r>
        <w:t>1.1“商务条件”项下填写的内容应与招标文件第五章“商务条件”的内容保持一致。</w:t>
      </w:r>
    </w:p>
    <w:p>
      <w:pPr>
        <w:pStyle w:val="13"/>
        <w:ind w:firstLine="480"/>
        <w:jc w:val="both"/>
        <w:rPr>
          <w:rFonts w:hint="default"/>
        </w:rPr>
      </w:pPr>
      <w:r>
        <w:t>1.2“投标响应”项下应填写具体的响应内容并与“商务条件”项下填写的内容逐项对应；对“商务条件”项下涉及“≥或＞”、“≤或＜”及某个区间值范围内的内容，应填写具体的数值。</w:t>
      </w:r>
    </w:p>
    <w:p>
      <w:pPr>
        <w:pStyle w:val="13"/>
        <w:ind w:firstLine="480"/>
        <w:jc w:val="both"/>
        <w:rPr>
          <w:rFonts w:hint="default"/>
        </w:rPr>
      </w:pPr>
      <w:r>
        <w:t>1.3“是否偏离及说明”项下应按下列规定填写：优于的，填写“正偏离”；符合的，填写“无偏离”；低于的，填写“负偏离”。</w:t>
      </w:r>
    </w:p>
    <w:p>
      <w:pPr>
        <w:pStyle w:val="13"/>
        <w:ind w:firstLine="480"/>
        <w:jc w:val="both"/>
        <w:rPr>
          <w:rFonts w:hint="default"/>
        </w:rPr>
      </w:pPr>
      <w:r>
        <w:t>2、投标人需要说明的内容若需特殊表达，应先在本表中进行相应说明，再另页应答，但应做好标注说明，方便评委查阅评审。未标注说明可能导致的不利的评审后果由投标人自行承担。</w:t>
      </w:r>
    </w:p>
    <w:p>
      <w:pPr>
        <w:pStyle w:val="13"/>
        <w:ind w:firstLine="480"/>
        <w:jc w:val="right"/>
        <w:rPr>
          <w:rFonts w:hint="default"/>
        </w:rPr>
      </w:pPr>
      <w:r>
        <w:t>投标人：</w:t>
      </w:r>
      <w:r>
        <w:rPr>
          <w:u w:val="single"/>
        </w:rPr>
        <w:t>（全称并加盖单位公章）</w:t>
      </w:r>
    </w:p>
    <w:p>
      <w:pPr>
        <w:pStyle w:val="13"/>
        <w:ind w:firstLine="480"/>
        <w:jc w:val="right"/>
        <w:rPr>
          <w:rFonts w:hint="default"/>
        </w:rPr>
      </w:pPr>
      <w:r>
        <w:t>日期：</w:t>
      </w:r>
      <w:r>
        <w:rPr>
          <w:u w:val="single"/>
        </w:rPr>
        <w:t>　　年　　月　　日</w:t>
      </w:r>
    </w:p>
    <w:p>
      <w:pPr>
        <w:pStyle w:val="13"/>
        <w:jc w:val="both"/>
        <w:rPr>
          <w:rFonts w:hint="default"/>
        </w:rPr>
      </w:pPr>
    </w:p>
    <w:p>
      <w:pPr>
        <w:pStyle w:val="13"/>
        <w:jc w:val="both"/>
        <w:rPr>
          <w:rFonts w:hint="default"/>
        </w:rPr>
      </w:pPr>
      <w:r>
        <w:t xml:space="preserve"> </w:t>
      </w:r>
    </w:p>
    <w:p>
      <w:pPr>
        <w:pStyle w:val="13"/>
        <w:jc w:val="center"/>
        <w:outlineLvl w:val="2"/>
        <w:rPr>
          <w:rFonts w:hint="default"/>
        </w:rPr>
      </w:pPr>
      <w:r>
        <w:rPr>
          <w:b/>
          <w:sz w:val="28"/>
        </w:rPr>
        <w:t>四、投标人提交的其他资料（若有）</w:t>
      </w:r>
    </w:p>
    <w:p>
      <w:pPr>
        <w:pStyle w:val="13"/>
        <w:ind w:firstLine="480"/>
        <w:jc w:val="center"/>
        <w:rPr>
          <w:rFonts w:hint="default"/>
        </w:rPr>
      </w:pPr>
      <w:r>
        <w:t>编制说明</w:t>
      </w:r>
    </w:p>
    <w:p>
      <w:pPr>
        <w:pStyle w:val="13"/>
        <w:ind w:firstLine="480"/>
        <w:jc w:val="both"/>
        <w:rPr>
          <w:rFonts w:hint="default"/>
        </w:rPr>
      </w:pPr>
      <w:r>
        <w:t>1、招标文件要求提交的除“资格及资信证明部分”、“报价部分”外的其他证明材料或资料加盖投标人的单位公章后应在此项下提交。</w:t>
      </w:r>
    </w:p>
    <w:p>
      <w:pPr>
        <w:pStyle w:val="13"/>
        <w:ind w:firstLine="480"/>
        <w:jc w:val="both"/>
        <w:rPr>
          <w:rFonts w:hint="default"/>
        </w:rPr>
      </w:pPr>
      <w:r>
        <w:t>2、招标文件要求投标人提供方案（包括但不限于：组织、实施、技术、服务方案等）的，投标人应在此项下提交。</w:t>
      </w:r>
    </w:p>
    <w:p>
      <w:pPr>
        <w:pStyle w:val="13"/>
        <w:ind w:firstLine="480"/>
        <w:jc w:val="both"/>
        <w:rPr>
          <w:rFonts w:hint="default"/>
        </w:rPr>
      </w:pPr>
      <w:r>
        <w:t>3、除招标文件另有规定外，投标人认为需要提交的其他证明材料或资料加盖投标人的单位公章后应在此项下提交。</w:t>
      </w:r>
    </w:p>
    <w:p>
      <w:pPr>
        <w:pStyle w:val="13"/>
        <w:rPr>
          <w:rFonts w:hint="default"/>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楷体">
    <w:panose1 w:val="02010609060101010101"/>
    <w:charset w:val="86"/>
    <w:family w:val="modern"/>
    <w:pitch w:val="default"/>
    <w:sig w:usb0="800002BF" w:usb1="38CF7CFA" w:usb2="00000016" w:usb3="00000000" w:csb0="00040001" w:csb1="00000000"/>
  </w:font>
  <w:font w:name="PMingLiU">
    <w:panose1 w:val="02020500000000000000"/>
    <w:charset w:val="88"/>
    <w:family w:val="auto"/>
    <w:pitch w:val="default"/>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3C4243"/>
    <w:multiLevelType w:val="singleLevel"/>
    <w:tmpl w:val="863C4243"/>
    <w:lvl w:ilvl="0" w:tentative="0">
      <w:start w:val="1"/>
      <w:numFmt w:val="decimal"/>
      <w:lvlText w:val="%1."/>
      <w:lvlJc w:val="left"/>
      <w:pPr>
        <w:ind w:left="425" w:hanging="425"/>
      </w:pPr>
      <w:rPr>
        <w:rFonts w:hint="default"/>
      </w:rPr>
    </w:lvl>
  </w:abstractNum>
  <w:abstractNum w:abstractNumId="1">
    <w:nsid w:val="95C63DA2"/>
    <w:multiLevelType w:val="singleLevel"/>
    <w:tmpl w:val="95C63DA2"/>
    <w:lvl w:ilvl="0" w:tentative="0">
      <w:start w:val="1"/>
      <w:numFmt w:val="decimal"/>
      <w:lvlText w:val="%1."/>
      <w:lvlJc w:val="left"/>
      <w:pPr>
        <w:ind w:left="425" w:hanging="425"/>
      </w:pPr>
      <w:rPr>
        <w:rFonts w:hint="default"/>
      </w:rPr>
    </w:lvl>
  </w:abstractNum>
  <w:abstractNum w:abstractNumId="2">
    <w:nsid w:val="98666AF8"/>
    <w:multiLevelType w:val="singleLevel"/>
    <w:tmpl w:val="98666AF8"/>
    <w:lvl w:ilvl="0" w:tentative="0">
      <w:start w:val="1"/>
      <w:numFmt w:val="decimal"/>
      <w:lvlText w:val="%1."/>
      <w:lvlJc w:val="left"/>
      <w:pPr>
        <w:ind w:left="425" w:hanging="425"/>
      </w:pPr>
      <w:rPr>
        <w:rFonts w:hint="default"/>
      </w:rPr>
    </w:lvl>
  </w:abstractNum>
  <w:abstractNum w:abstractNumId="3">
    <w:nsid w:val="9DD6626E"/>
    <w:multiLevelType w:val="singleLevel"/>
    <w:tmpl w:val="9DD6626E"/>
    <w:lvl w:ilvl="0" w:tentative="0">
      <w:start w:val="2"/>
      <w:numFmt w:val="chineseCounting"/>
      <w:suff w:val="space"/>
      <w:lvlText w:val="第%1章"/>
      <w:lvlJc w:val="left"/>
      <w:rPr>
        <w:rFonts w:hint="eastAsia"/>
      </w:rPr>
    </w:lvl>
  </w:abstractNum>
  <w:abstractNum w:abstractNumId="4">
    <w:nsid w:val="B4E2F439"/>
    <w:multiLevelType w:val="singleLevel"/>
    <w:tmpl w:val="B4E2F439"/>
    <w:lvl w:ilvl="0" w:tentative="0">
      <w:start w:val="1"/>
      <w:numFmt w:val="decimal"/>
      <w:lvlText w:val="%1."/>
      <w:lvlJc w:val="left"/>
      <w:pPr>
        <w:ind w:left="425" w:hanging="425"/>
      </w:pPr>
      <w:rPr>
        <w:rFonts w:hint="default"/>
      </w:rPr>
    </w:lvl>
  </w:abstractNum>
  <w:abstractNum w:abstractNumId="5">
    <w:nsid w:val="BBFB401E"/>
    <w:multiLevelType w:val="singleLevel"/>
    <w:tmpl w:val="BBFB401E"/>
    <w:lvl w:ilvl="0" w:tentative="0">
      <w:start w:val="1"/>
      <w:numFmt w:val="decimal"/>
      <w:lvlText w:val="%1."/>
      <w:lvlJc w:val="left"/>
      <w:pPr>
        <w:ind w:left="425" w:hanging="425"/>
      </w:pPr>
      <w:rPr>
        <w:rFonts w:hint="default"/>
      </w:rPr>
    </w:lvl>
  </w:abstractNum>
  <w:abstractNum w:abstractNumId="6">
    <w:nsid w:val="C33BAFDE"/>
    <w:multiLevelType w:val="singleLevel"/>
    <w:tmpl w:val="C33BAFDE"/>
    <w:lvl w:ilvl="0" w:tentative="0">
      <w:start w:val="1"/>
      <w:numFmt w:val="decimal"/>
      <w:lvlText w:val="%1."/>
      <w:lvlJc w:val="left"/>
      <w:pPr>
        <w:ind w:left="425" w:hanging="425"/>
      </w:pPr>
      <w:rPr>
        <w:rFonts w:hint="default"/>
      </w:rPr>
    </w:lvl>
  </w:abstractNum>
  <w:abstractNum w:abstractNumId="7">
    <w:nsid w:val="C8752EE7"/>
    <w:multiLevelType w:val="singleLevel"/>
    <w:tmpl w:val="C8752EE7"/>
    <w:lvl w:ilvl="0" w:tentative="0">
      <w:start w:val="1"/>
      <w:numFmt w:val="decimal"/>
      <w:lvlText w:val="%1."/>
      <w:lvlJc w:val="left"/>
      <w:pPr>
        <w:ind w:left="425" w:hanging="425"/>
      </w:pPr>
      <w:rPr>
        <w:rFonts w:hint="default"/>
      </w:rPr>
    </w:lvl>
  </w:abstractNum>
  <w:abstractNum w:abstractNumId="8">
    <w:nsid w:val="D0964BA2"/>
    <w:multiLevelType w:val="singleLevel"/>
    <w:tmpl w:val="D0964BA2"/>
    <w:lvl w:ilvl="0" w:tentative="0">
      <w:start w:val="1"/>
      <w:numFmt w:val="decimal"/>
      <w:lvlText w:val="%1."/>
      <w:lvlJc w:val="left"/>
      <w:pPr>
        <w:ind w:left="425" w:hanging="425"/>
      </w:pPr>
      <w:rPr>
        <w:rFonts w:hint="default"/>
      </w:rPr>
    </w:lvl>
  </w:abstractNum>
  <w:abstractNum w:abstractNumId="9">
    <w:nsid w:val="D0E6137D"/>
    <w:multiLevelType w:val="singleLevel"/>
    <w:tmpl w:val="D0E6137D"/>
    <w:lvl w:ilvl="0" w:tentative="0">
      <w:start w:val="1"/>
      <w:numFmt w:val="decimal"/>
      <w:lvlText w:val="%1."/>
      <w:lvlJc w:val="left"/>
      <w:pPr>
        <w:ind w:left="425" w:hanging="425"/>
      </w:pPr>
      <w:rPr>
        <w:rFonts w:hint="default"/>
      </w:rPr>
    </w:lvl>
  </w:abstractNum>
  <w:abstractNum w:abstractNumId="10">
    <w:nsid w:val="DBDBC3B5"/>
    <w:multiLevelType w:val="singleLevel"/>
    <w:tmpl w:val="DBDBC3B5"/>
    <w:lvl w:ilvl="0" w:tentative="0">
      <w:start w:val="1"/>
      <w:numFmt w:val="decimal"/>
      <w:lvlText w:val="%1."/>
      <w:lvlJc w:val="left"/>
      <w:pPr>
        <w:ind w:left="425" w:hanging="425"/>
      </w:pPr>
      <w:rPr>
        <w:rFonts w:hint="default"/>
      </w:rPr>
    </w:lvl>
  </w:abstractNum>
  <w:abstractNum w:abstractNumId="11">
    <w:nsid w:val="E10F26E1"/>
    <w:multiLevelType w:val="singleLevel"/>
    <w:tmpl w:val="E10F26E1"/>
    <w:lvl w:ilvl="0" w:tentative="0">
      <w:start w:val="1"/>
      <w:numFmt w:val="decimal"/>
      <w:lvlText w:val="%1."/>
      <w:lvlJc w:val="left"/>
      <w:pPr>
        <w:ind w:left="425" w:hanging="425"/>
      </w:pPr>
      <w:rPr>
        <w:rFonts w:hint="default"/>
      </w:rPr>
    </w:lvl>
  </w:abstractNum>
  <w:abstractNum w:abstractNumId="12">
    <w:nsid w:val="EA27BF99"/>
    <w:multiLevelType w:val="singleLevel"/>
    <w:tmpl w:val="EA27BF99"/>
    <w:lvl w:ilvl="0" w:tentative="0">
      <w:start w:val="1"/>
      <w:numFmt w:val="decimal"/>
      <w:lvlText w:val="%1."/>
      <w:lvlJc w:val="left"/>
      <w:pPr>
        <w:ind w:left="425" w:hanging="425"/>
      </w:pPr>
      <w:rPr>
        <w:rFonts w:hint="default"/>
      </w:rPr>
    </w:lvl>
  </w:abstractNum>
  <w:abstractNum w:abstractNumId="13">
    <w:nsid w:val="F6DBC6EC"/>
    <w:multiLevelType w:val="singleLevel"/>
    <w:tmpl w:val="F6DBC6EC"/>
    <w:lvl w:ilvl="0" w:tentative="0">
      <w:start w:val="1"/>
      <w:numFmt w:val="decimal"/>
      <w:lvlText w:val="%1."/>
      <w:lvlJc w:val="left"/>
      <w:pPr>
        <w:ind w:left="425" w:hanging="425"/>
      </w:pPr>
      <w:rPr>
        <w:rFonts w:hint="default"/>
      </w:rPr>
    </w:lvl>
  </w:abstractNum>
  <w:abstractNum w:abstractNumId="14">
    <w:nsid w:val="FCB74E6A"/>
    <w:multiLevelType w:val="singleLevel"/>
    <w:tmpl w:val="FCB74E6A"/>
    <w:lvl w:ilvl="0" w:tentative="0">
      <w:start w:val="1"/>
      <w:numFmt w:val="decimal"/>
      <w:lvlText w:val="%1."/>
      <w:lvlJc w:val="left"/>
      <w:pPr>
        <w:ind w:left="425" w:hanging="425"/>
      </w:pPr>
      <w:rPr>
        <w:rFonts w:hint="default"/>
      </w:rPr>
    </w:lvl>
  </w:abstractNum>
  <w:abstractNum w:abstractNumId="15">
    <w:nsid w:val="03735768"/>
    <w:multiLevelType w:val="singleLevel"/>
    <w:tmpl w:val="03735768"/>
    <w:lvl w:ilvl="0" w:tentative="0">
      <w:start w:val="1"/>
      <w:numFmt w:val="decimal"/>
      <w:lvlText w:val="%1."/>
      <w:lvlJc w:val="left"/>
      <w:pPr>
        <w:ind w:left="425" w:hanging="425"/>
      </w:pPr>
      <w:rPr>
        <w:rFonts w:hint="default"/>
      </w:rPr>
    </w:lvl>
  </w:abstractNum>
  <w:abstractNum w:abstractNumId="16">
    <w:nsid w:val="03E49EE8"/>
    <w:multiLevelType w:val="singleLevel"/>
    <w:tmpl w:val="03E49EE8"/>
    <w:lvl w:ilvl="0" w:tentative="0">
      <w:start w:val="1"/>
      <w:numFmt w:val="chineseCounting"/>
      <w:suff w:val="nothing"/>
      <w:lvlText w:val="%1、"/>
      <w:lvlJc w:val="left"/>
      <w:pPr>
        <w:ind w:left="0" w:firstLine="420"/>
      </w:pPr>
      <w:rPr>
        <w:rFonts w:hint="eastAsia"/>
      </w:rPr>
    </w:lvl>
  </w:abstractNum>
  <w:abstractNum w:abstractNumId="17">
    <w:nsid w:val="05E164F6"/>
    <w:multiLevelType w:val="singleLevel"/>
    <w:tmpl w:val="05E164F6"/>
    <w:lvl w:ilvl="0" w:tentative="0">
      <w:start w:val="1"/>
      <w:numFmt w:val="decimal"/>
      <w:lvlText w:val="%1."/>
      <w:lvlJc w:val="left"/>
      <w:pPr>
        <w:ind w:left="425" w:hanging="425"/>
      </w:pPr>
      <w:rPr>
        <w:rFonts w:hint="default"/>
      </w:rPr>
    </w:lvl>
  </w:abstractNum>
  <w:abstractNum w:abstractNumId="18">
    <w:nsid w:val="0C825AFD"/>
    <w:multiLevelType w:val="singleLevel"/>
    <w:tmpl w:val="0C825AFD"/>
    <w:lvl w:ilvl="0" w:tentative="0">
      <w:start w:val="1"/>
      <w:numFmt w:val="decimal"/>
      <w:lvlText w:val="%1."/>
      <w:lvlJc w:val="left"/>
      <w:pPr>
        <w:ind w:left="425" w:hanging="425"/>
      </w:pPr>
      <w:rPr>
        <w:rFonts w:hint="default"/>
      </w:rPr>
    </w:lvl>
  </w:abstractNum>
  <w:abstractNum w:abstractNumId="19">
    <w:nsid w:val="1114A5FF"/>
    <w:multiLevelType w:val="singleLevel"/>
    <w:tmpl w:val="1114A5FF"/>
    <w:lvl w:ilvl="0" w:tentative="0">
      <w:start w:val="1"/>
      <w:numFmt w:val="decimal"/>
      <w:lvlText w:val="%1."/>
      <w:lvlJc w:val="left"/>
      <w:pPr>
        <w:ind w:left="425" w:hanging="425"/>
      </w:pPr>
      <w:rPr>
        <w:rFonts w:hint="default"/>
      </w:rPr>
    </w:lvl>
  </w:abstractNum>
  <w:abstractNum w:abstractNumId="20">
    <w:nsid w:val="1B9F7C4F"/>
    <w:multiLevelType w:val="singleLevel"/>
    <w:tmpl w:val="1B9F7C4F"/>
    <w:lvl w:ilvl="0" w:tentative="0">
      <w:start w:val="1"/>
      <w:numFmt w:val="decimal"/>
      <w:lvlText w:val="%1."/>
      <w:lvlJc w:val="left"/>
      <w:pPr>
        <w:ind w:left="425" w:hanging="425"/>
      </w:pPr>
      <w:rPr>
        <w:rFonts w:hint="default"/>
      </w:rPr>
    </w:lvl>
  </w:abstractNum>
  <w:abstractNum w:abstractNumId="21">
    <w:nsid w:val="1E075F69"/>
    <w:multiLevelType w:val="singleLevel"/>
    <w:tmpl w:val="1E075F69"/>
    <w:lvl w:ilvl="0" w:tentative="0">
      <w:start w:val="1"/>
      <w:numFmt w:val="chineseCounting"/>
      <w:suff w:val="nothing"/>
      <w:lvlText w:val="（%1）"/>
      <w:lvlJc w:val="left"/>
      <w:pPr>
        <w:ind w:left="0" w:firstLine="420"/>
      </w:pPr>
      <w:rPr>
        <w:rFonts w:hint="eastAsia"/>
      </w:rPr>
    </w:lvl>
  </w:abstractNum>
  <w:abstractNum w:abstractNumId="22">
    <w:nsid w:val="27DA1494"/>
    <w:multiLevelType w:val="singleLevel"/>
    <w:tmpl w:val="27DA1494"/>
    <w:lvl w:ilvl="0" w:tentative="0">
      <w:start w:val="1"/>
      <w:numFmt w:val="decimal"/>
      <w:lvlText w:val="%1."/>
      <w:lvlJc w:val="left"/>
      <w:pPr>
        <w:ind w:left="425" w:hanging="425"/>
      </w:pPr>
      <w:rPr>
        <w:rFonts w:hint="default"/>
      </w:rPr>
    </w:lvl>
  </w:abstractNum>
  <w:abstractNum w:abstractNumId="23">
    <w:nsid w:val="2FF66296"/>
    <w:multiLevelType w:val="singleLevel"/>
    <w:tmpl w:val="2FF66296"/>
    <w:lvl w:ilvl="0" w:tentative="0">
      <w:start w:val="1"/>
      <w:numFmt w:val="decimal"/>
      <w:lvlText w:val="%1."/>
      <w:lvlJc w:val="left"/>
      <w:pPr>
        <w:ind w:left="425" w:hanging="425"/>
      </w:pPr>
      <w:rPr>
        <w:rFonts w:hint="default"/>
      </w:rPr>
    </w:lvl>
  </w:abstractNum>
  <w:abstractNum w:abstractNumId="24">
    <w:nsid w:val="39E9C01B"/>
    <w:multiLevelType w:val="singleLevel"/>
    <w:tmpl w:val="39E9C01B"/>
    <w:lvl w:ilvl="0" w:tentative="0">
      <w:start w:val="1"/>
      <w:numFmt w:val="decimal"/>
      <w:lvlText w:val="%1."/>
      <w:lvlJc w:val="left"/>
      <w:pPr>
        <w:ind w:left="425" w:hanging="425"/>
      </w:pPr>
      <w:rPr>
        <w:rFonts w:hint="default"/>
      </w:rPr>
    </w:lvl>
  </w:abstractNum>
  <w:abstractNum w:abstractNumId="25">
    <w:nsid w:val="3B11D600"/>
    <w:multiLevelType w:val="singleLevel"/>
    <w:tmpl w:val="3B11D600"/>
    <w:lvl w:ilvl="0" w:tentative="0">
      <w:start w:val="1"/>
      <w:numFmt w:val="decimal"/>
      <w:lvlText w:val="%1."/>
      <w:lvlJc w:val="left"/>
      <w:pPr>
        <w:ind w:left="425" w:hanging="425"/>
      </w:pPr>
      <w:rPr>
        <w:rFonts w:hint="default"/>
      </w:rPr>
    </w:lvl>
  </w:abstractNum>
  <w:abstractNum w:abstractNumId="26">
    <w:nsid w:val="563D5B8A"/>
    <w:multiLevelType w:val="singleLevel"/>
    <w:tmpl w:val="563D5B8A"/>
    <w:lvl w:ilvl="0" w:tentative="0">
      <w:start w:val="1"/>
      <w:numFmt w:val="decimal"/>
      <w:lvlText w:val="%1."/>
      <w:lvlJc w:val="left"/>
      <w:pPr>
        <w:ind w:left="425" w:hanging="425"/>
      </w:pPr>
      <w:rPr>
        <w:rFonts w:hint="default"/>
      </w:rPr>
    </w:lvl>
  </w:abstractNum>
  <w:abstractNum w:abstractNumId="27">
    <w:nsid w:val="65FCB734"/>
    <w:multiLevelType w:val="singleLevel"/>
    <w:tmpl w:val="65FCB734"/>
    <w:lvl w:ilvl="0" w:tentative="0">
      <w:start w:val="1"/>
      <w:numFmt w:val="decimal"/>
      <w:lvlText w:val="%1."/>
      <w:lvlJc w:val="left"/>
      <w:pPr>
        <w:ind w:left="425" w:hanging="425"/>
      </w:pPr>
      <w:rPr>
        <w:rFonts w:hint="default"/>
      </w:rPr>
    </w:lvl>
  </w:abstractNum>
  <w:abstractNum w:abstractNumId="28">
    <w:nsid w:val="6A1E90FA"/>
    <w:multiLevelType w:val="singleLevel"/>
    <w:tmpl w:val="6A1E90FA"/>
    <w:lvl w:ilvl="0" w:tentative="0">
      <w:start w:val="1"/>
      <w:numFmt w:val="decimal"/>
      <w:lvlText w:val="%1."/>
      <w:lvlJc w:val="left"/>
      <w:pPr>
        <w:ind w:left="425" w:hanging="425"/>
      </w:pPr>
      <w:rPr>
        <w:rFonts w:hint="default"/>
      </w:rPr>
    </w:lvl>
  </w:abstractNum>
  <w:abstractNum w:abstractNumId="29">
    <w:nsid w:val="6E337974"/>
    <w:multiLevelType w:val="singleLevel"/>
    <w:tmpl w:val="6E337974"/>
    <w:lvl w:ilvl="0" w:tentative="0">
      <w:start w:val="1"/>
      <w:numFmt w:val="decimal"/>
      <w:lvlText w:val="%1."/>
      <w:lvlJc w:val="left"/>
      <w:pPr>
        <w:ind w:left="425" w:hanging="425"/>
      </w:pPr>
      <w:rPr>
        <w:rFonts w:hint="default"/>
      </w:rPr>
    </w:lvl>
  </w:abstractNum>
  <w:abstractNum w:abstractNumId="30">
    <w:nsid w:val="6E82EB5A"/>
    <w:multiLevelType w:val="singleLevel"/>
    <w:tmpl w:val="6E82EB5A"/>
    <w:lvl w:ilvl="0" w:tentative="0">
      <w:start w:val="1"/>
      <w:numFmt w:val="decimal"/>
      <w:lvlText w:val="%1."/>
      <w:lvlJc w:val="left"/>
      <w:pPr>
        <w:ind w:left="425" w:hanging="425"/>
      </w:pPr>
      <w:rPr>
        <w:rFonts w:hint="default"/>
      </w:rPr>
    </w:lvl>
  </w:abstractNum>
  <w:abstractNum w:abstractNumId="31">
    <w:nsid w:val="7AE740D5"/>
    <w:multiLevelType w:val="singleLevel"/>
    <w:tmpl w:val="7AE740D5"/>
    <w:lvl w:ilvl="0" w:tentative="0">
      <w:start w:val="1"/>
      <w:numFmt w:val="decimal"/>
      <w:lvlText w:val="%1."/>
      <w:lvlJc w:val="left"/>
      <w:pPr>
        <w:ind w:left="425" w:hanging="425"/>
      </w:pPr>
      <w:rPr>
        <w:rFonts w:hint="default"/>
      </w:rPr>
    </w:lvl>
  </w:abstractNum>
  <w:num w:numId="1">
    <w:abstractNumId w:val="3"/>
  </w:num>
  <w:num w:numId="2">
    <w:abstractNumId w:val="16"/>
  </w:num>
  <w:num w:numId="3">
    <w:abstractNumId w:val="21"/>
  </w:num>
  <w:num w:numId="4">
    <w:abstractNumId w:val="10"/>
  </w:num>
  <w:num w:numId="5">
    <w:abstractNumId w:val="15"/>
  </w:num>
  <w:num w:numId="6">
    <w:abstractNumId w:val="20"/>
  </w:num>
  <w:num w:numId="7">
    <w:abstractNumId w:val="27"/>
  </w:num>
  <w:num w:numId="8">
    <w:abstractNumId w:val="9"/>
  </w:num>
  <w:num w:numId="9">
    <w:abstractNumId w:val="30"/>
  </w:num>
  <w:num w:numId="10">
    <w:abstractNumId w:val="8"/>
  </w:num>
  <w:num w:numId="11">
    <w:abstractNumId w:val="25"/>
  </w:num>
  <w:num w:numId="12">
    <w:abstractNumId w:val="19"/>
  </w:num>
  <w:num w:numId="13">
    <w:abstractNumId w:val="4"/>
  </w:num>
  <w:num w:numId="14">
    <w:abstractNumId w:val="7"/>
  </w:num>
  <w:num w:numId="15">
    <w:abstractNumId w:val="0"/>
  </w:num>
  <w:num w:numId="16">
    <w:abstractNumId w:val="14"/>
  </w:num>
  <w:num w:numId="17">
    <w:abstractNumId w:val="12"/>
  </w:num>
  <w:num w:numId="18">
    <w:abstractNumId w:val="5"/>
  </w:num>
  <w:num w:numId="19">
    <w:abstractNumId w:val="24"/>
  </w:num>
  <w:num w:numId="20">
    <w:abstractNumId w:val="29"/>
  </w:num>
  <w:num w:numId="21">
    <w:abstractNumId w:val="17"/>
  </w:num>
  <w:num w:numId="22">
    <w:abstractNumId w:val="13"/>
  </w:num>
  <w:num w:numId="23">
    <w:abstractNumId w:val="31"/>
  </w:num>
  <w:num w:numId="24">
    <w:abstractNumId w:val="11"/>
  </w:num>
  <w:num w:numId="25">
    <w:abstractNumId w:val="6"/>
  </w:num>
  <w:num w:numId="26">
    <w:abstractNumId w:val="28"/>
  </w:num>
  <w:num w:numId="27">
    <w:abstractNumId w:val="22"/>
  </w:num>
  <w:num w:numId="28">
    <w:abstractNumId w:val="18"/>
  </w:num>
  <w:num w:numId="29">
    <w:abstractNumId w:val="1"/>
  </w:num>
  <w:num w:numId="30">
    <w:abstractNumId w:val="23"/>
  </w:num>
  <w:num w:numId="31">
    <w:abstractNumId w:val="2"/>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3Mjc3YmUyOTgyMDVjMDlmNjFhZTIxMjI3NzlkNDkifQ=="/>
  </w:docVars>
  <w:rsids>
    <w:rsidRoot w:val="53B52B8D"/>
    <w:rsid w:val="00021A09"/>
    <w:rsid w:val="000D75EA"/>
    <w:rsid w:val="00AD61AD"/>
    <w:rsid w:val="00E05812"/>
    <w:rsid w:val="00F60132"/>
    <w:rsid w:val="050F1E6D"/>
    <w:rsid w:val="11390774"/>
    <w:rsid w:val="153379C1"/>
    <w:rsid w:val="177F50ED"/>
    <w:rsid w:val="29CA7687"/>
    <w:rsid w:val="2D443048"/>
    <w:rsid w:val="3BE23E5E"/>
    <w:rsid w:val="486507C6"/>
    <w:rsid w:val="48727D9B"/>
    <w:rsid w:val="53B52B8D"/>
    <w:rsid w:val="6774743E"/>
    <w:rsid w:val="6C6A4153"/>
    <w:rsid w:val="6D675F49"/>
    <w:rsid w:val="75317D99"/>
    <w:rsid w:val="77F79321"/>
    <w:rsid w:val="7917350E"/>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120" w:after="120" w:line="360" w:lineRule="auto"/>
      <w:ind w:left="57"/>
      <w:jc w:val="center"/>
      <w:outlineLvl w:val="0"/>
    </w:pPr>
    <w:rPr>
      <w:rFonts w:ascii="仿宋" w:eastAsia="仿宋"/>
      <w:b/>
      <w:bCs/>
      <w:kern w:val="44"/>
      <w:sz w:val="44"/>
      <w:szCs w:val="44"/>
    </w:rPr>
  </w:style>
  <w:style w:type="paragraph" w:styleId="4">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14"/>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paragraph" w:styleId="6">
    <w:name w:val="heading 4"/>
    <w:basedOn w:val="1"/>
    <w:next w:val="1"/>
    <w:unhideWhenUsed/>
    <w:qFormat/>
    <w:uiPriority w:val="9"/>
    <w:pPr>
      <w:keepNext/>
      <w:keepLines/>
      <w:spacing w:before="280" w:after="290" w:line="376" w:lineRule="auto"/>
      <w:outlineLvl w:val="3"/>
    </w:pPr>
    <w:rPr>
      <w:rFonts w:asciiTheme="majorHAnsi" w:hAnsiTheme="majorHAnsi" w:eastAsiaTheme="majorEastAsia" w:cstheme="majorBidi"/>
      <w:b/>
      <w:bCs/>
      <w:sz w:val="24"/>
      <w:szCs w:val="28"/>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unhideWhenUsed/>
    <w:qFormat/>
    <w:uiPriority w:val="99"/>
    <w:pPr>
      <w:ind w:left="420" w:leftChars="200"/>
    </w:pPr>
  </w:style>
  <w:style w:type="paragraph" w:styleId="7">
    <w:name w:val="Normal Indent"/>
    <w:basedOn w:val="1"/>
    <w:next w:val="1"/>
    <w:qFormat/>
    <w:uiPriority w:val="99"/>
    <w:pPr>
      <w:ind w:firstLine="420" w:firstLineChars="200"/>
    </w:pPr>
    <w:rPr>
      <w:rFonts w:ascii="仿宋" w:eastAsia="仿宋"/>
    </w:rPr>
  </w:style>
  <w:style w:type="paragraph" w:styleId="8">
    <w:name w:val="Balloon Text"/>
    <w:basedOn w:val="1"/>
    <w:link w:val="16"/>
    <w:qFormat/>
    <w:uiPriority w:val="0"/>
    <w:rPr>
      <w:sz w:val="18"/>
      <w:szCs w:val="18"/>
    </w:r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customStyle="1" w:styleId="13">
    <w:name w:val="null3"/>
    <w:hidden/>
    <w:qFormat/>
    <w:uiPriority w:val="0"/>
    <w:rPr>
      <w:rFonts w:hint="eastAsia" w:asciiTheme="minorHAnsi" w:hAnsiTheme="minorHAnsi" w:eastAsiaTheme="minorEastAsia" w:cstheme="minorBidi"/>
      <w:lang w:val="en-US" w:eastAsia="zh-Hans" w:bidi="ar-SA"/>
    </w:rPr>
  </w:style>
  <w:style w:type="character" w:customStyle="1" w:styleId="14">
    <w:name w:val="标题 3 Char"/>
    <w:basedOn w:val="12"/>
    <w:link w:val="5"/>
    <w:qFormat/>
    <w:uiPriority w:val="0"/>
    <w:rPr>
      <w:rFonts w:hint="eastAsia" w:ascii="宋体" w:hAnsi="宋体" w:eastAsia="宋体" w:cs="宋体"/>
      <w:b/>
      <w:bCs/>
      <w:kern w:val="0"/>
      <w:sz w:val="27"/>
      <w:szCs w:val="27"/>
      <w:lang w:val="en-US" w:eastAsia="zh-CN" w:bidi="ar"/>
    </w:rPr>
  </w:style>
  <w:style w:type="paragraph" w:styleId="15">
    <w:name w:val="List Paragraph"/>
    <w:basedOn w:val="1"/>
    <w:qFormat/>
    <w:uiPriority w:val="34"/>
    <w:pPr>
      <w:ind w:firstLine="420" w:firstLineChars="200"/>
    </w:pPr>
  </w:style>
  <w:style w:type="character" w:customStyle="1" w:styleId="16">
    <w:name w:val="批注框文本 Char"/>
    <w:basedOn w:val="12"/>
    <w:link w:val="8"/>
    <w:qFormat/>
    <w:uiPriority w:val="0"/>
    <w:rPr>
      <w:rFonts w:asciiTheme="minorHAnsi" w:hAnsiTheme="minorHAnsi" w:eastAsiaTheme="minorEastAsia" w:cstheme="minorBidi"/>
      <w:kern w:val="2"/>
      <w:sz w:val="18"/>
      <w:szCs w:val="18"/>
    </w:rPr>
  </w:style>
  <w:style w:type="character" w:customStyle="1" w:styleId="17">
    <w:name w:val="页眉 Char"/>
    <w:basedOn w:val="12"/>
    <w:link w:val="10"/>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130</Pages>
  <Words>87548</Words>
  <Characters>97665</Characters>
  <Lines>745</Lines>
  <Paragraphs>209</Paragraphs>
  <TotalTime>5</TotalTime>
  <ScaleCrop>false</ScaleCrop>
  <LinksUpToDate>false</LinksUpToDate>
  <CharactersWithSpaces>99703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XFZB</cp:lastModifiedBy>
  <dcterms:modified xsi:type="dcterms:W3CDTF">2023-05-26T04:34:04Z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48D4F6147C1641BE8A48F0C14472DAC8_13</vt:lpwstr>
  </property>
</Properties>
</file>