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AA619">
      <w:pPr>
        <w:pStyle w:val="4"/>
        <w:jc w:val="center"/>
        <w:outlineLvl w:val="1"/>
      </w:pPr>
      <w:r>
        <w:rPr>
          <w:rFonts w:ascii="仿宋_GB2312" w:hAnsi="仿宋_GB2312" w:eastAsia="仿宋_GB2312" w:cs="仿宋_GB2312"/>
          <w:b/>
          <w:sz w:val="36"/>
        </w:rPr>
        <w:t>第三章 技术、服务及其他要求</w:t>
      </w:r>
    </w:p>
    <w:p w14:paraId="172790A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3F0D74A">
      <w:pPr>
        <w:pStyle w:val="4"/>
        <w:jc w:val="left"/>
        <w:outlineLvl w:val="2"/>
      </w:pPr>
      <w:r>
        <w:rPr>
          <w:rFonts w:ascii="仿宋_GB2312" w:hAnsi="仿宋_GB2312" w:eastAsia="仿宋_GB2312" w:cs="仿宋_GB2312"/>
          <w:b/>
          <w:sz w:val="28"/>
        </w:rPr>
        <w:t>3.1.采购内容</w:t>
      </w:r>
    </w:p>
    <w:p w14:paraId="7166E724">
      <w:pPr>
        <w:pStyle w:val="4"/>
        <w:jc w:val="left"/>
      </w:pPr>
      <w:r>
        <w:rPr>
          <w:rFonts w:ascii="仿宋_GB2312" w:hAnsi="仿宋_GB2312" w:eastAsia="仿宋_GB2312" w:cs="仿宋_GB2312"/>
        </w:rPr>
        <w:t>采购包1：</w:t>
      </w:r>
    </w:p>
    <w:p w14:paraId="0074AC9B">
      <w:pPr>
        <w:pStyle w:val="4"/>
        <w:jc w:val="left"/>
      </w:pPr>
      <w:r>
        <w:rPr>
          <w:rFonts w:ascii="仿宋_GB2312" w:hAnsi="仿宋_GB2312" w:eastAsia="仿宋_GB2312" w:cs="仿宋_GB2312"/>
        </w:rPr>
        <w:t>采购包预算金额（元）: 500,000.00</w:t>
      </w:r>
      <w:bookmarkStart w:id="0" w:name="_GoBack"/>
      <w:bookmarkEnd w:id="0"/>
    </w:p>
    <w:p w14:paraId="0CB98E94">
      <w:pPr>
        <w:pStyle w:val="4"/>
        <w:jc w:val="left"/>
      </w:pPr>
      <w:r>
        <w:rPr>
          <w:rFonts w:ascii="仿宋_GB2312" w:hAnsi="仿宋_GB2312" w:eastAsia="仿宋_GB2312" w:cs="仿宋_GB2312"/>
        </w:rPr>
        <w:t>采购包最高限价（元）: 500,000.00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B43A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45C1347">
            <w:pPr>
              <w:pStyle w:val="4"/>
              <w:jc w:val="center"/>
            </w:pPr>
            <w:r>
              <w:rPr>
                <w:rFonts w:ascii="仿宋_GB2312" w:hAnsi="仿宋_GB2312" w:eastAsia="仿宋_GB2312" w:cs="仿宋_GB2312"/>
              </w:rPr>
              <w:t>序号</w:t>
            </w:r>
          </w:p>
        </w:tc>
        <w:tc>
          <w:tcPr>
            <w:tcW w:w="821" w:type="dxa"/>
          </w:tcPr>
          <w:p w14:paraId="328D44D2">
            <w:pPr>
              <w:pStyle w:val="4"/>
              <w:jc w:val="center"/>
            </w:pPr>
            <w:r>
              <w:rPr>
                <w:rFonts w:ascii="仿宋_GB2312" w:hAnsi="仿宋_GB2312" w:eastAsia="仿宋_GB2312" w:cs="仿宋_GB2312"/>
              </w:rPr>
              <w:t>采购品目名称</w:t>
            </w:r>
          </w:p>
        </w:tc>
        <w:tc>
          <w:tcPr>
            <w:tcW w:w="821" w:type="dxa"/>
          </w:tcPr>
          <w:p w14:paraId="1C8BD3F1">
            <w:pPr>
              <w:pStyle w:val="4"/>
              <w:jc w:val="center"/>
            </w:pPr>
            <w:r>
              <w:rPr>
                <w:rFonts w:ascii="仿宋_GB2312" w:hAnsi="仿宋_GB2312" w:eastAsia="仿宋_GB2312" w:cs="仿宋_GB2312"/>
              </w:rPr>
              <w:t>标的名称</w:t>
            </w:r>
          </w:p>
        </w:tc>
        <w:tc>
          <w:tcPr>
            <w:tcW w:w="821" w:type="dxa"/>
          </w:tcPr>
          <w:p w14:paraId="65C92A1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D625AD6">
            <w:pPr>
              <w:pStyle w:val="4"/>
              <w:jc w:val="center"/>
            </w:pPr>
            <w:r>
              <w:rPr>
                <w:rFonts w:ascii="仿宋_GB2312" w:hAnsi="仿宋_GB2312" w:eastAsia="仿宋_GB2312" w:cs="仿宋_GB2312"/>
              </w:rPr>
              <w:t>标的金额 （元）</w:t>
            </w:r>
          </w:p>
        </w:tc>
        <w:tc>
          <w:tcPr>
            <w:tcW w:w="821" w:type="dxa"/>
          </w:tcPr>
          <w:p w14:paraId="7FA4DA54">
            <w:pPr>
              <w:pStyle w:val="4"/>
              <w:jc w:val="center"/>
            </w:pPr>
            <w:r>
              <w:rPr>
                <w:rFonts w:ascii="仿宋_GB2312" w:hAnsi="仿宋_GB2312" w:eastAsia="仿宋_GB2312" w:cs="仿宋_GB2312"/>
              </w:rPr>
              <w:t>所属行业</w:t>
            </w:r>
          </w:p>
        </w:tc>
        <w:tc>
          <w:tcPr>
            <w:tcW w:w="821" w:type="dxa"/>
          </w:tcPr>
          <w:p w14:paraId="37675862">
            <w:pPr>
              <w:pStyle w:val="4"/>
              <w:jc w:val="center"/>
            </w:pPr>
            <w:r>
              <w:rPr>
                <w:rFonts w:ascii="仿宋_GB2312" w:hAnsi="仿宋_GB2312" w:eastAsia="仿宋_GB2312" w:cs="仿宋_GB2312"/>
              </w:rPr>
              <w:t>是否涉及核心产品</w:t>
            </w:r>
          </w:p>
        </w:tc>
        <w:tc>
          <w:tcPr>
            <w:tcW w:w="821" w:type="dxa"/>
          </w:tcPr>
          <w:p w14:paraId="222BA5C2">
            <w:pPr>
              <w:pStyle w:val="4"/>
              <w:jc w:val="center"/>
            </w:pPr>
            <w:r>
              <w:rPr>
                <w:rFonts w:ascii="仿宋_GB2312" w:hAnsi="仿宋_GB2312" w:eastAsia="仿宋_GB2312" w:cs="仿宋_GB2312"/>
              </w:rPr>
              <w:t>是否涉及采购进口产品</w:t>
            </w:r>
          </w:p>
        </w:tc>
        <w:tc>
          <w:tcPr>
            <w:tcW w:w="821" w:type="dxa"/>
          </w:tcPr>
          <w:p w14:paraId="6AF0813D">
            <w:pPr>
              <w:pStyle w:val="4"/>
              <w:jc w:val="center"/>
            </w:pPr>
            <w:r>
              <w:rPr>
                <w:rFonts w:ascii="仿宋_GB2312" w:hAnsi="仿宋_GB2312" w:eastAsia="仿宋_GB2312" w:cs="仿宋_GB2312"/>
              </w:rPr>
              <w:t>是否涉及强制采购节能产品</w:t>
            </w:r>
          </w:p>
        </w:tc>
        <w:tc>
          <w:tcPr>
            <w:tcW w:w="639" w:type="dxa"/>
          </w:tcPr>
          <w:p w14:paraId="41D80B77">
            <w:pPr>
              <w:pStyle w:val="4"/>
              <w:jc w:val="center"/>
            </w:pPr>
            <w:r>
              <w:rPr>
                <w:rFonts w:ascii="仿宋_GB2312" w:hAnsi="仿宋_GB2312" w:eastAsia="仿宋_GB2312" w:cs="仿宋_GB2312"/>
              </w:rPr>
              <w:t>是否涉及优先采购节能产品</w:t>
            </w:r>
          </w:p>
        </w:tc>
        <w:tc>
          <w:tcPr>
            <w:tcW w:w="639" w:type="dxa"/>
          </w:tcPr>
          <w:p w14:paraId="571D8429">
            <w:pPr>
              <w:pStyle w:val="4"/>
              <w:jc w:val="center"/>
            </w:pPr>
            <w:r>
              <w:rPr>
                <w:rFonts w:ascii="仿宋_GB2312" w:hAnsi="仿宋_GB2312" w:eastAsia="仿宋_GB2312" w:cs="仿宋_GB2312"/>
              </w:rPr>
              <w:t>是否涉及优先采购环境标志产品</w:t>
            </w:r>
          </w:p>
        </w:tc>
      </w:tr>
      <w:tr w14:paraId="2A0817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833937">
            <w:pPr>
              <w:pStyle w:val="4"/>
              <w:jc w:val="left"/>
            </w:pPr>
            <w:r>
              <w:rPr>
                <w:rFonts w:ascii="仿宋_GB2312" w:hAnsi="仿宋_GB2312" w:eastAsia="仿宋_GB2312" w:cs="仿宋_GB2312"/>
              </w:rPr>
              <w:t>1</w:t>
            </w:r>
          </w:p>
        </w:tc>
        <w:tc>
          <w:tcPr>
            <w:tcW w:w="821" w:type="dxa"/>
          </w:tcPr>
          <w:p w14:paraId="59132213">
            <w:pPr>
              <w:pStyle w:val="4"/>
              <w:jc w:val="left"/>
            </w:pPr>
            <w:r>
              <w:rPr>
                <w:rFonts w:ascii="仿宋_GB2312" w:hAnsi="仿宋_GB2312" w:eastAsia="仿宋_GB2312" w:cs="仿宋_GB2312"/>
              </w:rPr>
              <w:t>C20039900 其他咨询服务</w:t>
            </w:r>
          </w:p>
        </w:tc>
        <w:tc>
          <w:tcPr>
            <w:tcW w:w="821" w:type="dxa"/>
          </w:tcPr>
          <w:p w14:paraId="1A54A070">
            <w:pPr>
              <w:pStyle w:val="4"/>
              <w:jc w:val="left"/>
            </w:pPr>
            <w:r>
              <w:rPr>
                <w:rFonts w:ascii="仿宋_GB2312" w:hAnsi="仿宋_GB2312" w:eastAsia="仿宋_GB2312" w:cs="仿宋_GB2312"/>
              </w:rPr>
              <w:t>白玉县县城区线路下地专项规划项目</w:t>
            </w:r>
          </w:p>
        </w:tc>
        <w:tc>
          <w:tcPr>
            <w:tcW w:w="821" w:type="dxa"/>
          </w:tcPr>
          <w:p w14:paraId="735CABA0">
            <w:pPr>
              <w:pStyle w:val="4"/>
              <w:jc w:val="right"/>
            </w:pPr>
            <w:r>
              <w:rPr>
                <w:rFonts w:ascii="仿宋_GB2312" w:hAnsi="仿宋_GB2312" w:eastAsia="仿宋_GB2312" w:cs="仿宋_GB2312"/>
              </w:rPr>
              <w:t>1.00（项）</w:t>
            </w:r>
          </w:p>
        </w:tc>
        <w:tc>
          <w:tcPr>
            <w:tcW w:w="821" w:type="dxa"/>
          </w:tcPr>
          <w:p w14:paraId="062D41F6">
            <w:pPr>
              <w:pStyle w:val="4"/>
              <w:jc w:val="right"/>
            </w:pPr>
            <w:r>
              <w:rPr>
                <w:rFonts w:ascii="仿宋_GB2312" w:hAnsi="仿宋_GB2312" w:eastAsia="仿宋_GB2312" w:cs="仿宋_GB2312"/>
              </w:rPr>
              <w:t>500,000.00</w:t>
            </w:r>
          </w:p>
        </w:tc>
        <w:tc>
          <w:tcPr>
            <w:tcW w:w="821" w:type="dxa"/>
          </w:tcPr>
          <w:p w14:paraId="7419979F">
            <w:pPr>
              <w:pStyle w:val="4"/>
              <w:jc w:val="left"/>
            </w:pPr>
            <w:r>
              <w:rPr>
                <w:rFonts w:ascii="仿宋_GB2312" w:hAnsi="仿宋_GB2312" w:eastAsia="仿宋_GB2312" w:cs="仿宋_GB2312"/>
              </w:rPr>
              <w:t>其他未列明行业</w:t>
            </w:r>
          </w:p>
        </w:tc>
        <w:tc>
          <w:tcPr>
            <w:tcW w:w="821" w:type="dxa"/>
          </w:tcPr>
          <w:p w14:paraId="1D0C365F">
            <w:pPr>
              <w:pStyle w:val="4"/>
              <w:jc w:val="left"/>
            </w:pPr>
            <w:r>
              <w:rPr>
                <w:rFonts w:ascii="仿宋_GB2312" w:hAnsi="仿宋_GB2312" w:eastAsia="仿宋_GB2312" w:cs="仿宋_GB2312"/>
              </w:rPr>
              <w:t>否</w:t>
            </w:r>
          </w:p>
        </w:tc>
        <w:tc>
          <w:tcPr>
            <w:tcW w:w="821" w:type="dxa"/>
          </w:tcPr>
          <w:p w14:paraId="3FF0D15B">
            <w:pPr>
              <w:pStyle w:val="4"/>
              <w:jc w:val="left"/>
            </w:pPr>
            <w:r>
              <w:rPr>
                <w:rFonts w:ascii="仿宋_GB2312" w:hAnsi="仿宋_GB2312" w:eastAsia="仿宋_GB2312" w:cs="仿宋_GB2312"/>
              </w:rPr>
              <w:t>否</w:t>
            </w:r>
          </w:p>
        </w:tc>
        <w:tc>
          <w:tcPr>
            <w:tcW w:w="821" w:type="dxa"/>
          </w:tcPr>
          <w:p w14:paraId="4DFAF5A0">
            <w:pPr>
              <w:pStyle w:val="4"/>
              <w:jc w:val="left"/>
            </w:pPr>
            <w:r>
              <w:rPr>
                <w:rFonts w:ascii="仿宋_GB2312" w:hAnsi="仿宋_GB2312" w:eastAsia="仿宋_GB2312" w:cs="仿宋_GB2312"/>
              </w:rPr>
              <w:t>否</w:t>
            </w:r>
          </w:p>
        </w:tc>
        <w:tc>
          <w:tcPr>
            <w:tcW w:w="639" w:type="dxa"/>
          </w:tcPr>
          <w:p w14:paraId="3BB89987">
            <w:pPr>
              <w:pStyle w:val="4"/>
              <w:jc w:val="left"/>
            </w:pPr>
            <w:r>
              <w:rPr>
                <w:rFonts w:ascii="仿宋_GB2312" w:hAnsi="仿宋_GB2312" w:eastAsia="仿宋_GB2312" w:cs="仿宋_GB2312"/>
              </w:rPr>
              <w:t>否</w:t>
            </w:r>
          </w:p>
        </w:tc>
        <w:tc>
          <w:tcPr>
            <w:tcW w:w="639" w:type="dxa"/>
          </w:tcPr>
          <w:p w14:paraId="1E05FD43">
            <w:pPr>
              <w:pStyle w:val="4"/>
              <w:jc w:val="left"/>
            </w:pPr>
            <w:r>
              <w:rPr>
                <w:rFonts w:ascii="仿宋_GB2312" w:hAnsi="仿宋_GB2312" w:eastAsia="仿宋_GB2312" w:cs="仿宋_GB2312"/>
              </w:rPr>
              <w:t>否</w:t>
            </w:r>
          </w:p>
        </w:tc>
      </w:tr>
    </w:tbl>
    <w:p w14:paraId="4D2EAE9F">
      <w:pPr>
        <w:pStyle w:val="4"/>
        <w:jc w:val="left"/>
      </w:pPr>
      <w:r>
        <w:rPr>
          <w:rFonts w:ascii="仿宋_GB2312" w:hAnsi="仿宋_GB2312" w:eastAsia="仿宋_GB2312" w:cs="仿宋_GB2312"/>
        </w:rPr>
        <w:t>是否适用本国产品标准：否</w:t>
      </w:r>
    </w:p>
    <w:p w14:paraId="3DF89521">
      <w:pPr>
        <w:pStyle w:val="4"/>
        <w:jc w:val="left"/>
        <w:outlineLvl w:val="3"/>
      </w:pPr>
      <w:r>
        <w:rPr>
          <w:rFonts w:ascii="仿宋_GB2312" w:hAnsi="仿宋_GB2312" w:eastAsia="仿宋_GB2312" w:cs="仿宋_GB2312"/>
          <w:b/>
          <w:sz w:val="24"/>
        </w:rPr>
        <w:t>报价要求</w:t>
      </w:r>
    </w:p>
    <w:p w14:paraId="64FD92A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3073F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5B02920">
            <w:pPr>
              <w:pStyle w:val="4"/>
              <w:jc w:val="center"/>
            </w:pPr>
            <w:r>
              <w:rPr>
                <w:rFonts w:ascii="仿宋_GB2312" w:hAnsi="仿宋_GB2312" w:eastAsia="仿宋_GB2312" w:cs="仿宋_GB2312"/>
              </w:rPr>
              <w:t>序号</w:t>
            </w:r>
          </w:p>
        </w:tc>
        <w:tc>
          <w:tcPr>
            <w:tcW w:w="1707" w:type="dxa"/>
          </w:tcPr>
          <w:p w14:paraId="0D75FA35">
            <w:pPr>
              <w:pStyle w:val="4"/>
              <w:jc w:val="center"/>
            </w:pPr>
            <w:r>
              <w:rPr>
                <w:rFonts w:ascii="仿宋_GB2312" w:hAnsi="仿宋_GB2312" w:eastAsia="仿宋_GB2312" w:cs="仿宋_GB2312"/>
              </w:rPr>
              <w:t>报价内容</w:t>
            </w:r>
          </w:p>
        </w:tc>
        <w:tc>
          <w:tcPr>
            <w:tcW w:w="1138" w:type="dxa"/>
          </w:tcPr>
          <w:p w14:paraId="2A7F4519">
            <w:pPr>
              <w:pStyle w:val="4"/>
              <w:jc w:val="center"/>
            </w:pPr>
            <w:r>
              <w:rPr>
                <w:rFonts w:ascii="仿宋_GB2312" w:hAnsi="仿宋_GB2312" w:eastAsia="仿宋_GB2312" w:cs="仿宋_GB2312"/>
              </w:rPr>
              <w:t>数量（计量单位）</w:t>
            </w:r>
          </w:p>
        </w:tc>
        <w:tc>
          <w:tcPr>
            <w:tcW w:w="1365" w:type="dxa"/>
          </w:tcPr>
          <w:p w14:paraId="07832E4C">
            <w:pPr>
              <w:pStyle w:val="4"/>
              <w:jc w:val="center"/>
            </w:pPr>
            <w:r>
              <w:rPr>
                <w:rFonts w:ascii="仿宋_GB2312" w:hAnsi="仿宋_GB2312" w:eastAsia="仿宋_GB2312" w:cs="仿宋_GB2312"/>
              </w:rPr>
              <w:t>最高限价</w:t>
            </w:r>
          </w:p>
        </w:tc>
        <w:tc>
          <w:tcPr>
            <w:tcW w:w="1138" w:type="dxa"/>
          </w:tcPr>
          <w:p w14:paraId="60B3CA65">
            <w:pPr>
              <w:pStyle w:val="4"/>
              <w:jc w:val="center"/>
            </w:pPr>
            <w:r>
              <w:rPr>
                <w:rFonts w:ascii="仿宋_GB2312" w:hAnsi="仿宋_GB2312" w:eastAsia="仿宋_GB2312" w:cs="仿宋_GB2312"/>
              </w:rPr>
              <w:t>价款形式</w:t>
            </w:r>
          </w:p>
        </w:tc>
        <w:tc>
          <w:tcPr>
            <w:tcW w:w="1934" w:type="dxa"/>
          </w:tcPr>
          <w:p w14:paraId="096727BE">
            <w:pPr>
              <w:pStyle w:val="4"/>
              <w:jc w:val="center"/>
            </w:pPr>
            <w:r>
              <w:rPr>
                <w:rFonts w:ascii="仿宋_GB2312" w:hAnsi="仿宋_GB2312" w:eastAsia="仿宋_GB2312" w:cs="仿宋_GB2312"/>
              </w:rPr>
              <w:t>报价说明</w:t>
            </w:r>
          </w:p>
        </w:tc>
      </w:tr>
      <w:tr w14:paraId="298CA0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93B2D1">
            <w:pPr>
              <w:pStyle w:val="4"/>
              <w:jc w:val="center"/>
            </w:pPr>
            <w:r>
              <w:rPr>
                <w:rFonts w:ascii="仿宋_GB2312" w:hAnsi="仿宋_GB2312" w:eastAsia="仿宋_GB2312" w:cs="仿宋_GB2312"/>
              </w:rPr>
              <w:t>1</w:t>
            </w:r>
          </w:p>
        </w:tc>
        <w:tc>
          <w:tcPr>
            <w:tcW w:w="1707" w:type="dxa"/>
          </w:tcPr>
          <w:p w14:paraId="1918B709">
            <w:pPr>
              <w:pStyle w:val="4"/>
              <w:jc w:val="center"/>
            </w:pPr>
            <w:r>
              <w:rPr>
                <w:rFonts w:ascii="仿宋_GB2312" w:hAnsi="仿宋_GB2312" w:eastAsia="仿宋_GB2312" w:cs="仿宋_GB2312"/>
              </w:rPr>
              <w:t>白玉县县城区线路下地专项规划项目</w:t>
            </w:r>
          </w:p>
        </w:tc>
        <w:tc>
          <w:tcPr>
            <w:tcW w:w="1138" w:type="dxa"/>
          </w:tcPr>
          <w:p w14:paraId="0C7B9191">
            <w:pPr>
              <w:pStyle w:val="4"/>
              <w:jc w:val="center"/>
            </w:pPr>
            <w:r>
              <w:rPr>
                <w:rFonts w:ascii="仿宋_GB2312" w:hAnsi="仿宋_GB2312" w:eastAsia="仿宋_GB2312" w:cs="仿宋_GB2312"/>
              </w:rPr>
              <w:t>1.00（项）</w:t>
            </w:r>
          </w:p>
        </w:tc>
        <w:tc>
          <w:tcPr>
            <w:tcW w:w="1365" w:type="dxa"/>
          </w:tcPr>
          <w:p w14:paraId="40A62949">
            <w:pPr>
              <w:pStyle w:val="4"/>
              <w:jc w:val="center"/>
            </w:pPr>
            <w:r>
              <w:rPr>
                <w:rFonts w:ascii="仿宋_GB2312" w:hAnsi="仿宋_GB2312" w:eastAsia="仿宋_GB2312" w:cs="仿宋_GB2312"/>
              </w:rPr>
              <w:t>500,000.00</w:t>
            </w:r>
          </w:p>
        </w:tc>
        <w:tc>
          <w:tcPr>
            <w:tcW w:w="1138" w:type="dxa"/>
          </w:tcPr>
          <w:p w14:paraId="673632DE">
            <w:pPr>
              <w:pStyle w:val="4"/>
              <w:jc w:val="center"/>
            </w:pPr>
            <w:r>
              <w:rPr>
                <w:rFonts w:ascii="仿宋_GB2312" w:hAnsi="仿宋_GB2312" w:eastAsia="仿宋_GB2312" w:cs="仿宋_GB2312"/>
              </w:rPr>
              <w:t>总价</w:t>
            </w:r>
          </w:p>
        </w:tc>
        <w:tc>
          <w:tcPr>
            <w:tcW w:w="1934" w:type="dxa"/>
          </w:tcPr>
          <w:p w14:paraId="3BD77B1A">
            <w:pPr>
              <w:pStyle w:val="4"/>
              <w:jc w:val="left"/>
            </w:pPr>
            <w:r>
              <w:rPr>
                <w:rFonts w:ascii="仿宋_GB2312" w:hAnsi="仿宋_GB2312" w:eastAsia="仿宋_GB2312" w:cs="仿宋_GB2312"/>
              </w:rPr>
              <w:t>无</w:t>
            </w:r>
          </w:p>
        </w:tc>
      </w:tr>
    </w:tbl>
    <w:p w14:paraId="56FA2393">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1098F57B">
      <w:pPr>
        <w:pStyle w:val="4"/>
        <w:jc w:val="left"/>
        <w:outlineLvl w:val="3"/>
      </w:pPr>
      <w:r>
        <w:rPr>
          <w:rFonts w:ascii="仿宋_GB2312" w:hAnsi="仿宋_GB2312" w:eastAsia="仿宋_GB2312" w:cs="仿宋_GB2312"/>
          <w:b/>
          <w:sz w:val="24"/>
        </w:rPr>
        <w:t>本项目涉及核心产品：</w:t>
      </w:r>
    </w:p>
    <w:p w14:paraId="5267E20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E9FFC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729FC4">
            <w:pPr>
              <w:pStyle w:val="4"/>
              <w:jc w:val="center"/>
            </w:pPr>
            <w:r>
              <w:rPr>
                <w:rFonts w:ascii="仿宋_GB2312" w:hAnsi="仿宋_GB2312" w:eastAsia="仿宋_GB2312" w:cs="仿宋_GB2312"/>
              </w:rPr>
              <w:t>序号</w:t>
            </w:r>
          </w:p>
        </w:tc>
        <w:tc>
          <w:tcPr>
            <w:tcW w:w="2492" w:type="dxa"/>
          </w:tcPr>
          <w:p w14:paraId="6B67709A">
            <w:pPr>
              <w:pStyle w:val="4"/>
              <w:jc w:val="center"/>
            </w:pPr>
            <w:r>
              <w:rPr>
                <w:rFonts w:ascii="仿宋_GB2312" w:hAnsi="仿宋_GB2312" w:eastAsia="仿宋_GB2312" w:cs="仿宋_GB2312"/>
              </w:rPr>
              <w:t>采购品目名称</w:t>
            </w:r>
          </w:p>
        </w:tc>
        <w:tc>
          <w:tcPr>
            <w:tcW w:w="2492" w:type="dxa"/>
          </w:tcPr>
          <w:p w14:paraId="1DFA3909">
            <w:pPr>
              <w:pStyle w:val="4"/>
              <w:jc w:val="center"/>
            </w:pPr>
            <w:r>
              <w:rPr>
                <w:rFonts w:ascii="仿宋_GB2312" w:hAnsi="仿宋_GB2312" w:eastAsia="仿宋_GB2312" w:cs="仿宋_GB2312"/>
              </w:rPr>
              <w:t>标的名称</w:t>
            </w:r>
          </w:p>
        </w:tc>
        <w:tc>
          <w:tcPr>
            <w:tcW w:w="2492" w:type="dxa"/>
          </w:tcPr>
          <w:p w14:paraId="0D141ED5">
            <w:pPr>
              <w:pStyle w:val="4"/>
              <w:jc w:val="center"/>
            </w:pPr>
            <w:r>
              <w:rPr>
                <w:rFonts w:ascii="仿宋_GB2312" w:hAnsi="仿宋_GB2312" w:eastAsia="仿宋_GB2312" w:cs="仿宋_GB2312"/>
              </w:rPr>
              <w:t>产品名称</w:t>
            </w:r>
          </w:p>
        </w:tc>
      </w:tr>
      <w:tr w14:paraId="4E67D5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8F67851">
            <w:pPr>
              <w:pStyle w:val="4"/>
              <w:jc w:val="center"/>
            </w:pPr>
            <w:r>
              <w:rPr>
                <w:rFonts w:ascii="仿宋_GB2312" w:hAnsi="仿宋_GB2312" w:eastAsia="仿宋_GB2312" w:cs="仿宋_GB2312"/>
              </w:rPr>
              <w:t>不涉及</w:t>
            </w:r>
          </w:p>
        </w:tc>
      </w:tr>
    </w:tbl>
    <w:p w14:paraId="1052F09F">
      <w:pPr>
        <w:pStyle w:val="4"/>
        <w:ind w:firstLine="480"/>
        <w:jc w:val="left"/>
      </w:pPr>
      <w:r>
        <w:rPr>
          <w:rFonts w:ascii="仿宋_GB2312" w:hAnsi="仿宋_GB2312" w:eastAsia="仿宋_GB2312" w:cs="仿宋_GB2312"/>
        </w:rPr>
        <w:t>注：涉及核心产品的，具体评审规定见第五章。</w:t>
      </w:r>
    </w:p>
    <w:p w14:paraId="0898F815">
      <w:pPr>
        <w:pStyle w:val="4"/>
        <w:jc w:val="left"/>
        <w:outlineLvl w:val="3"/>
      </w:pPr>
      <w:r>
        <w:rPr>
          <w:rFonts w:ascii="仿宋_GB2312" w:hAnsi="仿宋_GB2312" w:eastAsia="仿宋_GB2312" w:cs="仿宋_GB2312"/>
          <w:b/>
          <w:sz w:val="24"/>
        </w:rPr>
        <w:t>本项目涉及采购进口产品：</w:t>
      </w:r>
    </w:p>
    <w:p w14:paraId="2DA0EEB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5327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D7366F">
            <w:pPr>
              <w:pStyle w:val="4"/>
              <w:jc w:val="center"/>
            </w:pPr>
            <w:r>
              <w:rPr>
                <w:rFonts w:ascii="仿宋_GB2312" w:hAnsi="仿宋_GB2312" w:eastAsia="仿宋_GB2312" w:cs="仿宋_GB2312"/>
              </w:rPr>
              <w:t>序号</w:t>
            </w:r>
          </w:p>
        </w:tc>
        <w:tc>
          <w:tcPr>
            <w:tcW w:w="2492" w:type="dxa"/>
          </w:tcPr>
          <w:p w14:paraId="61D0ECAF">
            <w:pPr>
              <w:pStyle w:val="4"/>
              <w:jc w:val="center"/>
            </w:pPr>
            <w:r>
              <w:rPr>
                <w:rFonts w:ascii="仿宋_GB2312" w:hAnsi="仿宋_GB2312" w:eastAsia="仿宋_GB2312" w:cs="仿宋_GB2312"/>
              </w:rPr>
              <w:t>采购品目名称</w:t>
            </w:r>
          </w:p>
        </w:tc>
        <w:tc>
          <w:tcPr>
            <w:tcW w:w="2492" w:type="dxa"/>
          </w:tcPr>
          <w:p w14:paraId="34F36C38">
            <w:pPr>
              <w:pStyle w:val="4"/>
              <w:jc w:val="center"/>
            </w:pPr>
            <w:r>
              <w:rPr>
                <w:rFonts w:ascii="仿宋_GB2312" w:hAnsi="仿宋_GB2312" w:eastAsia="仿宋_GB2312" w:cs="仿宋_GB2312"/>
              </w:rPr>
              <w:t>标的名称</w:t>
            </w:r>
          </w:p>
        </w:tc>
        <w:tc>
          <w:tcPr>
            <w:tcW w:w="2492" w:type="dxa"/>
          </w:tcPr>
          <w:p w14:paraId="1772343F">
            <w:pPr>
              <w:pStyle w:val="4"/>
              <w:jc w:val="center"/>
            </w:pPr>
            <w:r>
              <w:rPr>
                <w:rFonts w:ascii="仿宋_GB2312" w:hAnsi="仿宋_GB2312" w:eastAsia="仿宋_GB2312" w:cs="仿宋_GB2312"/>
              </w:rPr>
              <w:t>产品名称</w:t>
            </w:r>
          </w:p>
        </w:tc>
      </w:tr>
      <w:tr w14:paraId="5C18B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631CD2E">
            <w:pPr>
              <w:pStyle w:val="4"/>
              <w:jc w:val="center"/>
            </w:pPr>
            <w:r>
              <w:rPr>
                <w:rFonts w:ascii="仿宋_GB2312" w:hAnsi="仿宋_GB2312" w:eastAsia="仿宋_GB2312" w:cs="仿宋_GB2312"/>
              </w:rPr>
              <w:t>不涉及</w:t>
            </w:r>
          </w:p>
        </w:tc>
      </w:tr>
    </w:tbl>
    <w:p w14:paraId="230D8BE5">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43334CF">
      <w:pPr>
        <w:pStyle w:val="4"/>
        <w:jc w:val="left"/>
        <w:outlineLvl w:val="3"/>
      </w:pPr>
      <w:r>
        <w:rPr>
          <w:rFonts w:ascii="仿宋_GB2312" w:hAnsi="仿宋_GB2312" w:eastAsia="仿宋_GB2312" w:cs="仿宋_GB2312"/>
          <w:b/>
          <w:sz w:val="24"/>
        </w:rPr>
        <w:t>本项目涉及强制采购节能产品：</w:t>
      </w:r>
    </w:p>
    <w:p w14:paraId="682943C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188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AE3406">
            <w:pPr>
              <w:pStyle w:val="4"/>
              <w:jc w:val="center"/>
            </w:pPr>
            <w:r>
              <w:rPr>
                <w:rFonts w:ascii="仿宋_GB2312" w:hAnsi="仿宋_GB2312" w:eastAsia="仿宋_GB2312" w:cs="仿宋_GB2312"/>
              </w:rPr>
              <w:t>序号</w:t>
            </w:r>
          </w:p>
        </w:tc>
        <w:tc>
          <w:tcPr>
            <w:tcW w:w="2492" w:type="dxa"/>
          </w:tcPr>
          <w:p w14:paraId="0595E53C">
            <w:pPr>
              <w:pStyle w:val="4"/>
              <w:jc w:val="center"/>
            </w:pPr>
            <w:r>
              <w:rPr>
                <w:rFonts w:ascii="仿宋_GB2312" w:hAnsi="仿宋_GB2312" w:eastAsia="仿宋_GB2312" w:cs="仿宋_GB2312"/>
              </w:rPr>
              <w:t>采购品目名称</w:t>
            </w:r>
          </w:p>
        </w:tc>
        <w:tc>
          <w:tcPr>
            <w:tcW w:w="2492" w:type="dxa"/>
          </w:tcPr>
          <w:p w14:paraId="1F82B5E7">
            <w:pPr>
              <w:pStyle w:val="4"/>
              <w:jc w:val="center"/>
            </w:pPr>
            <w:r>
              <w:rPr>
                <w:rFonts w:ascii="仿宋_GB2312" w:hAnsi="仿宋_GB2312" w:eastAsia="仿宋_GB2312" w:cs="仿宋_GB2312"/>
              </w:rPr>
              <w:t>标的名称</w:t>
            </w:r>
          </w:p>
        </w:tc>
        <w:tc>
          <w:tcPr>
            <w:tcW w:w="2492" w:type="dxa"/>
          </w:tcPr>
          <w:p w14:paraId="387CB0AB">
            <w:pPr>
              <w:pStyle w:val="4"/>
              <w:jc w:val="center"/>
            </w:pPr>
            <w:r>
              <w:rPr>
                <w:rFonts w:ascii="仿宋_GB2312" w:hAnsi="仿宋_GB2312" w:eastAsia="仿宋_GB2312" w:cs="仿宋_GB2312"/>
              </w:rPr>
              <w:t>产品名称</w:t>
            </w:r>
          </w:p>
        </w:tc>
      </w:tr>
      <w:tr w14:paraId="246634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2ECC44">
            <w:pPr>
              <w:pStyle w:val="4"/>
              <w:jc w:val="center"/>
            </w:pPr>
            <w:r>
              <w:rPr>
                <w:rFonts w:ascii="仿宋_GB2312" w:hAnsi="仿宋_GB2312" w:eastAsia="仿宋_GB2312" w:cs="仿宋_GB2312"/>
              </w:rPr>
              <w:t>不涉及</w:t>
            </w:r>
          </w:p>
        </w:tc>
      </w:tr>
    </w:tbl>
    <w:p w14:paraId="3A775053">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4B2BCBF6">
      <w:pPr>
        <w:pStyle w:val="4"/>
        <w:jc w:val="left"/>
      </w:pPr>
      <w:r>
        <w:rPr>
          <w:rFonts w:ascii="仿宋_GB2312" w:hAnsi="仿宋_GB2312" w:eastAsia="仿宋_GB2312" w:cs="仿宋_GB2312"/>
          <w:b/>
        </w:rPr>
        <w:t>本项目涉及优先采购节能产品：</w:t>
      </w:r>
    </w:p>
    <w:p w14:paraId="0C003F5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082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C9AFD4">
            <w:pPr>
              <w:pStyle w:val="4"/>
              <w:jc w:val="center"/>
            </w:pPr>
            <w:r>
              <w:rPr>
                <w:rFonts w:ascii="仿宋_GB2312" w:hAnsi="仿宋_GB2312" w:eastAsia="仿宋_GB2312" w:cs="仿宋_GB2312"/>
              </w:rPr>
              <w:t>序号</w:t>
            </w:r>
          </w:p>
        </w:tc>
        <w:tc>
          <w:tcPr>
            <w:tcW w:w="2492" w:type="dxa"/>
          </w:tcPr>
          <w:p w14:paraId="51323BB9">
            <w:pPr>
              <w:pStyle w:val="4"/>
              <w:jc w:val="center"/>
            </w:pPr>
            <w:r>
              <w:rPr>
                <w:rFonts w:ascii="仿宋_GB2312" w:hAnsi="仿宋_GB2312" w:eastAsia="仿宋_GB2312" w:cs="仿宋_GB2312"/>
              </w:rPr>
              <w:t>采购品目名称</w:t>
            </w:r>
          </w:p>
        </w:tc>
        <w:tc>
          <w:tcPr>
            <w:tcW w:w="2492" w:type="dxa"/>
          </w:tcPr>
          <w:p w14:paraId="2476B24D">
            <w:pPr>
              <w:pStyle w:val="4"/>
              <w:jc w:val="center"/>
            </w:pPr>
            <w:r>
              <w:rPr>
                <w:rFonts w:ascii="仿宋_GB2312" w:hAnsi="仿宋_GB2312" w:eastAsia="仿宋_GB2312" w:cs="仿宋_GB2312"/>
              </w:rPr>
              <w:t>标的名称</w:t>
            </w:r>
          </w:p>
        </w:tc>
        <w:tc>
          <w:tcPr>
            <w:tcW w:w="2492" w:type="dxa"/>
          </w:tcPr>
          <w:p w14:paraId="2AEC1FD1">
            <w:pPr>
              <w:pStyle w:val="4"/>
              <w:jc w:val="center"/>
            </w:pPr>
            <w:r>
              <w:rPr>
                <w:rFonts w:ascii="仿宋_GB2312" w:hAnsi="仿宋_GB2312" w:eastAsia="仿宋_GB2312" w:cs="仿宋_GB2312"/>
              </w:rPr>
              <w:t>产品名称</w:t>
            </w:r>
          </w:p>
        </w:tc>
      </w:tr>
      <w:tr w14:paraId="4769A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A8D3EC">
            <w:pPr>
              <w:pStyle w:val="4"/>
              <w:jc w:val="center"/>
            </w:pPr>
            <w:r>
              <w:rPr>
                <w:rFonts w:ascii="仿宋_GB2312" w:hAnsi="仿宋_GB2312" w:eastAsia="仿宋_GB2312" w:cs="仿宋_GB2312"/>
              </w:rPr>
              <w:t>不涉及</w:t>
            </w:r>
          </w:p>
        </w:tc>
      </w:tr>
    </w:tbl>
    <w:p w14:paraId="03D83EBD">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4BB0338">
      <w:pPr>
        <w:pStyle w:val="4"/>
        <w:jc w:val="left"/>
        <w:outlineLvl w:val="3"/>
      </w:pPr>
      <w:r>
        <w:rPr>
          <w:rFonts w:ascii="仿宋_GB2312" w:hAnsi="仿宋_GB2312" w:eastAsia="仿宋_GB2312" w:cs="仿宋_GB2312"/>
          <w:b/>
          <w:sz w:val="24"/>
        </w:rPr>
        <w:t>本项目涉及优先采购环境标志产品：</w:t>
      </w:r>
    </w:p>
    <w:p w14:paraId="748F868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81FF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7C30AD">
            <w:pPr>
              <w:pStyle w:val="4"/>
              <w:jc w:val="center"/>
            </w:pPr>
            <w:r>
              <w:rPr>
                <w:rFonts w:ascii="仿宋_GB2312" w:hAnsi="仿宋_GB2312" w:eastAsia="仿宋_GB2312" w:cs="仿宋_GB2312"/>
              </w:rPr>
              <w:t>序号</w:t>
            </w:r>
          </w:p>
        </w:tc>
        <w:tc>
          <w:tcPr>
            <w:tcW w:w="2492" w:type="dxa"/>
          </w:tcPr>
          <w:p w14:paraId="375AC498">
            <w:pPr>
              <w:pStyle w:val="4"/>
              <w:jc w:val="center"/>
            </w:pPr>
            <w:r>
              <w:rPr>
                <w:rFonts w:ascii="仿宋_GB2312" w:hAnsi="仿宋_GB2312" w:eastAsia="仿宋_GB2312" w:cs="仿宋_GB2312"/>
              </w:rPr>
              <w:t>采购品目名称</w:t>
            </w:r>
          </w:p>
        </w:tc>
        <w:tc>
          <w:tcPr>
            <w:tcW w:w="2492" w:type="dxa"/>
          </w:tcPr>
          <w:p w14:paraId="33E0E73F">
            <w:pPr>
              <w:pStyle w:val="4"/>
              <w:jc w:val="center"/>
            </w:pPr>
            <w:r>
              <w:rPr>
                <w:rFonts w:ascii="仿宋_GB2312" w:hAnsi="仿宋_GB2312" w:eastAsia="仿宋_GB2312" w:cs="仿宋_GB2312"/>
              </w:rPr>
              <w:t>标的名称</w:t>
            </w:r>
          </w:p>
        </w:tc>
        <w:tc>
          <w:tcPr>
            <w:tcW w:w="2492" w:type="dxa"/>
          </w:tcPr>
          <w:p w14:paraId="221E9BDE">
            <w:pPr>
              <w:pStyle w:val="4"/>
              <w:jc w:val="center"/>
            </w:pPr>
            <w:r>
              <w:rPr>
                <w:rFonts w:ascii="仿宋_GB2312" w:hAnsi="仿宋_GB2312" w:eastAsia="仿宋_GB2312" w:cs="仿宋_GB2312"/>
              </w:rPr>
              <w:t>产品名称</w:t>
            </w:r>
          </w:p>
        </w:tc>
      </w:tr>
      <w:tr w14:paraId="6283D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EC2913">
            <w:pPr>
              <w:pStyle w:val="4"/>
              <w:jc w:val="center"/>
            </w:pPr>
            <w:r>
              <w:rPr>
                <w:rFonts w:ascii="仿宋_GB2312" w:hAnsi="仿宋_GB2312" w:eastAsia="仿宋_GB2312" w:cs="仿宋_GB2312"/>
              </w:rPr>
              <w:t>不涉及</w:t>
            </w:r>
          </w:p>
        </w:tc>
      </w:tr>
    </w:tbl>
    <w:p w14:paraId="3B64140D">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8A9B68B">
      <w:pPr>
        <w:pStyle w:val="4"/>
        <w:jc w:val="left"/>
        <w:outlineLvl w:val="2"/>
      </w:pPr>
      <w:r>
        <w:rPr>
          <w:rFonts w:ascii="仿宋_GB2312" w:hAnsi="仿宋_GB2312" w:eastAsia="仿宋_GB2312" w:cs="仿宋_GB2312"/>
          <w:b/>
          <w:sz w:val="28"/>
        </w:rPr>
        <w:t>3.2.技术要求</w:t>
      </w:r>
    </w:p>
    <w:p w14:paraId="6FB06A40">
      <w:pPr>
        <w:pStyle w:val="4"/>
        <w:jc w:val="left"/>
      </w:pPr>
      <w:r>
        <w:rPr>
          <w:rFonts w:ascii="仿宋_GB2312" w:hAnsi="仿宋_GB2312" w:eastAsia="仿宋_GB2312" w:cs="仿宋_GB2312"/>
        </w:rPr>
        <w:t>采购包1：</w:t>
      </w:r>
    </w:p>
    <w:p w14:paraId="7B132822">
      <w:pPr>
        <w:pStyle w:val="4"/>
        <w:jc w:val="left"/>
      </w:pPr>
      <w:r>
        <w:rPr>
          <w:rFonts w:ascii="仿宋_GB2312" w:hAnsi="仿宋_GB2312" w:eastAsia="仿宋_GB2312" w:cs="仿宋_GB2312"/>
        </w:rPr>
        <w:t>标的名称：白玉县县城区线路下地专项规划项目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70D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8774AF">
            <w:pPr>
              <w:pStyle w:val="4"/>
              <w:jc w:val="center"/>
            </w:pPr>
            <w:r>
              <w:rPr>
                <w:rFonts w:ascii="仿宋_GB2312" w:hAnsi="仿宋_GB2312" w:eastAsia="仿宋_GB2312" w:cs="仿宋_GB2312"/>
              </w:rPr>
              <w:t>序号</w:t>
            </w:r>
          </w:p>
        </w:tc>
        <w:tc>
          <w:tcPr>
            <w:tcW w:w="581" w:type="dxa"/>
          </w:tcPr>
          <w:p w14:paraId="7358E545">
            <w:pPr>
              <w:pStyle w:val="4"/>
              <w:jc w:val="center"/>
            </w:pPr>
            <w:r>
              <w:rPr>
                <w:rFonts w:ascii="仿宋_GB2312" w:hAnsi="仿宋_GB2312" w:eastAsia="仿宋_GB2312" w:cs="仿宋_GB2312"/>
              </w:rPr>
              <w:t>符号标识</w:t>
            </w:r>
          </w:p>
        </w:tc>
        <w:tc>
          <w:tcPr>
            <w:tcW w:w="1495" w:type="dxa"/>
          </w:tcPr>
          <w:p w14:paraId="68142290">
            <w:pPr>
              <w:pStyle w:val="4"/>
              <w:jc w:val="center"/>
            </w:pPr>
            <w:r>
              <w:rPr>
                <w:rFonts w:ascii="仿宋_GB2312" w:hAnsi="仿宋_GB2312" w:eastAsia="仿宋_GB2312" w:cs="仿宋_GB2312"/>
              </w:rPr>
              <w:t>技术要求名称</w:t>
            </w:r>
          </w:p>
        </w:tc>
        <w:tc>
          <w:tcPr>
            <w:tcW w:w="5814" w:type="dxa"/>
          </w:tcPr>
          <w:p w14:paraId="08EAA2BC">
            <w:pPr>
              <w:pStyle w:val="4"/>
              <w:jc w:val="center"/>
            </w:pPr>
            <w:r>
              <w:rPr>
                <w:rFonts w:ascii="仿宋_GB2312" w:hAnsi="仿宋_GB2312" w:eastAsia="仿宋_GB2312" w:cs="仿宋_GB2312"/>
              </w:rPr>
              <w:t>技术参数与性能指标</w:t>
            </w:r>
          </w:p>
        </w:tc>
      </w:tr>
      <w:tr w14:paraId="74AB0B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2B3796">
            <w:pPr>
              <w:pStyle w:val="4"/>
              <w:jc w:val="center"/>
            </w:pPr>
            <w:r>
              <w:rPr>
                <w:rFonts w:ascii="仿宋_GB2312" w:hAnsi="仿宋_GB2312" w:eastAsia="仿宋_GB2312" w:cs="仿宋_GB2312"/>
              </w:rPr>
              <w:t>1</w:t>
            </w:r>
          </w:p>
        </w:tc>
        <w:tc>
          <w:tcPr>
            <w:tcW w:w="581" w:type="dxa"/>
          </w:tcPr>
          <w:p w14:paraId="253361B1">
            <w:pPr>
              <w:pStyle w:val="4"/>
              <w:jc w:val="center"/>
            </w:pPr>
            <w:r>
              <w:rPr>
                <w:rFonts w:ascii="仿宋_GB2312" w:hAnsi="仿宋_GB2312" w:eastAsia="仿宋_GB2312" w:cs="仿宋_GB2312"/>
              </w:rPr>
              <w:t>★</w:t>
            </w:r>
          </w:p>
        </w:tc>
        <w:tc>
          <w:tcPr>
            <w:tcW w:w="1495" w:type="dxa"/>
          </w:tcPr>
          <w:p w14:paraId="49D24926">
            <w:pPr>
              <w:pStyle w:val="4"/>
              <w:jc w:val="left"/>
            </w:pPr>
            <w:r>
              <w:rPr>
                <w:rFonts w:ascii="仿宋_GB2312" w:hAnsi="仿宋_GB2312" w:eastAsia="仿宋_GB2312" w:cs="仿宋_GB2312"/>
              </w:rPr>
              <w:t>服务内容及服务要求</w:t>
            </w:r>
          </w:p>
        </w:tc>
        <w:tc>
          <w:tcPr>
            <w:tcW w:w="5814" w:type="dxa"/>
          </w:tcPr>
          <w:p w14:paraId="3C4C955F">
            <w:pPr>
              <w:pStyle w:val="4"/>
              <w:ind w:firstLine="468"/>
              <w:jc w:val="both"/>
            </w:pPr>
            <w:r>
              <w:rPr>
                <w:rFonts w:ascii="仿宋_GB2312" w:hAnsi="仿宋_GB2312" w:eastAsia="仿宋_GB2312" w:cs="仿宋_GB2312"/>
                <w:sz w:val="24"/>
              </w:rPr>
              <w:t>1、规划范围</w:t>
            </w:r>
          </w:p>
          <w:p w14:paraId="3B964EC4">
            <w:pPr>
              <w:pStyle w:val="4"/>
              <w:ind w:firstLine="468"/>
              <w:jc w:val="both"/>
            </w:pPr>
            <w:r>
              <w:rPr>
                <w:rFonts w:ascii="仿宋_GB2312" w:hAnsi="仿宋_GB2312" w:eastAsia="仿宋_GB2312" w:cs="仿宋_GB2312"/>
                <w:sz w:val="24"/>
              </w:rPr>
              <w:t>白玉县城区，即白玉县中心城区的建成区范围，中心城区现状城镇建设用地面积1.8平方千米。结合白玉县城区架空线路现状，完成给排水、电力、通信三类架空线路现状摸排与地下空间布局规划编制工作。</w:t>
            </w:r>
          </w:p>
          <w:p w14:paraId="53E98C10">
            <w:pPr>
              <w:pStyle w:val="4"/>
              <w:ind w:firstLine="468"/>
              <w:jc w:val="both"/>
            </w:pPr>
            <w:r>
              <w:rPr>
                <w:rFonts w:ascii="仿宋_GB2312" w:hAnsi="仿宋_GB2312" w:eastAsia="仿宋_GB2312" w:cs="仿宋_GB2312"/>
                <w:sz w:val="24"/>
              </w:rPr>
              <w:t>2、规划期限：规划期限为2026年-2030年，规划基期年为2025年。</w:t>
            </w:r>
          </w:p>
          <w:p w14:paraId="4F7568E8">
            <w:pPr>
              <w:pStyle w:val="4"/>
              <w:ind w:firstLine="468"/>
              <w:jc w:val="both"/>
            </w:pPr>
            <w:r>
              <w:rPr>
                <w:rFonts w:ascii="仿宋_GB2312" w:hAnsi="仿宋_GB2312" w:eastAsia="仿宋_GB2312" w:cs="仿宋_GB2312"/>
                <w:sz w:val="24"/>
              </w:rPr>
              <w:t>3、服务要求</w:t>
            </w:r>
          </w:p>
          <w:p w14:paraId="6DC12263">
            <w:pPr>
              <w:pStyle w:val="4"/>
              <w:ind w:firstLine="468"/>
              <w:jc w:val="both"/>
            </w:pPr>
            <w:r>
              <w:rPr>
                <w:rFonts w:ascii="仿宋_GB2312" w:hAnsi="仿宋_GB2312" w:eastAsia="仿宋_GB2312" w:cs="仿宋_GB2312"/>
                <w:sz w:val="24"/>
              </w:rPr>
              <w:t>本次规划主要内容包括但不限于：（1）上位规划与现状分析；（2）地下管网建设需求研究；（3）综合管线规划总体方案研究；（4）提出分期建设规划。</w:t>
            </w:r>
          </w:p>
          <w:p w14:paraId="59BA8616">
            <w:pPr>
              <w:pStyle w:val="4"/>
              <w:ind w:firstLine="468"/>
              <w:jc w:val="both"/>
            </w:pPr>
            <w:r>
              <w:rPr>
                <w:rFonts w:ascii="仿宋_GB2312" w:hAnsi="仿宋_GB2312" w:eastAsia="仿宋_GB2312" w:cs="仿宋_GB2312"/>
                <w:sz w:val="24"/>
              </w:rPr>
              <w:t>4、规划目标</w:t>
            </w:r>
          </w:p>
          <w:p w14:paraId="0D216F58">
            <w:pPr>
              <w:pStyle w:val="4"/>
              <w:ind w:firstLine="468"/>
              <w:jc w:val="both"/>
            </w:pPr>
            <w:r>
              <w:rPr>
                <w:rFonts w:ascii="仿宋_GB2312" w:hAnsi="仿宋_GB2312" w:eastAsia="仿宋_GB2312" w:cs="仿宋_GB2312"/>
                <w:sz w:val="24"/>
              </w:rPr>
              <w:t>以安全为底线、以景观为抓手、以规范为准则、以发展为导向，通过系统性的地下管线改造，消除安全隐患，保障居民生活安全；改善城市景观，提升城镇整体形象；规范管线布局，提升地下空间利用效率；完善基础设施，保障管线长效管理；实现城镇功能与品质的双重提升。</w:t>
            </w:r>
          </w:p>
          <w:p w14:paraId="6EC4CA31">
            <w:pPr>
              <w:pStyle w:val="4"/>
              <w:ind w:firstLine="468"/>
              <w:jc w:val="both"/>
            </w:pPr>
            <w:r>
              <w:rPr>
                <w:rFonts w:ascii="仿宋_GB2312" w:hAnsi="仿宋_GB2312" w:eastAsia="仿宋_GB2312" w:cs="仿宋_GB2312"/>
                <w:sz w:val="24"/>
              </w:rPr>
              <w:t>5、成果文件</w:t>
            </w:r>
          </w:p>
          <w:p w14:paraId="3CB6805B">
            <w:pPr>
              <w:pStyle w:val="4"/>
              <w:ind w:firstLine="468"/>
              <w:jc w:val="both"/>
            </w:pPr>
            <w:r>
              <w:rPr>
                <w:rFonts w:ascii="仿宋_GB2312" w:hAnsi="仿宋_GB2312" w:eastAsia="仿宋_GB2312" w:cs="仿宋_GB2312"/>
                <w:sz w:val="24"/>
              </w:rPr>
              <w:t>成交供应商须在服务期限内按照采购人要求提交给采购人满足评审需要、工作需要的各阶段规划成果的纸质文件和电子文件。包含但不限于城市区位图；已实施地下设施及综合管网总图；水、电、通信及综合管廊分项布局图；水、电、通信及综合管廊分项系统图；综合管廊标准断面布置图；主要道路标准横断面布置图；重要地下管线综合平面布置图等。最终提交成果包含纸质文件（软装成册）4套、电子文档（PDF）1套、相关（CAD）1套。</w:t>
            </w:r>
          </w:p>
        </w:tc>
      </w:tr>
    </w:tbl>
    <w:p w14:paraId="4A6ED7F0">
      <w:pPr>
        <w:pStyle w:val="4"/>
        <w:jc w:val="left"/>
        <w:outlineLvl w:val="2"/>
      </w:pPr>
      <w:r>
        <w:rPr>
          <w:rFonts w:ascii="仿宋_GB2312" w:hAnsi="仿宋_GB2312" w:eastAsia="仿宋_GB2312" w:cs="仿宋_GB2312"/>
          <w:b/>
          <w:sz w:val="28"/>
        </w:rPr>
        <w:t>3.3.服务要求</w:t>
      </w:r>
    </w:p>
    <w:p w14:paraId="051F26BB">
      <w:pPr>
        <w:pStyle w:val="4"/>
        <w:jc w:val="left"/>
        <w:outlineLvl w:val="3"/>
      </w:pPr>
      <w:r>
        <w:rPr>
          <w:rFonts w:ascii="仿宋_GB2312" w:hAnsi="仿宋_GB2312" w:eastAsia="仿宋_GB2312" w:cs="仿宋_GB2312"/>
          <w:b/>
          <w:sz w:val="24"/>
        </w:rPr>
        <w:t>3.3.1服务内容要求</w:t>
      </w:r>
    </w:p>
    <w:p w14:paraId="4B47CC5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9D8C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834264">
            <w:pPr>
              <w:pStyle w:val="4"/>
              <w:jc w:val="center"/>
            </w:pPr>
            <w:r>
              <w:rPr>
                <w:rFonts w:ascii="仿宋_GB2312" w:hAnsi="仿宋_GB2312" w:eastAsia="仿宋_GB2312" w:cs="仿宋_GB2312"/>
              </w:rPr>
              <w:t xml:space="preserve"> 序号</w:t>
            </w:r>
          </w:p>
        </w:tc>
        <w:tc>
          <w:tcPr>
            <w:tcW w:w="581" w:type="dxa"/>
          </w:tcPr>
          <w:p w14:paraId="6D050C74">
            <w:pPr>
              <w:pStyle w:val="4"/>
              <w:jc w:val="center"/>
            </w:pPr>
            <w:r>
              <w:rPr>
                <w:rFonts w:ascii="仿宋_GB2312" w:hAnsi="仿宋_GB2312" w:eastAsia="仿宋_GB2312" w:cs="仿宋_GB2312"/>
              </w:rPr>
              <w:t xml:space="preserve"> 符号标识</w:t>
            </w:r>
          </w:p>
        </w:tc>
        <w:tc>
          <w:tcPr>
            <w:tcW w:w="1495" w:type="dxa"/>
          </w:tcPr>
          <w:p w14:paraId="629B34E3">
            <w:pPr>
              <w:pStyle w:val="4"/>
              <w:jc w:val="center"/>
            </w:pPr>
            <w:r>
              <w:rPr>
                <w:rFonts w:ascii="仿宋_GB2312" w:hAnsi="仿宋_GB2312" w:eastAsia="仿宋_GB2312" w:cs="仿宋_GB2312"/>
              </w:rPr>
              <w:t xml:space="preserve"> 服务要求名称</w:t>
            </w:r>
          </w:p>
        </w:tc>
        <w:tc>
          <w:tcPr>
            <w:tcW w:w="5814" w:type="dxa"/>
          </w:tcPr>
          <w:p w14:paraId="03658762">
            <w:pPr>
              <w:pStyle w:val="4"/>
              <w:jc w:val="center"/>
            </w:pPr>
            <w:r>
              <w:rPr>
                <w:rFonts w:ascii="仿宋_GB2312" w:hAnsi="仿宋_GB2312" w:eastAsia="仿宋_GB2312" w:cs="仿宋_GB2312"/>
              </w:rPr>
              <w:t xml:space="preserve"> 服务要求内容</w:t>
            </w:r>
          </w:p>
        </w:tc>
      </w:tr>
      <w:tr w14:paraId="532C46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167768">
            <w:pPr>
              <w:pStyle w:val="4"/>
              <w:jc w:val="center"/>
            </w:pPr>
            <w:r>
              <w:rPr>
                <w:rFonts w:ascii="仿宋_GB2312" w:hAnsi="仿宋_GB2312" w:eastAsia="仿宋_GB2312" w:cs="仿宋_GB2312"/>
              </w:rPr>
              <w:t>1</w:t>
            </w:r>
          </w:p>
        </w:tc>
        <w:tc>
          <w:tcPr>
            <w:tcW w:w="581" w:type="dxa"/>
          </w:tcPr>
          <w:p w14:paraId="3E9FDEBC"/>
        </w:tc>
        <w:tc>
          <w:tcPr>
            <w:tcW w:w="1495" w:type="dxa"/>
          </w:tcPr>
          <w:p w14:paraId="08CC44A3">
            <w:pPr>
              <w:pStyle w:val="4"/>
              <w:jc w:val="left"/>
            </w:pPr>
            <w:r>
              <w:rPr>
                <w:rFonts w:ascii="仿宋_GB2312" w:hAnsi="仿宋_GB2312" w:eastAsia="仿宋_GB2312" w:cs="仿宋_GB2312"/>
              </w:rPr>
              <w:t xml:space="preserve"> 项目服务要求</w:t>
            </w:r>
          </w:p>
        </w:tc>
        <w:tc>
          <w:tcPr>
            <w:tcW w:w="5814" w:type="dxa"/>
          </w:tcPr>
          <w:p w14:paraId="4650189A">
            <w:pPr>
              <w:pStyle w:val="4"/>
              <w:jc w:val="left"/>
            </w:pPr>
            <w:r>
              <w:rPr>
                <w:rFonts w:ascii="仿宋_GB2312" w:hAnsi="仿宋_GB2312" w:eastAsia="仿宋_GB2312" w:cs="仿宋_GB2312"/>
              </w:rPr>
              <w:t>供应商应具备完成本项目所需的人员及履约经验，并针对项目认知与解读提供完整的规划方案及售后服务方案：规划方案含①上位规划的认知；②区域基本情况与现场问题分析；③地下管网建设需求分析；④给排水地下管网建设方案；⑤电力地下管网建设方案；⑥通信地下管网建设方案；⑦问题总结与解决策略方案等；售后服务方案含①服务团队人员配置；②服务响应时间；③服务保障措施；④后续跟踪服务等。</w:t>
            </w:r>
          </w:p>
        </w:tc>
      </w:tr>
    </w:tbl>
    <w:p w14:paraId="368FA400">
      <w:pPr>
        <w:pStyle w:val="4"/>
        <w:jc w:val="left"/>
        <w:outlineLvl w:val="3"/>
      </w:pPr>
      <w:r>
        <w:rPr>
          <w:rFonts w:ascii="仿宋_GB2312" w:hAnsi="仿宋_GB2312" w:eastAsia="仿宋_GB2312" w:cs="仿宋_GB2312"/>
          <w:b/>
          <w:sz w:val="24"/>
        </w:rPr>
        <w:t>3.3.2.商务要求</w:t>
      </w:r>
    </w:p>
    <w:p w14:paraId="00BB310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5502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6B4F7E7">
            <w:pPr>
              <w:pStyle w:val="4"/>
              <w:jc w:val="left"/>
            </w:pPr>
            <w:r>
              <w:rPr>
                <w:rFonts w:ascii="仿宋_GB2312" w:hAnsi="仿宋_GB2312" w:eastAsia="仿宋_GB2312" w:cs="仿宋_GB2312"/>
              </w:rPr>
              <w:t>序号</w:t>
            </w:r>
          </w:p>
        </w:tc>
        <w:tc>
          <w:tcPr>
            <w:tcW w:w="2076" w:type="dxa"/>
          </w:tcPr>
          <w:p w14:paraId="27B27E72">
            <w:pPr>
              <w:pStyle w:val="4"/>
              <w:jc w:val="left"/>
            </w:pPr>
            <w:r>
              <w:rPr>
                <w:rFonts w:ascii="仿宋_GB2312" w:hAnsi="仿宋_GB2312" w:eastAsia="仿宋_GB2312" w:cs="仿宋_GB2312"/>
              </w:rPr>
              <w:t>符号标识</w:t>
            </w:r>
          </w:p>
        </w:tc>
        <w:tc>
          <w:tcPr>
            <w:tcW w:w="2076" w:type="dxa"/>
          </w:tcPr>
          <w:p w14:paraId="58138C0F">
            <w:pPr>
              <w:pStyle w:val="4"/>
              <w:jc w:val="left"/>
            </w:pPr>
            <w:r>
              <w:rPr>
                <w:rFonts w:ascii="仿宋_GB2312" w:hAnsi="仿宋_GB2312" w:eastAsia="仿宋_GB2312" w:cs="仿宋_GB2312"/>
              </w:rPr>
              <w:t>商务要求名称</w:t>
            </w:r>
          </w:p>
        </w:tc>
        <w:tc>
          <w:tcPr>
            <w:tcW w:w="2076" w:type="dxa"/>
          </w:tcPr>
          <w:p w14:paraId="7338CDE8">
            <w:pPr>
              <w:pStyle w:val="4"/>
              <w:jc w:val="left"/>
            </w:pPr>
            <w:r>
              <w:rPr>
                <w:rFonts w:ascii="仿宋_GB2312" w:hAnsi="仿宋_GB2312" w:eastAsia="仿宋_GB2312" w:cs="仿宋_GB2312"/>
              </w:rPr>
              <w:t>商务要求内容</w:t>
            </w:r>
          </w:p>
        </w:tc>
      </w:tr>
      <w:tr w14:paraId="4FA5DE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63871D">
            <w:pPr>
              <w:pStyle w:val="4"/>
              <w:jc w:val="left"/>
            </w:pPr>
            <w:r>
              <w:rPr>
                <w:rFonts w:ascii="仿宋_GB2312" w:hAnsi="仿宋_GB2312" w:eastAsia="仿宋_GB2312" w:cs="仿宋_GB2312"/>
              </w:rPr>
              <w:t>1</w:t>
            </w:r>
          </w:p>
        </w:tc>
        <w:tc>
          <w:tcPr>
            <w:tcW w:w="2076" w:type="dxa"/>
          </w:tcPr>
          <w:p w14:paraId="3A99AF8B">
            <w:pPr>
              <w:pStyle w:val="4"/>
              <w:jc w:val="left"/>
            </w:pPr>
            <w:r>
              <w:rPr>
                <w:rFonts w:ascii="仿宋_GB2312" w:hAnsi="仿宋_GB2312" w:eastAsia="仿宋_GB2312" w:cs="仿宋_GB2312"/>
              </w:rPr>
              <w:t>★</w:t>
            </w:r>
          </w:p>
        </w:tc>
        <w:tc>
          <w:tcPr>
            <w:tcW w:w="2076" w:type="dxa"/>
          </w:tcPr>
          <w:p w14:paraId="1709CF40">
            <w:pPr>
              <w:pStyle w:val="4"/>
              <w:jc w:val="left"/>
            </w:pPr>
            <w:r>
              <w:rPr>
                <w:rFonts w:ascii="仿宋_GB2312" w:hAnsi="仿宋_GB2312" w:eastAsia="仿宋_GB2312" w:cs="仿宋_GB2312"/>
              </w:rPr>
              <w:t>服务期限</w:t>
            </w:r>
          </w:p>
        </w:tc>
        <w:tc>
          <w:tcPr>
            <w:tcW w:w="2076" w:type="dxa"/>
          </w:tcPr>
          <w:p w14:paraId="7F63FE88">
            <w:pPr>
              <w:pStyle w:val="4"/>
              <w:jc w:val="left"/>
            </w:pPr>
            <w:r>
              <w:rPr>
                <w:rFonts w:ascii="仿宋_GB2312" w:hAnsi="仿宋_GB2312" w:eastAsia="仿宋_GB2312" w:cs="仿宋_GB2312"/>
              </w:rPr>
              <w:t>自合同签订之日起90日。</w:t>
            </w:r>
          </w:p>
        </w:tc>
      </w:tr>
      <w:tr w14:paraId="24B561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20FD1DD">
            <w:pPr>
              <w:pStyle w:val="4"/>
              <w:jc w:val="left"/>
            </w:pPr>
            <w:r>
              <w:rPr>
                <w:rFonts w:ascii="仿宋_GB2312" w:hAnsi="仿宋_GB2312" w:eastAsia="仿宋_GB2312" w:cs="仿宋_GB2312"/>
              </w:rPr>
              <w:t>2</w:t>
            </w:r>
          </w:p>
        </w:tc>
        <w:tc>
          <w:tcPr>
            <w:tcW w:w="2076" w:type="dxa"/>
          </w:tcPr>
          <w:p w14:paraId="08DB0C46">
            <w:pPr>
              <w:pStyle w:val="4"/>
              <w:jc w:val="left"/>
            </w:pPr>
            <w:r>
              <w:rPr>
                <w:rFonts w:ascii="仿宋_GB2312" w:hAnsi="仿宋_GB2312" w:eastAsia="仿宋_GB2312" w:cs="仿宋_GB2312"/>
              </w:rPr>
              <w:t>★</w:t>
            </w:r>
          </w:p>
        </w:tc>
        <w:tc>
          <w:tcPr>
            <w:tcW w:w="2076" w:type="dxa"/>
          </w:tcPr>
          <w:p w14:paraId="3FB1CEAB">
            <w:pPr>
              <w:pStyle w:val="4"/>
              <w:jc w:val="left"/>
            </w:pPr>
            <w:r>
              <w:rPr>
                <w:rFonts w:ascii="仿宋_GB2312" w:hAnsi="仿宋_GB2312" w:eastAsia="仿宋_GB2312" w:cs="仿宋_GB2312"/>
              </w:rPr>
              <w:t>服务地点</w:t>
            </w:r>
          </w:p>
        </w:tc>
        <w:tc>
          <w:tcPr>
            <w:tcW w:w="2076" w:type="dxa"/>
          </w:tcPr>
          <w:p w14:paraId="40518A9E">
            <w:pPr>
              <w:pStyle w:val="4"/>
              <w:jc w:val="left"/>
            </w:pPr>
            <w:r>
              <w:rPr>
                <w:rFonts w:ascii="仿宋_GB2312" w:hAnsi="仿宋_GB2312" w:eastAsia="仿宋_GB2312" w:cs="仿宋_GB2312"/>
              </w:rPr>
              <w:t>采购人指定地点。</w:t>
            </w:r>
          </w:p>
        </w:tc>
      </w:tr>
      <w:tr w14:paraId="0AA940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211ADF">
            <w:pPr>
              <w:pStyle w:val="4"/>
              <w:jc w:val="left"/>
            </w:pPr>
            <w:r>
              <w:rPr>
                <w:rFonts w:ascii="仿宋_GB2312" w:hAnsi="仿宋_GB2312" w:eastAsia="仿宋_GB2312" w:cs="仿宋_GB2312"/>
              </w:rPr>
              <w:t>3</w:t>
            </w:r>
          </w:p>
        </w:tc>
        <w:tc>
          <w:tcPr>
            <w:tcW w:w="2076" w:type="dxa"/>
          </w:tcPr>
          <w:p w14:paraId="20EE17C1">
            <w:pPr>
              <w:pStyle w:val="4"/>
              <w:jc w:val="left"/>
            </w:pPr>
            <w:r>
              <w:rPr>
                <w:rFonts w:ascii="仿宋_GB2312" w:hAnsi="仿宋_GB2312" w:eastAsia="仿宋_GB2312" w:cs="仿宋_GB2312"/>
              </w:rPr>
              <w:t>★</w:t>
            </w:r>
          </w:p>
        </w:tc>
        <w:tc>
          <w:tcPr>
            <w:tcW w:w="2076" w:type="dxa"/>
          </w:tcPr>
          <w:p w14:paraId="11E58125">
            <w:pPr>
              <w:pStyle w:val="4"/>
              <w:jc w:val="left"/>
            </w:pPr>
            <w:r>
              <w:rPr>
                <w:rFonts w:ascii="仿宋_GB2312" w:hAnsi="仿宋_GB2312" w:eastAsia="仿宋_GB2312" w:cs="仿宋_GB2312"/>
              </w:rPr>
              <w:t>验收、交付标准和方法</w:t>
            </w:r>
          </w:p>
        </w:tc>
        <w:tc>
          <w:tcPr>
            <w:tcW w:w="2076" w:type="dxa"/>
          </w:tcPr>
          <w:p w14:paraId="76D11007">
            <w:pPr>
              <w:pStyle w:val="4"/>
              <w:jc w:val="left"/>
            </w:pPr>
            <w:r>
              <w:rPr>
                <w:rFonts w:ascii="仿宋_GB2312" w:hAnsi="仿宋_GB2312" w:eastAsia="仿宋_GB2312" w:cs="仿宋_GB2312"/>
              </w:rPr>
              <w:t>履约验收主体：白玉县住房和城乡建设局； 履约验收时间：供应商在成果文件评审合格并提交相关资料后通知采购人，采购人在接到通知后10日内组织履约验收； 履约验收方式：按照采购文件、响应文件及现行技术规范和标准文件的要求，由采购人组织有关人员组成验收小组进行验收； 履约验收程序：一次性验收； 履约验收内容和标准： 技术履约内容及标准：按照本项目磋商文件中“技术服务内容”及成交供应商响应文件进行验收； 商务履约内容及标准：按照本项目磋商文件中“商务要求”及成交供应商响应文件进行验收。 其他：履约验收事项严格按照《财政部关于进一步加强政府采购需求和履约验收管理的指导意见》(财库〔2016〕205号)、《政府采购需求管理办法》（财库〔2021〕22号）文件的要求进行验收。符合国家相关规定，并按照相关技术要求进行开展，并完全满足采购需求。</w:t>
            </w:r>
          </w:p>
        </w:tc>
      </w:tr>
      <w:tr w14:paraId="1B0526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89ED19">
            <w:pPr>
              <w:pStyle w:val="4"/>
              <w:jc w:val="left"/>
            </w:pPr>
            <w:r>
              <w:rPr>
                <w:rFonts w:ascii="仿宋_GB2312" w:hAnsi="仿宋_GB2312" w:eastAsia="仿宋_GB2312" w:cs="仿宋_GB2312"/>
              </w:rPr>
              <w:t>4</w:t>
            </w:r>
          </w:p>
        </w:tc>
        <w:tc>
          <w:tcPr>
            <w:tcW w:w="2076" w:type="dxa"/>
          </w:tcPr>
          <w:p w14:paraId="13BEA905">
            <w:pPr>
              <w:pStyle w:val="4"/>
              <w:jc w:val="left"/>
            </w:pPr>
            <w:r>
              <w:rPr>
                <w:rFonts w:ascii="仿宋_GB2312" w:hAnsi="仿宋_GB2312" w:eastAsia="仿宋_GB2312" w:cs="仿宋_GB2312"/>
              </w:rPr>
              <w:t>★</w:t>
            </w:r>
          </w:p>
        </w:tc>
        <w:tc>
          <w:tcPr>
            <w:tcW w:w="2076" w:type="dxa"/>
          </w:tcPr>
          <w:p w14:paraId="7B4E3ED1">
            <w:pPr>
              <w:pStyle w:val="4"/>
              <w:jc w:val="left"/>
            </w:pPr>
            <w:r>
              <w:rPr>
                <w:rFonts w:ascii="仿宋_GB2312" w:hAnsi="仿宋_GB2312" w:eastAsia="仿宋_GB2312" w:cs="仿宋_GB2312"/>
              </w:rPr>
              <w:t>支付方式</w:t>
            </w:r>
          </w:p>
        </w:tc>
        <w:tc>
          <w:tcPr>
            <w:tcW w:w="2076" w:type="dxa"/>
          </w:tcPr>
          <w:p w14:paraId="0FFD511B">
            <w:pPr>
              <w:pStyle w:val="4"/>
              <w:jc w:val="left"/>
            </w:pPr>
            <w:r>
              <w:rPr>
                <w:rFonts w:ascii="仿宋_GB2312" w:hAnsi="仿宋_GB2312" w:eastAsia="仿宋_GB2312" w:cs="仿宋_GB2312"/>
              </w:rPr>
              <w:t>分期付款</w:t>
            </w:r>
          </w:p>
        </w:tc>
      </w:tr>
      <w:tr w14:paraId="00FF0F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42FF170">
            <w:pPr>
              <w:pStyle w:val="4"/>
              <w:jc w:val="left"/>
            </w:pPr>
            <w:r>
              <w:rPr>
                <w:rFonts w:ascii="仿宋_GB2312" w:hAnsi="仿宋_GB2312" w:eastAsia="仿宋_GB2312" w:cs="仿宋_GB2312"/>
              </w:rPr>
              <w:t>5</w:t>
            </w:r>
          </w:p>
        </w:tc>
        <w:tc>
          <w:tcPr>
            <w:tcW w:w="2076" w:type="dxa"/>
          </w:tcPr>
          <w:p w14:paraId="0B75F48B">
            <w:pPr>
              <w:pStyle w:val="4"/>
              <w:jc w:val="left"/>
            </w:pPr>
            <w:r>
              <w:rPr>
                <w:rFonts w:ascii="仿宋_GB2312" w:hAnsi="仿宋_GB2312" w:eastAsia="仿宋_GB2312" w:cs="仿宋_GB2312"/>
              </w:rPr>
              <w:t>★</w:t>
            </w:r>
          </w:p>
        </w:tc>
        <w:tc>
          <w:tcPr>
            <w:tcW w:w="2076" w:type="dxa"/>
          </w:tcPr>
          <w:p w14:paraId="3250AB88">
            <w:pPr>
              <w:pStyle w:val="4"/>
              <w:jc w:val="left"/>
            </w:pPr>
            <w:r>
              <w:rPr>
                <w:rFonts w:ascii="仿宋_GB2312" w:hAnsi="仿宋_GB2312" w:eastAsia="仿宋_GB2312" w:cs="仿宋_GB2312"/>
              </w:rPr>
              <w:t>付款进度安排</w:t>
            </w:r>
          </w:p>
        </w:tc>
        <w:tc>
          <w:tcPr>
            <w:tcW w:w="2076" w:type="dxa"/>
          </w:tcPr>
          <w:p w14:paraId="32759788">
            <w:pPr>
              <w:pStyle w:val="4"/>
              <w:jc w:val="left"/>
            </w:pPr>
            <w:r>
              <w:rPr>
                <w:rFonts w:ascii="仿宋_GB2312" w:hAnsi="仿宋_GB2312" w:eastAsia="仿宋_GB2312" w:cs="仿宋_GB2312"/>
              </w:rPr>
              <w:t>1、预付款付款条件：合同签订生效后，采购人自收到成交供应商开具的发票后。达到该付款条件起7个工作日内，支付合同总金额的40.0%</w:t>
            </w:r>
            <w:r>
              <w:br w:type="textWrapping"/>
            </w:r>
            <w:r>
              <w:rPr>
                <w:rFonts w:ascii="仿宋_GB2312" w:hAnsi="仿宋_GB2312" w:eastAsia="仿宋_GB2312" w:cs="仿宋_GB2312"/>
              </w:rPr>
              <w:t>2、进度款付款条件：通过规委会汇报，评审合格并收到开具的发票后。达到该付款条件起7个工作日内，支付合同总金额的50.0%</w:t>
            </w:r>
            <w:r>
              <w:br w:type="textWrapping"/>
            </w:r>
            <w:r>
              <w:rPr>
                <w:rFonts w:ascii="仿宋_GB2312" w:hAnsi="仿宋_GB2312" w:eastAsia="仿宋_GB2312" w:cs="仿宋_GB2312"/>
              </w:rPr>
              <w:t>3、尾款付款条件：提交所有成果并收到开具发票后。达到该付款条件起7个工作日内，支付合同总金额的10.0%</w:t>
            </w:r>
            <w:r>
              <w:br w:type="textWrapping"/>
            </w:r>
          </w:p>
        </w:tc>
      </w:tr>
      <w:tr w14:paraId="737A85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5DEC2BB">
            <w:pPr>
              <w:pStyle w:val="4"/>
              <w:jc w:val="left"/>
            </w:pPr>
            <w:r>
              <w:rPr>
                <w:rFonts w:ascii="仿宋_GB2312" w:hAnsi="仿宋_GB2312" w:eastAsia="仿宋_GB2312" w:cs="仿宋_GB2312"/>
              </w:rPr>
              <w:t>6</w:t>
            </w:r>
          </w:p>
        </w:tc>
        <w:tc>
          <w:tcPr>
            <w:tcW w:w="2076" w:type="dxa"/>
          </w:tcPr>
          <w:p w14:paraId="3B621F84">
            <w:pPr>
              <w:pStyle w:val="4"/>
              <w:jc w:val="left"/>
            </w:pPr>
            <w:r>
              <w:rPr>
                <w:rFonts w:ascii="仿宋_GB2312" w:hAnsi="仿宋_GB2312" w:eastAsia="仿宋_GB2312" w:cs="仿宋_GB2312"/>
              </w:rPr>
              <w:t>★</w:t>
            </w:r>
          </w:p>
        </w:tc>
        <w:tc>
          <w:tcPr>
            <w:tcW w:w="2076" w:type="dxa"/>
          </w:tcPr>
          <w:p w14:paraId="2D8F4775">
            <w:pPr>
              <w:pStyle w:val="4"/>
              <w:jc w:val="left"/>
            </w:pPr>
            <w:r>
              <w:rPr>
                <w:rFonts w:ascii="仿宋_GB2312" w:hAnsi="仿宋_GB2312" w:eastAsia="仿宋_GB2312" w:cs="仿宋_GB2312"/>
              </w:rPr>
              <w:t>违约责任与解决争议的方法</w:t>
            </w:r>
          </w:p>
        </w:tc>
        <w:tc>
          <w:tcPr>
            <w:tcW w:w="2076" w:type="dxa"/>
          </w:tcPr>
          <w:p w14:paraId="2822AC8F">
            <w:pPr>
              <w:pStyle w:val="4"/>
              <w:jc w:val="left"/>
            </w:pPr>
            <w:r>
              <w:rPr>
                <w:rFonts w:ascii="仿宋_GB2312" w:hAnsi="仿宋_GB2312" w:eastAsia="仿宋_GB2312" w:cs="仿宋_GB2312"/>
              </w:rPr>
              <w:t>违约责任： 1、供应商必须遵守采购合同并执行合同中的各项规定，保证采购合同的正常履行。 2、如因供应商工作人员在履行合同过程中的疏忽、失职、过错等故意或者过失原因给甲方造成损失或侵害，包括但不限于采购人本身的财产损失、由此而导致的采购人对任何第三方的法律责任等，供应商对此均应承担全部的赔偿责任。 3、供应商必须遵守采购合同按时完成合同相关工作，若由于供应商原因导致合同迟延履行，供应商应承担采购合同中约定的违约金。 4、供应商应当遵守采购人的相关项目需求及相关技术要求及实质性条款，实施完成采购合同应当完全满足相关项目需求及相关技术要求及实质性条款，若供应商瑕疵履行采购合同，采购人有权向供应商要求赔偿合同总价款10%的违约金，若造成相关损失的，采购人有权要求供应商承担所有赔偿责任。 5、有下列情形之一的，当事人可解除合同： （1）因不可抗力致使不能实现合同目的（同于非供应商或采购人原因，致使合同实质性条款无法实现的）；（2）当事人一方迟延履行主要合同，经催告后在合理期限内仍未履行；（3）当事人一方迟延履行合同或者有其他违约行为致使不能实现合同目的；（4）法律规定的其他情形。 解决争议的方法：合同履行期间，若双方发生争议，可协商或由有关部门调解解决，协商或调解不成的，向采购人所在地仲裁委员会申请仲裁或向采购人所在地人民法院起诉。</w:t>
            </w:r>
          </w:p>
        </w:tc>
      </w:tr>
    </w:tbl>
    <w:p w14:paraId="1B227B41">
      <w:pPr>
        <w:pStyle w:val="4"/>
        <w:jc w:val="left"/>
        <w:outlineLvl w:val="2"/>
      </w:pPr>
      <w:r>
        <w:rPr>
          <w:rFonts w:ascii="仿宋_GB2312" w:hAnsi="仿宋_GB2312" w:eastAsia="仿宋_GB2312" w:cs="仿宋_GB2312"/>
          <w:b/>
          <w:sz w:val="28"/>
        </w:rPr>
        <w:t>3.4.其他要求</w:t>
      </w:r>
    </w:p>
    <w:p w14:paraId="40CF8812">
      <w:pPr>
        <w:pStyle w:val="4"/>
        <w:ind w:firstLine="480"/>
        <w:jc w:val="left"/>
      </w:pPr>
      <w:r>
        <w:rPr>
          <w:rFonts w:ascii="仿宋_GB2312" w:hAnsi="仿宋_GB2312" w:eastAsia="仿宋_GB2312" w:cs="仿宋_GB2312"/>
        </w:rPr>
        <w:t>采购包1：</w:t>
      </w:r>
    </w:p>
    <w:p w14:paraId="722D719E">
      <w:pPr>
        <w:pStyle w:val="4"/>
        <w:jc w:val="left"/>
      </w:pPr>
      <w:r>
        <w:rPr>
          <w:rFonts w:ascii="仿宋_GB2312" w:hAnsi="仿宋_GB2312" w:eastAsia="仿宋_GB2312" w:cs="仿宋_GB2312"/>
        </w:rPr>
        <w:t>1、政府采购合同签订时间：供应商成交后，自成交通知书发出之日起30日内与采购单位签订政府采购合同，过期视为主动放弃成交。 2、成交供应商在项目履约过程中引起的一切安全事故（成交供应商团队或服务对象发生任何安全事故）由成交供应商自行负责，采购人不承担任何责任。(提供承诺函，格式自拟)。 3、采购人定期核对供应商提供服务所配备的设施设备和人员数量等相关信息，对于未按照采购文件及投标响应要求执行或存在不合理的部分有权下达整改通知书，并要求供应商限期整改。 4、供应商应定期及时向采购人通告本项目服务范围内有关服务的重大事项及其进度。 5、项目报价应当包括完成本项目可能发生的各项费用的价格体现 ，本项目为包干价，如人工费、保险费、咨询费、培训费、食宿及差旅费、税金、管理费用等一切费用的体现 ，采购文件未列明而供应商认为其他必需的费用也须列入报价内。 6、本项目执行相关国家及行业规范、标准。如本项目所涉及的相关国家及行业规范、标准、文件如有更新最新标准，则从其最新标准执行。其他未尽事宜在合同中约定。</w:t>
      </w:r>
    </w:p>
    <w:p w14:paraId="2D9EBA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097165"/>
    <w:rsid w:val="4F0971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2026-10-12T07:35:00Z</dcterms:created>
  <dc:creator>Administrator</dc:creator>
  <cp:lastModifiedBy>Administrator</cp:lastModifiedBy>
  <dcterms:modified xsi:type="dcterms:W3CDTF">2026-10-12T07:36:46Z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250212CA2B1D48B9BC01140A4397BEF8_11</vt:lpwstr>
  </property>
  <property fmtid="{D5CDD505-2E9C-101B-9397-08002B2CF9AE}" pid="4" name="KSOTemplateDocerSaveRecord">
    <vt:lpwstr>eyJoZGlkIjoiMGZiZDRmOTM0OGRkMmMzZmE4ZmE3NzM2YjE2YjBjOWEiLCJ1c2VySWQiOiIyNDM3MTg0MzAifQ==</vt:lpwstr>
  </property>
</Properties>
</file>