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版本号：N511324202600006420260623001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仪陇县2025年丘陵山区创新攻关农机装备熟化与推广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N5113242026000064</w:t>
      </w:r>
    </w:p>
    <w:p>
      <w:pPr>
        <w:pStyle w:val="null3"/>
        <w:jc w:val="left"/>
        <w:outlineLvl w:val="2"/>
      </w:pPr>
      <w:r>
        <w:rPr>
          <w:rFonts w:ascii="仿宋_GB2312" w:hAnsi="仿宋_GB2312" w:cs="仿宋_GB2312" w:eastAsia="仿宋_GB2312"/>
          <w:sz w:val="28"/>
          <w:b/>
        </w:rPr>
        <w:t>仪陇县农业农村局</w:t>
      </w:r>
    </w:p>
    <w:p>
      <w:pPr>
        <w:pStyle w:val="null3"/>
        <w:jc w:val="center"/>
        <w:outlineLvl w:val="2"/>
      </w:pPr>
      <w:r>
        <w:rPr>
          <w:rFonts w:ascii="仿宋_GB2312" w:hAnsi="仿宋_GB2312" w:cs="仿宋_GB2312" w:eastAsia="仿宋_GB2312"/>
          <w:sz w:val="28"/>
          <w:b/>
        </w:rPr>
        <w:t>四川亘晟项目管理有限公司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四川亘晟项目管理有限公司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仪陇县农业农村局</w:t>
      </w:r>
      <w:r>
        <w:rPr>
          <w:rFonts w:ascii="仿宋_GB2312" w:hAnsi="仿宋_GB2312" w:cs="仿宋_GB2312" w:eastAsia="仿宋_GB2312"/>
        </w:rPr>
        <w:t xml:space="preserve"> 委托，拟对 </w:t>
      </w:r>
      <w:r>
        <w:rPr>
          <w:rFonts w:ascii="仿宋_GB2312" w:hAnsi="仿宋_GB2312" w:cs="仿宋_GB2312" w:eastAsia="仿宋_GB2312"/>
        </w:rPr>
        <w:t>仪陇县2025年丘陵山区创新攻关农机装备熟化与推广</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南充市仪陇县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N5113242026000064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仪陇县2025年丘陵山区创新攻关农机装备熟化与推广</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熟化适配丘陵山区的创新农机，强化推广应用与技术培训，提升粮油及经济作物机械化水平，助力农业提质增效。</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仪陇县农业农村局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仪陇县仁德街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637676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13370572984</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四川亘晟项目管理有限公司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四川省南充市仪陇县新政镇宏德大道东三段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0817-6989655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采购包1：559,000.00元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收款人账户：仪陇县农业农村局</w:t>
              <w:br/>
              <w:t>收款人账号：51050110830400000550</w:t>
              <w:br/>
              <w:t>开户银行：中国建设银行股份有限公司仪陇支行</w:t>
              <w:br/>
              <w:t>交款时间：成交通知书发放后。</w:t>
              <w:br/>
              <w:t>履约保证金退还方式：原账号返回。</w:t>
              <w:br/>
              <w:t xml:space="preserve">履约保证金退还时间：项目履约验收完成后。 </w:t>
              <w:br/>
              <w:t>履约保证金不予退还情形：成交供应商不履行与采购人订立的合同的，履约保证金不予退还。 履约保证金不予退还的，将按照有关规定上缴国库。</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代理服务费收费标准：中标（成交）供应商须在签订成交合同前向代理公司领取纸质档成交通知书并缴纳代理服务费，代理服务费按成交价计算收取。 （标准说明：①中标（成交）金额在100万以内（包含100万）的：按中标（成交）金额的1.5%收取；②中标（成交）金额在100万~500万的：100万的部分按1.5%收取，超过100万，小于等于500万的部分，按实际超过金额的1.1%收取；③中标（成交）金额500万~1000万的：100万的部分按1.5%收取.超过100万，小于等于500万的部分，按400万的1.1%收取。超过500万，小于等于1000万的部分，按实际超过金额的0.8%收取；④中标（成交）金额1000万~5000万的：100万的部分按1.5%收取.超过100万，小于等于500万的部分，按400万的1.1%收取。超过500万，小于等于1000万的部分，按500万的0.8%收取。超过100万，小于等于5000万的部分，按实际超过金额的0.5%收取； 代理费缴纳账户： 户名：四川亘晟项目管理有限公司 开户银行：南充农村商业银行股份有限公司仪陇支行 账号：52340120000016894 银联号：314673000019</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仪陇县农业农村局</w:t>
      </w:r>
      <w:r>
        <w:rPr>
          <w:rFonts w:ascii="仿宋_GB2312" w:hAnsi="仿宋_GB2312" w:cs="仿宋_GB2312" w:eastAsia="仿宋_GB2312"/>
        </w:rPr>
        <w:t xml:space="preserve"> 和 </w:t>
      </w:r>
      <w:r>
        <w:rPr>
          <w:rFonts w:ascii="仿宋_GB2312" w:hAnsi="仿宋_GB2312" w:cs="仿宋_GB2312" w:eastAsia="仿宋_GB2312"/>
        </w:rPr>
        <w:t>四川亘晟项目管理有限公司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仪陇县农业农村局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四川亘晟项目管理有限公司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采购人收到货物，供应商提出验收申请之日起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按相关要求和标准执行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按相关要求和标准执行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成交供应商与采购人应严格按照《财政部关于进一步加强政府采购需求和履约验收管理的指导意见》（财库〔2016〕205 号）、《政府采购需求管理办法》（财库〔2021〕22号）及磋商文件的服务内容和服务要求、成交供应商的响应文件及承诺与合同约定标准等相关规定进行验收。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联系电话：0817-6989655</w:t>
      </w:r>
    </w:p>
    <w:p>
      <w:pPr>
        <w:pStyle w:val="null3"/>
        <w:jc w:val="left"/>
      </w:pPr>
      <w:r>
        <w:rPr>
          <w:rFonts w:ascii="仿宋_GB2312" w:hAnsi="仿宋_GB2312" w:cs="仿宋_GB2312" w:eastAsia="仿宋_GB2312"/>
        </w:rPr>
        <w:t>地址：仪陇县新政镇宏德大道东三段</w:t>
      </w:r>
    </w:p>
    <w:p>
      <w:pPr>
        <w:pStyle w:val="null3"/>
        <w:jc w:val="left"/>
      </w:pPr>
      <w:r>
        <w:rPr>
          <w:rFonts w:ascii="仿宋_GB2312" w:hAnsi="仿宋_GB2312" w:cs="仿宋_GB2312" w:eastAsia="仿宋_GB2312"/>
        </w:rPr>
        <w:t>邮编：637600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559,000.00</w:t>
      </w:r>
    </w:p>
    <w:p>
      <w:pPr>
        <w:pStyle w:val="null3"/>
        <w:jc w:val="left"/>
      </w:pPr>
      <w:r>
        <w:rPr>
          <w:rFonts w:ascii="仿宋_GB2312" w:hAnsi="仿宋_GB2312" w:cs="仿宋_GB2312" w:eastAsia="仿宋_GB2312"/>
        </w:rPr>
        <w:t>采购包最高限价（元）: 559,000.00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A02220300 种植施肥机械</w:t>
            </w:r>
          </w:p>
        </w:tc>
        <w:tc>
          <w:tcPr>
            <w:tcW w:type="dxa" w:w="821"/>
          </w:tcPr>
          <w:p>
            <w:pPr>
              <w:pStyle w:val="null3"/>
              <w:jc w:val="left"/>
            </w:pPr>
            <w:r>
              <w:rPr>
                <w:rFonts w:ascii="仿宋_GB2312" w:hAnsi="仿宋_GB2312" w:cs="仿宋_GB2312" w:eastAsia="仿宋_GB2312"/>
              </w:rPr>
              <w:t>油菜精量播种机</w:t>
            </w:r>
          </w:p>
        </w:tc>
        <w:tc>
          <w:tcPr>
            <w:tcW w:type="dxa" w:w="821"/>
          </w:tcPr>
          <w:p>
            <w:pPr>
              <w:pStyle w:val="null3"/>
              <w:jc w:val="right"/>
            </w:pPr>
            <w:r>
              <w:rPr>
                <w:rFonts w:ascii="仿宋_GB2312" w:hAnsi="仿宋_GB2312" w:cs="仿宋_GB2312" w:eastAsia="仿宋_GB2312"/>
              </w:rPr>
              <w:t>13.00（台）</w:t>
            </w:r>
          </w:p>
        </w:tc>
        <w:tc>
          <w:tcPr>
            <w:tcW w:type="dxa" w:w="821"/>
          </w:tcPr>
          <w:p>
            <w:pPr>
              <w:pStyle w:val="null3"/>
              <w:jc w:val="right"/>
            </w:pPr>
            <w:r>
              <w:rPr>
                <w:rFonts w:ascii="仿宋_GB2312" w:hAnsi="仿宋_GB2312" w:cs="仿宋_GB2312" w:eastAsia="仿宋_GB2312"/>
              </w:rPr>
              <w:t>559,000.00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油菜精量播种机</w:t>
            </w:r>
          </w:p>
        </w:tc>
        <w:tc>
          <w:tcPr>
            <w:tcW w:type="dxa" w:w="1138"/>
          </w:tcPr>
          <w:p>
            <w:pPr>
              <w:pStyle w:val="null3"/>
              <w:jc w:val="center"/>
            </w:pPr>
            <w:r>
              <w:rPr>
                <w:rFonts w:ascii="仿宋_GB2312" w:hAnsi="仿宋_GB2312" w:cs="仿宋_GB2312" w:eastAsia="仿宋_GB2312"/>
              </w:rPr>
              <w:t>13.00（台）</w:t>
            </w:r>
          </w:p>
        </w:tc>
        <w:tc>
          <w:tcPr>
            <w:tcW w:type="dxa" w:w="1365"/>
          </w:tcPr>
          <w:p>
            <w:pPr>
              <w:pStyle w:val="null3"/>
              <w:jc w:val="center"/>
            </w:pPr>
            <w:r>
              <w:rPr>
                <w:rFonts w:ascii="仿宋_GB2312" w:hAnsi="仿宋_GB2312" w:cs="仿宋_GB2312" w:eastAsia="仿宋_GB2312"/>
              </w:rPr>
              <w:t>559,000.00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A02220300 种植施肥机械</w:t>
            </w:r>
          </w:p>
        </w:tc>
        <w:tc>
          <w:tcPr>
            <w:tcW w:type="dxa" w:w="2492"/>
          </w:tcPr>
          <w:p>
            <w:pPr>
              <w:pStyle w:val="null3"/>
              <w:jc w:val="left"/>
            </w:pPr>
            <w:r>
              <w:rPr>
                <w:rFonts w:ascii="仿宋_GB2312" w:hAnsi="仿宋_GB2312" w:cs="仿宋_GB2312" w:eastAsia="仿宋_GB2312"/>
              </w:rPr>
              <w:t>油菜精量播种机</w:t>
            </w:r>
          </w:p>
        </w:tc>
        <w:tc>
          <w:tcPr>
            <w:tcW w:type="dxa" w:w="2492"/>
          </w:tcPr>
          <w:p>
            <w:pPr>
              <w:pStyle w:val="null3"/>
              <w:jc w:val="left"/>
            </w:pPr>
            <w:r>
              <w:rPr>
                <w:rFonts w:ascii="仿宋_GB2312" w:hAnsi="仿宋_GB2312" w:cs="仿宋_GB2312" w:eastAsia="仿宋_GB2312"/>
              </w:rPr>
              <w:t>油菜精量播种机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标的名称：油菜精量播种机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一、项目概况</w:t>
            </w:r>
          </w:p>
        </w:tc>
        <w:tc>
          <w:tcPr>
            <w:tcW w:type="dxa" w:w="5814"/>
          </w:tcPr>
          <w:p>
            <w:pPr>
              <w:pStyle w:val="null3"/>
              <w:ind w:firstLine="420"/>
              <w:jc w:val="both"/>
            </w:pPr>
            <w:r>
              <w:rPr>
                <w:rFonts w:ascii="仿宋_GB2312" w:hAnsi="仿宋_GB2312" w:cs="仿宋_GB2312" w:eastAsia="仿宋_GB2312"/>
                <w:sz w:val="21"/>
              </w:rPr>
              <w:t>在马鞍镇金山村、南海村和瓦子坪、双胜镇荣光村等村推广应用油菜精量播种机</w:t>
            </w:r>
            <w:r>
              <w:rPr>
                <w:rFonts w:ascii="仿宋_GB2312" w:hAnsi="仿宋_GB2312" w:cs="仿宋_GB2312" w:eastAsia="仿宋_GB2312"/>
                <w:sz w:val="21"/>
              </w:rPr>
              <w:t>13台套，用于油菜播种环节，提升农业机械化水平。并开展推广应用与技术培训服务。</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99"/>
              <w:gridCol w:w="2276"/>
              <w:gridCol w:w="916"/>
              <w:gridCol w:w="1705"/>
            </w:tblGrid>
            <w:tr>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标的名称</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所属行业</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油菜精量播种机</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13台</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三、技术服务内容及要求</w:t>
            </w:r>
          </w:p>
        </w:tc>
        <w:tc>
          <w:tcPr>
            <w:tcW w:type="dxa" w:w="5814"/>
          </w:tcPr>
          <w:p>
            <w:pPr>
              <w:pStyle w:val="null3"/>
              <w:ind w:firstLine="420"/>
              <w:jc w:val="both"/>
            </w:pPr>
            <w:r>
              <w:rPr>
                <w:rFonts w:ascii="仿宋_GB2312" w:hAnsi="仿宋_GB2312" w:cs="仿宋_GB2312" w:eastAsia="仿宋_GB2312"/>
                <w:sz w:val="21"/>
              </w:rPr>
              <w:t>（一）技术参数要求</w:t>
            </w:r>
          </w:p>
          <w:tbl>
            <w:tblPr>
              <w:tblBorders>
                <w:top w:val="none" w:color="000000" w:sz="4"/>
                <w:left w:val="none" w:color="000000" w:sz="4"/>
                <w:bottom w:val="none" w:color="000000" w:sz="4"/>
                <w:right w:val="none" w:color="000000" w:sz="4"/>
                <w:insideH w:val="none"/>
                <w:insideV w:val="none"/>
              </w:tblBorders>
            </w:tblPr>
            <w:tblGrid>
              <w:gridCol w:w="738"/>
              <w:gridCol w:w="4860"/>
            </w:tblGrid>
            <w:tr>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w:t>
                  </w:r>
                </w:p>
                <w:p>
                  <w:pPr>
                    <w:pStyle w:val="null3"/>
                    <w:jc w:val="center"/>
                  </w:pPr>
                  <w:r>
                    <w:rPr>
                      <w:rFonts w:ascii="仿宋_GB2312" w:hAnsi="仿宋_GB2312" w:cs="仿宋_GB2312" w:eastAsia="仿宋_GB2312"/>
                      <w:sz w:val="21"/>
                    </w:rPr>
                    <w:t>名称</w:t>
                  </w:r>
                </w:p>
              </w:tc>
              <w:tc>
                <w:tcPr>
                  <w:tcW w:type="dxa" w:w="4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技术参数要求</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油菜精量播种机</w:t>
                  </w:r>
                </w:p>
              </w:tc>
              <w:tc>
                <w:tcPr>
                  <w:tcW w:type="dxa" w:w="4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★1.功能：具备旋耕、开沟、种床整备、播种、施肥。</w:t>
                  </w:r>
                </w:p>
                <w:p>
                  <w:pPr>
                    <w:pStyle w:val="null3"/>
                    <w:jc w:val="left"/>
                  </w:pPr>
                  <w:r>
                    <w:rPr>
                      <w:rFonts w:ascii="仿宋_GB2312" w:hAnsi="仿宋_GB2312" w:cs="仿宋_GB2312" w:eastAsia="仿宋_GB2312"/>
                      <w:sz w:val="21"/>
                    </w:rPr>
                    <w:t>★2.结构形式：悬挂式、普通旋播、条播。</w:t>
                  </w:r>
                </w:p>
                <w:p>
                  <w:pPr>
                    <w:pStyle w:val="null3"/>
                    <w:jc w:val="left"/>
                  </w:pPr>
                  <w:r>
                    <w:rPr>
                      <w:rFonts w:ascii="仿宋_GB2312" w:hAnsi="仿宋_GB2312" w:cs="仿宋_GB2312" w:eastAsia="仿宋_GB2312"/>
                      <w:sz w:val="21"/>
                    </w:rPr>
                    <w:t>3.配套拖拉机动力范围：73-103kw。</w:t>
                  </w:r>
                </w:p>
                <w:p>
                  <w:pPr>
                    <w:pStyle w:val="null3"/>
                    <w:jc w:val="left"/>
                  </w:pPr>
                  <w:r>
                    <w:rPr>
                      <w:rFonts w:ascii="仿宋_GB2312" w:hAnsi="仿宋_GB2312" w:cs="仿宋_GB2312" w:eastAsia="仿宋_GB2312"/>
                      <w:sz w:val="21"/>
                    </w:rPr>
                    <w:t>★4.排种器形式：</w:t>
                  </w:r>
                  <w:r>
                    <w:rPr>
                      <w:rFonts w:ascii="仿宋_GB2312" w:hAnsi="仿宋_GB2312" w:cs="仿宋_GB2312" w:eastAsia="仿宋_GB2312"/>
                      <w:sz w:val="21"/>
                    </w:rPr>
                    <w:t>气力式（气送式或气吸式）</w:t>
                  </w:r>
                  <w:r>
                    <w:rPr>
                      <w:rFonts w:ascii="仿宋_GB2312" w:hAnsi="仿宋_GB2312" w:cs="仿宋_GB2312" w:eastAsia="仿宋_GB2312"/>
                      <w:sz w:val="21"/>
                    </w:rPr>
                    <w:t>（提供第三方检验（检测）机构出具的带CMA标识的检验（检测）报告复印件加盖供应商公章予以佐证投标，或提供承诺函，承诺函</w:t>
                  </w:r>
                  <w:r>
                    <w:rPr>
                      <w:rFonts w:ascii="仿宋_GB2312" w:hAnsi="仿宋_GB2312" w:cs="仿宋_GB2312" w:eastAsia="仿宋_GB2312"/>
                      <w:sz w:val="21"/>
                    </w:rPr>
                    <w:t>成交供应商签订</w:t>
                  </w:r>
                  <w:r>
                    <w:rPr>
                      <w:rFonts w:ascii="仿宋_GB2312" w:hAnsi="仿宋_GB2312" w:cs="仿宋_GB2312" w:eastAsia="仿宋_GB2312"/>
                      <w:sz w:val="21"/>
                    </w:rPr>
                    <w:t>合同时提供检测报告）。</w:t>
                  </w:r>
                </w:p>
                <w:p>
                  <w:pPr>
                    <w:pStyle w:val="null3"/>
                    <w:jc w:val="left"/>
                  </w:pPr>
                  <w:r>
                    <w:rPr>
                      <w:rFonts w:ascii="仿宋_GB2312" w:hAnsi="仿宋_GB2312" w:cs="仿宋_GB2312" w:eastAsia="仿宋_GB2312"/>
                      <w:sz w:val="21"/>
                    </w:rPr>
                    <w:t>5.种箱容积≥90L。</w:t>
                  </w:r>
                </w:p>
                <w:p>
                  <w:pPr>
                    <w:pStyle w:val="null3"/>
                    <w:jc w:val="left"/>
                  </w:pPr>
                  <w:r>
                    <w:rPr>
                      <w:rFonts w:ascii="仿宋_GB2312" w:hAnsi="仿宋_GB2312" w:cs="仿宋_GB2312" w:eastAsia="仿宋_GB2312"/>
                      <w:sz w:val="21"/>
                    </w:rPr>
                    <w:t>▲6.播种量调节方式：卫星定位测速+电机控制（供应商提供第三方检验（检测）机构出具的带CMA标识的检验（检测）报告复印件加盖供应商公章予以佐证或投标时提供承诺函，承诺成交后提供第三方检验（检测）机构出具的带CMA标识的检验（检测）报告复印件加盖供应商公章予以佐证）</w:t>
                  </w:r>
                </w:p>
                <w:p>
                  <w:pPr>
                    <w:pStyle w:val="null3"/>
                    <w:jc w:val="left"/>
                  </w:pPr>
                  <w:r>
                    <w:rPr>
                      <w:rFonts w:ascii="仿宋_GB2312" w:hAnsi="仿宋_GB2312" w:cs="仿宋_GB2312" w:eastAsia="仿宋_GB2312"/>
                      <w:sz w:val="21"/>
                    </w:rPr>
                    <w:t>7.排种器驱动方式：电机驱动。</w:t>
                  </w:r>
                </w:p>
                <w:p>
                  <w:pPr>
                    <w:pStyle w:val="null3"/>
                    <w:jc w:val="left"/>
                  </w:pPr>
                  <w:r>
                    <w:rPr>
                      <w:rFonts w:ascii="仿宋_GB2312" w:hAnsi="仿宋_GB2312" w:cs="仿宋_GB2312" w:eastAsia="仿宋_GB2312"/>
                      <w:sz w:val="21"/>
                    </w:rPr>
                    <w:t>▲8.排肥器形式：基肥（槽轮式）+种肥（气送式）（供应商提供第三方检验（检测）机构出具的带CMA标识的检验（检测）报告复印件加盖供应商公章予以佐证或投标时提供承诺函，承诺成交后提供第三方检验（检测）机构出具的带CMA标识的检验（检测）报告复印件加盖供应商公章予以佐证）</w:t>
                  </w:r>
                </w:p>
                <w:p>
                  <w:pPr>
                    <w:pStyle w:val="null3"/>
                    <w:jc w:val="left"/>
                  </w:pPr>
                  <w:r>
                    <w:rPr>
                      <w:rFonts w:ascii="仿宋_GB2312" w:hAnsi="仿宋_GB2312" w:cs="仿宋_GB2312" w:eastAsia="仿宋_GB2312"/>
                      <w:sz w:val="21"/>
                    </w:rPr>
                    <w:t>9、肥箱容积≥380L。</w:t>
                  </w:r>
                </w:p>
                <w:p>
                  <w:pPr>
                    <w:pStyle w:val="null3"/>
                    <w:jc w:val="left"/>
                  </w:pPr>
                  <w:r>
                    <w:rPr>
                      <w:rFonts w:ascii="仿宋_GB2312" w:hAnsi="仿宋_GB2312" w:cs="仿宋_GB2312" w:eastAsia="仿宋_GB2312"/>
                      <w:sz w:val="21"/>
                    </w:rPr>
                    <w:t>▲10.排肥量调节方式：卫星定位测速+电机控制（供应商提供第三方检验（检测）机构出具的带CMA标识的检验（检测）报告复印件加盖供应商公章予以佐证或投标时提供承诺函，承诺成交后提供第三方检验（检测）机构出具的带CMA标识的检验（检测）报告复印件加盖供应商公章予以佐证）</w:t>
                  </w:r>
                </w:p>
                <w:p>
                  <w:pPr>
                    <w:pStyle w:val="null3"/>
                    <w:jc w:val="left"/>
                  </w:pPr>
                  <w:r>
                    <w:rPr>
                      <w:rFonts w:ascii="仿宋_GB2312" w:hAnsi="仿宋_GB2312" w:cs="仿宋_GB2312" w:eastAsia="仿宋_GB2312"/>
                      <w:sz w:val="21"/>
                    </w:rPr>
                    <w:t>11.刀轴形式：单轴。</w:t>
                  </w:r>
                </w:p>
                <w:p>
                  <w:pPr>
                    <w:pStyle w:val="null3"/>
                    <w:jc w:val="left"/>
                  </w:pPr>
                  <w:r>
                    <w:rPr>
                      <w:rFonts w:ascii="仿宋_GB2312" w:hAnsi="仿宋_GB2312" w:cs="仿宋_GB2312" w:eastAsia="仿宋_GB2312"/>
                      <w:sz w:val="21"/>
                    </w:rPr>
                    <w:t>12.旋耕部分传动方式：侧边齿轮传动。</w:t>
                  </w:r>
                </w:p>
                <w:p>
                  <w:pPr>
                    <w:pStyle w:val="null3"/>
                    <w:jc w:val="left"/>
                  </w:pPr>
                  <w:r>
                    <w:rPr>
                      <w:rFonts w:ascii="仿宋_GB2312" w:hAnsi="仿宋_GB2312" w:cs="仿宋_GB2312" w:eastAsia="仿宋_GB2312"/>
                      <w:sz w:val="21"/>
                    </w:rPr>
                    <w:t>13.播种深度：可调0.5-2.5cm。</w:t>
                  </w:r>
                </w:p>
                <w:p>
                  <w:pPr>
                    <w:pStyle w:val="null3"/>
                    <w:jc w:val="left"/>
                  </w:pPr>
                  <w:r>
                    <w:rPr>
                      <w:rFonts w:ascii="仿宋_GB2312" w:hAnsi="仿宋_GB2312" w:cs="仿宋_GB2312" w:eastAsia="仿宋_GB2312"/>
                      <w:sz w:val="21"/>
                    </w:rPr>
                    <w:t>14.种肥间距：可调3-5cm。</w:t>
                  </w:r>
                </w:p>
                <w:p>
                  <w:pPr>
                    <w:pStyle w:val="null3"/>
                    <w:jc w:val="left"/>
                  </w:pPr>
                  <w:r>
                    <w:rPr>
                      <w:rFonts w:ascii="仿宋_GB2312" w:hAnsi="仿宋_GB2312" w:cs="仿宋_GB2312" w:eastAsia="仿宋_GB2312"/>
                      <w:sz w:val="21"/>
                    </w:rPr>
                    <w:t>15.播种行数：8-10行可调。</w:t>
                  </w:r>
                </w:p>
                <w:p>
                  <w:pPr>
                    <w:pStyle w:val="null3"/>
                    <w:jc w:val="left"/>
                  </w:pPr>
                  <w:r>
                    <w:rPr>
                      <w:rFonts w:ascii="仿宋_GB2312" w:hAnsi="仿宋_GB2312" w:cs="仿宋_GB2312" w:eastAsia="仿宋_GB2312"/>
                      <w:sz w:val="21"/>
                    </w:rPr>
                    <w:t>16.行距：可调20-40cm。</w:t>
                  </w:r>
                </w:p>
                <w:p>
                  <w:pPr>
                    <w:pStyle w:val="null3"/>
                    <w:jc w:val="left"/>
                  </w:pPr>
                  <w:r>
                    <w:rPr>
                      <w:rFonts w:ascii="仿宋_GB2312" w:hAnsi="仿宋_GB2312" w:cs="仿宋_GB2312" w:eastAsia="仿宋_GB2312"/>
                      <w:sz w:val="21"/>
                    </w:rPr>
                    <w:t>17.工作宽幅≥2400mm。</w:t>
                  </w:r>
                </w:p>
                <w:p>
                  <w:pPr>
                    <w:pStyle w:val="null3"/>
                    <w:jc w:val="left"/>
                  </w:pPr>
                  <w:r>
                    <w:rPr>
                      <w:rFonts w:ascii="仿宋_GB2312" w:hAnsi="仿宋_GB2312" w:cs="仿宋_GB2312" w:eastAsia="仿宋_GB2312"/>
                      <w:sz w:val="21"/>
                    </w:rPr>
                    <w:t>★18.种床整备形式：耙齿+柔性刮板。</w:t>
                  </w:r>
                </w:p>
                <w:p>
                  <w:pPr>
                    <w:pStyle w:val="null3"/>
                    <w:jc w:val="left"/>
                  </w:pPr>
                  <w:r>
                    <w:rPr>
                      <w:rFonts w:ascii="仿宋_GB2312" w:hAnsi="仿宋_GB2312" w:cs="仿宋_GB2312" w:eastAsia="仿宋_GB2312"/>
                      <w:sz w:val="21"/>
                    </w:rPr>
                    <w:t>19.耕深≥14.5cm。</w:t>
                  </w:r>
                </w:p>
                <w:p>
                  <w:pPr>
                    <w:pStyle w:val="null3"/>
                    <w:jc w:val="left"/>
                  </w:pPr>
                  <w:r>
                    <w:rPr>
                      <w:rFonts w:ascii="仿宋_GB2312" w:hAnsi="仿宋_GB2312" w:cs="仿宋_GB2312" w:eastAsia="仿宋_GB2312"/>
                      <w:sz w:val="21"/>
                    </w:rPr>
                    <w:t>▲20.总排种量稳定性变异系数≤3%（供应商提供第三方检验（检测）机构出具的带CMA标识的检验（检测）报告复印件加盖供应商公章予以佐证或投标时提供承诺函，承诺成交后提供第三方检验（检测）机构出具的带CMA标识的检验（检测）报告复印件加盖供应商公章予以佐证）</w:t>
                  </w:r>
                </w:p>
                <w:p>
                  <w:pPr>
                    <w:pStyle w:val="null3"/>
                    <w:jc w:val="left"/>
                  </w:pPr>
                  <w:r>
                    <w:rPr>
                      <w:rFonts w:ascii="仿宋_GB2312" w:hAnsi="仿宋_GB2312" w:cs="仿宋_GB2312" w:eastAsia="仿宋_GB2312"/>
                      <w:sz w:val="21"/>
                    </w:rPr>
                    <w:t>▲21.总排肥量稳定性变异系数≤0.6%（供应商提供第三方检验（检测）机构出具的带CMA标识的检验（检测）报告复印件加盖供应商公章予以佐证或投标时提供承诺函，承诺成交后提供第三方检验（检测）机构出具的带CMA标识的检验（检测）报告复印件加盖供应商公章予以佐证）</w:t>
                  </w:r>
                </w:p>
                <w:p>
                  <w:pPr>
                    <w:pStyle w:val="null3"/>
                    <w:jc w:val="left"/>
                  </w:pPr>
                  <w:r>
                    <w:rPr>
                      <w:rFonts w:ascii="仿宋_GB2312" w:hAnsi="仿宋_GB2312" w:cs="仿宋_GB2312" w:eastAsia="仿宋_GB2312"/>
                      <w:sz w:val="21"/>
                    </w:rPr>
                    <w:t>▲22.种子破碎率≤0.5%（供应商提供第三方检验（检测）机构出具的带CMA标识的检验（检测）报告复印件加盖供应商公章予以佐证或投标时提供承诺函，承诺成交后提供第三方检验（检测）机构出具的带CMA标识的检验（检测）报告复印件加盖供应商公章予以佐证）</w:t>
                  </w:r>
                </w:p>
                <w:p>
                  <w:pPr>
                    <w:pStyle w:val="null3"/>
                    <w:jc w:val="left"/>
                  </w:pPr>
                  <w:r>
                    <w:rPr>
                      <w:rFonts w:ascii="仿宋_GB2312" w:hAnsi="仿宋_GB2312" w:cs="仿宋_GB2312" w:eastAsia="仿宋_GB2312"/>
                      <w:sz w:val="21"/>
                    </w:rPr>
                    <w:t>23.适播其他作物：小麦、高粱等小粒种子</w:t>
                  </w:r>
                </w:p>
                <w:p>
                  <w:pPr>
                    <w:pStyle w:val="null3"/>
                    <w:jc w:val="left"/>
                  </w:pPr>
                  <w:r>
                    <w:rPr>
                      <w:rFonts w:ascii="仿宋_GB2312" w:hAnsi="仿宋_GB2312" w:cs="仿宋_GB2312" w:eastAsia="仿宋_GB2312"/>
                      <w:sz w:val="21"/>
                    </w:rPr>
                    <w:t>★24.加装小麦播种套件与农机监测终端</w:t>
                  </w:r>
                </w:p>
                <w:p>
                  <w:pPr>
                    <w:pStyle w:val="null3"/>
                    <w:jc w:val="left"/>
                  </w:pPr>
                  <w:r>
                    <w:rPr>
                      <w:rFonts w:ascii="仿宋_GB2312" w:hAnsi="仿宋_GB2312" w:cs="仿宋_GB2312" w:eastAsia="仿宋_GB2312"/>
                      <w:sz w:val="21"/>
                    </w:rPr>
                    <w:t>25.小麦播种套件参数：</w:t>
                  </w:r>
                </w:p>
                <w:p>
                  <w:pPr>
                    <w:pStyle w:val="null3"/>
                    <w:jc w:val="left"/>
                  </w:pPr>
                  <w:r>
                    <w:rPr>
                      <w:rFonts w:ascii="仿宋_GB2312" w:hAnsi="仿宋_GB2312" w:cs="仿宋_GB2312" w:eastAsia="仿宋_GB2312"/>
                      <w:sz w:val="21"/>
                    </w:rPr>
                    <w:t>★（1）多功能播种套件包括：大排量播种轮、套件支架、种沟开沟器、轻质橡胶镇压辊、调节机构等基础功能。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2）多功能播种套件种沟开沟形式：圆盘切土开沟，开沟深度可调。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3）多功能播种套件种行镇压形式：非动力圆辊镇压，镇压强度可调。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4）种沟落种准确率≥95％。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5）种子覆土率≥90%。</w:t>
                  </w:r>
                </w:p>
                <w:p>
                  <w:pPr>
                    <w:pStyle w:val="null3"/>
                    <w:jc w:val="left"/>
                  </w:pPr>
                  <w:r>
                    <w:rPr>
                      <w:rFonts w:ascii="仿宋_GB2312" w:hAnsi="仿宋_GB2312" w:cs="仿宋_GB2312" w:eastAsia="仿宋_GB2312"/>
                      <w:sz w:val="21"/>
                    </w:rPr>
                    <w:t>26.北斗农机终端参数：</w:t>
                  </w:r>
                </w:p>
                <w:p>
                  <w:pPr>
                    <w:pStyle w:val="null3"/>
                    <w:jc w:val="left"/>
                  </w:pPr>
                  <w:r>
                    <w:rPr>
                      <w:rFonts w:ascii="仿宋_GB2312" w:hAnsi="仿宋_GB2312" w:cs="仿宋_GB2312" w:eastAsia="仿宋_GB2312"/>
                      <w:sz w:val="21"/>
                    </w:rPr>
                    <w:t>★（1）卫星定位要求：水平定位精度：≤1.5m，冷启动时间≤30s，重捕获时间≤1s，捕获灵敏度≤-137dBm。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2）气候环境适应性：工作温度：-10℃- +70℃；贮存温度：-40℃- +85℃；相对湿度：90%RH设备正常。</w:t>
                  </w:r>
                </w:p>
                <w:p>
                  <w:pPr>
                    <w:pStyle w:val="null3"/>
                    <w:jc w:val="left"/>
                  </w:pPr>
                  <w:r>
                    <w:rPr>
                      <w:rFonts w:ascii="仿宋_GB2312" w:hAnsi="仿宋_GB2312" w:cs="仿宋_GB2312" w:eastAsia="仿宋_GB2312"/>
                      <w:sz w:val="21"/>
                    </w:rPr>
                    <w:t>★（3）机械环境适应性（具备抗振动和冲击能力）：抗振动要求：XYZ三方向，频率5HZ~300HZ,振幅10±2mm（峰值），加速度≥50m/s2；抗冲击性要求：XYZ三方向，峰值加速度≥490 m/s</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★（4）防护等级：主机及外设部件均应采用防尘防水部件，防护等级应达到IP67及以上；</w:t>
                  </w:r>
                </w:p>
                <w:p>
                  <w:pPr>
                    <w:pStyle w:val="null3"/>
                    <w:jc w:val="left"/>
                  </w:pPr>
                  <w:r>
                    <w:rPr>
                      <w:rFonts w:ascii="仿宋_GB2312" w:hAnsi="仿宋_GB2312" w:cs="仿宋_GB2312" w:eastAsia="仿宋_GB2312"/>
                      <w:sz w:val="21"/>
                    </w:rPr>
                    <w:t>（注：参数中带</w:t>
                  </w:r>
                  <w:r>
                    <w:rPr>
                      <w:rFonts w:ascii="仿宋_GB2312" w:hAnsi="仿宋_GB2312" w:cs="仿宋_GB2312" w:eastAsia="仿宋_GB2312"/>
                      <w:sz w:val="21"/>
                    </w:rPr>
                    <w:t>“▲”标注为重要技术参数，未标注 特殊符号的为一般技术参数。带“★”的参数需求为 实质性要求，供应商必须响应并满足的参数需求。）</w:t>
                  </w:r>
                </w:p>
              </w:tc>
            </w:tr>
          </w:tbl>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服务内容及要求</w:t>
            </w:r>
          </w:p>
          <w:p>
            <w:pPr>
              <w:pStyle w:val="null3"/>
              <w:ind w:firstLine="420"/>
              <w:jc w:val="both"/>
            </w:pPr>
            <w:r>
              <w:rPr>
                <w:rFonts w:ascii="仿宋_GB2312" w:hAnsi="仿宋_GB2312" w:cs="仿宋_GB2312" w:eastAsia="仿宋_GB2312"/>
                <w:sz w:val="21"/>
              </w:rPr>
              <w:t>1、质保期内跟进本项目涉及机具使用情况，在后续使用过程中若出现使用问题，供货商要提供技术支持。</w:t>
            </w:r>
          </w:p>
          <w:p>
            <w:pPr>
              <w:pStyle w:val="null3"/>
              <w:ind w:firstLine="420"/>
              <w:jc w:val="both"/>
            </w:pPr>
            <w:r>
              <w:rPr>
                <w:rFonts w:ascii="仿宋_GB2312" w:hAnsi="仿宋_GB2312" w:cs="仿宋_GB2312" w:eastAsia="仿宋_GB2312"/>
                <w:sz w:val="21"/>
              </w:rPr>
              <w:t>2、提供技术指导：货物完成配送后，供应商应对产品使用对象开展机械使用技术指导，使其熟练掌握油菜精量播种机的操作、调试与日常维护。（包括种床整备参数调节、播种量计算、播种深度、行距控制对油菜生长的影响以及油菜高质量播种技术等）</w:t>
            </w:r>
            <w:r>
              <w:br/>
            </w:r>
            <w:r>
              <w:rPr>
                <w:rFonts w:ascii="仿宋_GB2312" w:hAnsi="仿宋_GB2312" w:cs="仿宋_GB2312" w:eastAsia="仿宋_GB2312"/>
                <w:sz w:val="21"/>
              </w:rPr>
              <w:t xml:space="preserve">  </w:t>
            </w:r>
            <w:r>
              <w:rPr>
                <w:rFonts w:ascii="仿宋_GB2312" w:hAnsi="仿宋_GB2312" w:cs="仿宋_GB2312" w:eastAsia="仿宋_GB2312"/>
                <w:sz w:val="21"/>
              </w:rPr>
              <w:t>3、该项目实施全过程若机械本身缺陷导致出现安全责任事故，由此造成的所有责任由供应商自行承担，若因使用不当造成安全责任事故，根据具体情况由当事人与供应商协商解决。</w:t>
            </w:r>
            <w:r>
              <w:rPr>
                <w:rFonts w:ascii="仿宋_GB2312" w:hAnsi="仿宋_GB2312" w:cs="仿宋_GB2312" w:eastAsia="仿宋_GB2312"/>
                <w:sz w:val="21"/>
                <w:b/>
              </w:rPr>
              <w:t>（提供承诺函，格式自拟）</w:t>
            </w:r>
          </w:p>
          <w:p>
            <w:pPr>
              <w:pStyle w:val="null3"/>
              <w:ind w:firstLine="420"/>
              <w:jc w:val="both"/>
            </w:pPr>
            <w:r>
              <w:rPr>
                <w:rFonts w:ascii="仿宋_GB2312" w:hAnsi="仿宋_GB2312" w:cs="仿宋_GB2312" w:eastAsia="仿宋_GB2312"/>
                <w:sz w:val="21"/>
              </w:rPr>
              <w:t>本项目带</w:t>
            </w:r>
            <w:r>
              <w:rPr>
                <w:rFonts w:ascii="仿宋_GB2312" w:hAnsi="仿宋_GB2312" w:cs="仿宋_GB2312" w:eastAsia="仿宋_GB2312"/>
                <w:sz w:val="21"/>
              </w:rPr>
              <w:t>★为实质性要求，不允许负偏离。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仪陇县马鞍镇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预付款，预付款，合同签订后，达到付款条件起，达到付款条件起5个工作日内，支付合同总金额的40.0%</w:t>
            </w:r>
            <w:r>
              <w:br/>
            </w:r>
            <w:r>
              <w:rPr>
                <w:rFonts w:ascii="仿宋_GB2312" w:hAnsi="仿宋_GB2312" w:cs="仿宋_GB2312" w:eastAsia="仿宋_GB2312"/>
              </w:rPr>
              <w:t>2、</w:t>
            </w:r>
            <w:r>
              <w:rPr>
                <w:rFonts w:ascii="仿宋_GB2312" w:hAnsi="仿宋_GB2312" w:cs="仿宋_GB2312" w:eastAsia="仿宋_GB2312"/>
              </w:rPr>
              <w:t>尾款，尾款，验收合格后，达到付款条件起，达到付款条件起10个工作日内，支付合同总金额的60.0%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成交供应商与采购人应严格按照《财政部关于进一步加强政府采购需求和履约验收管理的指导意见》（财库〔2016〕205 号）、《政府采购需求管理办法》（财库〔2021〕22号）及磋商文件的服务内容和服务要求、成交供应商的响应文件及承诺与合同约定标准等相关规定进行验收。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按相关的要求和标准执行；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1.1.采购人及成交供应商双方必须遵守本合同并执行合同中的各项规定，保证本合同的正常履行。 1.2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1.3.成交供应商未按照合同约定和采购人要求的时间完成本项目（包括未按照要求提交阶段性成果），每逾期一天，成交供应商应支付合同金额万分之一的违约金，逾期超过3日的，采购人有权解除合同，并有权要求成交供应商支付合同金额20%的违约金。 1.4.成交供应商提交的服务成果不符合合同约定和采购人要求的或成交供应商提供服务未全部通过采购人组织的评估验收的，采购人有权要求成交供应商限期整改，经整改后仍不符合要求的，采购人有权要求成交供应商支付合同金额20%的违约金，同时有权选择解除合同。 1.5.一方违约造成对方损失的，还应负责赔偿；除本合同另有约定外，损失包括但不限于直接经济损失、一方为主张权利而支付的保全费、公证费、鉴定费、诉讼费、律师费及差旅费等费用。 2.解决争议的方法 在执行本合同中发生的或与本合同有关的争端，双方应通过友好协商解决，经协商在10天内不能达成一致时，应提交采购人所在地有管辖权的人民法院诉讼。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费用包括供应商在实施本项目过程中的一切费用，包括设备、运输、安装、人员工资、保险、税金、安全保障、人员差旅交通、办公及食宿、培训等费用，供应商在报价时应充分考虑在报价中，采购人不再支付其它任何费用。（供应商须单独提供承诺函，格式自拟） ★2.提供的设备应为全新未使用，应保证设备符合国家标准及相关法律、法规。供货时提供相关合格证及操作手册（使用说明）等。 3.以国家现行法律、法规，规范、标准以及双方签订的合同为准。（如本项目采用的相关法律、法规及规范、标准发生矛盾或过期失效的，以最新法律法规及规范、标准执行。） 4.供应商结合磋商文件项目概况、采购需求、评分标准项目实施方案、履约能力、服务和自身投标响应情况提供等与履约本项目相关的综合能力的证明材料，详见综合评分表。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 织机构代码证或三证合一的营业执照”；②若为事业法人：提供“统一社 会信用代码法人登记证书”；未换证的提交“事业法人登记证书、组织机 构代码证”；③若为其他组织：提供“对应主管部门颁发的准许执业证明 文件或营业执照”；④若为个体工商户：提供“统一社会信用代码营业执照”或“营业执照、税务登记证”⑤若为自然人：提供“身份证明材料”。</w:t>
            </w:r>
          </w:p>
        </w:tc>
        <w:tc>
          <w:tcPr>
            <w:tcW w:type="dxa" w:w="1661"/>
          </w:tcPr>
          <w:p>
            <w:pPr>
              <w:pStyle w:val="null3"/>
              <w:jc w:val="left"/>
            </w:pPr>
            <w:r>
              <w:rPr>
                <w:rFonts w:ascii="仿宋_GB2312" w:hAnsi="仿宋_GB2312" w:cs="仿宋_GB2312" w:eastAsia="仿宋_GB2312"/>
              </w:rPr>
              <w:t>供应商应提交的资格证明材料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 A、可提供2024年度（含）至今（任意一年度）经审计的财务报告 （包含审计报告和审计报告中所涉及的财务报表和报表附注）；B、也可 提供2024年度（含）至今（任意一年度）供应商内部的财务报表（财务报表内容至少包含并体现资产负债表、利润表、现金流量表）；C、也可提供截止响应文件递交截止日一年内其基本开户银行出具的资信证明；D、供应商注册时间截止响应文件递交截止日不足一年的，也可提供经备案的公司章程。</w:t>
            </w:r>
          </w:p>
        </w:tc>
        <w:tc>
          <w:tcPr>
            <w:tcW w:type="dxa" w:w="1661"/>
          </w:tcPr>
          <w:p>
            <w:pPr>
              <w:pStyle w:val="null3"/>
              <w:jc w:val="left"/>
            </w:pPr>
            <w:r>
              <w:rPr>
                <w:rFonts w:ascii="仿宋_GB2312" w:hAnsi="仿宋_GB2312" w:cs="仿宋_GB2312" w:eastAsia="仿宋_GB2312"/>
              </w:rPr>
              <w:t>供应商应提交的资格证明材料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投标文件组成的完整性；投标文件技术、服务应答内容符合采购项目的的实质性要求；符合采购文件规定的其他实质性内容。</w:t>
            </w:r>
          </w:p>
        </w:tc>
        <w:tc>
          <w:tcPr>
            <w:tcW w:type="dxa" w:w="3322"/>
          </w:tcPr>
          <w:p>
            <w:pPr>
              <w:pStyle w:val="null3"/>
              <w:jc w:val="left"/>
            </w:pPr>
            <w:r>
              <w:rPr>
                <w:rFonts w:ascii="仿宋_GB2312" w:hAnsi="仿宋_GB2312" w:cs="仿宋_GB2312" w:eastAsia="仿宋_GB2312"/>
              </w:rPr>
              <w:t>投标文件组成的完整性；投标文件技术、服务应答内容符合采购项目的的实质性要求；符合采购文件规定的其他实质性内容。</w:t>
            </w:r>
          </w:p>
        </w:tc>
        <w:tc>
          <w:tcPr>
            <w:tcW w:type="dxa" w:w="1661"/>
          </w:tcPr>
          <w:p>
            <w:pPr>
              <w:pStyle w:val="null3"/>
              <w:jc w:val="left"/>
            </w:pPr>
            <w:r>
              <w:rPr>
                <w:rFonts w:ascii="仿宋_GB2312" w:hAnsi="仿宋_GB2312" w:cs="仿宋_GB2312" w:eastAsia="仿宋_GB2312"/>
              </w:rPr>
              <w:t>响应文件封面,产品技术参数、服务要求应答表.docx,供应商应提交的资格证明材料,供应商根据采购文件要求自行提供相关资料.docx,商务及其他要求应答表.docx,中小企业声明函,残疾人福利性单位声明函,关于符合本国产品标准的声明函,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售后服务方案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详细评审53.00分</w:t>
            </w:r>
          </w:p>
          <w:p>
            <w:pPr>
              <w:pStyle w:val="null3"/>
              <w:jc w:val="left"/>
            </w:pPr>
            <w:r>
              <w:rPr>
                <w:rFonts w:ascii="仿宋_GB2312" w:hAnsi="仿宋_GB2312" w:cs="仿宋_GB2312" w:eastAsia="仿宋_GB2312"/>
              </w:rPr>
              <w:t>报价得分47.00分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供应商投标产品完全符合招标文件中技术参数，没有负偏离的得33分；带“★”为实质性参数，不参与评分。 带“▲”号的重要条款（共有6项，每项4分合计24分）每有一项负偏离的扣4分，最多扣24分。其中： 第20条总排种量稳定性变异系数：2%&lt;变异系数≤3%得3分，变异系数≤2%得4分。 第21条总排肥量稳定性变异系数0.4% &lt; 变异系数≤0.6%得3分，变异系数≤0.4%得4分。 第22条种子破碎率：0.3%&lt;破碎率≤0.5%得3分，≤ 0.3%得4分。 注：（1）不带“▲”“★”号项的一般条款（共有18项）每有一项负偏离的扣0.5分，最多扣9分，扣完为止。注：条款中如有要求提供证明材料的，须提供证明材料证明（加盖投标人公章），不提供或不满足的视为负偏离。</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项目实施方案包含：①运输及防护措施、安全保障措施；②安装及调试方案；逐项编制对应方案，完全满足本项目采购需求且符合本项4分，方案中每有一处内容存在缺失或仅有大纲标题无正文内容的扣2分，方案内容中每有一处内容存在不足或缺陷的扣1分。每小点分值（2分）扣完为止。注：以上内容不足或缺陷是指：①只是简单的复制采购需求内容而没有具体详细阐述、②非专门针对本项目或与本项目需求不匹配的情形、③方案内容脱离项目实际情况、④内容前后矛盾、⑤方案内容缺乏落地执行、⑥不符合相关的国家、行业标准以及涉及的规范、标准与本项目要求不一致、⑦与项目实际情况及技术、服务要求无关等情况。</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供应商根据采购文件要求自行提供相关资料.docx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质保期内售后服务方案进行综合评审，售后服务方案：①技术支撑（至少包含系统软件升级、配件更换指导、远程故障诊断与排除、7×24小时远程技术支持）。②操作调试服务（至少包含现场进行首次操作调试、指导关键参数的设定与校准、作业季前复调：播种作业季开始前、提供现场复调和参数优化服务。）③ 日常维护服务（至少包含维护保养计划、故障诊断与排除、易损件保障）。④安全作业服务（至少包含安全操作指导、作业风险告知、应急处理指导）。 评分与扣分规则： 供应商方案完全满足上述四项内容及各细分要求的，得16分（每项4分）。方案中每项（①—④）满分4分。每有一项存在缺失或仅有大纲标题无正文内容的，扣4分（对应小项分值扣完为止）。每项中的各个细分要求，若供应商方案中未提及或提及但内容存在“不足或缺陷”，则视为该细分要求不满足，每不满足一细分项扣1分，每项最多扣4分（扣完为止）。 注：以上内容“不足或缺陷”是指：①只是简单的复制采购需求内容而没有具体详细阐述；②非专门针对本项目或与本项目需求不匹配的情形；③方案内容脱离项目实际情况；④内容前后矛盾；⑤方案内容缺乏落地执行；⑥不符合相关的国家、行业标准以及涉及的规范、标准与本项目要求不一致；⑦与项目实际情况及技术、服务要求无关等情况。</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供应商根据采购文件要求自行提供相关资料.docx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47.0000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详见附件：供应商应提交的资格证明材料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详见附件：产品技术参数、服务要求应答表.docx</w:t>
      </w:r>
    </w:p>
    <w:p>
      <w:pPr>
        <w:pStyle w:val="null3"/>
        <w:ind w:firstLine="960"/>
        <w:jc w:val="left"/>
      </w:pPr>
      <w:r>
        <w:rPr>
          <w:rFonts w:ascii="仿宋_GB2312" w:hAnsi="仿宋_GB2312" w:cs="仿宋_GB2312" w:eastAsia="仿宋_GB2312"/>
        </w:rPr>
        <w:t>详见附件：商务及其他要求应答表.docx</w:t>
      </w:r>
    </w:p>
    <w:p>
      <w:pPr>
        <w:pStyle w:val="null3"/>
        <w:ind w:firstLine="960"/>
        <w:jc w:val="left"/>
      </w:pPr>
      <w:r>
        <w:rPr>
          <w:rFonts w:ascii="仿宋_GB2312" w:hAnsi="仿宋_GB2312" w:cs="仿宋_GB2312" w:eastAsia="仿宋_GB2312"/>
        </w:rPr>
        <w:t>详见附件：供应商根据采购文件要求自行提供相关资料.docx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