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版本号：N510001202500275320260722001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术中加速器维保（新签）采购项目(三次)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N5100012025002753</w:t>
      </w:r>
    </w:p>
    <w:p>
      <w:pPr>
        <w:pStyle w:val="null3"/>
        <w:jc w:val="left"/>
        <w:outlineLvl w:val="2"/>
      </w:pPr>
      <w:r>
        <w:rPr>
          <w:rFonts w:ascii="仿宋_GB2312" w:hAnsi="仿宋_GB2312" w:cs="仿宋_GB2312" w:eastAsia="仿宋_GB2312"/>
          <w:sz w:val="28"/>
          <w:b/>
        </w:rPr>
        <w:t>四川省肿瘤医院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四川国际招标有限责任公司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四川省肿瘤医院</w:t>
      </w:r>
      <w:r>
        <w:rPr>
          <w:rFonts w:ascii="仿宋_GB2312" w:hAnsi="仿宋_GB2312" w:cs="仿宋_GB2312" w:eastAsia="仿宋_GB2312"/>
        </w:rPr>
        <w:t xml:space="preserve"> 委托，拟对 </w:t>
      </w:r>
      <w:r>
        <w:rPr>
          <w:rFonts w:ascii="仿宋_GB2312" w:hAnsi="仿宋_GB2312" w:cs="仿宋_GB2312" w:eastAsia="仿宋_GB2312"/>
        </w:rPr>
        <w:t>术中加速器维保（新签）采购项目(三次)</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N5100012025002753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术中加速器维保（新签）采购项目(三次)</w:t>
      </w:r>
    </w:p>
    <w:p>
      <w:pPr>
        <w:pStyle w:val="null3"/>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本项目共1个包，采购四川省肿瘤医院术中放疗加速器维保服务。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jc w:val="left"/>
      </w:pPr>
      <w:r>
        <w:rPr>
          <w:rFonts w:ascii="仿宋_GB2312" w:hAnsi="仿宋_GB2312" w:cs="仿宋_GB2312" w:eastAsia="仿宋_GB2312"/>
        </w:rPr>
        <w:t>采购包1：无。</w:t>
      </w:r>
    </w:p>
    <w:p>
      <w:pPr>
        <w:pStyle w:val="null3"/>
        <w:ind w:firstLine="480"/>
      </w:pPr>
      <w:r>
        <w:rPr>
          <w:rFonts w:ascii="仿宋_GB2312" w:hAnsi="仿宋_GB2312" w:cs="仿宋_GB2312" w:eastAsia="仿宋_GB2312"/>
        </w:rPr>
        <w:t>三、本项目的特定资格要求：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1、辐射安全许可（描述：供应商需具有有效的《辐射安全许可证》（种类和范围包含使用II类射线装置，或包含使用更高类别射线装置））</w:t>
      </w:r>
    </w:p>
    <w:p>
      <w:pPr>
        <w:pStyle w:val="null3"/>
        <w:outlineLvl w:val="2"/>
      </w:pPr>
      <w:r>
        <w:rPr>
          <w:rFonts w:ascii="仿宋_GB2312" w:hAnsi="仿宋_GB2312" w:cs="仿宋_GB2312" w:eastAsia="仿宋_GB2312"/>
          <w:sz w:val="28"/>
          <w:b/>
        </w:rPr>
        <w:t>1.6.电子化采购相关事项</w:t>
      </w:r>
    </w:p>
    <w:p>
      <w:pPr>
        <w:pStyle w:val="null3"/>
        <w:ind w:firstLine="480"/>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四、采购平台技术支持：</w:t>
      </w:r>
    </w:p>
    <w:p>
      <w:pPr>
        <w:pStyle w:val="null3"/>
        <w:ind w:firstLine="480"/>
      </w:pPr>
      <w:r>
        <w:rPr>
          <w:rFonts w:ascii="仿宋_GB2312" w:hAnsi="仿宋_GB2312" w:cs="仿宋_GB2312" w:eastAsia="仿宋_GB2312"/>
        </w:rPr>
        <w:t>在线客服：通过四川政府采购网-在线客服进行咨询</w:t>
      </w:r>
    </w:p>
    <w:p>
      <w:pPr>
        <w:pStyle w:val="null3"/>
        <w:ind w:firstLine="480"/>
      </w:pPr>
      <w:r>
        <w:rPr>
          <w:rFonts w:ascii="仿宋_GB2312" w:hAnsi="仿宋_GB2312" w:cs="仿宋_GB2312" w:eastAsia="仿宋_GB2312"/>
        </w:rPr>
        <w:t>400服务电话：4001600900</w:t>
      </w:r>
    </w:p>
    <w:p>
      <w:pPr>
        <w:pStyle w:val="null3"/>
        <w:ind w:firstLine="480"/>
      </w:pPr>
      <w:r>
        <w:rPr>
          <w:rFonts w:ascii="仿宋_GB2312" w:hAnsi="仿宋_GB2312" w:cs="仿宋_GB2312" w:eastAsia="仿宋_GB2312"/>
        </w:rPr>
        <w:t>CA及签章服务：通过四川政府采购网-办事指南进行查询</w:t>
      </w:r>
    </w:p>
    <w:p>
      <w:pPr>
        <w:pStyle w:val="null3"/>
        <w:outlineLvl w:val="2"/>
      </w:pPr>
      <w:r>
        <w:rPr>
          <w:rFonts w:ascii="仿宋_GB2312" w:hAnsi="仿宋_GB2312" w:cs="仿宋_GB2312" w:eastAsia="仿宋_GB2312"/>
          <w:sz w:val="28"/>
          <w:b/>
        </w:rPr>
        <w:t>1.7.单一来源采购文件获取时间、方式及地址：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outlineLvl w:val="2"/>
      </w:pPr>
      <w:r>
        <w:rPr>
          <w:rFonts w:ascii="仿宋_GB2312" w:hAnsi="仿宋_GB2312" w:cs="仿宋_GB2312" w:eastAsia="仿宋_GB2312"/>
          <w:sz w:val="28"/>
          <w:b/>
        </w:rPr>
        <w:t>1.8.提交响应文件截止时间及开启时间、方式、地点</w:t>
      </w:r>
    </w:p>
    <w:p>
      <w:pPr>
        <w:pStyle w:val="null3"/>
        <w:ind w:firstLine="480"/>
      </w:pPr>
      <w:r>
        <w:rPr>
          <w:rFonts w:ascii="仿宋_GB2312" w:hAnsi="仿宋_GB2312" w:cs="仿宋_GB2312" w:eastAsia="仿宋_GB2312"/>
        </w:rPr>
        <w:t>一、提交响应文件截止时间及开启时间：详见邀请书。</w:t>
      </w:r>
    </w:p>
    <w:p>
      <w:pPr>
        <w:pStyle w:val="null3"/>
        <w:ind w:firstLine="480"/>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pPr>
      <w:r>
        <w:rPr>
          <w:rFonts w:ascii="仿宋_GB2312" w:hAnsi="仿宋_GB2312" w:cs="仿宋_GB2312" w:eastAsia="仿宋_GB2312"/>
        </w:rPr>
        <w:t>三、本项目采取网上开启，采购人或者代理机构通过交易系统“开标/开启大厅”组织在线开启。</w:t>
      </w:r>
    </w:p>
    <w:p>
      <w:pPr>
        <w:pStyle w:val="null3"/>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四川省肿瘤医院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成都市人民南路四段55号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028-85420255</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四川国际招标有限责任公司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中国（四川）自由贸易试验区成都市高新区天府四街66号2栋22层1号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李女士、覃先生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18728432140、18828094788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采购包1：1,479,000.00元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 ★</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依照成本加合理利润的原则，以成交金额作为计算基数，按差额定率累进法进行计算，并按以下费率标准下浮30%收取（下浮计算完成后，需再减去采购人支出的专家评审费进行收取）：100万元以下部分，费率1.5%；100-500万元部分，费率0.8%；500-1000万元部分，费率0.45%。代理费计算不足5000元的按5000元收取。 （2）收款单位：四川国际招标有限责任公司。 （3）开户行：中国民生银行股份有限公司成都分行营业部。 （4）银行账号：9902001857022907。 （5）采购合同签订前向代理机构交纳代理服务费。 （6）代理服务费交纳完成后，可按照以下温馨提示开具发票： 方式①：供应商进入http://sale.scbid.net/home 网站，登录系统（无账号供应商需按照提示注册账号），登录后进入“中标项目”页面，找到需要开票的项目点击“申请/领取中标通知书”，根据提示填写信息并上传支付回单扫描件，提交开票申请。 方式②：供应商发送申请信息至3391588189@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四川省肿瘤医院</w:t>
      </w:r>
      <w:r>
        <w:rPr>
          <w:rFonts w:ascii="仿宋_GB2312" w:hAnsi="仿宋_GB2312" w:cs="仿宋_GB2312" w:eastAsia="仿宋_GB2312"/>
        </w:rPr>
        <w:t xml:space="preserve"> 和 </w:t>
      </w:r>
      <w:r>
        <w:rPr>
          <w:rFonts w:ascii="仿宋_GB2312" w:hAnsi="仿宋_GB2312" w:cs="仿宋_GB2312" w:eastAsia="仿宋_GB2312"/>
        </w:rPr>
        <w:t>四川国际招标有限责任公司</w:t>
      </w:r>
      <w:r>
        <w:rPr>
          <w:rFonts w:ascii="仿宋_GB2312" w:hAnsi="仿宋_GB2312" w:cs="仿宋_GB2312" w:eastAsia="仿宋_GB2312"/>
        </w:rPr>
        <w:t xml:space="preserve"> 负责解释。</w:t>
      </w:r>
    </w:p>
    <w:p>
      <w:pPr>
        <w:pStyle w:val="null3"/>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四川省肿瘤医院</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pPr>
      <w:r>
        <w:rPr>
          <w:rFonts w:ascii="仿宋_GB2312" w:hAnsi="仿宋_GB2312" w:cs="仿宋_GB2312" w:eastAsia="仿宋_GB2312"/>
        </w:rPr>
        <w:t>五、“电子评审”是指协商小组开展资格审查、符合性审查、协商、确定供应商成交、出具协商情况记录等活动。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outlineLvl w:val="3"/>
      </w:pPr>
      <w:r>
        <w:rPr>
          <w:rFonts w:ascii="仿宋_GB2312" w:hAnsi="仿宋_GB2312" w:cs="仿宋_GB2312" w:eastAsia="仿宋_GB2312"/>
          <w:sz w:val="24"/>
          <w:b/>
        </w:rPr>
        <w:t>2.3.2.采购文件的澄清或者修改</w:t>
      </w:r>
    </w:p>
    <w:p>
      <w:pPr>
        <w:pStyle w:val="null3"/>
        <w:ind w:firstLine="480"/>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三、采购人或者代理机构通过交易系统发出更正通知的同时，即为送达供应商。供应商应当及时查看更正信息，并根据更正信息要求，获取载更正后的采购文件，进行响应文件编制。</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三、如使用供应商所不拥有的知识产权，则在报价中必须包括合法使用该知识产权的相关费用。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outlineLvl w:val="3"/>
      </w:pPr>
      <w:r>
        <w:rPr>
          <w:rFonts w:ascii="仿宋_GB2312" w:hAnsi="仿宋_GB2312" w:cs="仿宋_GB2312" w:eastAsia="仿宋_GB2312"/>
          <w:sz w:val="24"/>
          <w:b/>
        </w:rPr>
        <w:t>2.4.8.响应文件的补充、修改、撤回 ★</w:t>
      </w:r>
    </w:p>
    <w:p>
      <w:pPr>
        <w:pStyle w:val="null3"/>
        <w:ind w:firstLine="480"/>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2.5.开启、评审和确定供应商成交</w:t>
      </w:r>
    </w:p>
    <w:p>
      <w:pPr>
        <w:pStyle w:val="null3"/>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outlineLvl w:val="3"/>
      </w:pPr>
      <w:r>
        <w:rPr>
          <w:rFonts w:ascii="仿宋_GB2312" w:hAnsi="仿宋_GB2312" w:cs="仿宋_GB2312" w:eastAsia="仿宋_GB2312"/>
          <w:sz w:val="24"/>
          <w:b/>
        </w:rPr>
        <w:t>2.5.3.评审</w:t>
      </w:r>
    </w:p>
    <w:p>
      <w:pPr>
        <w:pStyle w:val="null3"/>
        <w:ind w:firstLine="480"/>
      </w:pPr>
      <w:r>
        <w:rPr>
          <w:rFonts w:ascii="仿宋_GB2312" w:hAnsi="仿宋_GB2312" w:cs="仿宋_GB2312" w:eastAsia="仿宋_GB2312"/>
        </w:rPr>
        <w:t>详见采购文件第五章。</w:t>
      </w:r>
    </w:p>
    <w:p>
      <w:pPr>
        <w:pStyle w:val="null3"/>
        <w:outlineLvl w:val="3"/>
      </w:pPr>
      <w:r>
        <w:rPr>
          <w:rFonts w:ascii="仿宋_GB2312" w:hAnsi="仿宋_GB2312" w:cs="仿宋_GB2312" w:eastAsia="仿宋_GB2312"/>
          <w:sz w:val="24"/>
          <w:b/>
        </w:rPr>
        <w:t>2.5.4.成交通知书</w:t>
      </w:r>
    </w:p>
    <w:p>
      <w:pPr>
        <w:pStyle w:val="null3"/>
        <w:ind w:firstLine="480"/>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outlineLvl w:val="2"/>
      </w:pPr>
      <w:r>
        <w:rPr>
          <w:rFonts w:ascii="仿宋_GB2312" w:hAnsi="仿宋_GB2312" w:cs="仿宋_GB2312" w:eastAsia="仿宋_GB2312"/>
          <w:sz w:val="28"/>
          <w:b/>
        </w:rPr>
        <w:t>2.6.合同签订、备案、履行及验收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outlineLvl w:val="3"/>
      </w:pPr>
      <w:r>
        <w:rPr>
          <w:rFonts w:ascii="仿宋_GB2312" w:hAnsi="仿宋_GB2312" w:cs="仿宋_GB2312" w:eastAsia="仿宋_GB2312"/>
          <w:sz w:val="24"/>
          <w:b/>
        </w:rPr>
        <w:t>2.6.3.合同分包和转包★</w:t>
      </w:r>
    </w:p>
    <w:p>
      <w:pPr>
        <w:pStyle w:val="null3"/>
        <w:outlineLvl w:val="3"/>
      </w:pPr>
      <w:r>
        <w:rPr>
          <w:rFonts w:ascii="仿宋_GB2312" w:hAnsi="仿宋_GB2312" w:cs="仿宋_GB2312" w:eastAsia="仿宋_GB2312"/>
          <w:sz w:val="24"/>
          <w:b/>
        </w:rPr>
        <w:t>2.6.3.1.合同分包</w:t>
      </w:r>
    </w:p>
    <w:p>
      <w:pPr>
        <w:pStyle w:val="null3"/>
        <w:ind w:firstLine="480"/>
        <w:jc w:val="left"/>
      </w:pPr>
      <w:r>
        <w:rPr>
          <w:rFonts w:ascii="仿宋_GB2312" w:hAnsi="仿宋_GB2312" w:cs="仿宋_GB2312" w:eastAsia="仿宋_GB2312"/>
        </w:rPr>
        <w:t>本项目不允许合同分包。</w:t>
      </w:r>
    </w:p>
    <w:p>
      <w:pPr>
        <w:pStyle w:val="null3"/>
        <w:outlineLvl w:val="3"/>
      </w:pPr>
      <w:r>
        <w:rPr>
          <w:rFonts w:ascii="仿宋_GB2312" w:hAnsi="仿宋_GB2312" w:cs="仿宋_GB2312" w:eastAsia="仿宋_GB2312"/>
          <w:sz w:val="24"/>
          <w:b/>
        </w:rPr>
        <w:t>2.6.3.2.合同转包</w:t>
      </w:r>
    </w:p>
    <w:p>
      <w:pPr>
        <w:pStyle w:val="null3"/>
        <w:ind w:firstLine="480"/>
      </w:pPr>
      <w:r>
        <w:rPr>
          <w:rFonts w:ascii="仿宋_GB2312" w:hAnsi="仿宋_GB2312" w:cs="仿宋_GB2312" w:eastAsia="仿宋_GB2312"/>
        </w:rPr>
        <w:t>一、严禁成交供应商将本项目合同转包。</w:t>
      </w:r>
    </w:p>
    <w:p>
      <w:pPr>
        <w:pStyle w:val="null3"/>
        <w:ind w:firstLine="480"/>
      </w:pPr>
      <w:r>
        <w:rPr>
          <w:rFonts w:ascii="仿宋_GB2312" w:hAnsi="仿宋_GB2312" w:cs="仿宋_GB2312" w:eastAsia="仿宋_GB2312"/>
        </w:rPr>
        <w:t>二、成交供应商将合同转包的，将依法追究法律责任。</w:t>
      </w:r>
    </w:p>
    <w:p>
      <w:pPr>
        <w:pStyle w:val="null3"/>
        <w:outlineLvl w:val="3"/>
      </w:pPr>
      <w:r>
        <w:rPr>
          <w:rFonts w:ascii="仿宋_GB2312" w:hAnsi="仿宋_GB2312" w:cs="仿宋_GB2312" w:eastAsia="仿宋_GB2312"/>
          <w:sz w:val="24"/>
          <w:b/>
        </w:rPr>
        <w:t>2.6.4.采购人增加合同标的的权利</w:t>
      </w:r>
    </w:p>
    <w:p>
      <w:pPr>
        <w:pStyle w:val="null3"/>
        <w:ind w:firstLine="480"/>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outlineLvl w:val="3"/>
      </w:pPr>
      <w:r>
        <w:rPr>
          <w:rFonts w:ascii="仿宋_GB2312" w:hAnsi="仿宋_GB2312" w:cs="仿宋_GB2312" w:eastAsia="仿宋_GB2312"/>
          <w:sz w:val="24"/>
          <w:b/>
        </w:rPr>
        <w:t>2.6.5.履行合同</w:t>
      </w:r>
    </w:p>
    <w:p>
      <w:pPr>
        <w:pStyle w:val="null3"/>
        <w:ind w:firstLine="480"/>
      </w:pPr>
      <w:r>
        <w:rPr>
          <w:rFonts w:ascii="仿宋_GB2312" w:hAnsi="仿宋_GB2312" w:cs="仿宋_GB2312" w:eastAsia="仿宋_GB2312"/>
        </w:rPr>
        <w:t>一、采购人与成交供应商应当根据合同的约定依法履行合同义务。</w:t>
      </w:r>
    </w:p>
    <w:p>
      <w:pPr>
        <w:pStyle w:val="null3"/>
        <w:ind w:firstLine="480"/>
      </w:pPr>
      <w:r>
        <w:rPr>
          <w:rFonts w:ascii="仿宋_GB2312" w:hAnsi="仿宋_GB2312" w:cs="仿宋_GB2312" w:eastAsia="仿宋_GB2312"/>
        </w:rPr>
        <w:t>二、政府采购合同的履行、违约责任和解决争议的方法等适用《中华人民共和国民法典》。</w:t>
      </w:r>
    </w:p>
    <w:p>
      <w:pPr>
        <w:pStyle w:val="null3"/>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自供应商提出验收后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因系统固化原因，上述“履约验收时间”不适用本项目，履约验收时间以此为准：由采购人编写验收资料，自供应商提出验收之日起30日内组织相关部门与供应商共同验收。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根据单一来源采购文件及响应文件内容进行验收。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根据单一来源采购文件及响应文件内容进行验收。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验收依据包括但不限于：单一来源采购文件、响应文件、承诺约定、合同及附件。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pPr>
      <w:r>
        <w:rPr>
          <w:rFonts w:ascii="仿宋_GB2312" w:hAnsi="仿宋_GB2312" w:cs="仿宋_GB2312" w:eastAsia="仿宋_GB2312"/>
        </w:rPr>
        <w:t>供应商参加协商不得有下列情形：</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二、与采购人或者代理机构恶意串通；</w:t>
      </w:r>
    </w:p>
    <w:p>
      <w:pPr>
        <w:pStyle w:val="null3"/>
        <w:ind w:firstLine="480"/>
      </w:pPr>
      <w:r>
        <w:rPr>
          <w:rFonts w:ascii="仿宋_GB2312" w:hAnsi="仿宋_GB2312" w:cs="仿宋_GB2312" w:eastAsia="仿宋_GB2312"/>
        </w:rPr>
        <w:t>三、向采购人或者代理机构、协商小组成员行贿或者提供其他不正当利益；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四川省肿瘤医院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联系人：技术发展部</w:t>
      </w:r>
    </w:p>
    <w:p>
      <w:pPr>
        <w:pStyle w:val="null3"/>
        <w:jc w:val="left"/>
      </w:pPr>
      <w:r>
        <w:rPr>
          <w:rFonts w:ascii="仿宋_GB2312" w:hAnsi="仿宋_GB2312" w:cs="仿宋_GB2312" w:eastAsia="仿宋_GB2312"/>
        </w:rPr>
        <w:t>联系电话：028-87797776（分机号820）</w:t>
      </w:r>
    </w:p>
    <w:p>
      <w:pPr>
        <w:pStyle w:val="null3"/>
        <w:jc w:val="left"/>
      </w:pPr>
      <w:r>
        <w:rPr>
          <w:rFonts w:ascii="仿宋_GB2312" w:hAnsi="仿宋_GB2312" w:cs="仿宋_GB2312" w:eastAsia="仿宋_GB2312"/>
        </w:rPr>
        <w:t>地址：中国（四川）自由贸易试验区成都市高新区天府四街66号1栋17层</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联系电话：028-85420255</w:t>
      </w:r>
    </w:p>
    <w:p>
      <w:pPr>
        <w:pStyle w:val="null3"/>
        <w:jc w:val="left"/>
      </w:pPr>
      <w:r>
        <w:rPr>
          <w:rFonts w:ascii="仿宋_GB2312" w:hAnsi="仿宋_GB2312" w:cs="仿宋_GB2312" w:eastAsia="仿宋_GB2312"/>
        </w:rPr>
        <w:t>地址：武侯区人民南路四段55号</w:t>
      </w:r>
    </w:p>
    <w:p>
      <w:pPr>
        <w:pStyle w:val="null3"/>
        <w:jc w:val="left"/>
      </w:pPr>
      <w:r>
        <w:rPr>
          <w:rFonts w:ascii="仿宋_GB2312" w:hAnsi="仿宋_GB2312" w:cs="仿宋_GB2312" w:eastAsia="仿宋_GB2312"/>
        </w:rPr>
        <w:t>邮编：610041</w:t>
      </w:r>
    </w:p>
    <w:p>
      <w:pPr>
        <w:pStyle w:val="null3"/>
        <w:ind w:firstLine="480"/>
      </w:pPr>
      <w:r>
        <w:rPr>
          <w:rFonts w:ascii="仿宋_GB2312" w:hAnsi="仿宋_GB2312" w:cs="仿宋_GB2312" w:eastAsia="仿宋_GB2312"/>
        </w:rPr>
        <w:t>三、供应商提出询问，应当明确询问事项，如以书面形式提出的，应由供应商签字并加盖公章。</w:t>
      </w:r>
    </w:p>
    <w:p>
      <w:pPr>
        <w:pStyle w:val="null3"/>
        <w:ind w:firstLine="480"/>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（三）对成交结果提出质疑的，为成交结果公告期限届满之日。</w:t>
      </w:r>
    </w:p>
    <w:p>
      <w:pPr>
        <w:pStyle w:val="null3"/>
        <w:ind w:firstLine="480"/>
      </w:pPr>
      <w:r>
        <w:rPr>
          <w:rFonts w:ascii="仿宋_GB2312" w:hAnsi="仿宋_GB2312" w:cs="仿宋_GB2312" w:eastAsia="仿宋_GB2312"/>
        </w:rPr>
        <w:t>五、供应商通过书面形式线下向采购人或者代理机构提交质疑资料。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（一）质疑函正本1份（政府采购供应商质疑函范本可在四川政府采购网下载专区下载）；</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1,479,000.00</w:t>
      </w:r>
    </w:p>
    <w:p>
      <w:pPr>
        <w:pStyle w:val="null3"/>
        <w:jc w:val="left"/>
      </w:pPr>
      <w:r>
        <w:rPr>
          <w:rFonts w:ascii="仿宋_GB2312" w:hAnsi="仿宋_GB2312" w:cs="仿宋_GB2312" w:eastAsia="仿宋_GB2312"/>
        </w:rPr>
        <w:t>采购包最高限价（元）: 1,430,000.00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C23120500 医疗设备维修和保养服务</w:t>
            </w:r>
          </w:p>
        </w:tc>
        <w:tc>
          <w:tcPr>
            <w:tcW w:type="dxa" w:w="821"/>
          </w:tcPr>
          <w:p>
            <w:pPr>
              <w:pStyle w:val="null3"/>
              <w:jc w:val="left"/>
            </w:pPr>
            <w:r>
              <w:rPr>
                <w:rFonts w:ascii="仿宋_GB2312" w:hAnsi="仿宋_GB2312" w:cs="仿宋_GB2312" w:eastAsia="仿宋_GB2312"/>
              </w:rPr>
              <w:t>术中放疗加速器维保（新签）</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1,430,000.00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术中放疗加速器维保（新签）</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1,430,000.00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标的名称：术中放疗加速器维保（新签）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维修保修保养设备名称</w:t>
            </w:r>
          </w:p>
        </w:tc>
        <w:tc>
          <w:tcPr>
            <w:tcW w:type="dxa" w:w="5814"/>
          </w:tcPr>
          <w:p>
            <w:pPr>
              <w:pStyle w:val="null3"/>
              <w:jc w:val="left"/>
            </w:pPr>
            <w:r>
              <w:rPr>
                <w:rFonts w:ascii="仿宋_GB2312" w:hAnsi="仿宋_GB2312" w:cs="仿宋_GB2312" w:eastAsia="仿宋_GB2312"/>
              </w:rPr>
              <w:t>移动式电子束术中放疗系统，规格型号：MOBETRON2000，数量：一台。</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设备维保的范围</w:t>
            </w:r>
          </w:p>
        </w:tc>
        <w:tc>
          <w:tcPr>
            <w:tcW w:type="dxa" w:w="5814"/>
          </w:tcPr>
          <w:p>
            <w:pPr>
              <w:pStyle w:val="null3"/>
              <w:jc w:val="left"/>
            </w:pPr>
            <w:r>
              <w:rPr>
                <w:rFonts w:ascii="仿宋_GB2312" w:hAnsi="仿宋_GB2312" w:cs="仿宋_GB2312" w:eastAsia="仿宋_GB2312"/>
              </w:rPr>
              <w:t>术中放疗加速器所有零部件（包含计划系统及其他配套软件、CCTV监视系统、固定剂量报警仪、对讲系统、水冷机、稳压器、空气压缩机、防护门、六氟化硫、氮气、蒸馏水等消耗品）</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保修服务人员资质要求</w:t>
            </w:r>
          </w:p>
        </w:tc>
        <w:tc>
          <w:tcPr>
            <w:tcW w:type="dxa" w:w="5814"/>
          </w:tcPr>
          <w:p>
            <w:pPr>
              <w:pStyle w:val="null3"/>
              <w:jc w:val="left"/>
            </w:pPr>
            <w:r>
              <w:rPr>
                <w:rFonts w:ascii="仿宋_GB2312" w:hAnsi="仿宋_GB2312" w:cs="仿宋_GB2312" w:eastAsia="仿宋_GB2312"/>
              </w:rPr>
              <w:t>保修服务全部由供应商的专业工程师完成、专业工程师有相关维修经验（具有10年以上加速器相关维修经验并提供佐证材料（如人员简历））；供应商拟投入本项目的工程师需具有原厂培训证书（需提供证书扫描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开机率</w:t>
            </w:r>
          </w:p>
        </w:tc>
        <w:tc>
          <w:tcPr>
            <w:tcW w:type="dxa" w:w="5814"/>
          </w:tcPr>
          <w:p>
            <w:pPr>
              <w:pStyle w:val="null3"/>
              <w:jc w:val="left"/>
            </w:pPr>
            <w:r>
              <w:rPr>
                <w:rFonts w:ascii="仿宋_GB2312" w:hAnsi="仿宋_GB2312" w:cs="仿宋_GB2312" w:eastAsia="仿宋_GB2312"/>
              </w:rPr>
              <w:t>维保年度内，设备年开机率≥95％，即每年停机不超过18天（按一年365天计算）。开机天数每少一天，则维保期延长10天</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定期保养</w:t>
            </w:r>
          </w:p>
        </w:tc>
        <w:tc>
          <w:tcPr>
            <w:tcW w:type="dxa" w:w="5814"/>
          </w:tcPr>
          <w:p>
            <w:pPr>
              <w:pStyle w:val="null3"/>
              <w:jc w:val="left"/>
            </w:pPr>
            <w:r>
              <w:rPr>
                <w:rFonts w:ascii="仿宋_GB2312" w:hAnsi="仿宋_GB2312" w:cs="仿宋_GB2312" w:eastAsia="仿宋_GB2312"/>
              </w:rPr>
              <w:t>提供每年不低于4次的定期规范保养（每季度1次），并提供书面报告。</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服务响应时间</w:t>
            </w:r>
          </w:p>
        </w:tc>
        <w:tc>
          <w:tcPr>
            <w:tcW w:type="dxa" w:w="5814"/>
          </w:tcPr>
          <w:p>
            <w:pPr>
              <w:pStyle w:val="null3"/>
              <w:jc w:val="left"/>
            </w:pPr>
            <w:r>
              <w:rPr>
                <w:rFonts w:ascii="仿宋_GB2312" w:hAnsi="仿宋_GB2312" w:cs="仿宋_GB2312" w:eastAsia="仿宋_GB2312"/>
              </w:rPr>
              <w:t>供应商接到采购人通知后2小时内，做出反应，如4小时内无法电话解决问题，8小时内供应商工程师到达采购人现场进行维修与更换零部件。解决时间，不更换零部件自采购人通知之时起24小时内解决；更换非大型部件48小时内解决；更换大型部件10日内解决。以上所有时间均含节假日。</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备件要求</w:t>
            </w:r>
          </w:p>
        </w:tc>
        <w:tc>
          <w:tcPr>
            <w:tcW w:type="dxa" w:w="5814"/>
          </w:tcPr>
          <w:p>
            <w:pPr>
              <w:pStyle w:val="null3"/>
              <w:jc w:val="left"/>
            </w:pPr>
            <w:r>
              <w:rPr>
                <w:rFonts w:ascii="仿宋_GB2312" w:hAnsi="仿宋_GB2312" w:cs="仿宋_GB2312" w:eastAsia="仿宋_GB2312"/>
              </w:rPr>
              <w:t>所更换的备件为经采购人确认的未启封全新包装的原厂原装备件，安装完毕后达到设备运行标准（提供备件来源证明）。</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测试要求</w:t>
            </w:r>
          </w:p>
        </w:tc>
        <w:tc>
          <w:tcPr>
            <w:tcW w:type="dxa" w:w="5814"/>
          </w:tcPr>
          <w:p>
            <w:pPr>
              <w:pStyle w:val="null3"/>
              <w:jc w:val="left"/>
            </w:pPr>
            <w:r>
              <w:rPr>
                <w:rFonts w:ascii="仿宋_GB2312" w:hAnsi="仿宋_GB2312" w:cs="仿宋_GB2312" w:eastAsia="仿宋_GB2312"/>
              </w:rPr>
              <w:t>每次维修或保养完毕后，需经过完整测试，确认机器可正常使用后供应商方可离开。</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进度告知要求</w:t>
            </w:r>
          </w:p>
        </w:tc>
        <w:tc>
          <w:tcPr>
            <w:tcW w:type="dxa" w:w="5814"/>
          </w:tcPr>
          <w:p>
            <w:pPr>
              <w:pStyle w:val="null3"/>
              <w:jc w:val="left"/>
            </w:pPr>
            <w:r>
              <w:rPr>
                <w:rFonts w:ascii="仿宋_GB2312" w:hAnsi="仿宋_GB2312" w:cs="仿宋_GB2312" w:eastAsia="仿宋_GB2312"/>
              </w:rPr>
              <w:t>设备在维修保养期间需告知采购人维修进度。</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因系统固化原因，3.3.2.商务要求中的付款进度安排不适用本项目，具体付款进度安排以此为准；供应商应答“付款进度安排”时，可仅应答本条要求即可，对于3.3.2商务要求中“付款进度安排”要求的应答不作强制要求）</w:t>
            </w:r>
          </w:p>
          <w:p>
            <w:pPr>
              <w:pStyle w:val="null3"/>
              <w:jc w:val="left"/>
            </w:pPr>
            <w:r>
              <w:rPr>
                <w:rFonts w:ascii="仿宋_GB2312" w:hAnsi="仿宋_GB2312" w:cs="仿宋_GB2312" w:eastAsia="仿宋_GB2312"/>
              </w:rPr>
              <w:t>1、维修保养费用包括了维修、保养所需的全部差旅费用、工时费用及技术服务费、税费以及更换零配件所需的全部费用。</w:t>
            </w:r>
          </w:p>
          <w:p>
            <w:pPr>
              <w:pStyle w:val="null3"/>
              <w:jc w:val="left"/>
            </w:pPr>
            <w:r>
              <w:rPr>
                <w:rFonts w:ascii="仿宋_GB2312" w:hAnsi="仿宋_GB2312" w:cs="仿宋_GB2312" w:eastAsia="仿宋_GB2312"/>
              </w:rPr>
              <w:t>2、每个保修年度开始三个月后，采购人收到供应商提供的付款申请及发票后60日内支付40%的年度维保费用，保修年度结束后，供应商提供该保修年度的维修服务总结，设备使用科室负责人认可签字后，采购人根据设备维保服务评价表对照审核，审核结果为合格且收到供应商提供的付款申请及发票后60日内支付该保修年度剩余的维保费用。</w:t>
            </w:r>
          </w:p>
          <w:p>
            <w:pPr>
              <w:pStyle w:val="null3"/>
              <w:jc w:val="left"/>
            </w:pPr>
            <w:r>
              <w:rPr>
                <w:rFonts w:ascii="仿宋_GB2312" w:hAnsi="仿宋_GB2312" w:cs="仿宋_GB2312" w:eastAsia="仿宋_GB2312"/>
              </w:rPr>
              <w:t>3、支付方式：银行对公转账。</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合同的提前终止</w:t>
            </w:r>
          </w:p>
        </w:tc>
        <w:tc>
          <w:tcPr>
            <w:tcW w:type="dxa" w:w="5814"/>
          </w:tcPr>
          <w:p>
            <w:pPr>
              <w:pStyle w:val="null3"/>
              <w:jc w:val="left"/>
            </w:pPr>
            <w:r>
              <w:rPr>
                <w:rFonts w:ascii="仿宋_GB2312" w:hAnsi="仿宋_GB2312" w:cs="仿宋_GB2312" w:eastAsia="仿宋_GB2312"/>
              </w:rPr>
              <w:t>1.因设备被盗、毁损、报废、停用、灭失、不可抗力等导致本合同无法履行的，采购人有权单方书面通知供应商终止合同。终止通知送达后，供应商应立即停止服务。采购人按以下公式结算费用：</w:t>
            </w:r>
          </w:p>
          <w:p>
            <w:pPr>
              <w:pStyle w:val="null3"/>
              <w:jc w:val="left"/>
            </w:pPr>
            <w:r>
              <w:rPr>
                <w:rFonts w:ascii="仿宋_GB2312" w:hAnsi="仿宋_GB2312" w:cs="仿宋_GB2312" w:eastAsia="仿宋_GB2312"/>
              </w:rPr>
              <w:t>实际服务费用金额=(年度合同总维保费用÷合同总天数)×实际服务天数</w:t>
            </w:r>
          </w:p>
          <w:p>
            <w:pPr>
              <w:pStyle w:val="null3"/>
              <w:jc w:val="left"/>
            </w:pPr>
            <w:r>
              <w:rPr>
                <w:rFonts w:ascii="仿宋_GB2312" w:hAnsi="仿宋_GB2312" w:cs="仿宋_GB2312" w:eastAsia="仿宋_GB2312"/>
              </w:rPr>
              <w:t>实际服务费用少于预付费用的，供应商应当在结算后10日内无息退还差额部分；实际服务费用高于预付费用的，差额部分在收到供应商付款申请和发票后，采购人在30日内支付。</w:t>
            </w:r>
          </w:p>
          <w:p>
            <w:pPr>
              <w:pStyle w:val="null3"/>
              <w:jc w:val="left"/>
            </w:pPr>
            <w:r>
              <w:rPr>
                <w:rFonts w:ascii="仿宋_GB2312" w:hAnsi="仿宋_GB2312" w:cs="仿宋_GB2312" w:eastAsia="仿宋_GB2312"/>
              </w:rPr>
              <w:t>2.合同依据本条款终止的情形下，供应商不得要求其他赔（补）偿。</w:t>
            </w:r>
          </w:p>
        </w:tc>
      </w:tr>
    </w:tbl>
    <w:p>
      <w:pPr>
        <w:pStyle w:val="null3"/>
        <w:jc w:val="left"/>
        <w:outlineLvl w:val="3"/>
      </w:pPr>
      <w:r>
        <w:rPr>
          <w:rFonts w:ascii="仿宋_GB2312" w:hAnsi="仿宋_GB2312" w:cs="仿宋_GB2312" w:eastAsia="仿宋_GB2312"/>
          <w:sz w:val="24"/>
          <w:b/>
        </w:rPr>
        <w:t>3.3.2.商务要求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合同签订之日起三年，合同一年一签。采购人每年根据设备维保服务评价表，进行评价；成交供应商评价为不合格的，终止采购合同；成交供应商评价为合格，续签下一年度合同，维保费用扣除10%；成交供应商评价为良以上，续签下一年度合同。</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四川省肿瘤医院指定地点。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详见第二章2.6.6.履约验收方案（以供应商提供的《投标（响应）函》中“我单位完全接受和理解本项目采购文件规定的实质性要求”即视为响应。）</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${payTypeName}付款条件：每个保修年度开始三个月后，采购人收到供应商提供的付款申请及发票后。达到该付款条件起60个工作日内，支付合同总金额的40.0%</w:t>
            </w:r>
            <w:r>
              <w:br/>
            </w:r>
            <w:r>
              <w:rPr>
                <w:rFonts w:ascii="仿宋_GB2312" w:hAnsi="仿宋_GB2312" w:cs="仿宋_GB2312" w:eastAsia="仿宋_GB2312"/>
              </w:rPr>
              <w:t>2、</w:t>
            </w:r>
            <w:r>
              <w:rPr>
                <w:rFonts w:ascii="仿宋_GB2312" w:hAnsi="仿宋_GB2312" w:cs="仿宋_GB2312" w:eastAsia="仿宋_GB2312"/>
              </w:rPr>
              <w:t>${payTypeName}付款条件：保修年度结束后，供应商提供该保修年度的维修服务总结，设备使用科室负责人认可签字后，采购人根据设备维保服务评价表对照审核，审核结果为合格且收到供应商提供的付款申请及发票。达到该付款条件起60个工作日内，支付合同总金额的60.0%</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（注：以下甲方指采购人，乙方指供应商） 一、违约责任 （一）甲方违约责任 甲方逾期支付服务费的，除应及时付足服务费外，应向乙方偿付欠款总额万分之二/天的违约金，有正当理由除外。 （二）乙方违约责任 1.因乙方不履行合同或履行合同不符合约定的（不可抗力导致的除外），乙方向甲方支付合同总价百分之的违约金。甲方书面要求乙方整改后，乙方拒绝整改或整改后仍无法达到甲方要求的，甲方有权解除合同，并有权要求乙方退还已支付的合同金额。 2.因乙方原因导致服务对象不能正常运行，给甲方造成损失的，乙方向甲方支付合同总价百分之的违约金。如果书面要求整改后，乙方拒绝整改或整改后仍无法达到甲方要求的，甲方有权解除合同，并有权要求乙方退还已支付的合同金额。 3.乙方偿付的违约金不足以弥补甲方损失的，应当足额赔偿甲方损失。乙方按照合同约定应支付的违约金，乙方拒绝支付的，甲方有权从应付款中优先扣除，乙方对此不持异议。 4.乙方保证本合同项目的权利无瑕疵，包括为实现服务内容而使用的相关软硬件的所有权及知识产权等权利无瑕疵。如任何第三方经法院（或仲裁机构）裁决有权对上述项目主张权利或国家机关依法对相关软硬件进行没收、查封、责令停止侵权行为等的，乙方除应向甲方返还已收款项及同期银行贷款利息外，还应另按合同总价的20%向甲方支付违约金并赔偿因此给甲方造成的一切直接及间接损失，同时甲方有权解除本合同。乙方提供的服务侵害第三方合法权益的，由乙方向第三方承担法律责任，造成甲方损失的，乙方还应当赔偿。 5.乙方未按照本协议约定及时履行其维保义务的，甲方有权委托其他有资质的机构进行维保，由此产生的一切费用由乙方承担，甲方有权从剩余款项中直接扣除。若因此给甲方造成了损失的，乙方还应全额赔偿。 6.乙方拒绝履行合同或单方面解除合同的，应当退还甲方支付的所有合同款项并向甲方支付合同总金额20%的违约金，造成甲方其他损失的（包括但不限于重新采购维保的费用、重新采购维保的差价、维保对象不能正常运行期间给甲方造成的运营损失及引发医疗纠纷所致赔偿、甲方因乙方违约向第三方承担的违约金及赔偿金、诉讼费、保全费、律师费、鉴定费、差旅费等），乙方还应当赔偿。 7.未经甲方书面同意，乙方不得将本合同的义务部分或全部转让给第三方，否则甲方有权解除合同，乙方应当退还甲方支付的所有合同款项并向甲方支付合同总金额20%的违约金，造成甲方其他损失的，乙方还应当赔偿。 8.开机率：乙方需确保在本维保年度内，设备年开机率≥95％，开机率=正常开机天数/365天，正常使用时间不足一天的，不计入“正常开机天数”，开机天数每少一天，则维保期延长10天。 9.乙方违反本合同其他约定，经甲方通知后在30天内不改正或整改后仍不符合合同约定的，甲方有权解除合同、不支付乙方任何款项并追究乙方的违约责任。 二、争议的解决 （一）招标文件、投标文件、承诺约定、本合同的附件、补充协议等是构成本合同不可分割的部分，与本合同具有同等法律效力，如以上各文件相互有冲突或有内容不一致的地方，或上述文件中表述出现歧义致甲乙双方的理解不同的，应以有利于甲方解释为准。 （二）招标文件、投标文件、承诺约定、本合同的附件及本合同等如有中、英文两种版本应以中文版本为准且应做有利于甲方解释。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3.4.1未载明或者载明的标的名称、数量、计量单位及其他政府采购合同实质性内容与采购文件要求不一致，且采购单位无法接受的，属于无效响应。 3.4.2供应商需提供采购标的成本、同类项目合同价格以及相关专利、专有技术等情况说明。【编制于第六章响应文件格式-《供应商提供采购标的成本、同类项目合同价格以及相关专利、专有技术等情况说明》】 3.4.3.预算说明（此内容无需供应商单独进行应答响应，按要求报价即可）： 因系统固化原因，本项目的预算金额是1年的预算金额。 3.4.4.技术、服务条款说明： 本章内容要求中有明确的证明材料要求的应提供对应证明材料，否则视为负偏离。 ★3.4.5.非特定美国企业生产产品：根据《关于在政府采购活动中对有关美国企业采取相关措施的通知》（财库〔2026〕10号）规定，供应商不得提供该通知中所列46家美国企业（不包括在华美资企业）生产的产品，否则投标（响应）无效。（以供应商提供的《投标（响应）函》中“我单位完全接受和理解本项目采购文件规定的实质性要求”即视为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所有内容。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所有内容。</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jc w:val="center"/>
        <w:outlineLvl w:val="1"/>
      </w:pPr>
      <w:r>
        <w:rPr>
          <w:rFonts w:ascii="仿宋_GB2312" w:hAnsi="仿宋_GB2312" w:cs="仿宋_GB2312" w:eastAsia="仿宋_GB2312"/>
          <w:sz w:val="36"/>
          <w:b/>
        </w:rPr>
        <w:t>第五章 评审办法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（二）审查、评价供应商响应文件等是否满足单一来源采购文件要求；</w:t>
      </w:r>
    </w:p>
    <w:p>
      <w:pPr>
        <w:pStyle w:val="null3"/>
        <w:ind w:firstLine="480"/>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（四）受采购人委托确定供应商成交；</w:t>
      </w:r>
    </w:p>
    <w:p>
      <w:pPr>
        <w:pStyle w:val="null3"/>
        <w:ind w:firstLine="480"/>
      </w:pPr>
      <w:r>
        <w:rPr>
          <w:rFonts w:ascii="仿宋_GB2312" w:hAnsi="仿宋_GB2312" w:cs="仿宋_GB2312" w:eastAsia="仿宋_GB2312"/>
        </w:rPr>
        <w:t>（五）起草资格审查报告、协商情况记录并进行签署；</w:t>
      </w:r>
    </w:p>
    <w:p>
      <w:pPr>
        <w:pStyle w:val="null3"/>
        <w:ind w:firstLine="480"/>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5.3.1.熟悉和理解采购文件</w:t>
      </w:r>
    </w:p>
    <w:p>
      <w:pPr>
        <w:pStyle w:val="null3"/>
        <w:ind w:firstLine="480"/>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pPr>
      <w:r>
        <w:rPr>
          <w:rFonts w:ascii="仿宋_GB2312" w:hAnsi="仿宋_GB2312" w:cs="仿宋_GB2312" w:eastAsia="仿宋_GB2312"/>
        </w:rPr>
        <w:t>本采购文件有下列情形之一的，协商小组应当停止评审：</w:t>
      </w:r>
    </w:p>
    <w:p>
      <w:pPr>
        <w:pStyle w:val="null3"/>
        <w:ind w:firstLine="480"/>
      </w:pPr>
      <w:r>
        <w:rPr>
          <w:rFonts w:ascii="仿宋_GB2312" w:hAnsi="仿宋_GB2312" w:cs="仿宋_GB2312" w:eastAsia="仿宋_GB2312"/>
        </w:rPr>
        <w:t>一、采购文件的规定存在歧义、重大缺陷，导致评审工作无法进行的；</w:t>
      </w:r>
    </w:p>
    <w:p>
      <w:pPr>
        <w:pStyle w:val="null3"/>
        <w:ind w:firstLine="480"/>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四、采购文件载明的成交原则不合法的；</w:t>
      </w:r>
    </w:p>
    <w:p>
      <w:pPr>
        <w:pStyle w:val="null3"/>
        <w:ind w:firstLine="480"/>
      </w:pPr>
      <w:r>
        <w:rPr>
          <w:rFonts w:ascii="仿宋_GB2312" w:hAnsi="仿宋_GB2312" w:cs="仿宋_GB2312" w:eastAsia="仿宋_GB2312"/>
        </w:rPr>
        <w:t>五、采购文件有违反国家其他有关强制性规定的情形。</w:t>
      </w:r>
    </w:p>
    <w:p>
      <w:pPr>
        <w:pStyle w:val="null3"/>
        <w:ind w:firstLine="480"/>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应提供健全的财务会计制度的证明材料：①可提供2024或2025年度经审计的财务报告（包含审计报告和审计报告中所涉及的财务报表和报表附注），②也可提供供应商内部的2024或2025年度财务报表（至少包含资产负债表），③也可提供截至响应文件递交截止日一年内银行出具的资信证明，④供应商注册时间截至响应文件递交截止日不足一年的，也可提供加盖工商备案主管部门印章的公司章程。供应商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供应商应提交的相关资格证明材料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辐射安全许可</w:t>
            </w:r>
          </w:p>
        </w:tc>
        <w:tc>
          <w:tcPr>
            <w:tcW w:type="dxa" w:w="3322"/>
          </w:tcPr>
          <w:p>
            <w:pPr>
              <w:pStyle w:val="null3"/>
              <w:jc w:val="left"/>
            </w:pPr>
            <w:r>
              <w:rPr>
                <w:rFonts w:ascii="仿宋_GB2312" w:hAnsi="仿宋_GB2312" w:cs="仿宋_GB2312" w:eastAsia="仿宋_GB2312"/>
              </w:rPr>
              <w:t>供应商需具有有效的《辐射安全许可证》（种类和范围包含使用II类射线装置，或包含使用更高类别射线装置）</w:t>
            </w:r>
          </w:p>
        </w:tc>
        <w:tc>
          <w:tcPr>
            <w:tcW w:type="dxa" w:w="1661"/>
          </w:tcPr>
          <w:p>
            <w:pPr>
              <w:pStyle w:val="null3"/>
              <w:jc w:val="left"/>
            </w:pPr>
            <w:r>
              <w:rPr>
                <w:rFonts w:ascii="仿宋_GB2312" w:hAnsi="仿宋_GB2312" w:cs="仿宋_GB2312" w:eastAsia="仿宋_GB2312"/>
              </w:rPr>
              <w:t>供应商应提交的相关资格证明材料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需要供应商提供材料进行响应的实质性要求。</w:t>
            </w:r>
          </w:p>
        </w:tc>
        <w:tc>
          <w:tcPr>
            <w:tcW w:type="dxa" w:w="3322"/>
          </w:tcPr>
          <w:p>
            <w:pPr>
              <w:pStyle w:val="null3"/>
              <w:jc w:val="left"/>
            </w:pPr>
            <w:r>
              <w:rPr>
                <w:rFonts w:ascii="仿宋_GB2312" w:hAnsi="仿宋_GB2312" w:cs="仿宋_GB2312" w:eastAsia="仿宋_GB2312"/>
              </w:rPr>
              <w:t>需要供应商提供材料进行响应，按照单一来源采购文件要求提供相应的材料。</w:t>
            </w:r>
          </w:p>
        </w:tc>
        <w:tc>
          <w:tcPr>
            <w:tcW w:type="dxa" w:w="1661"/>
          </w:tcPr>
          <w:p>
            <w:pPr>
              <w:pStyle w:val="null3"/>
              <w:jc w:val="left"/>
            </w:pPr>
            <w:r>
              <w:rPr>
                <w:rFonts w:ascii="仿宋_GB2312" w:hAnsi="仿宋_GB2312" w:cs="仿宋_GB2312" w:eastAsia="仿宋_GB2312"/>
              </w:rPr>
              <w:t>供应商认为需要提供的其他证明材料,技术要求应答表,供应商提供采购标的成本、同类项目合同价格以及相关专利、专有技术等情况说明,服务要求应答表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不存在单一来源采购文件规定的“无效”情形。</w:t>
            </w:r>
          </w:p>
        </w:tc>
        <w:tc>
          <w:tcPr>
            <w:tcW w:type="dxa" w:w="3322"/>
          </w:tcPr>
          <w:p>
            <w:pPr>
              <w:pStyle w:val="null3"/>
              <w:jc w:val="left"/>
            </w:pPr>
            <w:r>
              <w:rPr>
                <w:rFonts w:ascii="仿宋_GB2312" w:hAnsi="仿宋_GB2312" w:cs="仿宋_GB2312" w:eastAsia="仿宋_GB2312"/>
              </w:rPr>
              <w:t>供应商按照单一来源采购文件要求进行响应，协商小组对相关情形进行认定。</w:t>
            </w:r>
          </w:p>
        </w:tc>
        <w:tc>
          <w:tcPr>
            <w:tcW w:type="dxa" w:w="1661"/>
          </w:tcPr>
          <w:p>
            <w:pPr>
              <w:pStyle w:val="null3"/>
              <w:jc w:val="left"/>
            </w:pPr>
            <w:r>
              <w:rPr>
                <w:rFonts w:ascii="仿宋_GB2312" w:hAnsi="仿宋_GB2312" w:cs="仿宋_GB2312" w:eastAsia="仿宋_GB2312"/>
              </w:rPr>
              <w:t>供应商认为需要提供的其他证明材料,报价明细表,技术要求应答表,供应商提供采购标的成本、同类项目合同价格以及相关专利、专有技术等情况说明,报价表,服务要求应答表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pPr>
      <w:r>
        <w:rPr>
          <w:rFonts w:ascii="仿宋_GB2312" w:hAnsi="仿宋_GB2312" w:cs="仿宋_GB2312" w:eastAsia="仿宋_GB2312"/>
        </w:rPr>
        <w:t>四、最后报价提交后，供应商不得以任何理由撤回。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六、最后报价出现下列情况的，除采购文件另有规定外，按以下原则处理：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pPr>
      <w:r>
        <w:rPr>
          <w:rFonts w:ascii="仿宋_GB2312" w:hAnsi="仿宋_GB2312" w:cs="仿宋_GB2312" w:eastAsia="仿宋_GB2312"/>
        </w:rPr>
        <w:t>协商小组在交易系统中编制评审情况，出具协商情况记录。</w:t>
      </w:r>
    </w:p>
    <w:p>
      <w:pPr>
        <w:pStyle w:val="null3"/>
        <w:ind w:firstLine="480"/>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pPr>
      <w:r>
        <w:rPr>
          <w:rFonts w:ascii="仿宋_GB2312" w:hAnsi="仿宋_GB2312" w:cs="仿宋_GB2312" w:eastAsia="仿宋_GB2312"/>
        </w:rPr>
        <w:t>二、协商日期和地点，协商小组成员名单；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价格分</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报价为经评审小组与供应商商定后保证采购项目质量的合理成交价格即得满分</w:t>
            </w:r>
          </w:p>
        </w:tc>
        <w:tc>
          <w:tcPr>
            <w:tcW w:type="dxa" w:w="2123"/>
          </w:tcPr>
          <w:p>
            <w:pPr>
              <w:pStyle w:val="null3"/>
              <w:jc w:val="left"/>
            </w:pPr>
            <w:r>
              <w:rPr>
                <w:rFonts w:ascii="仿宋_GB2312" w:hAnsi="仿宋_GB2312" w:cs="仿宋_GB2312" w:eastAsia="仿宋_GB2312"/>
              </w:rPr>
              <w:t>中小企业声明函,残疾人福利性单位声明函,报价明细表,报价表,监狱企业的证明文件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ind w:firstLine="480"/>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一、严格遵守政府采购法律制度关于协商小组成员回避的规定。</w:t>
      </w:r>
    </w:p>
    <w:p>
      <w:pPr>
        <w:pStyle w:val="null3"/>
        <w:ind w:firstLine="480"/>
      </w:pPr>
      <w:r>
        <w:rPr>
          <w:rFonts w:ascii="仿宋_GB2312" w:hAnsi="仿宋_GB2312" w:cs="仿宋_GB2312" w:eastAsia="仿宋_GB2312"/>
        </w:rPr>
        <w:t>二、评审前，应当将通讯工具或者相关电子设备交由代理机构统一保管。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六、服从评审现场代理机构的现场秩序管理，接受评审现场监督人员的合法监督。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详见附件：技术要求应答表</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详见附件：供应商应提交的相关资格证明材料</w:t>
      </w:r>
    </w:p>
    <w:p>
      <w:pPr>
        <w:pStyle w:val="null3"/>
        <w:ind w:firstLine="960"/>
        <w:jc w:val="left"/>
      </w:pPr>
      <w:r>
        <w:rPr>
          <w:rFonts w:ascii="仿宋_GB2312" w:hAnsi="仿宋_GB2312" w:cs="仿宋_GB2312" w:eastAsia="仿宋_GB2312"/>
        </w:rPr>
        <w:t>详见附件：供应商认为需要提供的其他证明材料</w:t>
      </w:r>
    </w:p>
    <w:p>
      <w:pPr>
        <w:pStyle w:val="null3"/>
        <w:ind w:firstLine="960"/>
        <w:jc w:val="left"/>
      </w:pPr>
      <w:r>
        <w:rPr>
          <w:rFonts w:ascii="仿宋_GB2312" w:hAnsi="仿宋_GB2312" w:cs="仿宋_GB2312" w:eastAsia="仿宋_GB2312"/>
        </w:rPr>
        <w:t>详见附件：供应商提供采购标的成本、同类项目合同价格以及相关专利、专有技术等情况说明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