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5BF12">
      <w:pPr>
        <w:pStyle w:val="4"/>
        <w:jc w:val="center"/>
        <w:outlineLvl w:val="1"/>
        <w:rPr>
          <w:color w:val="000000" w:themeColor="text1"/>
          <w14:textFill>
            <w14:solidFill>
              <w14:schemeClr w14:val="tx1"/>
            </w14:solidFill>
          </w14:textFill>
        </w:rPr>
      </w:pPr>
      <w:bookmarkStart w:id="0" w:name="_GoBack"/>
      <w:r>
        <w:rPr>
          <w:rFonts w:ascii="仿宋_GB2312" w:hAnsi="仿宋_GB2312" w:eastAsia="仿宋_GB2312" w:cs="仿宋_GB2312"/>
          <w:b/>
          <w:color w:val="000000" w:themeColor="text1"/>
          <w:sz w:val="36"/>
          <w14:textFill>
            <w14:solidFill>
              <w14:schemeClr w14:val="tx1"/>
            </w14:solidFill>
          </w14:textFill>
        </w:rPr>
        <w:t>第三章 技术、服务及其他要求</w:t>
      </w:r>
    </w:p>
    <w:p w14:paraId="18A8E010">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（注：本章的技术、服务及其他要求中，带“★”的要求为实质性要求。采购人、代理机构应当根据项目实际要求合理设定，并在第五章符合性审查中明确响应要求。）</w:t>
      </w:r>
    </w:p>
    <w:p w14:paraId="748CDDCE">
      <w:pPr>
        <w:pStyle w:val="4"/>
        <w:jc w:val="left"/>
        <w:outlineLvl w:val="2"/>
        <w:rPr>
          <w:color w:val="000000" w:themeColor="text1"/>
          <w14:textFill>
            <w14:solidFill>
              <w14:schemeClr w14:val="tx1"/>
            </w14:solidFill>
          </w14:textFill>
        </w:rPr>
      </w:pPr>
      <w:r>
        <w:rPr>
          <w:rFonts w:ascii="仿宋_GB2312" w:hAnsi="仿宋_GB2312" w:eastAsia="仿宋_GB2312" w:cs="仿宋_GB2312"/>
          <w:b/>
          <w:color w:val="000000" w:themeColor="text1"/>
          <w:sz w:val="28"/>
          <w14:textFill>
            <w14:solidFill>
              <w14:schemeClr w14:val="tx1"/>
            </w14:solidFill>
          </w14:textFill>
        </w:rPr>
        <w:t>3.1.采购内容</w:t>
      </w:r>
    </w:p>
    <w:p w14:paraId="5FB47B5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p w14:paraId="11A7938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采购包预算金额（元）: 1,182,160.00</w:t>
      </w:r>
    </w:p>
    <w:p w14:paraId="547E775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采购包最高限价（元）: 1,155,597.00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03850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2E7EB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821" w:type="dxa"/>
          </w:tcPr>
          <w:p w14:paraId="20FD59C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采购品目名称</w:t>
            </w:r>
          </w:p>
        </w:tc>
        <w:tc>
          <w:tcPr>
            <w:tcW w:w="821" w:type="dxa"/>
          </w:tcPr>
          <w:p w14:paraId="471985C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w:t>
            </w:r>
          </w:p>
        </w:tc>
        <w:tc>
          <w:tcPr>
            <w:tcW w:w="821" w:type="dxa"/>
          </w:tcPr>
          <w:p w14:paraId="310AD1B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数量</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14:textFill>
                  <w14:solidFill>
                    <w14:schemeClr w14:val="tx1"/>
                  </w14:solidFill>
                </w14:textFill>
              </w:rPr>
              <w:t>(计量单位)</w:t>
            </w:r>
          </w:p>
        </w:tc>
        <w:tc>
          <w:tcPr>
            <w:tcW w:w="821" w:type="dxa"/>
          </w:tcPr>
          <w:p w14:paraId="31A8911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标的金额 （元）</w:t>
            </w:r>
          </w:p>
        </w:tc>
        <w:tc>
          <w:tcPr>
            <w:tcW w:w="821" w:type="dxa"/>
          </w:tcPr>
          <w:p w14:paraId="590BA49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所属行业</w:t>
            </w:r>
          </w:p>
        </w:tc>
        <w:tc>
          <w:tcPr>
            <w:tcW w:w="821" w:type="dxa"/>
          </w:tcPr>
          <w:p w14:paraId="1AE9316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是否涉及核心产品</w:t>
            </w:r>
          </w:p>
        </w:tc>
        <w:tc>
          <w:tcPr>
            <w:tcW w:w="821" w:type="dxa"/>
          </w:tcPr>
          <w:p w14:paraId="7CE582B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是否涉及采购进口产品</w:t>
            </w:r>
          </w:p>
        </w:tc>
        <w:tc>
          <w:tcPr>
            <w:tcW w:w="821" w:type="dxa"/>
          </w:tcPr>
          <w:p w14:paraId="447ABD5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是否涉及强制采购节能产品</w:t>
            </w:r>
          </w:p>
        </w:tc>
        <w:tc>
          <w:tcPr>
            <w:tcW w:w="639" w:type="dxa"/>
          </w:tcPr>
          <w:p w14:paraId="10886EC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是否涉及优先采购节能产品</w:t>
            </w:r>
          </w:p>
        </w:tc>
        <w:tc>
          <w:tcPr>
            <w:tcW w:w="639" w:type="dxa"/>
          </w:tcPr>
          <w:p w14:paraId="0B60B30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是否涉及优先采购环境标志产品</w:t>
            </w:r>
          </w:p>
        </w:tc>
      </w:tr>
      <w:tr w14:paraId="70105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3EBE7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821" w:type="dxa"/>
          </w:tcPr>
          <w:p w14:paraId="056200E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A05029900 其他用具</w:t>
            </w:r>
          </w:p>
        </w:tc>
        <w:tc>
          <w:tcPr>
            <w:tcW w:w="821" w:type="dxa"/>
          </w:tcPr>
          <w:p w14:paraId="3B750AFA">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c>
          <w:tcPr>
            <w:tcW w:w="821" w:type="dxa"/>
          </w:tcPr>
          <w:p w14:paraId="46C26579">
            <w:pPr>
              <w:pStyle w:val="4"/>
              <w:jc w:val="righ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1.00（项）</w:t>
            </w:r>
          </w:p>
        </w:tc>
        <w:tc>
          <w:tcPr>
            <w:tcW w:w="821" w:type="dxa"/>
          </w:tcPr>
          <w:p w14:paraId="5C6667B8">
            <w:pPr>
              <w:pStyle w:val="4"/>
              <w:jc w:val="righ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1,155,597.00</w:t>
            </w:r>
          </w:p>
        </w:tc>
        <w:tc>
          <w:tcPr>
            <w:tcW w:w="821" w:type="dxa"/>
          </w:tcPr>
          <w:p w14:paraId="36A7DC1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工业</w:t>
            </w:r>
          </w:p>
        </w:tc>
        <w:tc>
          <w:tcPr>
            <w:tcW w:w="821" w:type="dxa"/>
          </w:tcPr>
          <w:p w14:paraId="3AE10EB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w:t>
            </w:r>
          </w:p>
        </w:tc>
        <w:tc>
          <w:tcPr>
            <w:tcW w:w="821" w:type="dxa"/>
          </w:tcPr>
          <w:p w14:paraId="66D3F73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否</w:t>
            </w:r>
          </w:p>
        </w:tc>
        <w:tc>
          <w:tcPr>
            <w:tcW w:w="821" w:type="dxa"/>
          </w:tcPr>
          <w:p w14:paraId="4DBDFD9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w:t>
            </w:r>
          </w:p>
        </w:tc>
        <w:tc>
          <w:tcPr>
            <w:tcW w:w="639" w:type="dxa"/>
          </w:tcPr>
          <w:p w14:paraId="6E535D2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w:t>
            </w:r>
          </w:p>
        </w:tc>
        <w:tc>
          <w:tcPr>
            <w:tcW w:w="639" w:type="dxa"/>
          </w:tcPr>
          <w:p w14:paraId="5985FDD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w:t>
            </w:r>
          </w:p>
        </w:tc>
      </w:tr>
    </w:tbl>
    <w:p w14:paraId="5739E59B">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是否适用本国产品标准：是</w:t>
      </w:r>
    </w:p>
    <w:p w14:paraId="6E6D5115">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报价要求</w:t>
      </w:r>
    </w:p>
    <w:p w14:paraId="61EB9B56">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1FB147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F0DD68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1707" w:type="dxa"/>
          </w:tcPr>
          <w:p w14:paraId="006448D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报价内容</w:t>
            </w:r>
          </w:p>
        </w:tc>
        <w:tc>
          <w:tcPr>
            <w:tcW w:w="1138" w:type="dxa"/>
          </w:tcPr>
          <w:p w14:paraId="4C7B0EA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数量（计量单位）</w:t>
            </w:r>
          </w:p>
        </w:tc>
        <w:tc>
          <w:tcPr>
            <w:tcW w:w="1365" w:type="dxa"/>
          </w:tcPr>
          <w:p w14:paraId="20BB0C1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最高限价</w:t>
            </w:r>
          </w:p>
        </w:tc>
        <w:tc>
          <w:tcPr>
            <w:tcW w:w="1138" w:type="dxa"/>
          </w:tcPr>
          <w:p w14:paraId="5DC466F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价款形式</w:t>
            </w:r>
          </w:p>
        </w:tc>
        <w:tc>
          <w:tcPr>
            <w:tcW w:w="1934" w:type="dxa"/>
          </w:tcPr>
          <w:p w14:paraId="2E76E9E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报价说明</w:t>
            </w:r>
          </w:p>
        </w:tc>
      </w:tr>
      <w:tr w14:paraId="309216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8170D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1707" w:type="dxa"/>
          </w:tcPr>
          <w:p w14:paraId="19D967E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c>
          <w:tcPr>
            <w:tcW w:w="1138" w:type="dxa"/>
          </w:tcPr>
          <w:p w14:paraId="1ACB2BF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1.00（项）</w:t>
            </w:r>
          </w:p>
        </w:tc>
        <w:tc>
          <w:tcPr>
            <w:tcW w:w="1365" w:type="dxa"/>
          </w:tcPr>
          <w:p w14:paraId="10A2228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1,155,597.00</w:t>
            </w:r>
          </w:p>
        </w:tc>
        <w:tc>
          <w:tcPr>
            <w:tcW w:w="1138" w:type="dxa"/>
          </w:tcPr>
          <w:p w14:paraId="2F7D489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总价</w:t>
            </w:r>
          </w:p>
        </w:tc>
        <w:tc>
          <w:tcPr>
            <w:tcW w:w="1934" w:type="dxa"/>
          </w:tcPr>
          <w:p w14:paraId="25BCBF6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无</w:t>
            </w:r>
          </w:p>
        </w:tc>
      </w:tr>
    </w:tbl>
    <w:p w14:paraId="35B72154">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★注：投标人响应产品应当明确品牌和规格型号并指向唯一产品，不能指向唯一产品的，应通过报价表唯一产品说明栏补充说明。</w:t>
      </w:r>
    </w:p>
    <w:p w14:paraId="3DA2DBFD">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本项目涉及核心产品：</w:t>
      </w:r>
    </w:p>
    <w:p w14:paraId="4734ABC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88C0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FB0D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2492" w:type="dxa"/>
          </w:tcPr>
          <w:p w14:paraId="7269747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采购品目名称</w:t>
            </w:r>
          </w:p>
        </w:tc>
        <w:tc>
          <w:tcPr>
            <w:tcW w:w="2492" w:type="dxa"/>
          </w:tcPr>
          <w:p w14:paraId="328CE2C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w:t>
            </w:r>
          </w:p>
        </w:tc>
        <w:tc>
          <w:tcPr>
            <w:tcW w:w="2492" w:type="dxa"/>
          </w:tcPr>
          <w:p w14:paraId="031FF26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产品名称</w:t>
            </w:r>
          </w:p>
        </w:tc>
      </w:tr>
      <w:tr w14:paraId="50798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0C5DBA">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2492" w:type="dxa"/>
          </w:tcPr>
          <w:p w14:paraId="09BF010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A05029900 其他用具</w:t>
            </w:r>
          </w:p>
        </w:tc>
        <w:tc>
          <w:tcPr>
            <w:tcW w:w="2492" w:type="dxa"/>
          </w:tcPr>
          <w:p w14:paraId="3BE4E50B">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c>
          <w:tcPr>
            <w:tcW w:w="2492" w:type="dxa"/>
          </w:tcPr>
          <w:p w14:paraId="4ECD8C32">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r>
    </w:tbl>
    <w:p w14:paraId="7CF35413">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注：涉及核心产品的，具体评审规定见第五章。</w:t>
      </w:r>
    </w:p>
    <w:p w14:paraId="109D5BB0">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本项目涉及采购进口产品：</w:t>
      </w:r>
    </w:p>
    <w:p w14:paraId="43F6BF7A">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AFA4E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BFCBB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2492" w:type="dxa"/>
          </w:tcPr>
          <w:p w14:paraId="157D534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采购品目名称</w:t>
            </w:r>
          </w:p>
        </w:tc>
        <w:tc>
          <w:tcPr>
            <w:tcW w:w="2492" w:type="dxa"/>
          </w:tcPr>
          <w:p w14:paraId="04F2946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w:t>
            </w:r>
          </w:p>
        </w:tc>
        <w:tc>
          <w:tcPr>
            <w:tcW w:w="2492" w:type="dxa"/>
          </w:tcPr>
          <w:p w14:paraId="398DAAA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产品名称</w:t>
            </w:r>
          </w:p>
        </w:tc>
      </w:tr>
      <w:tr w14:paraId="260093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8AE6E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不涉及</w:t>
            </w:r>
          </w:p>
        </w:tc>
      </w:tr>
    </w:tbl>
    <w:p w14:paraId="33D9E490">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★注：不涉及采购进口产品时，投标人不得提供进口产品进行响应；涉及采购进口产品时，如国产产品满足采购需求，也可提供国产产品进行响应。</w:t>
      </w:r>
    </w:p>
    <w:p w14:paraId="7C8C35DE">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本项目涉及强制采购节能产品：</w:t>
      </w:r>
    </w:p>
    <w:p w14:paraId="41CAE48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0F57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6697A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2492" w:type="dxa"/>
          </w:tcPr>
          <w:p w14:paraId="54C7182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采购品目名称</w:t>
            </w:r>
          </w:p>
        </w:tc>
        <w:tc>
          <w:tcPr>
            <w:tcW w:w="2492" w:type="dxa"/>
          </w:tcPr>
          <w:p w14:paraId="4E9FC24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w:t>
            </w:r>
          </w:p>
        </w:tc>
        <w:tc>
          <w:tcPr>
            <w:tcW w:w="2492" w:type="dxa"/>
          </w:tcPr>
          <w:p w14:paraId="4A07F2E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产品名称</w:t>
            </w:r>
          </w:p>
        </w:tc>
      </w:tr>
      <w:tr w14:paraId="68F8E1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56564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2492" w:type="dxa"/>
          </w:tcPr>
          <w:p w14:paraId="0D664AA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A05029900 其他用具</w:t>
            </w:r>
          </w:p>
        </w:tc>
        <w:tc>
          <w:tcPr>
            <w:tcW w:w="2492" w:type="dxa"/>
          </w:tcPr>
          <w:p w14:paraId="43BD1CD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c>
          <w:tcPr>
            <w:tcW w:w="2492" w:type="dxa"/>
          </w:tcPr>
          <w:p w14:paraId="0AFDC9B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r>
    </w:tbl>
    <w:p w14:paraId="184ED20D">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D09C7F1">
      <w:pPr>
        <w:pStyle w:val="4"/>
        <w:jc w:val="left"/>
        <w:rPr>
          <w:color w:val="000000" w:themeColor="text1"/>
          <w14:textFill>
            <w14:solidFill>
              <w14:schemeClr w14:val="tx1"/>
            </w14:solidFill>
          </w14:textFill>
        </w:rPr>
      </w:pPr>
      <w:r>
        <w:rPr>
          <w:rFonts w:ascii="仿宋_GB2312" w:hAnsi="仿宋_GB2312" w:eastAsia="仿宋_GB2312" w:cs="仿宋_GB2312"/>
          <w:b/>
          <w:color w:val="000000" w:themeColor="text1"/>
          <w14:textFill>
            <w14:solidFill>
              <w14:schemeClr w14:val="tx1"/>
            </w14:solidFill>
          </w14:textFill>
        </w:rPr>
        <w:t>本项目涉及优先采购节能产品：</w:t>
      </w:r>
    </w:p>
    <w:p w14:paraId="73A53E96">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BD68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E38CB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2492" w:type="dxa"/>
          </w:tcPr>
          <w:p w14:paraId="45A6BDC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采购品目名称</w:t>
            </w:r>
          </w:p>
        </w:tc>
        <w:tc>
          <w:tcPr>
            <w:tcW w:w="2492" w:type="dxa"/>
          </w:tcPr>
          <w:p w14:paraId="40C97DF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w:t>
            </w:r>
          </w:p>
        </w:tc>
        <w:tc>
          <w:tcPr>
            <w:tcW w:w="2492" w:type="dxa"/>
          </w:tcPr>
          <w:p w14:paraId="6AD53F6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产品名称</w:t>
            </w:r>
          </w:p>
        </w:tc>
      </w:tr>
      <w:tr w14:paraId="5351B2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05C48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2492" w:type="dxa"/>
          </w:tcPr>
          <w:p w14:paraId="6E6F393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A05029900 其他用具</w:t>
            </w:r>
          </w:p>
        </w:tc>
        <w:tc>
          <w:tcPr>
            <w:tcW w:w="2492" w:type="dxa"/>
          </w:tcPr>
          <w:p w14:paraId="611F354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c>
          <w:tcPr>
            <w:tcW w:w="2492" w:type="dxa"/>
          </w:tcPr>
          <w:p w14:paraId="78BFD30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r>
    </w:tbl>
    <w:p w14:paraId="154AA69E">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764B4D7">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本项目涉及优先采购环境标志产品：</w:t>
      </w:r>
    </w:p>
    <w:p w14:paraId="34AF4A9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C228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ECD8F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2492" w:type="dxa"/>
          </w:tcPr>
          <w:p w14:paraId="0ADB65A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采购品目名称</w:t>
            </w:r>
          </w:p>
        </w:tc>
        <w:tc>
          <w:tcPr>
            <w:tcW w:w="2492" w:type="dxa"/>
          </w:tcPr>
          <w:p w14:paraId="0951EBC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w:t>
            </w:r>
          </w:p>
        </w:tc>
        <w:tc>
          <w:tcPr>
            <w:tcW w:w="2492" w:type="dxa"/>
          </w:tcPr>
          <w:p w14:paraId="1A03575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产品名称</w:t>
            </w:r>
          </w:p>
        </w:tc>
      </w:tr>
      <w:tr w14:paraId="71EFAC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2D73D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2492" w:type="dxa"/>
          </w:tcPr>
          <w:p w14:paraId="18CD579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A05029900 其他用具</w:t>
            </w:r>
          </w:p>
        </w:tc>
        <w:tc>
          <w:tcPr>
            <w:tcW w:w="2492" w:type="dxa"/>
          </w:tcPr>
          <w:p w14:paraId="11B4438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c>
          <w:tcPr>
            <w:tcW w:w="2492" w:type="dxa"/>
          </w:tcPr>
          <w:p w14:paraId="42BA7D6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业务用房设施设备采购建设项目</w:t>
            </w:r>
          </w:p>
        </w:tc>
      </w:tr>
    </w:tbl>
    <w:p w14:paraId="002EED63">
      <w:pPr>
        <w:pStyle w:val="4"/>
        <w:ind w:firstLine="480"/>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290139C">
      <w:pPr>
        <w:pStyle w:val="4"/>
        <w:jc w:val="left"/>
        <w:outlineLvl w:val="2"/>
        <w:rPr>
          <w:color w:val="000000" w:themeColor="text1"/>
          <w14:textFill>
            <w14:solidFill>
              <w14:schemeClr w14:val="tx1"/>
            </w14:solidFill>
          </w14:textFill>
        </w:rPr>
      </w:pPr>
      <w:r>
        <w:rPr>
          <w:rFonts w:ascii="仿宋_GB2312" w:hAnsi="仿宋_GB2312" w:eastAsia="仿宋_GB2312" w:cs="仿宋_GB2312"/>
          <w:b/>
          <w:color w:val="000000" w:themeColor="text1"/>
          <w:sz w:val="28"/>
          <w14:textFill>
            <w14:solidFill>
              <w14:schemeClr w14:val="tx1"/>
            </w14:solidFill>
          </w14:textFill>
        </w:rPr>
        <w:t>3.2.技术要求</w:t>
      </w:r>
    </w:p>
    <w:p w14:paraId="2874EB1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p w14:paraId="7F44736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标的名称：业务用房设施设备采购建设项目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476"/>
        <w:gridCol w:w="807"/>
        <w:gridCol w:w="6823"/>
      </w:tblGrid>
      <w:tr w14:paraId="3F7EB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846F1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581" w:type="dxa"/>
          </w:tcPr>
          <w:p w14:paraId="06BDC77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符号标识</w:t>
            </w:r>
          </w:p>
        </w:tc>
        <w:tc>
          <w:tcPr>
            <w:tcW w:w="1495" w:type="dxa"/>
          </w:tcPr>
          <w:p w14:paraId="12E31A4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技术要求名称</w:t>
            </w:r>
          </w:p>
        </w:tc>
        <w:tc>
          <w:tcPr>
            <w:tcW w:w="5814" w:type="dxa"/>
          </w:tcPr>
          <w:p w14:paraId="7F2810B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技术参数与性能指标</w:t>
            </w:r>
          </w:p>
        </w:tc>
      </w:tr>
      <w:tr w14:paraId="774D1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48F34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581" w:type="dxa"/>
          </w:tcPr>
          <w:p w14:paraId="3CA19279">
            <w:pPr>
              <w:rPr>
                <w:color w:val="000000" w:themeColor="text1"/>
                <w14:textFill>
                  <w14:solidFill>
                    <w14:schemeClr w14:val="tx1"/>
                  </w14:solidFill>
                </w14:textFill>
              </w:rPr>
            </w:pPr>
          </w:p>
        </w:tc>
        <w:tc>
          <w:tcPr>
            <w:tcW w:w="1495" w:type="dxa"/>
          </w:tcPr>
          <w:p w14:paraId="1C93881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采购内容</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1210"/>
              <w:gridCol w:w="625"/>
              <w:gridCol w:w="577"/>
              <w:gridCol w:w="1110"/>
              <w:gridCol w:w="411"/>
              <w:gridCol w:w="410"/>
              <w:gridCol w:w="433"/>
              <w:gridCol w:w="462"/>
              <w:gridCol w:w="462"/>
              <w:gridCol w:w="492"/>
            </w:tblGrid>
            <w:tr w14:paraId="461F5B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59579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序号</w:t>
                  </w:r>
                </w:p>
              </w:tc>
              <w:tc>
                <w:tcPr>
                  <w:tcW w:w="8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7E607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采购品目名称</w:t>
                  </w:r>
                </w:p>
              </w:tc>
              <w:tc>
                <w:tcPr>
                  <w:tcW w:w="6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711E3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标的名称</w:t>
                  </w:r>
                </w:p>
              </w:tc>
              <w:tc>
                <w:tcPr>
                  <w:tcW w:w="3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2745D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数量</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20"/>
                      <w14:textFill>
                        <w14:solidFill>
                          <w14:schemeClr w14:val="tx1"/>
                        </w14:solidFill>
                      </w14:textFill>
                    </w:rPr>
                    <w:t>(计量单位)</w:t>
                  </w:r>
                </w:p>
              </w:tc>
              <w:tc>
                <w:tcPr>
                  <w:tcW w:w="7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931E3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标的金额（元）</w:t>
                  </w:r>
                </w:p>
              </w:tc>
              <w:tc>
                <w:tcPr>
                  <w:tcW w:w="41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705AC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所属行业</w:t>
                  </w:r>
                </w:p>
              </w:tc>
              <w:tc>
                <w:tcPr>
                  <w:tcW w:w="4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52745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是否涉及核心产品</w:t>
                  </w:r>
                </w:p>
              </w:tc>
              <w:tc>
                <w:tcPr>
                  <w:tcW w:w="44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3E5B2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是否涉及采购进口产品</w:t>
                  </w:r>
                </w:p>
              </w:tc>
              <w:tc>
                <w:tcPr>
                  <w:tcW w:w="47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1753EF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是否涉及强制采购节能产品</w:t>
                  </w:r>
                </w:p>
              </w:tc>
              <w:tc>
                <w:tcPr>
                  <w:tcW w:w="47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62E58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是否涉及优先采购节能产品</w:t>
                  </w:r>
                </w:p>
              </w:tc>
              <w:tc>
                <w:tcPr>
                  <w:tcW w:w="5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7ACEC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是否涉及优先采购环境标志产品</w:t>
                  </w:r>
                </w:p>
              </w:tc>
            </w:tr>
            <w:tr w14:paraId="290ADA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72CC8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4880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1C2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餐台导轨1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0C10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F400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2640.00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C396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D281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E3A5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1C88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663B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AA78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1FAA9E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0EAE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7802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1BE3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餐台导轨2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53AB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947FD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6512.00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ABBC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C582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BD9B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C852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2B97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0366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198001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9A64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28AF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C734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售卖台玻璃罩</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6DBB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CB86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1119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8521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D74DF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980C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19F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52BA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2CB2B4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167CE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359BA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AF80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56AD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D92C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2489.00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D1D2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B1BC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7539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7A72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20C9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A4B1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2683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CF0C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6478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022A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五格售饭柜</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9F48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CC82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14300.00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E88A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6626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9716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0F57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8D84E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A2FC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8C870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B9111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AB86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C62A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四层栅格货架1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0675D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0EC7F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1184.00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1685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55DB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7130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1F9B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2C08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D3A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33086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FC617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1B5E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0936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灭蚊灯</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3E52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13F2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609.00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1FDF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5A8A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1379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62FD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890C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63CB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4374D5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C470F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0ACF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B437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6A70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FEC9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2009.00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BB6A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BF8E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60B2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85C9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8A83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567E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6FDD5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E14C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7AD4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5245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单通移门荷台柜3</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45A7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EB98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2389.00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6B8B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9202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BC78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E8C3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C7D1F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8A578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1BDA47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F8A8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B474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F348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开水器带底座</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DD3C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62F4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2860.00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29B0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31E9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EF29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AA13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85EC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5253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041E8D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C184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7A9E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FF47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电热水器</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2780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BA54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3300.00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2C89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C8E6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915C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6CD1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3D22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BC8A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5F08BF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D234A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598E4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AE72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双层工作台带靠背1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DF67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0DDC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1980.00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79414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D766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6C6B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85CD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AE6F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7186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29FE9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6386C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4440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67CE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绞切肉机</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69C3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C081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5280.00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BEB0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A946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AA3C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3DC0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FC940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CB9D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5FC7B6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D309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4D4E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FF2C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双层工作台带靠背2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74C2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658D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2288.00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703C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D33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FA078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46F9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9156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E230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4ED5C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F8C02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C94F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4F60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单星盆水池</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7721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2F2D6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3300.00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DA10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ECAA3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13C72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DB8D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823F9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F29F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3D529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F2BEE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16</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A21D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10DA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台式冷热水龙头1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9618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67A5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478.00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D853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EDD6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9825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B45F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A616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89BA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1715EF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0153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17</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BBC6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C8FD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双层工作台带靠背3</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09E5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A17FC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6384.00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43B1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D305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51D0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6DA2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51C4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E65F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66E097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01105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ED67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E99E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刀具双层砧板保洁柜</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81D9F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E8E9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2919.00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B7CCC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1FFF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8C1D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6A47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0FA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6CF0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4F6BEB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705F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19</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FE63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6C7D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四层栅格货架2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4F27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C75B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2700.00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2965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26EA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B803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CC214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4A28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1BD0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549085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D981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20</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BDE2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9822B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商用单门留样柜</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F185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F403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1787.00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9504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DE77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6B4C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5F3F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2042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4A0BA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8582F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4462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80CB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71054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热风循环高温食具消毒柜</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8569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72924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18920.00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74D8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2FD3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40B5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9301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87DE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A8EC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71389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ECB8C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FA382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99F2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四层平板货架</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F20D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96AD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12320.00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275C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A4A8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86A9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61A00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4C63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6E54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679CDE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7D06A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BA9A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A5FB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双星盆水池</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A576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8F16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2420.00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5D76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3A4C0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134F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5D61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13C7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8116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17AEBB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9EE5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2F86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3029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台式冷热水龙头2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93F6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D5AA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478.00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6DC8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C4D8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C93D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ACB57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6DD2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56B6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263681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B071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25</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0C11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96F8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大单星盆水池</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770B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028C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1980.00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C29E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4B1F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99CB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31032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50FE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093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1701C5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598D1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26</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5151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6ABF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台式冷热水龙头3</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A295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1638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239.00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376A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7A03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3825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25FD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BB31E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B0C6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5F94D9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2346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27</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E672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4AF0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4472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48F6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4688.00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5193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626E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7044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88DD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8B8B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43FD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A4979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0C0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28</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C9E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179E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单通移门荷台柜4</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97E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8557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5078.00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3962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80DD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F3B8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6A7F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B383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80C8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48277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5B93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29</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C876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3C7D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商用冷柜(四门直冷双机双温)</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374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5ED6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19800.00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972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0BEF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D464F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6D7E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06169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FC24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7899A5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EB8C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30</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5510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6289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长形洗碗池</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1D00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9234E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3068.00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6596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7DDC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18E34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33E3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E72A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CDA61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311265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9146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616B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B077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四头煲仔炉</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2F53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FD01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3630.00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BE6E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48AC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3F2B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6DFD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53FAF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94B0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551B52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ED60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E27C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F3D22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油烟净化一体机</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7B5CA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5.3米</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6E1D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69960.00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0479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4694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7A1E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61A5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147EB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71D8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6E36E0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7AD7D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12E2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257C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米面架</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003B9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0C7D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1600.00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F974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2F48A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5DDF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FDA6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7705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8A23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6583A2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E65F3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16AB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FD94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单门蒸饭车</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22C90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E335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5280.00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DB12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7470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1A58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583EF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C2CA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02BC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3217C5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C1A11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35</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E7F1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8C4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炉拼台</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D37A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E983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2200.00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7AD8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188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4871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A7AF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9291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65D4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63F273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E777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36</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C82B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CEE1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双头单尾小炒灶</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F422E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C09D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12980.00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14F7D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7FD2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1A66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C81A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8B2C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49A9C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0C580A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ED54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37</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7C2C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1D79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单头大锅灶</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E7D1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1台</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43B23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8360.00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5616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26FE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7978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F74F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865F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8EA0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5F4A35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659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38</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785A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E4DF9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风管</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3925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80m²</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6E33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41600.00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9C4F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50F1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180D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3287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0D87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6AF2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374B74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16DD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39</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6352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4B64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防火阀</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2EC9B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F57A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9F71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E0FA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8BF7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6E7FB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9FF1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6455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05E5C2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2E2C4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E45B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A6BE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餐桌1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74B44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FFE1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22400.00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7143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0801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12D4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18B5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5050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90E2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43F20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A989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45D0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1D18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餐桌2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7541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A5A4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14000.00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8EC0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27BE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B19B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6425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1467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F402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FE25A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A206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275C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A80C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餐椅1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16A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76把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3DF3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28880.00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33369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3AFC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2146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C3B0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F392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A4E0C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7D5C17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C401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1A9D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E143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餐桌3</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AE0C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35B4A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13700.00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1F41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FF13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8AED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1736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39DB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8314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6446B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1C81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5E29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A079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餐椅2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5C05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20把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1FD2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11600.00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9927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510C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16F2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EB453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4CF7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44318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4C5F0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0F670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45</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3B09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C30ED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配餐柜</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0135D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1E0F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3200.00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E2AC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C62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3548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6CB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C331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CEB3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23F30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D5F90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46</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ACF1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491A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休闲卡座</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1837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B50D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8800.00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B6BC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3D94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98EA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69D8E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DD00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D730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56757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BFD0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47</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C212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DC6B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洽谈区设施1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670B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3136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2400.00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B520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31A9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8A09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0008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1A75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FFD7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12DB61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855E3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48</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56D3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47E8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主席台</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5A53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1B62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5100.00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A355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E593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1C2D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6041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86C3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61FB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5C6683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FA1C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49</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C882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1F819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主席椅</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0EAB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75D9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8400.00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6A66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B8C9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EA99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0E5D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ADAC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0462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B76DB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C839A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50</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C9CE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A971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接待工位桌</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E6F3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28把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D965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24640.00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60E3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0C1A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C4F0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17E8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EA71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0CAD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F1628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0479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A86C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C0CD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接待工位椅1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1F65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56把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D244E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30800.00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DDEB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3A55E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918F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58CD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9E25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7052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5ED95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2F9AE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F521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5BC3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工作台1</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0A14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68张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BECE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197200.00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29908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1217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496D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06717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7C53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D0DE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107DCC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C36C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3DBF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C5C1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工作椅</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4A3E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69把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3EE3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55200.00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3B01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58BB8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C6C2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9192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6232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4D08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1A7D76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D9DCC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BEDB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38E8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档案展示柜</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3722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234组</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B9E7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234000.00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8F16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DC4C8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8DBA7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9E09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2805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4776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6182F2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5DBD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55</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30DA3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C20F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工作台2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6F77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C124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9000.00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D162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B62F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6F4E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9CF8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746B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34E1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8F632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044E4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56</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CF50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D486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管理工作配套设施</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DA50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4157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1600.00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702F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31B8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4325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0F28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79E8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7F8F9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419B82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D4C49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57</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5AF7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EFBF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会议接待设施</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D55B4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611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E5BF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07B6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576F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B80D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C5EE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065B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r>
            <w:tr w14:paraId="627A29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D120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58</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53AFD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33F9A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组合卡座</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95D0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35个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C8A0E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87500.00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F5A0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0B85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7438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094B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1D08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DABA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191D4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BAC1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59</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25C5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9E12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洽谈区设施2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B638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34个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BA9CB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27200.00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82A0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40CD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858C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A46B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FE98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C4F5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7726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5507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60</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427EB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E41A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饮水台</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FE8A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40个</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EC94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40000.00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255F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1683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7A22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0796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F6C4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137D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8AC47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739E6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61</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3D5E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DE34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开放式交流台</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16FF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9FB4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10400.00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6507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CA73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F6B7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3865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58CB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706D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01485A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5727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62</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012A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D1D2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接待工位椅2</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EC81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31把</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300B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27280.00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13FA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D951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5792C">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893C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218A7">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7B99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3CD96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1A9E2">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63</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BE3F4">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A0D5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诊断桌</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448D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1张</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937C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5384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9F5A21">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1684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19559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46010">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5D1F5">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r w14:paraId="2C1623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7C7C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64</w:t>
                  </w:r>
                </w:p>
              </w:tc>
              <w:tc>
                <w:tcPr>
                  <w:tcW w:w="8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79213">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A05029900-其他用具</w:t>
                  </w:r>
                </w:p>
              </w:tc>
              <w:tc>
                <w:tcPr>
                  <w:tcW w:w="6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669D8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治疗台</w:t>
                  </w:r>
                </w:p>
              </w:tc>
              <w:tc>
                <w:tcPr>
                  <w:tcW w:w="3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8FAB8">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1组</w:t>
                  </w:r>
                </w:p>
              </w:tc>
              <w:tc>
                <w:tcPr>
                  <w:tcW w:w="7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D252A">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4000.00</w:t>
                  </w:r>
                </w:p>
              </w:tc>
              <w:tc>
                <w:tcPr>
                  <w:tcW w:w="41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55129">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工业</w:t>
                  </w:r>
                </w:p>
              </w:tc>
              <w:tc>
                <w:tcPr>
                  <w:tcW w:w="4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6BCAD">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4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E063E6">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7220E">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47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EE301F">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否</w:t>
                  </w:r>
                </w:p>
              </w:tc>
              <w:tc>
                <w:tcPr>
                  <w:tcW w:w="5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29DDB">
                  <w:pPr>
                    <w:pStyle w:val="4"/>
                    <w:spacing w:before="105" w:after="105"/>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是</w:t>
                  </w:r>
                </w:p>
              </w:tc>
            </w:tr>
          </w:tbl>
          <w:p w14:paraId="7EDB0500">
            <w:pPr>
              <w:rPr>
                <w:color w:val="000000" w:themeColor="text1"/>
                <w14:textFill>
                  <w14:solidFill>
                    <w14:schemeClr w14:val="tx1"/>
                  </w14:solidFill>
                </w14:textFill>
              </w:rPr>
            </w:pPr>
          </w:p>
        </w:tc>
      </w:tr>
      <w:tr w14:paraId="777191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F721E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2</w:t>
            </w:r>
          </w:p>
        </w:tc>
        <w:tc>
          <w:tcPr>
            <w:tcW w:w="581" w:type="dxa"/>
          </w:tcPr>
          <w:p w14:paraId="44F4DCDC">
            <w:pPr>
              <w:rPr>
                <w:color w:val="000000" w:themeColor="text1"/>
                <w14:textFill>
                  <w14:solidFill>
                    <w14:schemeClr w14:val="tx1"/>
                  </w14:solidFill>
                </w14:textFill>
              </w:rPr>
            </w:pPr>
          </w:p>
        </w:tc>
        <w:tc>
          <w:tcPr>
            <w:tcW w:w="1495" w:type="dxa"/>
          </w:tcPr>
          <w:p w14:paraId="6A113F0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技术要求</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510"/>
              <w:gridCol w:w="1910"/>
              <w:gridCol w:w="411"/>
              <w:gridCol w:w="510"/>
              <w:gridCol w:w="2850"/>
            </w:tblGrid>
            <w:tr w14:paraId="0C82EA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901372">
                  <w:pPr>
                    <w:pStyle w:val="4"/>
                    <w:jc w:val="center"/>
                    <w:rPr>
                      <w:color w:val="000000" w:themeColor="text1"/>
                      <w14:textFill>
                        <w14:solidFill>
                          <w14:schemeClr w14:val="tx1"/>
                        </w14:solidFill>
                      </w14:textFill>
                    </w:rPr>
                  </w:pPr>
                  <w:r>
                    <w:rPr>
                      <w:rFonts w:ascii="仿宋_GB2312" w:hAnsi="仿宋_GB2312" w:eastAsia="仿宋_GB2312" w:cs="仿宋_GB2312"/>
                      <w:b/>
                      <w:color w:val="000000" w:themeColor="text1"/>
                      <w:sz w:val="20"/>
                      <w14:textFill>
                        <w14:solidFill>
                          <w14:schemeClr w14:val="tx1"/>
                        </w14:solidFill>
                      </w14:textFill>
                    </w:rPr>
                    <w:t>序号</w:t>
                  </w:r>
                </w:p>
              </w:tc>
              <w:tc>
                <w:tcPr>
                  <w:tcW w:w="10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D5BB16B">
                  <w:pPr>
                    <w:pStyle w:val="4"/>
                    <w:jc w:val="center"/>
                    <w:rPr>
                      <w:color w:val="000000" w:themeColor="text1"/>
                      <w14:textFill>
                        <w14:solidFill>
                          <w14:schemeClr w14:val="tx1"/>
                        </w14:solidFill>
                      </w14:textFill>
                    </w:rPr>
                  </w:pPr>
                  <w:r>
                    <w:rPr>
                      <w:rFonts w:ascii="仿宋_GB2312" w:hAnsi="仿宋_GB2312" w:eastAsia="仿宋_GB2312" w:cs="仿宋_GB2312"/>
                      <w:b/>
                      <w:color w:val="000000" w:themeColor="text1"/>
                      <w:sz w:val="20"/>
                      <w14:textFill>
                        <w14:solidFill>
                          <w14:schemeClr w14:val="tx1"/>
                        </w14:solidFill>
                      </w14:textFill>
                    </w:rPr>
                    <w:t>产品名称</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24C2BD">
                  <w:pPr>
                    <w:pStyle w:val="4"/>
                    <w:jc w:val="both"/>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w:t>
                  </w:r>
                  <w:r>
                    <w:rPr>
                      <w:rFonts w:ascii="仿宋_GB2312" w:hAnsi="仿宋_GB2312" w:eastAsia="仿宋_GB2312" w:cs="仿宋_GB2312"/>
                      <w:b/>
                      <w:color w:val="000000" w:themeColor="text1"/>
                      <w:sz w:val="20"/>
                      <w14:textFill>
                        <w14:solidFill>
                          <w14:schemeClr w14:val="tx1"/>
                        </w14:solidFill>
                      </w14:textFill>
                    </w:rPr>
                    <w:t>规格（±5mm）</w:t>
                  </w:r>
                </w:p>
              </w:tc>
              <w:tc>
                <w:tcPr>
                  <w:tcW w:w="42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43FD94">
                  <w:pPr>
                    <w:pStyle w:val="4"/>
                    <w:jc w:val="center"/>
                    <w:rPr>
                      <w:color w:val="000000" w:themeColor="text1"/>
                      <w14:textFill>
                        <w14:solidFill>
                          <w14:schemeClr w14:val="tx1"/>
                        </w14:solidFill>
                      </w14:textFill>
                    </w:rPr>
                  </w:pPr>
                  <w:r>
                    <w:rPr>
                      <w:rFonts w:ascii="仿宋_GB2312" w:hAnsi="仿宋_GB2312" w:eastAsia="仿宋_GB2312" w:cs="仿宋_GB2312"/>
                      <w:b/>
                      <w:color w:val="000000" w:themeColor="text1"/>
                      <w:sz w:val="20"/>
                      <w14:textFill>
                        <w14:solidFill>
                          <w14:schemeClr w14:val="tx1"/>
                        </w14:solidFill>
                      </w14:textFill>
                    </w:rPr>
                    <w:t>单位</w:t>
                  </w:r>
                </w:p>
              </w:tc>
              <w:tc>
                <w:tcPr>
                  <w:tcW w:w="4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AA82C6">
                  <w:pPr>
                    <w:pStyle w:val="4"/>
                    <w:jc w:val="center"/>
                    <w:rPr>
                      <w:color w:val="000000" w:themeColor="text1"/>
                      <w14:textFill>
                        <w14:solidFill>
                          <w14:schemeClr w14:val="tx1"/>
                        </w14:solidFill>
                      </w14:textFill>
                    </w:rPr>
                  </w:pPr>
                  <w:r>
                    <w:rPr>
                      <w:rFonts w:ascii="仿宋_GB2312" w:hAnsi="仿宋_GB2312" w:eastAsia="仿宋_GB2312" w:cs="仿宋_GB2312"/>
                      <w:b/>
                      <w:color w:val="000000" w:themeColor="text1"/>
                      <w:sz w:val="20"/>
                      <w14:textFill>
                        <w14:solidFill>
                          <w14:schemeClr w14:val="tx1"/>
                        </w14:solidFill>
                      </w14:textFill>
                    </w:rPr>
                    <w:t>数量</w:t>
                  </w:r>
                </w:p>
              </w:tc>
              <w:tc>
                <w:tcPr>
                  <w:tcW w:w="251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77913F">
                  <w:pPr>
                    <w:pStyle w:val="4"/>
                    <w:jc w:val="center"/>
                    <w:rPr>
                      <w:color w:val="000000" w:themeColor="text1"/>
                      <w14:textFill>
                        <w14:solidFill>
                          <w14:schemeClr w14:val="tx1"/>
                        </w14:solidFill>
                      </w14:textFill>
                    </w:rPr>
                  </w:pPr>
                  <w:r>
                    <w:rPr>
                      <w:rFonts w:ascii="仿宋_GB2312" w:hAnsi="仿宋_GB2312" w:eastAsia="仿宋_GB2312" w:cs="仿宋_GB2312"/>
                      <w:b/>
                      <w:color w:val="000000" w:themeColor="text1"/>
                      <w:sz w:val="16"/>
                      <w14:textFill>
                        <w14:solidFill>
                          <w14:schemeClr w14:val="tx1"/>
                        </w14:solidFill>
                      </w14:textFill>
                    </w:rPr>
                    <w:t>技术参数</w:t>
                  </w:r>
                </w:p>
              </w:tc>
            </w:tr>
            <w:tr w14:paraId="7721A4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3FA0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D9B39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餐台导轨1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E7282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1500*292*192</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F3B3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188E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A05D0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1、支架采用≥3.0mm厚的304#不锈钢制作；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2、面板采用25*25*≥1.0mm厚的304#不锈钢圆管制作。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3、规格尺寸（可±10mm）：1500mm*292mm*192mm</w:t>
                  </w:r>
                </w:p>
              </w:tc>
            </w:tr>
            <w:tr w14:paraId="560A3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995A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C393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餐台导轨2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B2B8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1800*292*192</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854C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19F0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BFBE2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1、支架采用≥3.0mm的304#不锈钢制作；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2、面板采用25*25*≥1.0mm厚的304#不锈钢圆管制作。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3、规格尺寸（可±10mm）：1800mm*292mm*192mm</w:t>
                  </w:r>
                </w:p>
              </w:tc>
            </w:tr>
            <w:tr w14:paraId="7C19CB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DC38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A53E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售卖台玻璃罩</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9D97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1800*620*463</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6815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7C5C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CC96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1、玻璃材质为钢化玻璃；</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2、立柱采用≥1.0mm厚的304#不锈钢方管。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3、规格尺寸（可±10mm）：1800mm*620mm*463mm</w:t>
                  </w:r>
                </w:p>
              </w:tc>
            </w:tr>
            <w:tr w14:paraId="3CE8F7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8D9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8FF9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365C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1500*700*800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9B97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2721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FCF9F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1、台面采用304#≥1.2mm厚的304#不锈钢板；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2、侧板、内层板及趟门板采用≥1.0mm厚的304不锈钢板；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4、配备可移动式趟门；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5、加强筋采用304#≥1.0mm厚不锈钢板；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6、柱脚采用304#φ50*≥1.0mm厚不锈钢管。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7、规格尺寸（可±10mm）：1500mm*700mm*800mm</w:t>
                  </w:r>
                </w:p>
              </w:tc>
            </w:tr>
            <w:tr w14:paraId="2C1DB4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D47AF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1935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五格售饭柜</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1C2D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1800*700*800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9558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EF37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3FE16">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1、面板采用304#≥1.2mm不锈钢板；侧板及围板采用304#≥1.0mm厚不锈钢板；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2、选用恒温温度调拨器及304#不锈钢防干烧发热管3根；</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3、功率：220V/≥2KW；</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4、配1/1*5“316#不锈钢份数盘5套（带盖子）。</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5、规格尺寸（可±10mm）：1800mm*700mm*800mm</w:t>
                  </w:r>
                </w:p>
              </w:tc>
            </w:tr>
            <w:tr w14:paraId="29B3D0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8671C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9E80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四层栅格货架1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28FC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1200*500*1550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2F54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AA9A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0CF55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1、整体采用304#不锈钢制作；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2、其中立柱，外框连接架采用38mm*38mm*≥1.0mm厚304#不锈钢方管；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3、内框采用38mm*25mm*≥1.0mm厚的304#不锈钢方管；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4、配备可调节脚，每层承重≥150kg。</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5、规格尺寸（可±10mm）：1200mm*500mm*1550mm</w:t>
                  </w:r>
                </w:p>
              </w:tc>
            </w:tr>
            <w:tr w14:paraId="50A833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33AF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5B20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灭蚊灯</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9AB3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355*105*235</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34BE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73AD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A78D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1、基础参数: 单支灯管，6W，诱捕式，含5张诱捕纸；（适合面积20㎡-30㎡）。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2、独特外观设计，一体化顶设计，LED光源，省电、性能稳定、不烧机，同时，光线柔和不刺眼，不影响睡眠。粘捕式:无需高压电,更安全;灭蚊蝇安静无噪音，同时不会有蚊蝇飞溅。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3、电子启动设计：可承受电压在 200V-240V 范围变动，无电感启动的频闪，稳定性更好、更耐用，不烧灯管不烧机，使用、维护成本低。</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4、规格尺寸：≥355mm*105mm*235mm</w:t>
                  </w:r>
                </w:p>
              </w:tc>
            </w:tr>
            <w:tr w14:paraId="489383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5C65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E7EC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2EA4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1200*600*800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AE4B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8E4E3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1BC00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1、台面采用304#≥1.0mm厚304#不锈钢板；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2、侧板、内层板及趟门板采用304#≥1.0mm厚不锈钢板；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4、配备可移动式趟门；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5、加强筋采用304#≥1.0mm厚不锈钢板；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6、柱脚采用304#φ50*≥1.0mm厚不锈钢管。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7、规格尺寸（可±10mm）：1200mm*600mm*800mm</w:t>
                  </w:r>
                </w:p>
              </w:tc>
            </w:tr>
            <w:tr w14:paraId="6269D4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67564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00B8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631B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1500*600*800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6120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3A1D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084E6">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2、侧板、内层板及趟门板采用304#≥1.0mm厚不锈钢板；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4、配备可移动式趟门；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5、加强筋采用304#≥1.0mm厚不锈钢板；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6、柱脚采用304#φ50*≥1.0mm厚不锈钢管。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7、规格尺寸（可±10mm）：1500mm*600mm*800mm</w:t>
                  </w:r>
                </w:p>
              </w:tc>
            </w:tr>
            <w:tr w14:paraId="725F99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EC23C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D325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开水器带底座</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7094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9KW</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36DB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080CD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2620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1、基础参数：电源:50Hz  380V 3N~；功率：9kw；电流：13.6A；产水量：95L/h；外形尺寸：≥450*400*880（mm）（底座单独计算）；水咀：2个；</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2、额定容量：50L；防护等级: IPX3；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3、进水方式：机械延时进水；</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4、安全要求：缺水防干烧保护；整体发泡；箱体后置安全锁；</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5、材料：外壳采用食品级316#不锈钢雪花无指纹板，厚：0.8mm；内胆：采用食品级316#2B不锈钢板，厚：0.8mm；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6、产品采用316#耐热不锈钢板材，使用无毒、无腐蚀的高强度绝热灌注聚氨酯发泡保温；</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7、产品具有智能机械水控延时进水系统，避免传统即用即进水的生熟混合水，保证饮用百分百开水；</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8、聚氨酯发泡保温，降低元件损耗，减少水电、资源浪费；</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9、产品内胆接外的中间连接件全部采用316#不锈钢的新型工艺，直接高频焊接，杜绝传统工艺密封胶老化漏水危及电器等安全现象，以及二次污染；</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10、加热管采用纯紫铜定制，快速加热，有效杀灭水中有害细菌；</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11、定制纯铜镀络水龙头，与304#不锈钢水座焊接，减少接驳钢件而释放的铅元素；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12、防干烧系统：水位未到达时，微动开关断开，防止加热管干烧，避免元件损坏；</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13、内置手动温控器，适合任何地区使用（任何海拔高度）；</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14、产品后置蒸汽预留口，便于蒸汽排出；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15、规格尺寸：≥450mm*400mm*880mm</w:t>
                  </w:r>
                </w:p>
              </w:tc>
            </w:tr>
            <w:tr w14:paraId="07236B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97434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5EDA4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电热水器</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83995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100L</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EFC4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A10A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316E2">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 xml:space="preserve">1、内胆材质：搪瓷内胆(钢板厚度≥1.5mm)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2、额定容量：≥80L</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3、功率：≥2kw</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4、超温保护：≥93℃</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5、不低于二级能效</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6、额定电压：220VAC/50Hz</w:t>
                  </w:r>
                </w:p>
              </w:tc>
            </w:tr>
            <w:tr w14:paraId="6A687E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457DC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87155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双层工作台带靠背1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9CD99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900*700*800+150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31AB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3EAC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1C53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3、层板采用304#≥1.0mm厚不锈钢板；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4、立柱采用304#φ38*≥1.0mm厚不锈钢圆管。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5、规格尺寸（可±10mm）：900mm*700mm*800mm+150mm</w:t>
                  </w:r>
                </w:p>
              </w:tc>
            </w:tr>
            <w:tr w14:paraId="441EEA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57EC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A51F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绞切肉机</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490B8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620*450*750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B1F4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B0FF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5610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 xml:space="preserve">1、电压：220V,额定频率 : 50Hz；                                                                                                                                                                                                                                                     2、电机功率：≥1.1KW（铜芯电机） 额定转速≥1400r/min；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3、产量（kg/h）：400（片）200（丝）100（陷）；</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4、采用304#≥0.8mm不锈钢外壳。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5、规格尺寸：≥620mm*450mm*750mm</w:t>
                  </w:r>
                </w:p>
              </w:tc>
            </w:tr>
            <w:tr w14:paraId="4FF3B0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F30B4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F5C9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双层工作台带靠背2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174E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1500*700*800+150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F051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5C12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F60D2">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3、层板采用304#≥1.0mm厚不锈钢板；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4、立柱采用304#φ38*≥1.0mm厚不锈钢圆管。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5、规格尺寸（可±10mm）：1500mm*700mm*800mm+150mm</w:t>
                  </w:r>
                </w:p>
              </w:tc>
            </w:tr>
            <w:tr w14:paraId="0119EB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8BE99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6DA5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单星盆水池</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47DA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700*700*800+150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B3E0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BCE6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F180A">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1、面板采用304#≥1.0mm厚不锈钢制作；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2、星盆斗采用304#≥1.0mm不锈钢焊接制作；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3、横通采用304#≥1.0mm厚不锈钢矩管焊接；</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4、采用304#38*38*≥1.0mm厚不锈钢矩管做支撑立柱；</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5、台脚处连接304#不锈钢可调子弹脚，可调节高度。</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6、规格尺寸（可±10mm）：700mm*700mm*800mm+150mm</w:t>
                  </w:r>
                </w:p>
              </w:tc>
            </w:tr>
            <w:tr w14:paraId="03C33A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B2BD7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16</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49560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台式冷热水龙头1</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799A8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冷热水龙头</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95DA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A3CC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7C36A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1、出水口距台面高度：200 mm，总高度：300 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 配 G1/2“ 进水接头；</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3、金属陶瓷阀芯，密封好。</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4、规格尺寸：≥300mm*32mm*240mm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★5、产品其他要求须符合GB25501-2019《水嘴水效限定值及水效等级》要求</w:t>
                  </w:r>
                </w:p>
              </w:tc>
            </w:tr>
            <w:tr w14:paraId="219E92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57EE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17</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3D8C0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双层工作台带靠背3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F718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1200*700*800+150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91250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864A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D81C6">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3、层板采用304#≥1.0mm厚不锈钢板；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4、立柱采用304#φ38*≥1.0mm厚不锈钢圆管。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5、规格尺寸（可±10mm）：1200mm*700mm*800mm+150mm</w:t>
                  </w:r>
                </w:p>
              </w:tc>
            </w:tr>
            <w:tr w14:paraId="62AFD9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E639D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CFE8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刀具双层砧板保洁柜</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BDC3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670*580*1525</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5DA9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1CE8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87ED5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1、容积：340L，摆放刀数量10把，摆放砧板数量5个（直径≤500mm）；功率：≥950W；</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2、烘干：隐藏式发热体，中温热风循环，烘干温度≤60度；</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3、上下双门，全无磁304#≥0.8mm不锈钢箱体，柜门加玻璃透视窗。</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4、规格尺寸：≥670mm*580mm*1525mm</w:t>
                  </w:r>
                </w:p>
              </w:tc>
            </w:tr>
            <w:tr w14:paraId="5C14AA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ADDE5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19</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5F1C1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四层栅格货架2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745F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1200*700*1550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CB67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DB50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3144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1、整体采用304#不锈钢制作；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2、其中立柱，外框连接架采用304#38mm*38mm*≥1.0mm厚不锈钢方管；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3、内框采用304#38mm*25mm*≥1.0mm厚不锈钢方管；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4、配可调节脚，每层承重≥150kg。</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5、规格尺寸（可±10mm）：1200mm*700mm*1550mm</w:t>
                  </w:r>
                </w:p>
              </w:tc>
            </w:tr>
            <w:tr w14:paraId="66841E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2DC7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20</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67364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商用单门留样柜</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607C0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530*480*1380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C3D5C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F9B5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8AE9E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1、功率：125W；电压：220V；容量：≥138L；控制方式：电子按键；制冷剂：R600a；温度区间：0°~10°；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2、箱体材质：钢板喷涂；加厚发泡层，双层真空玻璃门，LED灯，带双安全锁，电子温控显示，上下可调节层架。</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3、规格尺寸：≥530mm*480mm*1380mm</w:t>
                  </w:r>
                </w:p>
              </w:tc>
            </w:tr>
            <w:tr w14:paraId="0C5E52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91B14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E346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热风循环高温食具消毒柜</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D439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1150*500*1800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F9798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BC9E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0E61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1、规格尺寸：≥1310*650*1950mm；容积：≥800L；3KW≤功率≤5KW（220~或者380V 3N~）；</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双门，全304#≥0.8mm不锈钢外壳（后背板、底板除外），整体发泡；无指纹哑拉丝全无磁304#不锈钢箱体；加深加粗全无磁导轨式四层快餐盘专用层架；隐藏式发热体，热风循环，保证柜体内部温度均匀，精确控温，防止过热或者过压；子弹头柜脚；带独立温度显示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电热方式高温消毒，120℃以上保持时间≥15分钟，测试结果柜内最高温度可达147.5℃以上，对大肠杆菌的杀灭对数值＞5，对脊髓灰质炎病毒的平均灭活对数值＞4.5，是合格的二星级消毒柜；符合GB17988-2008《食具消毒柜安全和卫生要求》、《消毒技术规范》2002年版的相关要求；提供第三方检测机构出具的至少带CMA标识的检验（测）报告佐证本条参数；</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▲4、产品符合：①、箱体、层架等有可能与餐具接触的材料达到食品级，取得食品接触产品安全（或者卫生）认证证书（附试验报告）；②、产品符合（包括但不限于）：依据GB/T 17626.2-2018、GB/T 17626.3-2023、GB/T 17626.4-2018、GB/T 17626.5-2019、GB/T 17626.6-2017、GB/T 17626.12-2023等标准进行电磁兼容检测，检测结果合格；按GB/T2423.3-2016标准进行持续时间为24h的恒定湿热试验，温度（40±2）℃，相对湿度（93±3）％RH，试验结束后样品应能正常工作；按GB/T2423.4-2008 标准进行（12h+12h 循环）的交变湿热试验，试验结束后样品应能正常工作；提供第三方检测机构出具的至少带CMA标识的检验（测）报告佐证本条参数；</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符合《国家卫生健康委办公厅关于全国消毒产品网上备案信息服务平台上线的通知》（国卫办监督函〔2018〕864号）要求，提供《消毒产品卫生安全评价报告》且备案信息能够在全国消毒产品网上备案信息服务平台(https://credit.jdzx.net.cn/xdcp)上查询验证；</w:t>
                  </w:r>
                </w:p>
              </w:tc>
            </w:tr>
            <w:tr w14:paraId="15907E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1BF3D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713D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四层平板货架</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773D4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1100*500*1550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E9C2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C6C2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6CF1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1、整体采用304#不锈钢制作；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2、其中立柱采用38mm*38mm*≥1.0mm厚的304#不锈钢矩管；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3、层板采用≥1.0mm厚的304#不锈钢磨砂板，下加撑板及加强筋；</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4、配可调节脚，每层承重≥150kg。</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5、规格尺寸（可±10mm）：1100mm*500mm*1550mm</w:t>
                  </w:r>
                </w:p>
              </w:tc>
            </w:tr>
            <w:tr w14:paraId="0664A7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B234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A5C7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双星盆水池</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07BA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1500*700*800+150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9AEB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2FE7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09DCF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1、面板采用304#≥1.0mm厚不锈钢制作；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2、星盆斗采用304#≥1.0mm不锈钢焊接制作；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3、横通采用304#≥1.0mm厚不锈钢矩管焊接；</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4、采用304#38*38*≥1.0mm厚不锈钢矩管做支撑立柱；</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5、台脚处连接304#不锈钢可调子弹脚，可调节高度。</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6、规格尺寸（可±10mm）：1500mm*700mm*800mm+150mm</w:t>
                  </w:r>
                </w:p>
              </w:tc>
            </w:tr>
            <w:tr w14:paraId="404BB5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13E2B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7A62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台式冷热水龙头2</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39B13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冷热水龙头</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136E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F0C1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E4D14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 出水口距台面高度：200 mm，总高度：300 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 配 G1/2“ 进水接头；</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3、金属陶瓷阀芯，密封好。</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4、规格尺寸：≥300mm*32mm*240mm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★5、产品其他要求须符合GB25501-2019《水嘴水效限定值及水效等级》要求</w:t>
                  </w:r>
                </w:p>
              </w:tc>
            </w:tr>
            <w:tr w14:paraId="4D5D8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C83A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25</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4E65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大单星盆水池</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8D9B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900*700*800+150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2C07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36D6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1EA1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1、面板采用304#≥1.0mm厚不锈钢制作；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2、星盆斗采用304#≥1.0mm不锈钢焊接制作；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3、横通采用304#≥1.0mm厚不锈钢矩管焊接；</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4、采用304#38*38*≥1.0mm厚不锈钢矩管做支撑立柱；</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5、台脚处连接304#不锈钢可调子弹脚，可调节高度。</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6、规格尺寸（可±10mm）：900mm*700mm*800mm+150mm</w:t>
                  </w:r>
                </w:p>
              </w:tc>
            </w:tr>
            <w:tr w14:paraId="21A6E7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158F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26</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1521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台式冷热水龙头3</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C9FBE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冷热水龙头</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9E76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3584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F81142">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 出水口距台面高度：200 mm，总高度：300 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 配 G1/2“ 进水接头；</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3、金属陶瓷阀芯，密封好。</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4、规格尺寸：≥300mm*32mm*240mm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★5、产品其他要求须符合GB25501-2019《水嘴水效限定值及水效等级》要求</w:t>
                  </w:r>
                </w:p>
              </w:tc>
            </w:tr>
            <w:tr w14:paraId="59BBDE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DE847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27</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1063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双层工作台</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85179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1500*800*800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4B12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8E1CB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E023B">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3、层板采用304#≥1.0mm厚不锈钢板；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4、立柱采用304#φ38*≥1.0mm厚不锈钢圆管。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5、规格尺寸（可±10mm）：1500mm*800mm*800mm</w:t>
                  </w:r>
                </w:p>
              </w:tc>
            </w:tr>
            <w:tr w14:paraId="120F42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7EDEC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28</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B5E4B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单通移门荷台柜4</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4C7EB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1500*800*800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D3CF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9286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E1DE2">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2、侧板、内层板及趟门板采用304#≥1.0mm厚不锈钢板；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4、配备可移动式趟门；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5、加强筋采用304#≥1.0mm厚不锈钢板；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6、柱脚采用304#φ50*≥1.0mm厚不锈钢管。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7、规格尺寸（可±10mm）：1500mm*800mm*800mm</w:t>
                  </w:r>
                </w:p>
              </w:tc>
            </w:tr>
            <w:tr w14:paraId="1AD2B9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0DF5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29</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A193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商用冷柜(四门直冷双机双温)</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36D4D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1200*700*1950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E2294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2DEF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A5EB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 xml:space="preserve">1、制冷方式：直冷；尺寸（长*宽*高）：≥1200*700*1950（mm）；温控类型：机械\数显；冷藏温度（指可设定温度）：+10℃～-1℃；冷冻温度（指可设定温度）：-10℃～-18℃；电源220V/50Hz，功率：≥300W；门数：实体四门；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2、产品整机材质达到食品级；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3、在实验室零上38度的极端温度环境下也能正常制冷；稳定的制冷系统；使用环保冷媒，采用节能压缩机，更节能；箱体整体发泡，保温效果更好；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▲4、产品符合（包括但不限于）：依据GB/T 17626.2-2018、GB/T 17626.3-2023、GB/T 17626.4-2018、GB/T 17626.5-2019、GB/T 17626.6-2017、GB/T 17626.11-2023、GB/T 17626.12-2023等标准进行电磁兼容检测，检测结果合格；按GB/T2423.3-2016标准进行持续时间为24h的恒定湿热试验，温度（40±2）℃，相对湿度（93±3）％RH，试验结束后样品应能正常工作；按GB/T2423.4-2008 标准进行（12h+12h 循环）的交变湿热试验，试验结束后样品应能正常工作；提供第三方检测机构出具的至少带CMA标识的检验（测）报告佐证本条参数；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5、净容积：≥860L；双机双温，冷冻室温度等级不低于L3级（-12℃～-15℃）、冷藏室温度等级不低于H2级（+10℃～-1℃）标准下，总能量消耗：≤4.18kwh/24h；</w:t>
                  </w:r>
                </w:p>
              </w:tc>
            </w:tr>
            <w:tr w14:paraId="24AAFA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F68A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30</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1C2D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长形洗碗池</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9D0A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1800*500*800+150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21E1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562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C5AB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1、面板采用304#≥1.0mm厚不锈钢制作；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2、星盆斗采用304#≥1.0mm不锈钢焊接制作；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3、横通采用304#≥1.0mm厚不锈钢矩管焊接；</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4、采用304#38*38*≥1.0mm厚不锈钢矩管做支撑立柱；</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5、台脚处连接304#不锈钢可调子弹脚，可调节高度。</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6、规格尺寸（可±10mm）：1800mm*500mm*800mm+150mm</w:t>
                  </w:r>
                </w:p>
              </w:tc>
            </w:tr>
            <w:tr w14:paraId="6C99FA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63C0C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7CAD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四头煲仔炉</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930C3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900*900*800+150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CC0A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82B1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5D67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1、规格尺寸：≥800mm*950mm*800mm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2、炉体外壳：采用304#不锈钢板材制作，板材厚度≥0.98mm；台面采用凸型成型工艺，防溢设计；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3、炉体骨架：采用全304#不锈钢折弯成型，全不锈钢铆钉铆接工艺，无焊接，不破坏不锈钢材料表面防腐层；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4、立柱：采用304#Ф50≥1.0mm不锈钢管，配304#不锈钢子弹脚进行调节；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5、炉盘：采用球墨圆角炉盘，耐高温不易变形</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6、燃烧器：球墨铸铁材质八角立体燃烧炉头；采用220V脉冲式电点火器，额定点火功率13W，提高点火效率，无需更换电池及避免点火功率小不易点火现象；额定热负荷≥5kW/眼。</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★7、投标人所投产品须符合GB 35848-2024《商用燃气燃烧器具》要求和《强制性产品认证实施规则燃气燃烧器具》(CNCA-C24-01:2024）要求</w:t>
                  </w:r>
                </w:p>
              </w:tc>
            </w:tr>
            <w:tr w14:paraId="050EFF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45DCD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AD45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油烟净化一体机</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DEB5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L*1250*1000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9AD9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3F38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5.3</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C969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1、外壳、面板材质304#厚度≥1.0mm不锈钢板制作；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2、功率/电压：≥1kw/380V；净化率：98%；操控方式：感应式和一键启动式；</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3、规格尺寸：≥L*1250*1000（mm）；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依据（包括但不限于）GB/T25915.1-2021、GB/T25915.7-2010、GB/T25915.9-2018的检验标准，设备洁净度粒径试验合格，检测结果为SCP4级。提供第三方检测机构出具的至少具有CMA或CNAS认证资质的检测报告复印件并加盖供应商鲜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▲5、依据（包括但不限于）GB/T23717.1-2009，GB/T5095.2502-2021， GB/T35758-2017的检验标准，试验后样机的紧固件及机械结构无损伤、松动、元器件脱落等现象，通电工作正常。根据GB/T 2423.5-2019冲击试验方法，测试产品外观、功能及特性符合A级要求。根据GB/T 2423.17-2008第2部分:盐雾试验方法，测试条件满足：盐雾浓度5%、测试溶液PH值6.7(23℃)、盐雾时间120小时，测试后经检査，样品漆膜无气泡、生锈、脱落、点蚀、裂纹等现象。提供第三方检测机构出具的至少具有CMA或CNAS认证资质的检测报告复印件并加盖供应商鲜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6、规格尺寸（可±100mm）：5300mm*1250mm*1000mm</w:t>
                  </w:r>
                </w:p>
              </w:tc>
            </w:tr>
            <w:tr w14:paraId="22D04F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488A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85A90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米面架</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FC73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1000*600*200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D97B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4961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B94A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1、整体采用304#不锈钢制作；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2、其中立柱，外框连接架采用38mm*38mm*≥1.0mm厚的304#不锈钢方管；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3、内框采用38mm*25mm*≥1.0mm厚的304#不锈钢方管；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4、配可调节脚，每层承重≥150kg。</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5、规格尺寸（可±10mm）：1000mm*600mm*200mm</w:t>
                  </w:r>
                </w:p>
              </w:tc>
            </w:tr>
            <w:tr w14:paraId="4E3939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35BE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31C9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单门蒸饭车</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AFE0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12盘</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A3A8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9521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A905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1、功率/电压：12KW/380V；</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2、外壳采用全304#≥0.8mm不锈钢拉丝板制作，高压加厚整体发泡层，满足食品接触产品安全标准；</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3、蒸饭柜电热管为日用管状电热元件，采用耐高温、耐腐蚀的316不锈钢材质制作；</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4、配316#不锈钢蒸饭盘12个。</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5、规格尺寸：≥675mm*535mm*1480mm</w:t>
                  </w:r>
                </w:p>
              </w:tc>
            </w:tr>
            <w:tr w14:paraId="622BE4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A985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35</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74CB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炉拼台</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4EC7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300*1150*800+450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15017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FD8B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C348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1、台面采用304#≥1.0mm厚不锈钢板；</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2、内衬20mm厚实木板用于减震、消音；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3、立柱采用304#38*≥1.0mm厚不锈钢圆管。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4、规格尺寸（可±10mm）：300mm*1150mm*800mm+450mm</w:t>
                  </w:r>
                </w:p>
              </w:tc>
            </w:tr>
            <w:tr w14:paraId="209356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B73B7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36</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6EA5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双头单尾小炒灶</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2B066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1800*1150*800+450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5FF1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80581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AF36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1、规格尺寸：≥1800mm*1150mm*800mm+400mm/100mm；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2、灶体外壳：采用304#不锈钢板材制作，灶面板板材厚度≥1.1mm，面板内填隔热材料，侧板、围板等装饰板板材厚度均≥0.98mm；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3、骨架、立柱：采用热镀锌材质折弯成型，全304#不锈钢铆钉拉铆组装，无焊接，不破坏热镀锌材料表面防腐层。承重立柱采用管径≥48mm钢管外套管径≥49mm304#不锈钢管制作，配套全钢可调子弹脚；</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4、炉膛：采用球墨铸铁材质无缝拉伸一体成型，炉膛底衬耐火泥隔热保护；</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5、炉头：球墨铸铁材质，额定热负荷≥35kW*2 ，智能电子点火+熄火保护系统，采用宽压自适应技术，点火不受气压影响，意外熄火0.5秒自动断气；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6、额定电压：220V，风机功率：≤180W*2。</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7、标配摇摆龙头1个，304不锈钢温锅1口。</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★8、投标人所投产品须符合GB 35848-2024《商用燃气燃烧器具》要求和《强制性产品认证实施规则燃气燃烧器具》(CNCA-C24-01:2024）要求</w:t>
                  </w:r>
                </w:p>
              </w:tc>
            </w:tr>
            <w:tr w14:paraId="7556F9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012CD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37</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A4A1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单头大锅灶</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0623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1150*1150*800+450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6118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台</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5514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9CD0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1、规格尺寸：≥1250mm*1250mm*800mm+400mm/100mm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2、灶体外壳：采用304#不锈钢板材制作，灶面板板材厚度≥1.1mm，面板内填隔热材料，侧板、围板等装饰板板材厚度均≥0.98mm；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3、骨架、立柱：采用热镀锌材质折弯成型，全304#不锈钢铆钉拉铆组装，无焊接，不破坏热镀锌材料表面防腐层。承重立柱采用管径≥48mm钢管外套管径≥49mm304#不锈钢管制作，配套全钢可调子弹脚；</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4、炉膛：双层金属膛无缝拉伸一体成型，夹层内填隔热保温材料，组成三层保温聚热耐用炉膛，炉膛底衬耐火泥隔热保护；</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 xml:space="preserve">5、炉头：球墨铸铁材质，中心火种设计（点火快、燃烧稳、抗风强），搭配环形立体供气系统，火力均匀分布，采用宽压自适应技术，点火不受气压影响，意外熄火0.5秒自动断气；额定热负荷≥50kW；  </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6、风机：额定电压：220V，风机功率：≤180W；</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7、烟囱底座：采用内外304不锈钢内填保温材料的三层结构设计，板材厚度1.5mm，激光切割折弯成型，搭配冷却口和排水口，快速散热、水汽自动排出；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8、观火孔：采用内置观火镜，面板漏空观火孔，火焰不外窜，隔绝高温，观火更安全。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9、标配反边铸铁大炒锅1口。</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★10、投标人所投产品须符合GB 35848-2024《商用燃气燃烧器具》要求和《强制性产品认证实施规则燃气燃烧器具》(CNCA-C24-01:2024）要求</w:t>
                  </w:r>
                </w:p>
              </w:tc>
            </w:tr>
            <w:tr w14:paraId="3B2A14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D9A9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38</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6C9F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风管</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993E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定制</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3055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m²</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4286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80</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1634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1、采用镀锌板制作，≥1.0mm厚；</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2、双面压筋加强处理；</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3、机械接驳，烟管内连接处用防漏、耐温密封胶密封。</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4、规格根据现场定制</w:t>
                  </w:r>
                </w:p>
              </w:tc>
            </w:tr>
            <w:tr w14:paraId="50A440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1AB4D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39</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E60A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防火阀</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6193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匹配风管</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48B6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3DF07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10B3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1、碳钢制作，表面刷防锈漆处理；</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2、有效隔断火势与烟气向风管蔓延的通路，确保安全性。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3、机械式控制。</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4、规格根据现场定制</w:t>
                  </w:r>
                </w:p>
              </w:tc>
            </w:tr>
            <w:tr w14:paraId="6F2EA4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B00D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331A9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餐桌1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6E31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1200*600*750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B167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5612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EE7F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★1、台面厚度≥25mm，钢架壁厚≥1.5mm；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脚架：采用钢架：钢架的产品外观检测合格，可接触的棱角与棱倒圆半径不应小于2mm，金属喷涂层硬度≥H，冲击强度应无剥落、裂纹、皱纹，涂层厚度60μm-130μm。下屈服强度≥275MPa，抗拉强度410-540MPa，断后伸长率≥20%。中性盐雾试验（NSS）连续喷雾 不少于120h，性能评级（保护评级Rp/外观评级RA）达到10级。(投标时需提供具有CMA标识的第三方检测机构出具检测报告并加盖公章）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表面材质：采用塑粉：塑粉的铅笔硬度（内聚破坏中擦伤）≥H，附着力（干附着力）≤1级，杯突试验≥4mm，弯曲试验≤4mm，耐冲击性（正向冲击）≥50cm检测合格，耐碱性（168h）无异常，耐酸性（240h）无异常，耐磨性（750g/500r）≤50mg，筛余物（125μm）全部通过，耐沸水性2h无异常。中性盐雾试验（NSS）连续喷雾不少于120h，起泡等级达到0级，生锈等级达到Ri0级，开裂等级达到0级，剥落等级达到0级，划线周边的剥离和腐蚀达到1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★8、成品符合GB/T 24821-2024《餐桌餐椅》要求。</w:t>
                  </w:r>
                </w:p>
              </w:tc>
            </w:tr>
            <w:tr w14:paraId="129DE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116C6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E7C4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餐桌2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17CD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1200*400*750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E6DB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F880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10</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8255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★1、台面厚度≥25mm，钢架壁厚≥1.5mm；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脚架：采用钢架：钢架的产品外观检测合格，可接触的棱角与棱倒圆半径不应小于2mm，金属喷涂层硬度≥H，冲击强度应无剥落、裂纹、皱纹，涂层厚度60μm-130μm。下屈服强度≥275MPa，抗拉强度410-540MPa，断后伸长率≥20%。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表面材质：采用塑粉：塑粉的铅笔硬度（内聚破坏中擦伤）≥H，附着力（干附着力）≤1级，杯突试验≥4mm，弯曲试验≤4mm，耐冲击性（正向冲击）≥50cm检测合格，耐碱性（168h）无异常，耐酸性（240h）无异常，耐磨性（750g/500r）≤50mg，筛余物（125μm）全部通过，耐沸水性2h无异常。中性盐雾试验（NSS）连续喷雾不少于120h，起泡等级达到0级，生锈等级达到Ri0级，开裂等级达到0级，剥落等级达到0级，划线周边的剥离和腐蚀达到1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★8、成品符合GB/T 24821-2024《餐桌餐椅》要求。</w:t>
                  </w:r>
                </w:p>
              </w:tc>
            </w:tr>
            <w:tr w14:paraId="125FBA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210A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1204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餐椅1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AE3F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430*500*820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A75F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A66C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76</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5146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★1、椅背：共计不少于21条透气孔，背宽445mm（±5mm），背高250mm（±5mm）。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2、椅座：采用全新进口PP（聚炳稀+30%玻璃纤维)，座板尺寸宽425mm（±5mm）深425mm（±5mm），承重≥ 200kg。椅座贴合臂部曲线，缓解压力。</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3、椅架：采用全新PP（聚炳稀+30%玻璃纤维），加粗加厚椅架，不易折断，更有立体感。</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4、脚垫：采用尼龙半透明脚垫，具有静、耐磨、防滑作用。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★5、成品符合GB/T 24821-2024《餐桌餐椅》要求。</w:t>
                  </w:r>
                </w:p>
              </w:tc>
            </w:tr>
            <w:tr w14:paraId="197526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30F43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8A22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餐桌3</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D97B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φ1600*750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16B6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BF9D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2F6F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★1、台面厚度≥50mm；带人造石转盘；</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中密度纤维板：中密度纤维板的氨释放量（干燥器法）未检出，五氯苯酚含量未检出，密度0.65-0.80g/cm³，含水率3.0-13.0%。静曲强度≥23MPa，弹性模量≥1800MPa，吸水厚度膨胀率≤9%，表面胶合强度≥0.9MPa，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★3、中密度纤维板的甲醛释放量≤0.025mg/m³；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▲4、木皮：采用胡桃木皮：胡桃木皮的单板含水率6-14%。(投标时需提供具有CMA标识的第三方检测机构出具检测报告并加盖公章）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5、胶粘剂：胶粘剂的外观乳白色，无可视粗颗粒或异物，PH值3-7，黏度≥0.5Pa·s，不挥发物≥35%，压缩剪切强度（湿强度）≥3MPa、压缩剪切强度（干强度）≥10MPa，木材污染性检测合格，最低成膜温度≤2℃。</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转盘：采用人造石：人岩板的外观要求检测合格，耐液性：10%碳酸钠溶液，24h；10%乙酸溶液,24h，应不低于3级；耐湿热：70℃,20min，应不低于3级；耐干热：70℃,20min，应不低于3级；附着力：涂层交叉切割法，应不低于3级；耐磨性1000r，应不低于3级；抗冲击冲击高度50mm，应不低于3级；耐污染性：少许试剂,放置16h。耐污染总和不大于64,最大污迹深度不大于0.12 mm。抑菌率（金黄色葡萄球菌）≥90%。(投标时需提供具有CMA标识的第三方检测机构出具检测报告并加盖公章）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★9、成品符合GB/T 24821-2024《餐桌餐椅》要求。</w:t>
                  </w:r>
                </w:p>
              </w:tc>
            </w:tr>
            <w:tr w14:paraId="1F1142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A131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6DF7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餐椅2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3EDD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常规</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D8BB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F885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20</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380F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1、面料：采用超纤皮：超纤皮的可萃取重金属（锑 Sb、砷 As、铅Pb、镉Cd、铬Cr、铬Cr（六价）、钴Co、铜Cu、镍Ni、汞Hg）未检出，可裂解出致癌芳香胺的偶氮染料未检出，pH4.0-7.5，色牢度（耐水、耐酸汗液、耐碱汗液）≥3-4级、色牢度（耐干摩擦）≥4级，无异常气味。耐折牢度（50000次）无裂纹，涂层粘着牢度≥2.5N/10mm，撕裂力≥20N，游离甲醛未检出，挥发性有机物VOC未检出。富马酸二甲酯不应检出。纺织品和皮革中五氯苯酚未检出。耐磨性（CS-10，500g，500r）无明显损伤、剥落。表观密度≤0.7g/cm³，二甲基甲酰胺不应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座板、椅背支撑板：采用衬板：衬板的外观要求检测合格。含水率5-16%，胶合强度≥0.7MPa，静曲强度（顺纹）≥22MPa，静曲强度（横纹）≥20MPa，弹性模量（顺纹）≥5000MPa，弹性模量（横纹）≥4000MPa。五氯苯酚含量未检出，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4、脚架：采用橡胶木：橡胶木的木材含水率8%-12%、木材气干密度≥0.60g/cm³、木材绝干密度≥0.50g/cm³、木材抗弯强度≥95MPa、木材抗弯弹性模量≥10000MPa。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★6、成品符合GB/T 24821-2024《餐桌餐椅》要求。</w:t>
                  </w:r>
                </w:p>
              </w:tc>
            </w:tr>
            <w:tr w14:paraId="6065C8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D616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45</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D3EF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配餐柜</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90BD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1200*400*850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C1654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543A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2E74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1、框架：采用橡胶木：橡胶木的木材含水率8%-12%、木材气干密度≥0.60g/cm³、木材绝干密度≥0.50g/cm³、木材抗弯强度≥95MPa、木材抗弯弹性模量≥10000MPa。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门铰：采用缓冲铰链：缓冲铰链的电镀件外观检测合格，金属电镀层抗盐雾检测合格。耐腐蚀检测合格，过载（垂直静载荷、水平静载荷）检测合格，功能（耐久性、水平静载荷、垂直静载荷操作力、下沉量）检测合格。中性盐雾试验（NSS）连续喷雾不少于24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★4、成品符合GB/T 3324-2024《木家具通用技术条件》要求。</w:t>
                  </w:r>
                </w:p>
              </w:tc>
            </w:tr>
            <w:tr w14:paraId="752452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C34E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46</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1E9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休闲卡座</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A7A5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1450*800*900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1DD7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4EC8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9F70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1、面料：采用超纤皮：超纤皮的可萃取重金属（锑 Sb、砷 As、铅Pb、镉Cd、铬Cr、铬Cr（六价）、钴Co、铜Cu、镍Ni、汞Hg）未检出，可裂解出致癌芳香胺的偶氮染料未检出，pH4.0-7.5，色牢度（耐水、耐酸汗液、耐碱汗液）≥3-4级、色牢度（耐干摩擦）≥4级，无异常气味。耐折牢度（50000次）无裂纹，涂层粘着牢度≥2.5N/10mm，撕裂力≥20N，游离甲醛未检出，挥发性有机物VOC未检出。富马酸二甲酯不应检出。纺织品和皮革中五氯苯酚未检出。耐磨性（CS-10，500g，500r）无明显损伤、剥落。表观密度≤0.7g/cm³，二甲基甲酰胺不应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3、蛇形弹簧：蛇形弹簧的外观要求检测合格。中性盐雾试验（NSS）法≥24h，耐腐蚀试验等级达到10级。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4、框架：采用橡胶木：橡胶木的木材含水率8%-12%、木材气干密度≥0.60g/cm³、木材绝干密度≥0.50g/cm³、木材抗弯强度≥95MPa、木材抗弯弹性模量≥10000MPa。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★6、成品符合QB/T 1952.1-2023《软体家具 沙发》要求。</w:t>
                  </w:r>
                </w:p>
              </w:tc>
            </w:tr>
            <w:tr w14:paraId="13541B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2491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47</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C296E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洽谈区设施1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D25C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1200*600*450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BE4C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B1CA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4633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★1、台面厚度≥25mm；四方带挡条；</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2、基材：采用橡胶木：橡胶木的木材含水率8%-12%、木材气干密度≥0.60g/cm³、木材绝干密度≥0.50g/cm³、木材抗弯强度≥95MPa、木材抗弯弹性模量≥10000MPa。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3、木皮：采用胡桃木皮：胡桃木皮的单板含水率6-14%。</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4、胶粘剂：胶粘剂的外观乳白色，无可视粗颗粒或异物，PH值3-7，黏度≥0.5Pa·s，不挥发物≥35%，压缩剪切强度（湿强度）≥3MPa、压缩剪切强度（干强度）≥10MPa，木材污染性检测合格，最低成膜温度≤2℃。</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★6、成品符合GB/T 3324-2024《木家具通用技术条件》要求。</w:t>
                  </w:r>
                </w:p>
              </w:tc>
            </w:tr>
            <w:tr w14:paraId="1B5BA2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BCEBF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48</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3248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主席台</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C312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1400*600*750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13DF1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38AF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24BF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★1、台面厚度≥25mm，其余板材厚度≥16mm；桌面前方带挡条；桌面开过线孔；</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中密度纤维板：中密度纤维板的氨释放量（干燥器法）未检出，五氯苯酚含量未检出，密度0.65-0.80g/cm³，含水率3.0-13.0%。静曲强度≥23MPa，弹性模量≥1800MPa，吸水厚度膨胀率≤9%，表面胶合强度≥0.9MPa，挥发性有机化合物释放浓度（7d）（苯、甲苯、二甲苯、总挥发性有机化合物（TVOC））未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3、中密度纤维板的甲醛释放量≤0.025mg/m³；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4、木皮：采用胡桃木皮：胡桃木皮的单板含水率6-14%。</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5、胶粘剂：胶粘剂的外观乳白色，无可视粗颗粒或异物，PH值3-7，黏度≥0.5Pa·s，不挥发物≥35%，压缩剪切强度（湿强度）≥3MPa、压缩剪切强度（干强度）≥10MPa，木材污染性检测合格，最低成膜温度≤2℃。</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★8、成品符合GB/T 3324-2024《木家具通用技术条件》要求。</w:t>
                  </w:r>
                </w:p>
              </w:tc>
            </w:tr>
            <w:tr w14:paraId="538382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6953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49</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97AB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主席椅</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E4D0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620*700*960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D5C1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DEBD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F1EE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1、面料：采用超纤皮：超纤皮的可萃取重金属（锑 Sb、砷 As、铅Pb、镉Cd、铬Cr、铬Cr（六价）、钴Co、铜Cu、镍Ni、汞Hg）未检出，可裂解出致癌芳香胺的偶氮染料未检出，pH4.0-7.5，色牢度（耐水、耐酸汗液、耐碱汗液）≥3-4级、色牢度（耐干摩擦）≥4级，无异常气味。耐折牢度（50000次）无裂纹，涂层粘着牢度≥2.5N/10mm，撕裂力≥20N，游离甲醛未检出，挥发性有机物VOC未检出。富马酸二甲酯不应检出。纺织品和皮革中五氯苯酚未检出。耐磨性（CS-10，500g，500r）无明显损伤、剥落。表观密度≤0.7g/cm³，二甲基甲酰胺不应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座板：采用衬板：衬板的外观要求检测合格。含水率5-16%，胶合强度≥0.7MPa，静曲强度（顺纹）≥22MPa，静曲强度（横纹）≥20MPa，弹性模量（顺纹）≥5000MPa，弹性模量（横纹）≥4000MPa。五氯苯酚含量未检出，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4、框架：采用橡胶木：橡胶木的木材含水率8%-12%、木材气干密度≥0.60g/cm³、木材绝干密度≥0.50g/cm³、木材抗弯强度≥95MPa、木材抗弯弹性模量≥10000MPa。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★6、成品符合GB/T 3324-2024《木家具通用技术条件》要求。</w:t>
                  </w:r>
                </w:p>
              </w:tc>
            </w:tr>
            <w:tr w14:paraId="2DA5F0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0BA8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50</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E93BA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接待工位桌</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51EB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1200*400*750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EBA5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67DF9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28</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6511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★1、台面厚度≥25mm，其余板材厚度≥16mm；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中密度纤维板：中密度纤维板的氨释放量（干燥器法）未检出，五氯苯酚含量未检出，密度0.65-0.80g/cm³，含水率3.0-13.0%。静曲强度≥23MPa，弹性模量≥1800MPa，吸水厚度膨胀率≤9%，表面胶合强度≥0.9MPa，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★3、中密度纤维板的甲醛释放量≤0.025mg/m³；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4、木皮：采用胡桃木皮：胡桃木皮的单板含水率6-14%。</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胶粘剂：胶粘剂的外观乳白色，无可视粗颗粒或异物，PH值3-7，黏度≥0.5Pa·s，不挥发物≥35%，压缩剪切强度（湿强度）≥3MPa、压缩剪切强度（干强度）≥10MPa，木材污染性检测合格，最低成膜温度≤2℃。(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▲6、油漆：采用水性漆：水性漆的耐冻融性不变质，硬度（擦伤）≥B，附着力(划格间距2mm)≤1级，耐水性（24h）无异常，耐碱性(50g/L NaHCO3，1h)无异常，耐醇性（50%，1h)无异常，耐污染性(1h)无异常，耐干热性[(70士2)℃，15min]≤2级。(投标时需提供具有CMA标识的第三方检测机构出具检测报告并加盖公章）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★8、成品符合GB/T 3324-2024《木家具通用技术条件》要求。</w:t>
                  </w:r>
                </w:p>
              </w:tc>
            </w:tr>
            <w:tr w14:paraId="1AEE07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C3307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1A537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接待工位椅1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35A2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460*520*920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72A30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8D99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56</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097F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▲1、面料：采用超纤皮：超纤皮的可萃取重金属（锑 Sb、砷 As、铅Pb、镉Cd、铬Cr、铬Cr（六价）、钴Co、铜Cu、镍Ni、汞Hg）未检出，可裂解出致癌芳香胺的偶氮染料未检出，pH4.0-7.5，色牢度（耐水、耐酸汗液、耐碱汗液）≥3-4级、色牢度（耐干摩擦）≥4级，无异常气味。耐折牢度（50000次）无裂纹，涂层粘着牢度≥2.5N/10mm，撕裂力≥20N，游离甲醛未检出，挥发性有机物VOC未检出。富马酸二甲酯不应检出。纺织品和皮革中五氯苯酚未检出。耐磨性（CS-10，500g，500r）无明显损伤、剥落。表观密度≤0.7g/cm³，二甲基甲酰胺不应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座板：采用衬板：衬板的外观要求检测合格。含水率5-16%，胶合强度≥0.7MPa，静曲强度（顺纹）≥22MPa，静曲强度（横纹）≥20MPa，弹性模量（顺纹）≥5000MPa，弹性模量（横纹）≥4000MPa。五氯苯酚含量未检出，挥发性有机化合物释放浓度（7d）（苯、甲苯、二甲苯总挥发性有机化合物（TVOC））未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4、框架：采用橡胶木：橡胶木的木材含水率8%-12%、木材气干密度≥0.60g/cm³、木材绝干密度≥0.50g/cm³、木材抗弯强度≥95MPa、木材抗弯弹性模量≥10000MPa。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★6、成品符合QB/T 2280-2016《办公家具 办公椅》要求。</w:t>
                  </w:r>
                </w:p>
              </w:tc>
            </w:tr>
            <w:tr w14:paraId="2D66BF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333C05">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1F35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工作台1</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9534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1600*1600*750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1075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A9E4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68</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6E32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★1、桌面、侧脚厚度≥50mm；副柜台面厚度≥25mm，其余板材厚度≥16mm；桌面配置多功能线盒；</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6、滑轨：采用阻尼导轨：阻尼导轨的产品外观性能要求检测合格。中性盐雾试验（NSS）连续喷雾 不少于120h，性能评级（保护评级Rp/外观评级RA）达到10级。操作力：当M＜40kg时，推力或拉力≤50N；下沉量：不应超过抽屉导轨拉出长度的4%；抽屉导轨组件底部变形检测合格；抽屉导轨组件结构强度、拉出安全性、耐久性均检测合格；过载-垂直向下静载荷、水平侧向静载荷、猛关或猛开均检测合格。</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门铰：采用缓冲铰链：缓冲铰链的电镀件外观检测合格，金属电镀层抗盐雾检测合格。耐腐蚀检测合格，过载（垂直静载荷、水平静载荷）检测合格，功能（耐久性、水平静载荷、垂直静载荷操作力、下沉量）检测合格。中性盐雾试验（NSS）连续喷雾不少于24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★9、成品符合GB/T 3324-2024《木家具通用技术条件》要求。</w:t>
                  </w:r>
                </w:p>
              </w:tc>
            </w:tr>
            <w:tr w14:paraId="25DF74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DCCE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1F24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工作椅</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D8CB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650*580*1050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2F33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53C8E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69</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4CA6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1、面料：采用网布：网布的燃烧性能达到B1级（损毁长度≤150mm，续燃时间≤5s，阴燃时间≤5s）。</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▲3、扶手、背框：采用PP塑料：PP塑料的拉伸屈服应力≥30MPa，拉伸屈服应变≥9%，拉伸弹性模量≥1300MPa，耐热性（150℃）≥100d。(投标时需提供具有CMA标识的第三方检测机构出具检测报告并加盖公章）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气压棒：气压棒的金属件外观检测合格。金属电镀层抗盐雾检测合格。循环寿命：经耐高低温性能试验后的样品,再经≥60000次循环寿命(当行程不大于60mm时,按实际行程；当行程大于60mm时,按60mm行程)试验后,气弹簧公称力Fa的总衰减量应不大于13%。尺寸及外观质量检测合格，标称力（标称力值≤350N）允许偏差±30N，动态摩擦力≤60N。伸展速度70mm/s-150mm/s，气弹簧锁定在任意位置,经72h常温储存后,活塞杆不应产生位移。气弹簧经-30℃和60℃高低温储存后,公称力Fa衰减量应不大于5%。抗压强度、抗拉强度、侧拉强度检测合格。中性盐雾试验（NSS）连续喷雾不少于120h，性能评级（保护评级Rp/外观评级RA）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5、配备尼龙五星脚架带万向轮；</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★6、成品符合QB/T 2280-2016《办公家具 办公椅》要求。</w:t>
                  </w:r>
                </w:p>
              </w:tc>
            </w:tr>
            <w:tr w14:paraId="2B48EB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CA4DA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E804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档案展示柜</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FA81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400*400*2000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3538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组</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47F2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234</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A701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★1、顶板、隔板厚度≥25mm；其余厚度≥16mm；上门为木框玻璃门，下柜门配锁；</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门铰：采用缓冲铰链：缓冲铰链的电镀件外观检测合格，金属电镀层抗盐雾检测合格。耐腐蚀检测合格，过载（垂直静载荷、水平静载荷）检测合格，功能（耐久性、水平静载荷、垂直静载荷操作力、下沉量）检测合格。中性盐雾试验（NSS）连续喷雾不少于24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锁具：锁具的外观质量检测合格；锁头直径小于20mm的弹子锁、叶片锁，使用寿命不应少于10000次，钥匙插拔应灵活，无卡滞现象；钥匙插入锁芯旋转灵活，锁开、关无卡阻现象。斜舌闭合力不应大于50N，钥匙开启扭矩不应大于0.65N·m，平均晶粒度≥7级，中性盐雾试验（NSS）连续喷雾 不少于120h，保护评级Rp和外观评级RA均达到10级。(投标时需提供具有CMA标识的第三方检测机构出具检测报告并加盖公章）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玻璃：玻璃的外观质量（点状缺陷、点状缺陷密集度、划伤、裂纹、断面缺陷、线道、夹钳印）检测合格，最少允许碎片数≥40片，耐热冲击性能和承载类产品耐重力冲击性能检测合格，弯曲强度≥120MPa。(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★10、成品符合GB/T 3324-2024《木家具通用技术条件》要求。</w:t>
                  </w:r>
                </w:p>
              </w:tc>
            </w:tr>
            <w:tr w14:paraId="11CB98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9ACF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55</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423CA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工作台2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A7CF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1800*1600*750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BBA0D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2F52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AD98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★1、桌面、侧脚厚度≥50mm；副柜台面厚度≥25mm，其余板材厚度≥16mm；桌面配置多功能线盒；</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6、滑轨：采用阻尼导轨：阻尼导轨的产品外观性能要求检测合格。中性盐雾试验（NSS）连续喷雾 不少于120h，性能评级（保护评级Rp/外观评级RA）达到10级。操作力：当M＜40kg时，推力或拉力≤50N；下沉量：不应超过抽屉导轨拉出长度的4%；抽屉导轨组件底部变形检测合格；抽屉导轨组件结构强度、拉出安全性、耐久性均检测合格；过载-垂直向下静载荷、水平侧向静载荷、猛关或猛开均检测合格。</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门铰：采用缓冲铰链：缓冲铰链的电镀件外观检测合格，金属电镀层抗盐雾检测合格。耐腐蚀检测合格，过载（垂直静载荷、水平静载荷）检测合格，功能（耐久性、水平静载荷、垂直静载荷操作力、下沉量）检测合格。中性盐雾试验（NSS）连续喷雾不少于24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★9、成品符合GB/T 3324-2024《木家具通用技术条件》要求。</w:t>
                  </w:r>
                </w:p>
              </w:tc>
            </w:tr>
            <w:tr w14:paraId="612F3F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1D57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56</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BB5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管理工作配套设施</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F5B06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650*600*1150-1210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BE03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C529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F45F5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头层牛皮：头层牛皮的感官要求检测合格。摩擦色牢度（干擦500次、湿擦250次、碱性汗液80次）≥4-5级，耐光性≥5级，耐折牢度≥50000次无裂纹，撕裂力≥20N，pH≥3.2，气味≤3级，耐磨性：无明显损伤、剥落，pH稀释差≤0.7，游离甲醛未检出，禁用偶氮染料未检出，挥发性有机物（VOC）≤150mg/kg，涂层粘着牢度≥2.5N/10mm，可萃取的重金属（铅、镉）未检出。(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座板：采用衬板：衬板的外观要求检测合格。含水率5-16%，胶合强度≥0.7MPa，静曲强度（顺纹）≥22MPa，静曲强度（横纹）≥20MPa，弹性模量（顺纹）≥5000MPa，弹性模量（横纹）≥4000MPa。五氯苯酚含量未检出，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气压棒：气压棒的金属件外观检测合格。金属电镀层抗盐雾检测合格。循环寿命：经耐高低温性能试验后的样品,再经≥60000次循环寿命(当行程不大于60mm时,按实际行程；当行程大于60mm时,按60mm行程)试验后,气弹簧公称力Fa的总衰减量应不大于13%。尺寸及外观质量检测合格，标称力（标称力值≤350N）允许偏差±30N，动态摩擦力≤60N。伸展速度70mm/s-150mm/s，气弹簧锁定在任意位置,经72h常温储存后,活塞杆不应产生位移。气弹簧经-30℃和60℃高低温储存后,公称力Fa衰减量应不大于5%。抗压强度、抗拉强度、侧拉强度检测合格。中性盐雾试验（NSS）连续喷雾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5、配备电镀五星脚架，≥50mm静音万向轮；</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★6、成品符合QB/T 2280-2016《办公家具 办公椅》要求。</w:t>
                  </w:r>
                </w:p>
              </w:tc>
            </w:tr>
            <w:tr w14:paraId="37078D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AE9C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57</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AE46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会客接待设施</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4816C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650*500*945</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52F2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C5DB2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81DF8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1、面料：采用超纤皮：超纤皮的可萃取重金属（锑 Sb、砷 As、铅Pb、镉Cd、铬Cr、铬Cr（六价）、钴Co、铜Cu、镍Ni、汞Hg）未检出，可裂解出致癌芳香胺的偶氮染料未检出，pH4.0-7.5，色牢度（耐水、耐酸汗液、耐碱汗液）≥3-4级、色牢度（耐干摩擦）≥4级，无异常气味。耐折牢度（50000次）无裂纹，涂层粘着牢度≥2.5N/10mm，撕裂力≥20N，游离甲醛未检出，挥发性有机物VOC未检出。富马酸二甲酯不应检出。纺织品和皮革中五氯苯酚未检出。耐磨性（CS-10，500g，500r）无明显损伤、剥落。表观密度≤0.7g/cm³，二甲基甲酰胺不应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座板：采用衬板：衬板的外观要求检测合格。含水率5-16%，胶合强度≥0.7MPa，静曲强度（顺纹）≥22MPa，静曲强度（横纹）≥20MPa，弹性模量（顺纹）≥5000MPa，弹性模量（横纹）≥4000MPa。五氯苯酚含量未检出，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脚架：采用电镀脚架：电镀脚架的金属件外观性能（管材、电镀件、焊接件）检测合格。金属电镀层抗盐雾检测合格。下屈服强度、抗拉强度、断后伸长率均检测合格。维氏硬度≥150HV1，中性盐雾试验（NSS）连续喷雾不少于120h，镀（涂）层本身的耐腐蚀等级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★5、成品符合QB/T 2280-2016《办公家具 办公椅》要求。</w:t>
                  </w:r>
                </w:p>
              </w:tc>
            </w:tr>
            <w:tr w14:paraId="4D4189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FB2F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58</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9DEDD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组合卡座</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9EF3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2100*850*900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94A3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5111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35</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0C4A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头层牛皮：头层牛皮的感官要求检测合格。摩擦色牢度（干擦500次、湿擦250次、碱性汗液80次）≥4-5级，耐光性≥5级，耐折牢度≥50000次无裂纹，撕裂力≥20N，pH≥3.2，气味≤3级，耐磨性：无明显损伤、剥落，pH稀释差≤0.7，游离甲醛未检出，禁用偶氮染料未检出，挥发性有机物（VOC）≤150mg/kg，涂层粘着牢度≥2.5N/10mm，可萃取的重金属（铅、镉）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框架：采用橡胶木：橡胶木的木材含水率8%-12%、木材气干密度≥0.60g/cm³、木材绝干密度≥0.50g/cm³、木材抗弯强度≥95MPa、木材抗弯弹性模量≥10000MPa。(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▲4、蛇形弹簧：蛇形弹簧的外观要求检测合格。中性盐雾试验（NSS）法≥24h，耐腐蚀试验等级达到10级。(投标时需提供具有CMA标识的第三方检测机构出具检测报告并加盖公章）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5、木皮：采用胡桃木皮：胡桃木皮的单板含水率6-14%。</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6、胶粘剂：胶粘剂的外观乳白色，无可视粗颗粒或异物，PH值3-7，黏度≥0.5Pa·s，不挥发物≥35%，压缩剪切强度（湿强度）≥3MPa、压缩剪切强度（干强度）≥10MPa，木材污染性检测合格，最低成膜温度≤2℃。</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7、油漆：采用水性漆：水性漆的耐冻融性不变质，硬度（擦伤）≥B，附着力(划格间距2mm)≤1级，耐水性（24h）无异常，耐碱性(50g/L NaHCO3，1h)无异常，耐醇性（50%，1h)无异常，耐污染性(1h)无异常，耐干热性[(70士2)℃，15min]≤2级。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★8、成品符合QB/T 1952.1-2023《软体家具 沙发》要求。</w:t>
                  </w:r>
                </w:p>
              </w:tc>
            </w:tr>
            <w:tr w14:paraId="0BD224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BE1C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59</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5C3B8">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洽谈区设施2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2D407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1200*600*450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4AC0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8DBB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34</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CD497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★1、台面厚度≥25mm，其余板材厚度≥16mm；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6、滑轨：采用阻尼导轨：阻尼导轨的产品外观性能要求检测合格。中性盐雾试验（NSS）连续喷雾 不少于120h，性能评级（保护评级Rp/外观评级RA）达到10级。操作力：当M＜40kg时，推力或拉力≤50N；下沉量：不应超过抽屉导轨拉出长度的4%；抽屉导轨组件底部变形检测合格；抽屉导轨组件结构强度、拉出安全性、耐久性均检测合格；过载-垂直向下静载荷、水平侧向静载荷、猛关或猛开均检测合格。</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★8、成品符合GB/T 3324-2024《木家具通用技术条件》要求。</w:t>
                  </w:r>
                </w:p>
              </w:tc>
            </w:tr>
            <w:tr w14:paraId="169F12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C2620A">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60</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D011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饮水台</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3B1D3">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800*400*850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C725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个</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AFE4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40</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9BB06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★1、台面厚度≥25mm，其余板材厚度≥16mm；台面三方带挡条设计；柜门为木框玻璃门；</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▲6、滑轨：采用阻尼导轨：阻尼导轨的产品外观性能要求检测合格。中性盐雾试验（NSS）连续喷雾 不少于120h，性能评级（保护评级Rp/外观评级RA）达到10级。操作力：当M＜40kg时，推力或拉力≤50N；下沉量：不应超过抽屉导轨拉出长度的4%；抽屉导轨组件底部变形检测合格；抽屉导轨组件结构强度、拉出安全性、耐久性均检测合格；过载-垂直向下静载荷、水平侧向静载荷、猛关或猛开均检测合格。(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门铰：采用缓冲铰链：缓冲铰链的电镀件外观检测合格，金属电镀层抗盐雾检测合格。耐腐蚀检测合格，过载（垂直静载荷、水平静载荷）检测合格，功能（耐久性、水平静载荷、垂直静载荷操作力、下沉量）检测合格。中性盐雾试验（NSS）连续喷雾不少于24h，性能评级（保护评级Rp/外观评级RA）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▲9、拉手：拉手的产品外观性能要求电镀件检测合格。金属电镀层抗盐雾检测合格。中性盐雾试验（NSS）连续喷雾 不少于120h，性能评级（保护评级Rp/外观评级RA）达到10级。(投标时需提供具有CMA标识的第三方检测机构出具检测报告并加盖公章）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10、玻璃：玻璃的外观质量（点状缺陷、点状缺陷密集度、划伤、裂纹、断面缺陷、线道、夹钳印）检测合格，最少允许碎片数≥40片，耐热冲击性能和承载类产品耐重力冲击性能检测合格，弯曲强度≥120MPa。</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★11、成品符合GB/T 3324-2024《木家具通用技术条件》要求。</w:t>
                  </w:r>
                </w:p>
              </w:tc>
            </w:tr>
            <w:tr w14:paraId="6ED80E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BF7B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61</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009D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开放式交流台</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2880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5200*2000*750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31C5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BA343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525C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★1、台面厚度≥50mm，其余板材厚度≥16mm；桌面配置多功能线盒；</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★7、成品符合GB/T 3324-2024《木家具通用技术条件》要求。</w:t>
                  </w:r>
                </w:p>
              </w:tc>
            </w:tr>
            <w:tr w14:paraId="449B66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DA3C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62</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BA70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接待工位椅2</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D523CD">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600*500*930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02881">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把</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89CF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31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F039B">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1、面料：采用超纤皮：超纤皮的可萃取重金属（锑 Sb、砷 As、铅Pb、镉Cd、铬Cr、铬Cr（六价）、钴Co、铜Cu、镍Ni、汞Hg）未检出，可裂解出致癌芳香胺的偶氮染料未检出，pH4.0-7.5，色牢度（耐水、耐酸汗液、耐碱汗液）≥3-4级、色牢度（耐干摩擦）≥4级，无异常气味。耐折牢度（50000次）无裂纹，涂层粘着牢度≥2.5N/10mm，撕裂力≥20N，游离甲醛未检出，挥发性有机物VOC未检出。富马酸二甲酯不应检出。纺织品和皮革中五氯苯酚未检出。耐磨性（CS-10，500g，500r）无明显损伤、剥落。表观密度≤0.7g/cm³，二甲基甲酰胺不应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海绵：采用高弹力阻燃海绵：高弹力阻燃海绵的长度、宽度偏差检测合格，厚度偏差检测合格，40%压陷硬度偏差检测合格，表观密度偏差检测合格，外观（色泽、气孔、裂缝、污渍）检测合格，回弹率≥35%，75%压缩永久变形≤6%，65%/25%压陷比≥1.8，气味等级≥7级，恒定负荷反复压陷疲劳后的40%压陷硬度损失值（P）12≤P＜22%，拉伸强度≥100kPa，断裂伸长率≥110%，撕裂强度≥1.8N/cm，干热老化后拉伸强度≥55kPa，干热老化后拉伸强度变化率≤±30%，湿热老化后拉伸强度≥55kPa，湿热老化后拉伸强度变化率≤±30%，灰分≤2.75%，甲醛散发未检出。抑菌率（金黄色葡萄球菌、大肠杆菌）≥90%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座板：采用衬板：衬板的外观要求检测合格。含水率5-16%，胶合强度≥0.7MPa，静曲强度（顺纹）≥22MPa，静曲强度（横纹）≥20MPa，弹性模量（顺纹）≥5000MPa，弹性模量（横纹）≥4000MPa。五氯苯酚含量未检出，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脚架：采用电镀弓形脚架：电镀弓形脚架的金属件外观性能（管材、电镀件、焊接件）检测合格。金属电镀层抗盐雾检测合格。下屈服强度、抗拉强度、断后伸长率均检测合格。维氏硬度≥150HV1，中性盐雾试验（NSS）连续喷雾不少于120h，镀（涂）层本身的耐腐蚀等级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★5、成品符合QB/T 2280-2016《办公家具 办公椅》要求。</w:t>
                  </w:r>
                </w:p>
              </w:tc>
            </w:tr>
            <w:tr w14:paraId="50DB17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93FF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63</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9BA9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诊断桌</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37B33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1200*600*750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A1CA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张</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A051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574E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★1、桌面、侧脚厚度≥25mm，其余板材厚度≥16mm；抽屉、柜门做无拉手设计；抽屉带锁；</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基材：采用实木颗粒饰面板：实木颗粒饰面板的静曲强度、弹性模量、内结合强度均检测合格，表面胶合强度≥0.6MPa，2h吸水厚度膨胀率≤8%，含水率3-13%，密度0.6-0.9g/cm³，握螺钉力（板面）≥900N，握螺钉力（板边）≥600N，磨耗值≤80mg/100r，表面情况-素色磨350r以后应无露底现象，表面耐香烟灼烧、表面耐干热、表面耐龟裂、表面耐水蒸气均达到4级以上。挥发性有机化合物释放浓度（7d）（苯、甲苯、二甲苯总挥发性有机化合物（TVOC））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★3、实木颗粒饰面板的甲醛释放量≤0.025mg/m³；</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封边：采用PVC封边条：PVC封边条的塑料封边条外观检测合格。边缘直线度(长度方向边缘凹形度Smax)≤5(mm/m)。耐干热性≥四级，耐磨性：2500目砂纸，磨40r后，应无露底现象，耐龟裂性≥4级，耐冷热循环性：应无裂纹、无鼓泡，长度收缩率≤2%，耐光色牢度≥4级，漆膜附着力≥四级，溶体质量流动速率（MFR）≥12g/10min，氯乙烯单体未检出，邻苯二甲酸酯(DBP、BBP、DEHP、DNOP、DINP和DIDP)的总量未检出，多溴联苯(PBB)未检出，多溴联苯醚(PBDE)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5、热熔胶：热熔胶的游离甲苯二异氰酸酯(TDI)未检出，六亚甲基二异氰酸酯(HDI)和间苯二甲基二异氰酸酯(XDI)总和(限聚氨酯类胶粘剂)未检出，游离二苯基甲烷二异氰酸酯(MDI)(限聚氨酯类胶粘剂)未检出。</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6、滑轨：采用阻尼导轨：阻尼导轨的产品外观性能要求检测合格。中性盐雾试验（NSS）连续喷雾 不少于120h，性能评级（保护评级Rp/外观评级RA）达到10级。操作力：当M＜40kg时，推力或拉力≤50N；下沉量：不应超过抽屉导轨拉出长度的4%；抽屉导轨组件底部变形检测合格；抽屉导轨组件结构强度、拉出安全性、耐久性均检测合格；过载-垂直向下静载荷、水平侧向静载荷、猛关或猛开均检测合格。</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门铰：采用缓冲铰链：缓冲铰链的电镀件外观检测合格，金属电镀层抗盐雾检测合格。耐腐蚀检测合格，过载（垂直静载荷、水平静载荷）检测合格，功能（耐久性、水平静载荷、垂直静载荷操作力、下沉量）检测合格。中性盐雾试验（NSS）连续喷雾不少于24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连接件：采用三合一连接件：三合一连接件的外观检测合格，三合一偏心连接件的偏心体与连接螺杆的锁紧角度应在150°-190°范围内。金属漆膜耐腐蚀检测合格，三合一偏心连接件偏心体抗压强度≥240N，三合一偏心连接件预埋螺母抗拉强度≥550N，三合一偏心连接件中连接螺杆螺纹与预埋螺母的抗拉强度≥700N，三合一偏心连接件中偏心体与连接螺杆的扭矩≥5.0N·m。中性盐雾试验（NSS）连续喷雾 不少于120h，性能评级（保护评级Rp/外观评级RA）达到10级。</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★9、成品符合GB/T 3324-2024《木家具通用技术条件》要求。</w:t>
                  </w:r>
                </w:p>
              </w:tc>
            </w:tr>
            <w:tr w14:paraId="50041C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0F7F9">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64</w:t>
                  </w:r>
                </w:p>
              </w:tc>
              <w:tc>
                <w:tcPr>
                  <w:tcW w:w="10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4341B">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治疗台</w:t>
                  </w:r>
                </w:p>
              </w:tc>
              <w:tc>
                <w:tcPr>
                  <w:tcW w:w="8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35C2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900*500*2000</w:t>
                  </w:r>
                </w:p>
              </w:tc>
              <w:tc>
                <w:tcPr>
                  <w:tcW w:w="4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2C6640">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组</w:t>
                  </w:r>
                </w:p>
              </w:tc>
              <w:tc>
                <w:tcPr>
                  <w:tcW w:w="4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D65E42">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sz w:val="20"/>
                      <w14:textFill>
                        <w14:solidFill>
                          <w14:schemeClr w14:val="tx1"/>
                        </w14:solidFill>
                      </w14:textFill>
                    </w:rPr>
                    <w:t>1</w:t>
                  </w:r>
                </w:p>
              </w:tc>
              <w:tc>
                <w:tcPr>
                  <w:tcW w:w="25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9E500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6"/>
                      <w14:textFill>
                        <w14:solidFill>
                          <w14:schemeClr w14:val="tx1"/>
                        </w14:solidFill>
                      </w14:textFill>
                    </w:rPr>
                    <w:t>1、台面：采用12.7mm厚黑色实芯理化板台面，加厚边至25.4mm。</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▲2、理化板台面按照GB/T 20285-2006标准检验，台面烟气毒性等级达到ZA3级；按照GB/T 8626-2007标准检验，可燃性指标满足60s内焰尖高度≤45mm；按照 GB/T 20284-2006 标准检验：烟气生成速率指数（SMOGRA）≤10 m²/s²；600s 总烟气生成量≤38 m²；600s总热释放量≤9.7MJ；燃烧增长速率指数≤108W/s；以上所列项目需实测值满足或优于标准要求。(需提供具有CNAS或CMA标识的第三方检测机构出具检测报告并加盖公章）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▲3、理化板台面按照GB/T 24820-2024《实验室家具通用技术条件》标准，跌落试验需满足测试高度≥150mm、测试次数不低于10次，且所有测试均判定为合格；同时表面耐干热性能测定等级≥5 级；以上所列项目需实测值满足或优于标准要求。 (需提供具有CNAS或CMA标识的第三方检测机构出具检测报告并加盖公章）。</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4、柜体：采用1.0mm厚电解钢板，通过冲压折弯工艺加工生产，表面经酸洗、磷化、防静电处理后喷涂环氧树脂粉末。</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5、铰链：采用开启闭合弧度90度液压阻尼铰链，表面环氧树脂粉末静电喷涂，耐腐蚀，开闭自如。</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6、导轨：采用内嵌式三节静音钢珠滑轨，材料为镀锌钢板表面喷涂环氧树脂，抽拉无噪音，轻推抽屉即可锁住承重≥30kg。</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7、拉手：一字折弯暗拉手。</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sz w:val="16"/>
                      <w14:textFill>
                        <w14:solidFill>
                          <w14:schemeClr w14:val="tx1"/>
                        </w14:solidFill>
                      </w14:textFill>
                    </w:rPr>
                    <w:t>8、踢脚线：1.0mm304不锈钢折弯打磨焊接成型，安装在柜体上。</w:t>
                  </w:r>
                </w:p>
              </w:tc>
            </w:tr>
          </w:tbl>
          <w:p w14:paraId="6F9F7258">
            <w:pPr>
              <w:rPr>
                <w:color w:val="000000" w:themeColor="text1"/>
                <w14:textFill>
                  <w14:solidFill>
                    <w14:schemeClr w14:val="tx1"/>
                  </w14:solidFill>
                </w14:textFill>
              </w:rPr>
            </w:pPr>
          </w:p>
        </w:tc>
      </w:tr>
      <w:tr w14:paraId="1EA0F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EE24BF">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3</w:t>
            </w:r>
          </w:p>
        </w:tc>
        <w:tc>
          <w:tcPr>
            <w:tcW w:w="581" w:type="dxa"/>
          </w:tcPr>
          <w:p w14:paraId="68281AF8">
            <w:pPr>
              <w:rPr>
                <w:color w:val="000000" w:themeColor="text1"/>
                <w14:textFill>
                  <w14:solidFill>
                    <w14:schemeClr w14:val="tx1"/>
                  </w14:solidFill>
                </w14:textFill>
              </w:rPr>
            </w:pPr>
          </w:p>
        </w:tc>
        <w:tc>
          <w:tcPr>
            <w:tcW w:w="1495" w:type="dxa"/>
          </w:tcPr>
          <w:p w14:paraId="4BA6B9F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商务要求</w:t>
            </w:r>
          </w:p>
        </w:tc>
        <w:tc>
          <w:tcPr>
            <w:tcW w:w="5814" w:type="dxa"/>
          </w:tcPr>
          <w:p w14:paraId="57E8DA84">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（1）交货时间：</w:t>
            </w:r>
            <w:r>
              <w:rPr>
                <w:rFonts w:ascii="仿宋_GB2312" w:hAnsi="仿宋_GB2312" w:eastAsia="仿宋_GB2312" w:cs="仿宋_GB2312"/>
                <w:color w:val="000000" w:themeColor="text1"/>
                <w:sz w:val="30"/>
                <w14:textFill>
                  <w14:solidFill>
                    <w14:schemeClr w14:val="tx1"/>
                  </w14:solidFill>
                </w14:textFill>
              </w:rPr>
              <w:t>合同签订之日起30日内送达。</w:t>
            </w:r>
          </w:p>
          <w:p w14:paraId="7870B31F">
            <w:pPr>
              <w:pStyle w:val="4"/>
              <w:jc w:val="both"/>
              <w:rPr>
                <w:color w:val="000000" w:themeColor="text1"/>
                <w14:textFill>
                  <w14:solidFill>
                    <w14:schemeClr w14:val="tx1"/>
                  </w14:solidFill>
                </w14:textFill>
              </w:rPr>
            </w:pPr>
            <w:r>
              <w:rPr>
                <w:rFonts w:ascii="仿宋_GB2312" w:hAnsi="仿宋_GB2312" w:eastAsia="仿宋_GB2312" w:cs="仿宋_GB2312"/>
                <w:i/>
                <w:color w:val="000000" w:themeColor="text1"/>
                <w:sz w:val="32"/>
                <w14:textFill>
                  <w14:solidFill>
                    <w14:schemeClr w14:val="tx1"/>
                  </w14:solidFill>
                </w14:textFill>
              </w:rPr>
              <w:t xml:space="preserve">    </w:t>
            </w:r>
            <w:r>
              <w:rPr>
                <w:rFonts w:ascii="仿宋_GB2312" w:hAnsi="仿宋_GB2312" w:eastAsia="仿宋_GB2312" w:cs="仿宋_GB2312"/>
                <w:color w:val="000000" w:themeColor="text1"/>
                <w:sz w:val="32"/>
                <w14:textFill>
                  <w14:solidFill>
                    <w14:schemeClr w14:val="tx1"/>
                  </w14:solidFill>
                </w14:textFill>
              </w:rPr>
              <w:t xml:space="preserve"> （2）交货地点：</w:t>
            </w:r>
            <w:r>
              <w:rPr>
                <w:rFonts w:ascii="仿宋_GB2312" w:hAnsi="仿宋_GB2312" w:eastAsia="仿宋_GB2312" w:cs="仿宋_GB2312"/>
                <w:color w:val="000000" w:themeColor="text1"/>
                <w:sz w:val="30"/>
                <w14:textFill>
                  <w14:solidFill>
                    <w14:schemeClr w14:val="tx1"/>
                  </w14:solidFill>
                </w14:textFill>
              </w:rPr>
              <w:t>中共丹巴县纪律检查委员会</w:t>
            </w:r>
            <w:r>
              <w:rPr>
                <w:rFonts w:ascii="仿宋_GB2312" w:hAnsi="仿宋_GB2312" w:eastAsia="仿宋_GB2312" w:cs="仿宋_GB2312"/>
                <w:color w:val="000000" w:themeColor="text1"/>
                <w:sz w:val="32"/>
                <w14:textFill>
                  <w14:solidFill>
                    <w14:schemeClr w14:val="tx1"/>
                  </w14:solidFill>
                </w14:textFill>
              </w:rPr>
              <w:t xml:space="preserve">   </w:t>
            </w:r>
          </w:p>
          <w:p w14:paraId="724933A3">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（3）付款方式：</w:t>
            </w:r>
            <w:r>
              <w:rPr>
                <w:rFonts w:ascii="仿宋_GB2312" w:hAnsi="仿宋_GB2312" w:eastAsia="仿宋_GB2312" w:cs="仿宋_GB2312"/>
                <w:color w:val="000000" w:themeColor="text1"/>
                <w:sz w:val="30"/>
                <w14:textFill>
                  <w14:solidFill>
                    <w14:schemeClr w14:val="tx1"/>
                  </w14:solidFill>
                </w14:textFill>
              </w:rPr>
              <w:t>分期付款</w:t>
            </w:r>
          </w:p>
          <w:p w14:paraId="06A66D80">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付款进度安排：</w:t>
            </w:r>
            <w:r>
              <w:rPr>
                <w:rFonts w:ascii="仿宋_GB2312" w:hAnsi="仿宋_GB2312" w:eastAsia="仿宋_GB2312" w:cs="仿宋_GB2312"/>
                <w:color w:val="000000" w:themeColor="text1"/>
                <w:sz w:val="30"/>
                <w14:textFill>
                  <w14:solidFill>
                    <w14:schemeClr w14:val="tx1"/>
                  </w14:solidFill>
                </w14:textFill>
              </w:rPr>
              <w:t>①合同签订后，达到付款条件起10个工作日内，支付合同总金额的40.00%作为预付款。</w:t>
            </w:r>
          </w:p>
          <w:p w14:paraId="28C9A63F">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②货物送达至采购人指定地点并验收合格后，采购人财务部在收到正规发票等结算资料，达到付款条件起10个工作日内，支付合同总金额的60.00%。</w:t>
            </w:r>
          </w:p>
          <w:p w14:paraId="652EFDC6">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（4）验收、交付标准和方法：</w:t>
            </w:r>
          </w:p>
          <w:p w14:paraId="6AE35A79">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①中标人负责货物安装、调试。</w:t>
            </w:r>
          </w:p>
          <w:p w14:paraId="79E4D3A8">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②货物安装调试完毕后，中标人应对采购人操作人员进行现场培训，直至采购人的技术人员能独立操作，同时能完成一般常见故障的维修工作。</w:t>
            </w:r>
          </w:p>
          <w:p w14:paraId="5C3BF548">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③完成中标产品所有安装、调试、培训后，采购人组织项目验收。</w:t>
            </w:r>
          </w:p>
          <w:p w14:paraId="4AD08FC1">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④严格按照本项目采购方招标文件的质量要求和技术指标、供应商的投标文件及承诺与本项目合同约定标准，以及政府采购相关法律法规，《政府采购需求管理办法》（财库〔2021〕22号）、《财政部关于进一步加强政府采购需求和履约验收管理的指导意见》(财库〔2016〕205 号)的要求进行验收。</w:t>
            </w:r>
          </w:p>
          <w:p w14:paraId="57309236">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（5）质量保修范围和保修期：</w:t>
            </w:r>
          </w:p>
          <w:p w14:paraId="66474601">
            <w:pPr>
              <w:pStyle w:val="4"/>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不低于3年(质保期为验收合格之日起开始计算)。质保期内出现质量问题，供应商在接到通知后24小时内响应到场，72小时内完成维修或更换，并承担修理调换的费用。供应商须指派专人负责与采购人联系售后服务事宜。成交方须提供全新的货物（含零部件、配件等），表面无划伤、无碰撞痕迹，且权属清楚，不得侵害他人的知识产权。货物必须符合国家（行业）标准，以及合同的质量要求和技术指标与出厂标准。</w:t>
            </w:r>
          </w:p>
          <w:p w14:paraId="6DCA9C16">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（6）违约责任与解决争议的方法：</w:t>
            </w:r>
          </w:p>
          <w:p w14:paraId="5716C708">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①违约责任：双方必须遵守合同中的各项规定，保证合同的正常履行。如因成交供应商工作人员在履行职务过程的疏忽、失职、过错等故意或者过失原因给采购人造成损失或侵害，包括不限于采购人本身的财产损失、由此而导致的采购人对任何第三方的法律责任等，成交供应商对此均应承担全部的赔偿责任。②投标人如存在可能影响中标、成交结果、合同履行的失信行为，将按合同总金额的5%扣除失信违约金，如果失信违约金不足以弥补采购人损失的，由投标人向采购人足额赔偿经济损失。③投标人不能交付货物或逾期交付货物而违约的，除应及时交足货物外，应向采购人支付500元/天的违约金及赔偿由此给采购人造成的全部损失；逾期交货超过60天，采购人有权终止合同，投标人则应按本项目预算的20%的金额向采购人支付违约金。④如中标后因投标人自身原因，直接影响采购人工作，对采购人造成直接或间接经济损失及负面影响，采购人有权无条件解除合同，并要求中标人承担全部赔偿责任。⑤争议解决方法：合同履行期间，双方发生争议，可协商或由有关部门调解解决，协商或调解不成的，由当事人依法维护其合法权益，并在采购人所在地人民法院提起诉讼。</w:t>
            </w:r>
          </w:p>
          <w:p w14:paraId="737BB3BF">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（7）包装方式及运输：</w:t>
            </w:r>
          </w:p>
          <w:p w14:paraId="0E459CFA">
            <w:pPr>
              <w:pStyle w:val="4"/>
              <w:ind w:firstLine="60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67742DC1">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2"/>
                <w14:textFill>
                  <w14:solidFill>
                    <w14:schemeClr w14:val="tx1"/>
                  </w14:solidFill>
                </w14:textFill>
              </w:rPr>
              <w:t>（8）其他要求：</w:t>
            </w:r>
          </w:p>
          <w:p w14:paraId="0AD152CD">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①技术参数中涉及到的相关标准如果有更新，以最新标准为准。</w:t>
            </w:r>
          </w:p>
          <w:p w14:paraId="41B1300B">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②在招标文件中有未提及到的技术细节或招标文件中任何条款的叙述中没有明确的规定的，都视为是指符合国家相关的标准和规范。</w:t>
            </w:r>
          </w:p>
          <w:p w14:paraId="6BD1085A">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③中标结果公告发布后合同签订之前,中标供应商需向招标人提供投标文件中国家认可的第三方检验检测机构出具的符合上述参数要求的检验检测报告原件进行真伪核查（检验检测报告应是国家认证认可监督管理委员会认证认可的具有相关产品和标准检验检测能力范围的检验检测机构出具的检验检测报告，不满足要求的招标人可以根据投标文件提供检验检测报告相对应的检测机构官网和全国认证认可信息公共服务平台网，书面致函检测机构及上级市场监督管理部门进行核查），招标人一旦发现投标人提供虚假不实检验报告谋取中标的（如中标）将上报财政监管部门调查是否为虚假响应，并对虚假响应供应商追究法律责任（虚假报告认定以财政部门相关要求为准）。</w:t>
            </w:r>
          </w:p>
          <w:p w14:paraId="02B8D00C">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④投标人郑重承诺：本投标文件中所附全部检验检测报告合法、真实、有效，严格按照《检验检测机构监督管理办法》《检验检测机构资质认定管理办法》及对应国家标准完成抽样、送检、检测、出证全流程。所有检测报告均由投标人或所投产品生产厂家真实委托、真实送样，不存在伪造、变造、套用、借用报告等情形。本项目所附第三方检测机构须具备有效的CMA资质认定证书，且资质认定能力附表范围完整覆盖本项目采购产品对应检测项目及参数。如采购人、评审专家、监管部门对检测报告真实性、合规性提出核查质疑，或采购人开展采购风险核查工作，投标人承诺在采购人规定合理时限内积极配合核查，并按需提供佐证材料（包含但不限于：CMA资质证书、资质能力附表、检测报告加盖公章复印件、送检委托凭证、抽样及送样流转资料等合规可公开查验资料）。若经查实存在报告虚假、送检不实、流程违规、提供不实资料，或无正当理由拒不配合核查等违反本承诺情形，均视为投标人提供虚假材料谋取中标。采购人有权取消其中标资格、解除合同，并由投标人自愿承担《中华人民共和国政府采购法》第七十七条规定的相应法律责任，赔偿采购人全部经济损失，接受行业主管部门追责处理。（提供承诺函，格式自拟）。</w:t>
            </w:r>
          </w:p>
          <w:p w14:paraId="47F5AB45">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⑤供应商针对本项目提供服务方案，方案内容包括但不限于：</w:t>
            </w:r>
          </w:p>
          <w:p w14:paraId="514C917F">
            <w:pPr>
              <w:pStyle w:val="4"/>
              <w:ind w:firstLine="640"/>
              <w:jc w:val="both"/>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实施方案：(1)交货进度计划与措施；(2)人员配置；(3)产品备品过程和质量控制措施；(4)安全生产责任制度；(5)运输安装措施及应急方案。</w:t>
            </w:r>
          </w:p>
          <w:p w14:paraId="7F71217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售后方案：(1)现场服务支持能力；(2)紧急维修措施；(3)售后服务应急预案及维护方案；(4)常见故障排除方案及培训计划。</w:t>
            </w:r>
          </w:p>
          <w:p w14:paraId="5CB258FC">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30"/>
                <w14:textFill>
                  <w14:solidFill>
                    <w14:schemeClr w14:val="tx1"/>
                  </w14:solidFill>
                </w14:textFill>
              </w:rPr>
              <w:t>★注：涉及强制采购节</w:t>
            </w:r>
            <w:r>
              <w:rPr>
                <w:rFonts w:ascii="仿宋_GB2312" w:hAnsi="仿宋_GB2312" w:eastAsia="仿宋_GB2312" w:cs="仿宋_GB2312"/>
                <w:b/>
                <w:color w:val="000000" w:themeColor="text1"/>
                <w:sz w:val="36"/>
                <w14:textFill>
                  <w14:solidFill>
                    <w14:schemeClr w14:val="tx1"/>
                  </w14:solidFill>
                </w14:textFill>
              </w:rPr>
              <w:t>能的所有产品需要提供相关证明材料。</w:t>
            </w:r>
          </w:p>
          <w:p w14:paraId="0A3470BC">
            <w:pPr>
              <w:pStyle w:val="4"/>
              <w:jc w:val="left"/>
              <w:rPr>
                <w:color w:val="000000" w:themeColor="text1"/>
                <w14:textFill>
                  <w14:solidFill>
                    <w14:schemeClr w14:val="tx1"/>
                  </w14:solidFill>
                </w14:textFill>
              </w:rPr>
            </w:pPr>
          </w:p>
        </w:tc>
      </w:tr>
    </w:tbl>
    <w:p w14:paraId="01DC270B">
      <w:pPr>
        <w:pStyle w:val="4"/>
        <w:jc w:val="left"/>
        <w:outlineLvl w:val="2"/>
        <w:rPr>
          <w:color w:val="000000" w:themeColor="text1"/>
          <w14:textFill>
            <w14:solidFill>
              <w14:schemeClr w14:val="tx1"/>
            </w14:solidFill>
          </w14:textFill>
        </w:rPr>
      </w:pPr>
      <w:r>
        <w:rPr>
          <w:rFonts w:ascii="仿宋_GB2312" w:hAnsi="仿宋_GB2312" w:eastAsia="仿宋_GB2312" w:cs="仿宋_GB2312"/>
          <w:b/>
          <w:color w:val="000000" w:themeColor="text1"/>
          <w:sz w:val="28"/>
          <w14:textFill>
            <w14:solidFill>
              <w14:schemeClr w14:val="tx1"/>
            </w14:solidFill>
          </w14:textFill>
        </w:rPr>
        <w:t>3.3.服务要求</w:t>
      </w:r>
    </w:p>
    <w:p w14:paraId="07098D7C">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3.3.1.服务内容要求</w:t>
      </w:r>
    </w:p>
    <w:p w14:paraId="7BDEE37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AF65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99EC07">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 xml:space="preserve"> 序号</w:t>
            </w:r>
          </w:p>
        </w:tc>
        <w:tc>
          <w:tcPr>
            <w:tcW w:w="581" w:type="dxa"/>
          </w:tcPr>
          <w:p w14:paraId="49A5302C">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 xml:space="preserve"> 符号标识</w:t>
            </w:r>
          </w:p>
        </w:tc>
        <w:tc>
          <w:tcPr>
            <w:tcW w:w="1495" w:type="dxa"/>
          </w:tcPr>
          <w:p w14:paraId="0EC1A11E">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 xml:space="preserve"> 服务要求名称</w:t>
            </w:r>
          </w:p>
        </w:tc>
        <w:tc>
          <w:tcPr>
            <w:tcW w:w="5814" w:type="dxa"/>
          </w:tcPr>
          <w:p w14:paraId="436E6F74">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 xml:space="preserve"> 服务要求内容</w:t>
            </w:r>
          </w:p>
        </w:tc>
      </w:tr>
      <w:tr w14:paraId="14BAFD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212BA6">
            <w:pPr>
              <w:pStyle w:val="4"/>
              <w:jc w:val="center"/>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581" w:type="dxa"/>
          </w:tcPr>
          <w:p w14:paraId="5FB29B92">
            <w:pPr>
              <w:rPr>
                <w:color w:val="000000" w:themeColor="text1"/>
                <w14:textFill>
                  <w14:solidFill>
                    <w14:schemeClr w14:val="tx1"/>
                  </w14:solidFill>
                </w14:textFill>
              </w:rPr>
            </w:pPr>
          </w:p>
        </w:tc>
        <w:tc>
          <w:tcPr>
            <w:tcW w:w="1495" w:type="dxa"/>
          </w:tcPr>
          <w:p w14:paraId="3FEDD7E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服务内容及要求</w:t>
            </w:r>
          </w:p>
        </w:tc>
        <w:tc>
          <w:tcPr>
            <w:tcW w:w="5814" w:type="dxa"/>
          </w:tcPr>
          <w:p w14:paraId="132B8C7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sz w:val="19"/>
                <w14:textFill>
                  <w14:solidFill>
                    <w14:schemeClr w14:val="tx1"/>
                  </w14:solidFill>
                </w14:textFill>
              </w:rPr>
              <w:t>详见3.2技术要求。</w:t>
            </w:r>
          </w:p>
        </w:tc>
      </w:tr>
    </w:tbl>
    <w:p w14:paraId="021C2FC1">
      <w:pPr>
        <w:pStyle w:val="4"/>
        <w:jc w:val="left"/>
        <w:outlineLvl w:val="3"/>
        <w:rPr>
          <w:color w:val="000000" w:themeColor="text1"/>
          <w14:textFill>
            <w14:solidFill>
              <w14:schemeClr w14:val="tx1"/>
            </w14:solidFill>
          </w14:textFill>
        </w:rPr>
      </w:pPr>
      <w:r>
        <w:rPr>
          <w:rFonts w:ascii="仿宋_GB2312" w:hAnsi="仿宋_GB2312" w:eastAsia="仿宋_GB2312" w:cs="仿宋_GB2312"/>
          <w:b/>
          <w:color w:val="000000" w:themeColor="text1"/>
          <w:sz w:val="24"/>
          <w14:textFill>
            <w14:solidFill>
              <w14:schemeClr w14:val="tx1"/>
            </w14:solidFill>
          </w14:textFill>
        </w:rPr>
        <w:t>3.3.2.商务要求</w:t>
      </w:r>
    </w:p>
    <w:p w14:paraId="06E7A69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FE72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26134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序号</w:t>
            </w:r>
          </w:p>
        </w:tc>
        <w:tc>
          <w:tcPr>
            <w:tcW w:w="2076" w:type="dxa"/>
          </w:tcPr>
          <w:p w14:paraId="70D3CD1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符号标识</w:t>
            </w:r>
          </w:p>
        </w:tc>
        <w:tc>
          <w:tcPr>
            <w:tcW w:w="2076" w:type="dxa"/>
          </w:tcPr>
          <w:p w14:paraId="23F256D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商务要求名称</w:t>
            </w:r>
          </w:p>
        </w:tc>
        <w:tc>
          <w:tcPr>
            <w:tcW w:w="2076" w:type="dxa"/>
          </w:tcPr>
          <w:p w14:paraId="484F096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商务要求内容</w:t>
            </w:r>
          </w:p>
        </w:tc>
      </w:tr>
      <w:tr w14:paraId="6E1CA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D174CB">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w:t>
            </w:r>
          </w:p>
        </w:tc>
        <w:tc>
          <w:tcPr>
            <w:tcW w:w="2076" w:type="dxa"/>
          </w:tcPr>
          <w:p w14:paraId="27197C9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64E7B2D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交货时间</w:t>
            </w:r>
          </w:p>
        </w:tc>
        <w:tc>
          <w:tcPr>
            <w:tcW w:w="2076" w:type="dxa"/>
          </w:tcPr>
          <w:p w14:paraId="29863EC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30日</w:t>
            </w:r>
          </w:p>
        </w:tc>
      </w:tr>
      <w:tr w14:paraId="7816AE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0A4E14">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2</w:t>
            </w:r>
          </w:p>
        </w:tc>
        <w:tc>
          <w:tcPr>
            <w:tcW w:w="2076" w:type="dxa"/>
          </w:tcPr>
          <w:p w14:paraId="5A16197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29CAE2D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交货地点</w:t>
            </w:r>
          </w:p>
        </w:tc>
        <w:tc>
          <w:tcPr>
            <w:tcW w:w="2076" w:type="dxa"/>
          </w:tcPr>
          <w:p w14:paraId="45E8CC5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中共丹巴县纪律检查委员会</w:t>
            </w:r>
          </w:p>
        </w:tc>
      </w:tr>
      <w:tr w14:paraId="60E97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5F8E8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3</w:t>
            </w:r>
          </w:p>
        </w:tc>
        <w:tc>
          <w:tcPr>
            <w:tcW w:w="2076" w:type="dxa"/>
          </w:tcPr>
          <w:p w14:paraId="424BA07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1608DFE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支付方式</w:t>
            </w:r>
          </w:p>
        </w:tc>
        <w:tc>
          <w:tcPr>
            <w:tcW w:w="2076" w:type="dxa"/>
          </w:tcPr>
          <w:p w14:paraId="08E65269">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分期付款</w:t>
            </w:r>
          </w:p>
        </w:tc>
      </w:tr>
      <w:tr w14:paraId="5B840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DA45A9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4</w:t>
            </w:r>
          </w:p>
        </w:tc>
        <w:tc>
          <w:tcPr>
            <w:tcW w:w="2076" w:type="dxa"/>
          </w:tcPr>
          <w:p w14:paraId="0BA35F2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15E2D77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付款进度安排</w:t>
            </w:r>
          </w:p>
        </w:tc>
        <w:tc>
          <w:tcPr>
            <w:tcW w:w="2076" w:type="dxa"/>
          </w:tcPr>
          <w:p w14:paraId="3E343B1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1、预付款付款条件：合同签订后。达到该付款条件起10个工作日内，支付合同总金额的40.0%</w:t>
            </w:r>
            <w:r>
              <w:rPr>
                <w:color w:val="000000" w:themeColor="text1"/>
                <w14:textFill>
                  <w14:solidFill>
                    <w14:schemeClr w14:val="tx1"/>
                  </w14:solidFill>
                </w14:textFill>
              </w:rPr>
              <w:br w:type="textWrapping"/>
            </w:r>
            <w:r>
              <w:rPr>
                <w:rFonts w:ascii="仿宋_GB2312" w:hAnsi="仿宋_GB2312" w:eastAsia="仿宋_GB2312" w:cs="仿宋_GB2312"/>
                <w:color w:val="000000" w:themeColor="text1"/>
                <w14:textFill>
                  <w14:solidFill>
                    <w14:schemeClr w14:val="tx1"/>
                  </w14:solidFill>
                </w14:textFill>
              </w:rPr>
              <w:t>2、自定义付款条件：货物送达至采购人指定地点并验收合格后，采购人财务部在收到正规发票等结算资料。达到该付款条件起10个工作日内，支付合同总金额的60.0%</w:t>
            </w:r>
            <w:r>
              <w:rPr>
                <w:color w:val="000000" w:themeColor="text1"/>
                <w14:textFill>
                  <w14:solidFill>
                    <w14:schemeClr w14:val="tx1"/>
                  </w14:solidFill>
                </w14:textFill>
              </w:rPr>
              <w:br w:type="textWrapping"/>
            </w:r>
          </w:p>
        </w:tc>
      </w:tr>
      <w:tr w14:paraId="100195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F0A63E">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5</w:t>
            </w:r>
          </w:p>
        </w:tc>
        <w:tc>
          <w:tcPr>
            <w:tcW w:w="2076" w:type="dxa"/>
          </w:tcPr>
          <w:p w14:paraId="089041E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706E807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验收、交付标准和方法</w:t>
            </w:r>
          </w:p>
        </w:tc>
        <w:tc>
          <w:tcPr>
            <w:tcW w:w="2076" w:type="dxa"/>
          </w:tcPr>
          <w:p w14:paraId="17194F1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①中标人负责货物安装、调试。 ②货物安装调试完毕后，中标人应对采购人操作人员进行现场培训，直至采购人的技术人员能独立操作，同时能完成一般常见故障的维修工作。 ③完成中标产品所有安装、调试、培训后，采购人组织项目验收。 ④严格按照本项目采购方招标文件的质量要求和技术指标、供应商的投标文件及承诺与本项目合同约定标准，以及政府采购相关法律法规，《政府采购需求管理办法》（财库〔2021〕22号）、《财政部关于进一步加强政府采购需求和履约验收管理的指导意见》(财库〔2016〕205 号)的要求进行验收。</w:t>
            </w:r>
          </w:p>
        </w:tc>
      </w:tr>
      <w:tr w14:paraId="3978D9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8859C8">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6</w:t>
            </w:r>
          </w:p>
        </w:tc>
        <w:tc>
          <w:tcPr>
            <w:tcW w:w="2076" w:type="dxa"/>
          </w:tcPr>
          <w:p w14:paraId="16CA47F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55C679E5">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包装方式及运输</w:t>
            </w:r>
          </w:p>
        </w:tc>
        <w:tc>
          <w:tcPr>
            <w:tcW w:w="2076" w:type="dxa"/>
          </w:tcPr>
          <w:p w14:paraId="1330C736">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36AD0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590DD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7</w:t>
            </w:r>
          </w:p>
        </w:tc>
        <w:tc>
          <w:tcPr>
            <w:tcW w:w="2076" w:type="dxa"/>
          </w:tcPr>
          <w:p w14:paraId="1C188152">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106BC5AD">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质量保修范围和保修期</w:t>
            </w:r>
          </w:p>
        </w:tc>
        <w:tc>
          <w:tcPr>
            <w:tcW w:w="2076" w:type="dxa"/>
          </w:tcPr>
          <w:p w14:paraId="146A9981">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不低于3年(质保期为验收合格之日起开始计算)。质保期内出现质量问题，供应商在接到通知后24小时内响应到场，72小时内完成维修或更换，并承担修理调换的费用。供应商须指派专人负责与采购人联系售后服务事宜。成交方须提供全新的货物（含零部件、配件等），表面无划伤、无碰撞痕迹，且权属清楚，不得侵害他人的知识产权。货物必须符合国家（行业）标准，以及合同的质量要求和技术指标与出厂标准。</w:t>
            </w:r>
          </w:p>
        </w:tc>
      </w:tr>
      <w:tr w14:paraId="56AFB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00F360">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8</w:t>
            </w:r>
          </w:p>
        </w:tc>
        <w:tc>
          <w:tcPr>
            <w:tcW w:w="2076" w:type="dxa"/>
          </w:tcPr>
          <w:p w14:paraId="42CE758F">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w:t>
            </w:r>
          </w:p>
        </w:tc>
        <w:tc>
          <w:tcPr>
            <w:tcW w:w="2076" w:type="dxa"/>
          </w:tcPr>
          <w:p w14:paraId="62D4109A">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违约责任与解决争议的方法</w:t>
            </w:r>
          </w:p>
        </w:tc>
        <w:tc>
          <w:tcPr>
            <w:tcW w:w="2076" w:type="dxa"/>
          </w:tcPr>
          <w:p w14:paraId="6FF1F937">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①违约责任：双方必须遵守合同中的各项规定，保证合同的正常履行。如因成交供应商工作人员在履行职务过程的疏忽、失职、过错等故意或者过失原因给采购人造成损失或侵害，包括不限于采购人本身的财产损失、由此而导致的采购人对任何第三方的法律责任等，成交供应商对此均应承担全部的赔偿责任。②投标人如存在可能影响中标、成交结果、合同履行的失信行为，将按合同总金额的5%扣除失信违约金，如果失信违约金不足以弥补采购人损失的，由投标人向采购人足额赔偿经济损失。③投标人不能交付货物或逾期交付货物而违约的，除应及时交足货物外，应向采购人支付500元/天的违约金及赔偿由此给采购人造成的全部损失；逾期交货超过60天，采购人有权终止合同，投标人则应按本项目预算的20%的金额向采购人支付违约金。④如中标后因投标人自身原因，直接影响采购人工作，对采购人造成直接或间接经济损失及负面影响，采购人有权无条件解除合同，并要求中标人承担全部赔偿责任。⑤争议解决方法：合同履行期间，双方发生争议，可协商或由有关部门调解解决，协商或调解不成的，由当事人依法维护其合法权益，并在采购人所在地人民法院提起诉讼。</w:t>
            </w:r>
          </w:p>
        </w:tc>
      </w:tr>
    </w:tbl>
    <w:p w14:paraId="25FC6DA4">
      <w:pPr>
        <w:pStyle w:val="4"/>
        <w:jc w:val="left"/>
        <w:outlineLvl w:val="2"/>
        <w:rPr>
          <w:color w:val="000000" w:themeColor="text1"/>
          <w14:textFill>
            <w14:solidFill>
              <w14:schemeClr w14:val="tx1"/>
            </w14:solidFill>
          </w14:textFill>
        </w:rPr>
      </w:pPr>
      <w:r>
        <w:rPr>
          <w:rFonts w:ascii="仿宋_GB2312" w:hAnsi="仿宋_GB2312" w:eastAsia="仿宋_GB2312" w:cs="仿宋_GB2312"/>
          <w:b/>
          <w:color w:val="000000" w:themeColor="text1"/>
          <w:sz w:val="28"/>
          <w14:textFill>
            <w14:solidFill>
              <w14:schemeClr w14:val="tx1"/>
            </w14:solidFill>
          </w14:textFill>
        </w:rPr>
        <w:t>3.4.其他要求</w:t>
      </w:r>
    </w:p>
    <w:p w14:paraId="1A14F703">
      <w:pPr>
        <w:pStyle w:val="4"/>
        <w:jc w:val="left"/>
        <w:rPr>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★因系统固化，本项目商务要求内容以“3.2.技术要求”中的商务要求内容为准，原“3.3.2.商务要求”内容无须响应。</w:t>
      </w:r>
    </w:p>
    <w:p w14:paraId="52AF8700">
      <w:pPr>
        <w:rPr>
          <w:color w:val="000000" w:themeColor="text1"/>
          <w14:textFill>
            <w14:solidFill>
              <w14:schemeClr w14:val="tx1"/>
            </w14:solidFill>
          </w14:textFill>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8A38E7"/>
    <w:rsid w:val="098A38E7"/>
    <w:rsid w:val="18357CB5"/>
    <w:rsid w:val="5FA21A4C"/>
    <w:rsid w:val="71B219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2659</Words>
  <Characters>3857</Characters>
  <Lines>0</Lines>
  <Paragraphs>0</Paragraphs>
  <TotalTime>0</TotalTime>
  <ScaleCrop>false</ScaleCrop>
  <LinksUpToDate>false</LinksUpToDate>
  <CharactersWithSpaces>3866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2026-07-30T02:02:00Z</dcterms:created>
  <dc:creator>乱七八糟</dc:creator>
  <cp:lastModifiedBy>乱七八糟</cp:lastModifiedBy>
  <dcterms:modified xsi:type="dcterms:W3CDTF">2026-08-03T03:21:55Z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6B089678C8B54906A10344114375882A_11</vt:lpwstr>
  </property>
  <property fmtid="{D5CDD505-2E9C-101B-9397-08002B2CF9AE}" pid="4" name="KSOTemplateDocerSaveRecord">
    <vt:lpwstr>eyJoZGlkIjoiMDExNTk4ODIzMjJhNmNjNjRkODA3NDBlODVlMzdiNDYiLCJ1c2VySWQiOiIyNDMyMzU5MTgifQ==</vt:lpwstr>
  </property>
</Properties>
</file>