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E5A194">
      <w:pPr>
        <w:pStyle w:val="4"/>
        <w:jc w:val="center"/>
        <w:outlineLvl w:val="1"/>
      </w:pPr>
      <w:r>
        <w:rPr>
          <w:rFonts w:ascii="仿宋_GB2312" w:hAnsi="仿宋_GB2312" w:eastAsia="仿宋_GB2312" w:cs="仿宋_GB2312"/>
          <w:b/>
          <w:sz w:val="36"/>
        </w:rPr>
        <w:t>第三章 技术、服务及其他要求</w:t>
      </w:r>
    </w:p>
    <w:p w14:paraId="579603CB">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3EC1FBC">
      <w:pPr>
        <w:pStyle w:val="4"/>
        <w:jc w:val="left"/>
        <w:outlineLvl w:val="2"/>
      </w:pPr>
      <w:r>
        <w:rPr>
          <w:rFonts w:ascii="仿宋_GB2312" w:hAnsi="仿宋_GB2312" w:eastAsia="仿宋_GB2312" w:cs="仿宋_GB2312"/>
          <w:b/>
          <w:sz w:val="28"/>
        </w:rPr>
        <w:t>3.1.采购内容</w:t>
      </w:r>
      <w:bookmarkStart w:id="0" w:name="_GoBack"/>
      <w:bookmarkEnd w:id="0"/>
    </w:p>
    <w:p w14:paraId="4CA1BBFA">
      <w:pPr>
        <w:pStyle w:val="4"/>
        <w:jc w:val="left"/>
      </w:pPr>
      <w:r>
        <w:rPr>
          <w:rFonts w:ascii="仿宋_GB2312" w:hAnsi="仿宋_GB2312" w:eastAsia="仿宋_GB2312" w:cs="仿宋_GB2312"/>
        </w:rPr>
        <w:t>采购包1：</w:t>
      </w:r>
    </w:p>
    <w:p w14:paraId="715401D9">
      <w:pPr>
        <w:pStyle w:val="4"/>
        <w:jc w:val="left"/>
      </w:pPr>
      <w:r>
        <w:rPr>
          <w:rFonts w:ascii="仿宋_GB2312" w:hAnsi="仿宋_GB2312" w:eastAsia="仿宋_GB2312" w:cs="仿宋_GB2312"/>
        </w:rPr>
        <w:t>采购包预算金额（元）: 480,000.00</w:t>
      </w:r>
    </w:p>
    <w:p w14:paraId="47AD5DFA">
      <w:pPr>
        <w:pStyle w:val="4"/>
        <w:jc w:val="left"/>
      </w:pPr>
      <w:r>
        <w:rPr>
          <w:rFonts w:ascii="仿宋_GB2312" w:hAnsi="仿宋_GB2312" w:eastAsia="仿宋_GB2312" w:cs="仿宋_GB2312"/>
        </w:rPr>
        <w:t>采购包最高限价（元）: 480,000.00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6604AE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2C84776">
            <w:pPr>
              <w:pStyle w:val="4"/>
              <w:jc w:val="center"/>
            </w:pPr>
            <w:r>
              <w:rPr>
                <w:rFonts w:ascii="仿宋_GB2312" w:hAnsi="仿宋_GB2312" w:eastAsia="仿宋_GB2312" w:cs="仿宋_GB2312"/>
              </w:rPr>
              <w:t>序号</w:t>
            </w:r>
          </w:p>
        </w:tc>
        <w:tc>
          <w:tcPr>
            <w:tcW w:w="821" w:type="dxa"/>
          </w:tcPr>
          <w:p w14:paraId="0AE9B958">
            <w:pPr>
              <w:pStyle w:val="4"/>
              <w:jc w:val="center"/>
            </w:pPr>
            <w:r>
              <w:rPr>
                <w:rFonts w:ascii="仿宋_GB2312" w:hAnsi="仿宋_GB2312" w:eastAsia="仿宋_GB2312" w:cs="仿宋_GB2312"/>
              </w:rPr>
              <w:t>采购品目名称</w:t>
            </w:r>
          </w:p>
        </w:tc>
        <w:tc>
          <w:tcPr>
            <w:tcW w:w="821" w:type="dxa"/>
          </w:tcPr>
          <w:p w14:paraId="08478202">
            <w:pPr>
              <w:pStyle w:val="4"/>
              <w:jc w:val="center"/>
            </w:pPr>
            <w:r>
              <w:rPr>
                <w:rFonts w:ascii="仿宋_GB2312" w:hAnsi="仿宋_GB2312" w:eastAsia="仿宋_GB2312" w:cs="仿宋_GB2312"/>
              </w:rPr>
              <w:t>标的名称</w:t>
            </w:r>
          </w:p>
        </w:tc>
        <w:tc>
          <w:tcPr>
            <w:tcW w:w="821" w:type="dxa"/>
          </w:tcPr>
          <w:p w14:paraId="278B2C5B">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141863B9">
            <w:pPr>
              <w:pStyle w:val="4"/>
              <w:jc w:val="center"/>
            </w:pPr>
            <w:r>
              <w:rPr>
                <w:rFonts w:ascii="仿宋_GB2312" w:hAnsi="仿宋_GB2312" w:eastAsia="仿宋_GB2312" w:cs="仿宋_GB2312"/>
              </w:rPr>
              <w:t>标的金额 （元）</w:t>
            </w:r>
          </w:p>
        </w:tc>
        <w:tc>
          <w:tcPr>
            <w:tcW w:w="821" w:type="dxa"/>
          </w:tcPr>
          <w:p w14:paraId="7A9BAAC3">
            <w:pPr>
              <w:pStyle w:val="4"/>
              <w:jc w:val="center"/>
            </w:pPr>
            <w:r>
              <w:rPr>
                <w:rFonts w:ascii="仿宋_GB2312" w:hAnsi="仿宋_GB2312" w:eastAsia="仿宋_GB2312" w:cs="仿宋_GB2312"/>
              </w:rPr>
              <w:t>所属行业</w:t>
            </w:r>
          </w:p>
        </w:tc>
        <w:tc>
          <w:tcPr>
            <w:tcW w:w="821" w:type="dxa"/>
          </w:tcPr>
          <w:p w14:paraId="5AD481FD">
            <w:pPr>
              <w:pStyle w:val="4"/>
              <w:jc w:val="center"/>
            </w:pPr>
            <w:r>
              <w:rPr>
                <w:rFonts w:ascii="仿宋_GB2312" w:hAnsi="仿宋_GB2312" w:eastAsia="仿宋_GB2312" w:cs="仿宋_GB2312"/>
              </w:rPr>
              <w:t>是否涉及核心产品</w:t>
            </w:r>
          </w:p>
        </w:tc>
        <w:tc>
          <w:tcPr>
            <w:tcW w:w="821" w:type="dxa"/>
          </w:tcPr>
          <w:p w14:paraId="1307A430">
            <w:pPr>
              <w:pStyle w:val="4"/>
              <w:jc w:val="center"/>
            </w:pPr>
            <w:r>
              <w:rPr>
                <w:rFonts w:ascii="仿宋_GB2312" w:hAnsi="仿宋_GB2312" w:eastAsia="仿宋_GB2312" w:cs="仿宋_GB2312"/>
              </w:rPr>
              <w:t>是否涉及采购进口产品</w:t>
            </w:r>
          </w:p>
        </w:tc>
        <w:tc>
          <w:tcPr>
            <w:tcW w:w="821" w:type="dxa"/>
          </w:tcPr>
          <w:p w14:paraId="1E77DFEB">
            <w:pPr>
              <w:pStyle w:val="4"/>
              <w:jc w:val="center"/>
            </w:pPr>
            <w:r>
              <w:rPr>
                <w:rFonts w:ascii="仿宋_GB2312" w:hAnsi="仿宋_GB2312" w:eastAsia="仿宋_GB2312" w:cs="仿宋_GB2312"/>
              </w:rPr>
              <w:t>是否涉及强制采购节能产品</w:t>
            </w:r>
          </w:p>
        </w:tc>
        <w:tc>
          <w:tcPr>
            <w:tcW w:w="639" w:type="dxa"/>
          </w:tcPr>
          <w:p w14:paraId="67946A2E">
            <w:pPr>
              <w:pStyle w:val="4"/>
              <w:jc w:val="center"/>
            </w:pPr>
            <w:r>
              <w:rPr>
                <w:rFonts w:ascii="仿宋_GB2312" w:hAnsi="仿宋_GB2312" w:eastAsia="仿宋_GB2312" w:cs="仿宋_GB2312"/>
              </w:rPr>
              <w:t>是否涉及优先采购节能产品</w:t>
            </w:r>
          </w:p>
        </w:tc>
        <w:tc>
          <w:tcPr>
            <w:tcW w:w="639" w:type="dxa"/>
          </w:tcPr>
          <w:p w14:paraId="7440E2E0">
            <w:pPr>
              <w:pStyle w:val="4"/>
              <w:jc w:val="center"/>
            </w:pPr>
            <w:r>
              <w:rPr>
                <w:rFonts w:ascii="仿宋_GB2312" w:hAnsi="仿宋_GB2312" w:eastAsia="仿宋_GB2312" w:cs="仿宋_GB2312"/>
              </w:rPr>
              <w:t>是否涉及优先采购环境标志产品</w:t>
            </w:r>
          </w:p>
        </w:tc>
      </w:tr>
      <w:tr w14:paraId="499F02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71D532F">
            <w:pPr>
              <w:pStyle w:val="4"/>
              <w:jc w:val="left"/>
            </w:pPr>
            <w:r>
              <w:rPr>
                <w:rFonts w:ascii="仿宋_GB2312" w:hAnsi="仿宋_GB2312" w:eastAsia="仿宋_GB2312" w:cs="仿宋_GB2312"/>
              </w:rPr>
              <w:t>1</w:t>
            </w:r>
          </w:p>
        </w:tc>
        <w:tc>
          <w:tcPr>
            <w:tcW w:w="821" w:type="dxa"/>
          </w:tcPr>
          <w:p w14:paraId="4DA02073">
            <w:pPr>
              <w:pStyle w:val="4"/>
              <w:jc w:val="left"/>
            </w:pPr>
            <w:r>
              <w:rPr>
                <w:rFonts w:ascii="仿宋_GB2312" w:hAnsi="仿宋_GB2312" w:eastAsia="仿宋_GB2312" w:cs="仿宋_GB2312"/>
              </w:rPr>
              <w:t>A07060199 其他农副食品，动、植物油制品</w:t>
            </w:r>
          </w:p>
        </w:tc>
        <w:tc>
          <w:tcPr>
            <w:tcW w:w="821" w:type="dxa"/>
          </w:tcPr>
          <w:p w14:paraId="4A601F6E">
            <w:pPr>
              <w:pStyle w:val="4"/>
              <w:jc w:val="left"/>
            </w:pPr>
            <w:r>
              <w:rPr>
                <w:rFonts w:ascii="仿宋_GB2312" w:hAnsi="仿宋_GB2312" w:eastAsia="仿宋_GB2312" w:cs="仿宋_GB2312"/>
              </w:rPr>
              <w:t>牛奶、面包（具体标的名称以技术要求的采购清单为准）</w:t>
            </w:r>
          </w:p>
        </w:tc>
        <w:tc>
          <w:tcPr>
            <w:tcW w:w="821" w:type="dxa"/>
          </w:tcPr>
          <w:p w14:paraId="4C3A3B9B">
            <w:pPr>
              <w:pStyle w:val="4"/>
              <w:jc w:val="right"/>
            </w:pPr>
            <w:r>
              <w:rPr>
                <w:rFonts w:ascii="仿宋_GB2312" w:hAnsi="仿宋_GB2312" w:eastAsia="仿宋_GB2312" w:cs="仿宋_GB2312"/>
              </w:rPr>
              <w:t>1.00（批）</w:t>
            </w:r>
          </w:p>
        </w:tc>
        <w:tc>
          <w:tcPr>
            <w:tcW w:w="821" w:type="dxa"/>
          </w:tcPr>
          <w:p w14:paraId="3FE8E4C5">
            <w:pPr>
              <w:pStyle w:val="4"/>
              <w:jc w:val="right"/>
            </w:pPr>
            <w:r>
              <w:rPr>
                <w:rFonts w:ascii="仿宋_GB2312" w:hAnsi="仿宋_GB2312" w:eastAsia="仿宋_GB2312" w:cs="仿宋_GB2312"/>
              </w:rPr>
              <w:t>480,000.00</w:t>
            </w:r>
          </w:p>
        </w:tc>
        <w:tc>
          <w:tcPr>
            <w:tcW w:w="821" w:type="dxa"/>
          </w:tcPr>
          <w:p w14:paraId="4B442B4A">
            <w:pPr>
              <w:pStyle w:val="4"/>
              <w:jc w:val="left"/>
            </w:pPr>
            <w:r>
              <w:rPr>
                <w:rFonts w:ascii="仿宋_GB2312" w:hAnsi="仿宋_GB2312" w:eastAsia="仿宋_GB2312" w:cs="仿宋_GB2312"/>
              </w:rPr>
              <w:t>工业</w:t>
            </w:r>
          </w:p>
        </w:tc>
        <w:tc>
          <w:tcPr>
            <w:tcW w:w="821" w:type="dxa"/>
          </w:tcPr>
          <w:p w14:paraId="2E757278">
            <w:pPr>
              <w:pStyle w:val="4"/>
              <w:jc w:val="left"/>
            </w:pPr>
            <w:r>
              <w:rPr>
                <w:rFonts w:ascii="仿宋_GB2312" w:hAnsi="仿宋_GB2312" w:eastAsia="仿宋_GB2312" w:cs="仿宋_GB2312"/>
              </w:rPr>
              <w:t>是</w:t>
            </w:r>
          </w:p>
        </w:tc>
        <w:tc>
          <w:tcPr>
            <w:tcW w:w="821" w:type="dxa"/>
          </w:tcPr>
          <w:p w14:paraId="39F13E6E">
            <w:pPr>
              <w:pStyle w:val="4"/>
              <w:jc w:val="left"/>
            </w:pPr>
            <w:r>
              <w:rPr>
                <w:rFonts w:ascii="仿宋_GB2312" w:hAnsi="仿宋_GB2312" w:eastAsia="仿宋_GB2312" w:cs="仿宋_GB2312"/>
              </w:rPr>
              <w:t>否</w:t>
            </w:r>
          </w:p>
        </w:tc>
        <w:tc>
          <w:tcPr>
            <w:tcW w:w="821" w:type="dxa"/>
          </w:tcPr>
          <w:p w14:paraId="1CF5C683">
            <w:pPr>
              <w:pStyle w:val="4"/>
              <w:jc w:val="left"/>
            </w:pPr>
            <w:r>
              <w:rPr>
                <w:rFonts w:ascii="仿宋_GB2312" w:hAnsi="仿宋_GB2312" w:eastAsia="仿宋_GB2312" w:cs="仿宋_GB2312"/>
              </w:rPr>
              <w:t>否</w:t>
            </w:r>
          </w:p>
        </w:tc>
        <w:tc>
          <w:tcPr>
            <w:tcW w:w="639" w:type="dxa"/>
          </w:tcPr>
          <w:p w14:paraId="1C163828">
            <w:pPr>
              <w:pStyle w:val="4"/>
              <w:jc w:val="left"/>
            </w:pPr>
            <w:r>
              <w:rPr>
                <w:rFonts w:ascii="仿宋_GB2312" w:hAnsi="仿宋_GB2312" w:eastAsia="仿宋_GB2312" w:cs="仿宋_GB2312"/>
              </w:rPr>
              <w:t>否</w:t>
            </w:r>
          </w:p>
        </w:tc>
        <w:tc>
          <w:tcPr>
            <w:tcW w:w="639" w:type="dxa"/>
          </w:tcPr>
          <w:p w14:paraId="12DB9EAE">
            <w:pPr>
              <w:pStyle w:val="4"/>
              <w:jc w:val="left"/>
            </w:pPr>
            <w:r>
              <w:rPr>
                <w:rFonts w:ascii="仿宋_GB2312" w:hAnsi="仿宋_GB2312" w:eastAsia="仿宋_GB2312" w:cs="仿宋_GB2312"/>
              </w:rPr>
              <w:t>否</w:t>
            </w:r>
          </w:p>
        </w:tc>
      </w:tr>
    </w:tbl>
    <w:p w14:paraId="372F081E">
      <w:pPr>
        <w:pStyle w:val="4"/>
        <w:jc w:val="left"/>
        <w:outlineLvl w:val="3"/>
      </w:pPr>
      <w:r>
        <w:rPr>
          <w:rFonts w:ascii="仿宋_GB2312" w:hAnsi="仿宋_GB2312" w:eastAsia="仿宋_GB2312" w:cs="仿宋_GB2312"/>
          <w:b/>
          <w:sz w:val="24"/>
        </w:rPr>
        <w:t>报价要求</w:t>
      </w:r>
    </w:p>
    <w:p w14:paraId="6A38AF6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1C799C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7853F905">
            <w:pPr>
              <w:pStyle w:val="4"/>
              <w:jc w:val="center"/>
            </w:pPr>
            <w:r>
              <w:rPr>
                <w:rFonts w:ascii="仿宋_GB2312" w:hAnsi="仿宋_GB2312" w:eastAsia="仿宋_GB2312" w:cs="仿宋_GB2312"/>
              </w:rPr>
              <w:t>序号</w:t>
            </w:r>
          </w:p>
        </w:tc>
        <w:tc>
          <w:tcPr>
            <w:tcW w:w="1759" w:type="dxa"/>
          </w:tcPr>
          <w:p w14:paraId="554A22F3">
            <w:pPr>
              <w:pStyle w:val="4"/>
              <w:jc w:val="center"/>
            </w:pPr>
            <w:r>
              <w:rPr>
                <w:rFonts w:ascii="仿宋_GB2312" w:hAnsi="仿宋_GB2312" w:eastAsia="仿宋_GB2312" w:cs="仿宋_GB2312"/>
              </w:rPr>
              <w:t>报价内容</w:t>
            </w:r>
          </w:p>
        </w:tc>
        <w:tc>
          <w:tcPr>
            <w:tcW w:w="977" w:type="dxa"/>
          </w:tcPr>
          <w:p w14:paraId="480392D6">
            <w:pPr>
              <w:pStyle w:val="4"/>
              <w:jc w:val="center"/>
            </w:pPr>
            <w:r>
              <w:rPr>
                <w:rFonts w:ascii="仿宋_GB2312" w:hAnsi="仿宋_GB2312" w:eastAsia="仿宋_GB2312" w:cs="仿宋_GB2312"/>
              </w:rPr>
              <w:t>计量单位</w:t>
            </w:r>
          </w:p>
        </w:tc>
        <w:tc>
          <w:tcPr>
            <w:tcW w:w="977" w:type="dxa"/>
          </w:tcPr>
          <w:p w14:paraId="550F92DD">
            <w:pPr>
              <w:pStyle w:val="4"/>
              <w:jc w:val="center"/>
            </w:pPr>
            <w:r>
              <w:rPr>
                <w:rFonts w:ascii="仿宋_GB2312" w:hAnsi="仿宋_GB2312" w:eastAsia="仿宋_GB2312" w:cs="仿宋_GB2312"/>
              </w:rPr>
              <w:t>报价单位</w:t>
            </w:r>
          </w:p>
        </w:tc>
        <w:tc>
          <w:tcPr>
            <w:tcW w:w="1466" w:type="dxa"/>
          </w:tcPr>
          <w:p w14:paraId="4E79D303">
            <w:pPr>
              <w:pStyle w:val="4"/>
              <w:jc w:val="center"/>
            </w:pPr>
            <w:r>
              <w:rPr>
                <w:rFonts w:ascii="仿宋_GB2312" w:hAnsi="仿宋_GB2312" w:eastAsia="仿宋_GB2312" w:cs="仿宋_GB2312"/>
              </w:rPr>
              <w:t>最高限价</w:t>
            </w:r>
          </w:p>
        </w:tc>
        <w:tc>
          <w:tcPr>
            <w:tcW w:w="977" w:type="dxa"/>
          </w:tcPr>
          <w:p w14:paraId="68C6BC01">
            <w:pPr>
              <w:pStyle w:val="4"/>
              <w:jc w:val="center"/>
            </w:pPr>
            <w:r>
              <w:rPr>
                <w:rFonts w:ascii="仿宋_GB2312" w:hAnsi="仿宋_GB2312" w:eastAsia="仿宋_GB2312" w:cs="仿宋_GB2312"/>
              </w:rPr>
              <w:t>价款形式</w:t>
            </w:r>
          </w:p>
        </w:tc>
        <w:tc>
          <w:tcPr>
            <w:tcW w:w="1466" w:type="dxa"/>
          </w:tcPr>
          <w:p w14:paraId="7CAF3783">
            <w:pPr>
              <w:pStyle w:val="4"/>
              <w:jc w:val="center"/>
            </w:pPr>
            <w:r>
              <w:rPr>
                <w:rFonts w:ascii="仿宋_GB2312" w:hAnsi="仿宋_GB2312" w:eastAsia="仿宋_GB2312" w:cs="仿宋_GB2312"/>
              </w:rPr>
              <w:t>报价说明</w:t>
            </w:r>
          </w:p>
        </w:tc>
      </w:tr>
      <w:tr w14:paraId="60FE8C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7101D5A4">
            <w:pPr>
              <w:pStyle w:val="4"/>
              <w:jc w:val="center"/>
            </w:pPr>
            <w:r>
              <w:rPr>
                <w:rFonts w:ascii="仿宋_GB2312" w:hAnsi="仿宋_GB2312" w:eastAsia="仿宋_GB2312" w:cs="仿宋_GB2312"/>
              </w:rPr>
              <w:t>1</w:t>
            </w:r>
          </w:p>
        </w:tc>
        <w:tc>
          <w:tcPr>
            <w:tcW w:w="1759" w:type="dxa"/>
          </w:tcPr>
          <w:p w14:paraId="7F18AA72">
            <w:pPr>
              <w:pStyle w:val="4"/>
              <w:jc w:val="center"/>
            </w:pPr>
            <w:r>
              <w:rPr>
                <w:rFonts w:ascii="仿宋_GB2312" w:hAnsi="仿宋_GB2312" w:eastAsia="仿宋_GB2312" w:cs="仿宋_GB2312"/>
              </w:rPr>
              <w:t>牛奶、面包（具体标的名称以技术要求的采购清单为准）</w:t>
            </w:r>
          </w:p>
        </w:tc>
        <w:tc>
          <w:tcPr>
            <w:tcW w:w="977" w:type="dxa"/>
          </w:tcPr>
          <w:p w14:paraId="511CDEBF">
            <w:pPr>
              <w:pStyle w:val="4"/>
              <w:jc w:val="center"/>
            </w:pPr>
            <w:r>
              <w:rPr>
                <w:rFonts w:ascii="仿宋_GB2312" w:hAnsi="仿宋_GB2312" w:eastAsia="仿宋_GB2312" w:cs="仿宋_GB2312"/>
              </w:rPr>
              <w:t>批</w:t>
            </w:r>
          </w:p>
        </w:tc>
        <w:tc>
          <w:tcPr>
            <w:tcW w:w="977" w:type="dxa"/>
          </w:tcPr>
          <w:p w14:paraId="248D9CB7">
            <w:pPr>
              <w:pStyle w:val="4"/>
              <w:jc w:val="center"/>
            </w:pPr>
            <w:r>
              <w:rPr>
                <w:rFonts w:ascii="仿宋_GB2312" w:hAnsi="仿宋_GB2312" w:eastAsia="仿宋_GB2312" w:cs="仿宋_GB2312"/>
              </w:rPr>
              <w:t>%</w:t>
            </w:r>
          </w:p>
        </w:tc>
        <w:tc>
          <w:tcPr>
            <w:tcW w:w="1466" w:type="dxa"/>
          </w:tcPr>
          <w:p w14:paraId="28A91EED">
            <w:pPr>
              <w:pStyle w:val="4"/>
              <w:jc w:val="center"/>
            </w:pPr>
            <w:r>
              <w:rPr>
                <w:rFonts w:ascii="仿宋_GB2312" w:hAnsi="仿宋_GB2312" w:eastAsia="仿宋_GB2312" w:cs="仿宋_GB2312"/>
              </w:rPr>
              <w:t>100.00</w:t>
            </w:r>
          </w:p>
        </w:tc>
        <w:tc>
          <w:tcPr>
            <w:tcW w:w="977" w:type="dxa"/>
          </w:tcPr>
          <w:p w14:paraId="4228A81D">
            <w:pPr>
              <w:pStyle w:val="4"/>
              <w:jc w:val="center"/>
            </w:pPr>
            <w:r>
              <w:rPr>
                <w:rFonts w:ascii="仿宋_GB2312" w:hAnsi="仿宋_GB2312" w:eastAsia="仿宋_GB2312" w:cs="仿宋_GB2312"/>
              </w:rPr>
              <w:t>百分比</w:t>
            </w:r>
          </w:p>
        </w:tc>
        <w:tc>
          <w:tcPr>
            <w:tcW w:w="1466" w:type="dxa"/>
          </w:tcPr>
          <w:p w14:paraId="58F4A802">
            <w:pPr>
              <w:pStyle w:val="4"/>
              <w:jc w:val="left"/>
            </w:pPr>
            <w:r>
              <w:rPr>
                <w:rFonts w:ascii="仿宋_GB2312" w:hAnsi="仿宋_GB2312" w:eastAsia="仿宋_GB2312" w:cs="仿宋_GB2312"/>
              </w:rPr>
              <w:t>本项目报结算比例。结算价的确定：结算单价=基准价*中标结算比例，当月结算金额=结算单价*实际供应数量。投标人所报的结算比例是唯一的，如有多个结算比例，其报价无效，投标文件作无效投标处理。投标报价应包含配送食材本身的费用、包装费、车辆运输费、运输过程保险费、质量保证费、可能的法定部门检测验收费用、相关的伴随加工服务费、搬运费和配送食材本身已支付或将支付的各种税费以及其他交付使用前的所有费用。</w:t>
            </w:r>
          </w:p>
        </w:tc>
      </w:tr>
    </w:tbl>
    <w:p w14:paraId="4ABC7779">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45A661CF">
      <w:pPr>
        <w:pStyle w:val="4"/>
        <w:jc w:val="left"/>
        <w:outlineLvl w:val="3"/>
      </w:pPr>
      <w:r>
        <w:rPr>
          <w:rFonts w:ascii="仿宋_GB2312" w:hAnsi="仿宋_GB2312" w:eastAsia="仿宋_GB2312" w:cs="仿宋_GB2312"/>
          <w:b/>
          <w:sz w:val="24"/>
        </w:rPr>
        <w:t>本项目涉及核心产品：</w:t>
      </w:r>
    </w:p>
    <w:p w14:paraId="3828750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712B3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7FD2AE8">
            <w:pPr>
              <w:pStyle w:val="4"/>
              <w:jc w:val="center"/>
            </w:pPr>
            <w:r>
              <w:rPr>
                <w:rFonts w:ascii="仿宋_GB2312" w:hAnsi="仿宋_GB2312" w:eastAsia="仿宋_GB2312" w:cs="仿宋_GB2312"/>
              </w:rPr>
              <w:t>序号</w:t>
            </w:r>
          </w:p>
        </w:tc>
        <w:tc>
          <w:tcPr>
            <w:tcW w:w="2492" w:type="dxa"/>
          </w:tcPr>
          <w:p w14:paraId="150FCF43">
            <w:pPr>
              <w:pStyle w:val="4"/>
              <w:jc w:val="center"/>
            </w:pPr>
            <w:r>
              <w:rPr>
                <w:rFonts w:ascii="仿宋_GB2312" w:hAnsi="仿宋_GB2312" w:eastAsia="仿宋_GB2312" w:cs="仿宋_GB2312"/>
              </w:rPr>
              <w:t>采购品目名称</w:t>
            </w:r>
          </w:p>
        </w:tc>
        <w:tc>
          <w:tcPr>
            <w:tcW w:w="2492" w:type="dxa"/>
          </w:tcPr>
          <w:p w14:paraId="42CF031B">
            <w:pPr>
              <w:pStyle w:val="4"/>
              <w:jc w:val="center"/>
            </w:pPr>
            <w:r>
              <w:rPr>
                <w:rFonts w:ascii="仿宋_GB2312" w:hAnsi="仿宋_GB2312" w:eastAsia="仿宋_GB2312" w:cs="仿宋_GB2312"/>
              </w:rPr>
              <w:t>标的名称</w:t>
            </w:r>
          </w:p>
        </w:tc>
        <w:tc>
          <w:tcPr>
            <w:tcW w:w="2492" w:type="dxa"/>
          </w:tcPr>
          <w:p w14:paraId="3CF72556">
            <w:pPr>
              <w:pStyle w:val="4"/>
              <w:jc w:val="center"/>
            </w:pPr>
            <w:r>
              <w:rPr>
                <w:rFonts w:ascii="仿宋_GB2312" w:hAnsi="仿宋_GB2312" w:eastAsia="仿宋_GB2312" w:cs="仿宋_GB2312"/>
              </w:rPr>
              <w:t>产品名称</w:t>
            </w:r>
          </w:p>
        </w:tc>
      </w:tr>
      <w:tr w14:paraId="362516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1ABD2A1">
            <w:pPr>
              <w:pStyle w:val="4"/>
              <w:jc w:val="left"/>
            </w:pPr>
            <w:r>
              <w:rPr>
                <w:rFonts w:ascii="仿宋_GB2312" w:hAnsi="仿宋_GB2312" w:eastAsia="仿宋_GB2312" w:cs="仿宋_GB2312"/>
              </w:rPr>
              <w:t>1</w:t>
            </w:r>
          </w:p>
        </w:tc>
        <w:tc>
          <w:tcPr>
            <w:tcW w:w="2492" w:type="dxa"/>
          </w:tcPr>
          <w:p w14:paraId="624BF5EC">
            <w:pPr>
              <w:pStyle w:val="4"/>
              <w:jc w:val="left"/>
            </w:pPr>
            <w:r>
              <w:rPr>
                <w:rFonts w:ascii="仿宋_GB2312" w:hAnsi="仿宋_GB2312" w:eastAsia="仿宋_GB2312" w:cs="仿宋_GB2312"/>
              </w:rPr>
              <w:t>A07060199 其他农副食品，动、植物油制品</w:t>
            </w:r>
          </w:p>
        </w:tc>
        <w:tc>
          <w:tcPr>
            <w:tcW w:w="2492" w:type="dxa"/>
          </w:tcPr>
          <w:p w14:paraId="58D64E2E">
            <w:pPr>
              <w:pStyle w:val="4"/>
              <w:jc w:val="left"/>
            </w:pPr>
            <w:r>
              <w:rPr>
                <w:rFonts w:ascii="仿宋_GB2312" w:hAnsi="仿宋_GB2312" w:eastAsia="仿宋_GB2312" w:cs="仿宋_GB2312"/>
              </w:rPr>
              <w:t>牛奶、面包（具体标的名称以技术要求的采购清单为准）</w:t>
            </w:r>
          </w:p>
        </w:tc>
        <w:tc>
          <w:tcPr>
            <w:tcW w:w="2492" w:type="dxa"/>
          </w:tcPr>
          <w:p w14:paraId="7724614D">
            <w:pPr>
              <w:pStyle w:val="4"/>
              <w:jc w:val="left"/>
            </w:pPr>
            <w:r>
              <w:rPr>
                <w:rFonts w:ascii="仿宋_GB2312" w:hAnsi="仿宋_GB2312" w:eastAsia="仿宋_GB2312" w:cs="仿宋_GB2312"/>
              </w:rPr>
              <w:t>具体的核心产品以技术要求的采购清单为准</w:t>
            </w:r>
          </w:p>
        </w:tc>
      </w:tr>
    </w:tbl>
    <w:p w14:paraId="73DBBCC2">
      <w:pPr>
        <w:pStyle w:val="4"/>
        <w:ind w:firstLine="480"/>
        <w:jc w:val="left"/>
      </w:pPr>
      <w:r>
        <w:rPr>
          <w:rFonts w:ascii="仿宋_GB2312" w:hAnsi="仿宋_GB2312" w:eastAsia="仿宋_GB2312" w:cs="仿宋_GB2312"/>
        </w:rPr>
        <w:t>注：涉及核心产品的，具体评审规定见第五章。</w:t>
      </w:r>
    </w:p>
    <w:p w14:paraId="33C9A21C">
      <w:pPr>
        <w:pStyle w:val="4"/>
        <w:jc w:val="left"/>
        <w:outlineLvl w:val="3"/>
      </w:pPr>
      <w:r>
        <w:rPr>
          <w:rFonts w:ascii="仿宋_GB2312" w:hAnsi="仿宋_GB2312" w:eastAsia="仿宋_GB2312" w:cs="仿宋_GB2312"/>
          <w:b/>
          <w:sz w:val="24"/>
        </w:rPr>
        <w:t>本项目涉及采购进口产品：</w:t>
      </w:r>
    </w:p>
    <w:p w14:paraId="375F1C3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26412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CEF3DAF">
            <w:pPr>
              <w:pStyle w:val="4"/>
              <w:jc w:val="center"/>
            </w:pPr>
            <w:r>
              <w:rPr>
                <w:rFonts w:ascii="仿宋_GB2312" w:hAnsi="仿宋_GB2312" w:eastAsia="仿宋_GB2312" w:cs="仿宋_GB2312"/>
              </w:rPr>
              <w:t>序号</w:t>
            </w:r>
          </w:p>
        </w:tc>
        <w:tc>
          <w:tcPr>
            <w:tcW w:w="2492" w:type="dxa"/>
          </w:tcPr>
          <w:p w14:paraId="1A5C373A">
            <w:pPr>
              <w:pStyle w:val="4"/>
              <w:jc w:val="center"/>
            </w:pPr>
            <w:r>
              <w:rPr>
                <w:rFonts w:ascii="仿宋_GB2312" w:hAnsi="仿宋_GB2312" w:eastAsia="仿宋_GB2312" w:cs="仿宋_GB2312"/>
              </w:rPr>
              <w:t>采购品目名称</w:t>
            </w:r>
          </w:p>
        </w:tc>
        <w:tc>
          <w:tcPr>
            <w:tcW w:w="2492" w:type="dxa"/>
          </w:tcPr>
          <w:p w14:paraId="22F4CBAC">
            <w:pPr>
              <w:pStyle w:val="4"/>
              <w:jc w:val="center"/>
            </w:pPr>
            <w:r>
              <w:rPr>
                <w:rFonts w:ascii="仿宋_GB2312" w:hAnsi="仿宋_GB2312" w:eastAsia="仿宋_GB2312" w:cs="仿宋_GB2312"/>
              </w:rPr>
              <w:t>标的名称</w:t>
            </w:r>
          </w:p>
        </w:tc>
        <w:tc>
          <w:tcPr>
            <w:tcW w:w="2492" w:type="dxa"/>
          </w:tcPr>
          <w:p w14:paraId="48E1C0E7">
            <w:pPr>
              <w:pStyle w:val="4"/>
              <w:jc w:val="center"/>
            </w:pPr>
            <w:r>
              <w:rPr>
                <w:rFonts w:ascii="仿宋_GB2312" w:hAnsi="仿宋_GB2312" w:eastAsia="仿宋_GB2312" w:cs="仿宋_GB2312"/>
              </w:rPr>
              <w:t>产品名称</w:t>
            </w:r>
          </w:p>
        </w:tc>
      </w:tr>
      <w:tr w14:paraId="785A81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D020CCD">
            <w:pPr>
              <w:pStyle w:val="4"/>
              <w:jc w:val="center"/>
            </w:pPr>
            <w:r>
              <w:rPr>
                <w:rFonts w:ascii="仿宋_GB2312" w:hAnsi="仿宋_GB2312" w:eastAsia="仿宋_GB2312" w:cs="仿宋_GB2312"/>
              </w:rPr>
              <w:t>不涉及</w:t>
            </w:r>
          </w:p>
        </w:tc>
      </w:tr>
    </w:tbl>
    <w:p w14:paraId="650D0744">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35DDB7A8">
      <w:pPr>
        <w:pStyle w:val="4"/>
        <w:jc w:val="left"/>
        <w:outlineLvl w:val="3"/>
      </w:pPr>
      <w:r>
        <w:rPr>
          <w:rFonts w:ascii="仿宋_GB2312" w:hAnsi="仿宋_GB2312" w:eastAsia="仿宋_GB2312" w:cs="仿宋_GB2312"/>
          <w:b/>
          <w:sz w:val="24"/>
        </w:rPr>
        <w:t>本项目涉及强制采购节能产品：</w:t>
      </w:r>
    </w:p>
    <w:p w14:paraId="03F9D0D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E75C8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3F70FE7">
            <w:pPr>
              <w:pStyle w:val="4"/>
              <w:jc w:val="center"/>
            </w:pPr>
            <w:r>
              <w:rPr>
                <w:rFonts w:ascii="仿宋_GB2312" w:hAnsi="仿宋_GB2312" w:eastAsia="仿宋_GB2312" w:cs="仿宋_GB2312"/>
              </w:rPr>
              <w:t>序号</w:t>
            </w:r>
          </w:p>
        </w:tc>
        <w:tc>
          <w:tcPr>
            <w:tcW w:w="2492" w:type="dxa"/>
          </w:tcPr>
          <w:p w14:paraId="108ACEC3">
            <w:pPr>
              <w:pStyle w:val="4"/>
              <w:jc w:val="center"/>
            </w:pPr>
            <w:r>
              <w:rPr>
                <w:rFonts w:ascii="仿宋_GB2312" w:hAnsi="仿宋_GB2312" w:eastAsia="仿宋_GB2312" w:cs="仿宋_GB2312"/>
              </w:rPr>
              <w:t>采购品目名称</w:t>
            </w:r>
          </w:p>
        </w:tc>
        <w:tc>
          <w:tcPr>
            <w:tcW w:w="2492" w:type="dxa"/>
          </w:tcPr>
          <w:p w14:paraId="0257A398">
            <w:pPr>
              <w:pStyle w:val="4"/>
              <w:jc w:val="center"/>
            </w:pPr>
            <w:r>
              <w:rPr>
                <w:rFonts w:ascii="仿宋_GB2312" w:hAnsi="仿宋_GB2312" w:eastAsia="仿宋_GB2312" w:cs="仿宋_GB2312"/>
              </w:rPr>
              <w:t>标的名称</w:t>
            </w:r>
          </w:p>
        </w:tc>
        <w:tc>
          <w:tcPr>
            <w:tcW w:w="2492" w:type="dxa"/>
          </w:tcPr>
          <w:p w14:paraId="04A49E52">
            <w:pPr>
              <w:pStyle w:val="4"/>
              <w:jc w:val="center"/>
            </w:pPr>
            <w:r>
              <w:rPr>
                <w:rFonts w:ascii="仿宋_GB2312" w:hAnsi="仿宋_GB2312" w:eastAsia="仿宋_GB2312" w:cs="仿宋_GB2312"/>
              </w:rPr>
              <w:t>产品名称</w:t>
            </w:r>
          </w:p>
        </w:tc>
      </w:tr>
      <w:tr w14:paraId="723038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EFEE28C">
            <w:pPr>
              <w:pStyle w:val="4"/>
              <w:jc w:val="center"/>
            </w:pPr>
            <w:r>
              <w:rPr>
                <w:rFonts w:ascii="仿宋_GB2312" w:hAnsi="仿宋_GB2312" w:eastAsia="仿宋_GB2312" w:cs="仿宋_GB2312"/>
              </w:rPr>
              <w:t>不涉及</w:t>
            </w:r>
          </w:p>
        </w:tc>
      </w:tr>
    </w:tbl>
    <w:p w14:paraId="36434679">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777BA95">
      <w:pPr>
        <w:pStyle w:val="4"/>
        <w:jc w:val="left"/>
      </w:pPr>
      <w:r>
        <w:rPr>
          <w:rFonts w:ascii="仿宋_GB2312" w:hAnsi="仿宋_GB2312" w:eastAsia="仿宋_GB2312" w:cs="仿宋_GB2312"/>
          <w:b/>
        </w:rPr>
        <w:t>本项目涉及优先采购节能产品：</w:t>
      </w:r>
    </w:p>
    <w:p w14:paraId="1493FBE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74094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7DED6D9">
            <w:pPr>
              <w:pStyle w:val="4"/>
              <w:jc w:val="center"/>
            </w:pPr>
            <w:r>
              <w:rPr>
                <w:rFonts w:ascii="仿宋_GB2312" w:hAnsi="仿宋_GB2312" w:eastAsia="仿宋_GB2312" w:cs="仿宋_GB2312"/>
              </w:rPr>
              <w:t>序号</w:t>
            </w:r>
          </w:p>
        </w:tc>
        <w:tc>
          <w:tcPr>
            <w:tcW w:w="2492" w:type="dxa"/>
          </w:tcPr>
          <w:p w14:paraId="157DEB2D">
            <w:pPr>
              <w:pStyle w:val="4"/>
              <w:jc w:val="center"/>
            </w:pPr>
            <w:r>
              <w:rPr>
                <w:rFonts w:ascii="仿宋_GB2312" w:hAnsi="仿宋_GB2312" w:eastAsia="仿宋_GB2312" w:cs="仿宋_GB2312"/>
              </w:rPr>
              <w:t>采购品目名称</w:t>
            </w:r>
          </w:p>
        </w:tc>
        <w:tc>
          <w:tcPr>
            <w:tcW w:w="2492" w:type="dxa"/>
          </w:tcPr>
          <w:p w14:paraId="50620C0D">
            <w:pPr>
              <w:pStyle w:val="4"/>
              <w:jc w:val="center"/>
            </w:pPr>
            <w:r>
              <w:rPr>
                <w:rFonts w:ascii="仿宋_GB2312" w:hAnsi="仿宋_GB2312" w:eastAsia="仿宋_GB2312" w:cs="仿宋_GB2312"/>
              </w:rPr>
              <w:t>标的名称</w:t>
            </w:r>
          </w:p>
        </w:tc>
        <w:tc>
          <w:tcPr>
            <w:tcW w:w="2492" w:type="dxa"/>
          </w:tcPr>
          <w:p w14:paraId="5EFEAFF7">
            <w:pPr>
              <w:pStyle w:val="4"/>
              <w:jc w:val="center"/>
            </w:pPr>
            <w:r>
              <w:rPr>
                <w:rFonts w:ascii="仿宋_GB2312" w:hAnsi="仿宋_GB2312" w:eastAsia="仿宋_GB2312" w:cs="仿宋_GB2312"/>
              </w:rPr>
              <w:t>产品名称</w:t>
            </w:r>
          </w:p>
        </w:tc>
      </w:tr>
      <w:tr w14:paraId="4A9651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A80C159">
            <w:pPr>
              <w:pStyle w:val="4"/>
              <w:jc w:val="center"/>
            </w:pPr>
            <w:r>
              <w:rPr>
                <w:rFonts w:ascii="仿宋_GB2312" w:hAnsi="仿宋_GB2312" w:eastAsia="仿宋_GB2312" w:cs="仿宋_GB2312"/>
              </w:rPr>
              <w:t>不涉及</w:t>
            </w:r>
          </w:p>
        </w:tc>
      </w:tr>
    </w:tbl>
    <w:p w14:paraId="7581B05B">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343AF646">
      <w:pPr>
        <w:pStyle w:val="4"/>
        <w:jc w:val="left"/>
        <w:outlineLvl w:val="3"/>
      </w:pPr>
      <w:r>
        <w:rPr>
          <w:rFonts w:ascii="仿宋_GB2312" w:hAnsi="仿宋_GB2312" w:eastAsia="仿宋_GB2312" w:cs="仿宋_GB2312"/>
          <w:b/>
          <w:sz w:val="24"/>
        </w:rPr>
        <w:t>本项目涉及优先采购环境标志产品：</w:t>
      </w:r>
    </w:p>
    <w:p w14:paraId="33828E4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17C61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672E69">
            <w:pPr>
              <w:pStyle w:val="4"/>
              <w:jc w:val="center"/>
            </w:pPr>
            <w:r>
              <w:rPr>
                <w:rFonts w:ascii="仿宋_GB2312" w:hAnsi="仿宋_GB2312" w:eastAsia="仿宋_GB2312" w:cs="仿宋_GB2312"/>
              </w:rPr>
              <w:t>序号</w:t>
            </w:r>
          </w:p>
        </w:tc>
        <w:tc>
          <w:tcPr>
            <w:tcW w:w="2492" w:type="dxa"/>
          </w:tcPr>
          <w:p w14:paraId="0FFE64A0">
            <w:pPr>
              <w:pStyle w:val="4"/>
              <w:jc w:val="center"/>
            </w:pPr>
            <w:r>
              <w:rPr>
                <w:rFonts w:ascii="仿宋_GB2312" w:hAnsi="仿宋_GB2312" w:eastAsia="仿宋_GB2312" w:cs="仿宋_GB2312"/>
              </w:rPr>
              <w:t>采购品目名称</w:t>
            </w:r>
          </w:p>
        </w:tc>
        <w:tc>
          <w:tcPr>
            <w:tcW w:w="2492" w:type="dxa"/>
          </w:tcPr>
          <w:p w14:paraId="0BC696C7">
            <w:pPr>
              <w:pStyle w:val="4"/>
              <w:jc w:val="center"/>
            </w:pPr>
            <w:r>
              <w:rPr>
                <w:rFonts w:ascii="仿宋_GB2312" w:hAnsi="仿宋_GB2312" w:eastAsia="仿宋_GB2312" w:cs="仿宋_GB2312"/>
              </w:rPr>
              <w:t>标的名称</w:t>
            </w:r>
          </w:p>
        </w:tc>
        <w:tc>
          <w:tcPr>
            <w:tcW w:w="2492" w:type="dxa"/>
          </w:tcPr>
          <w:p w14:paraId="0487BD7A">
            <w:pPr>
              <w:pStyle w:val="4"/>
              <w:jc w:val="center"/>
            </w:pPr>
            <w:r>
              <w:rPr>
                <w:rFonts w:ascii="仿宋_GB2312" w:hAnsi="仿宋_GB2312" w:eastAsia="仿宋_GB2312" w:cs="仿宋_GB2312"/>
              </w:rPr>
              <w:t>产品名称</w:t>
            </w:r>
          </w:p>
        </w:tc>
      </w:tr>
      <w:tr w14:paraId="60D979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29989BE">
            <w:pPr>
              <w:pStyle w:val="4"/>
              <w:jc w:val="center"/>
            </w:pPr>
            <w:r>
              <w:rPr>
                <w:rFonts w:ascii="仿宋_GB2312" w:hAnsi="仿宋_GB2312" w:eastAsia="仿宋_GB2312" w:cs="仿宋_GB2312"/>
              </w:rPr>
              <w:t>不涉及</w:t>
            </w:r>
          </w:p>
        </w:tc>
      </w:tr>
    </w:tbl>
    <w:p w14:paraId="3A11A3B7">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BBE4F35">
      <w:pPr>
        <w:pStyle w:val="4"/>
        <w:jc w:val="left"/>
        <w:outlineLvl w:val="2"/>
      </w:pPr>
      <w:r>
        <w:rPr>
          <w:rFonts w:ascii="仿宋_GB2312" w:hAnsi="仿宋_GB2312" w:eastAsia="仿宋_GB2312" w:cs="仿宋_GB2312"/>
          <w:b/>
          <w:sz w:val="28"/>
        </w:rPr>
        <w:t>3.2.技术要求</w:t>
      </w:r>
    </w:p>
    <w:p w14:paraId="1E32BDF4">
      <w:pPr>
        <w:pStyle w:val="4"/>
        <w:jc w:val="left"/>
      </w:pPr>
      <w:r>
        <w:rPr>
          <w:rFonts w:ascii="仿宋_GB2312" w:hAnsi="仿宋_GB2312" w:eastAsia="仿宋_GB2312" w:cs="仿宋_GB2312"/>
        </w:rPr>
        <w:t>采购包1：</w:t>
      </w:r>
    </w:p>
    <w:p w14:paraId="10A68763">
      <w:pPr>
        <w:pStyle w:val="4"/>
        <w:jc w:val="left"/>
      </w:pPr>
      <w:r>
        <w:rPr>
          <w:rFonts w:ascii="仿宋_GB2312" w:hAnsi="仿宋_GB2312" w:eastAsia="仿宋_GB2312" w:cs="仿宋_GB2312"/>
        </w:rPr>
        <w:t>标的名称：牛奶、面包（具体标的名称以技术要求的采购清单为准）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74AF2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2BF348">
            <w:pPr>
              <w:pStyle w:val="4"/>
              <w:jc w:val="center"/>
            </w:pPr>
            <w:r>
              <w:rPr>
                <w:rFonts w:ascii="仿宋_GB2312" w:hAnsi="仿宋_GB2312" w:eastAsia="仿宋_GB2312" w:cs="仿宋_GB2312"/>
              </w:rPr>
              <w:t>序号</w:t>
            </w:r>
          </w:p>
        </w:tc>
        <w:tc>
          <w:tcPr>
            <w:tcW w:w="581" w:type="dxa"/>
          </w:tcPr>
          <w:p w14:paraId="17C3ADD8">
            <w:pPr>
              <w:pStyle w:val="4"/>
              <w:jc w:val="center"/>
            </w:pPr>
            <w:r>
              <w:rPr>
                <w:rFonts w:ascii="仿宋_GB2312" w:hAnsi="仿宋_GB2312" w:eastAsia="仿宋_GB2312" w:cs="仿宋_GB2312"/>
              </w:rPr>
              <w:t>符号标识</w:t>
            </w:r>
          </w:p>
        </w:tc>
        <w:tc>
          <w:tcPr>
            <w:tcW w:w="1495" w:type="dxa"/>
          </w:tcPr>
          <w:p w14:paraId="7D01F8B0">
            <w:pPr>
              <w:pStyle w:val="4"/>
              <w:jc w:val="center"/>
            </w:pPr>
            <w:r>
              <w:rPr>
                <w:rFonts w:ascii="仿宋_GB2312" w:hAnsi="仿宋_GB2312" w:eastAsia="仿宋_GB2312" w:cs="仿宋_GB2312"/>
              </w:rPr>
              <w:t>技术要求名称</w:t>
            </w:r>
          </w:p>
        </w:tc>
        <w:tc>
          <w:tcPr>
            <w:tcW w:w="5814" w:type="dxa"/>
          </w:tcPr>
          <w:p w14:paraId="58431ED7">
            <w:pPr>
              <w:pStyle w:val="4"/>
              <w:jc w:val="center"/>
            </w:pPr>
            <w:r>
              <w:rPr>
                <w:rFonts w:ascii="仿宋_GB2312" w:hAnsi="仿宋_GB2312" w:eastAsia="仿宋_GB2312" w:cs="仿宋_GB2312"/>
              </w:rPr>
              <w:t>技术参数与性能指标</w:t>
            </w:r>
          </w:p>
        </w:tc>
      </w:tr>
      <w:tr w14:paraId="1547B2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6FFF73">
            <w:pPr>
              <w:pStyle w:val="4"/>
              <w:jc w:val="center"/>
            </w:pPr>
            <w:r>
              <w:rPr>
                <w:rFonts w:ascii="仿宋_GB2312" w:hAnsi="仿宋_GB2312" w:eastAsia="仿宋_GB2312" w:cs="仿宋_GB2312"/>
              </w:rPr>
              <w:t>1</w:t>
            </w:r>
          </w:p>
        </w:tc>
        <w:tc>
          <w:tcPr>
            <w:tcW w:w="581" w:type="dxa"/>
          </w:tcPr>
          <w:p w14:paraId="17C7721D">
            <w:pPr>
              <w:pStyle w:val="4"/>
              <w:jc w:val="center"/>
            </w:pPr>
            <w:r>
              <w:rPr>
                <w:rFonts w:ascii="仿宋_GB2312" w:hAnsi="仿宋_GB2312" w:eastAsia="仿宋_GB2312" w:cs="仿宋_GB2312"/>
              </w:rPr>
              <w:t>★</w:t>
            </w:r>
          </w:p>
        </w:tc>
        <w:tc>
          <w:tcPr>
            <w:tcW w:w="1495" w:type="dxa"/>
          </w:tcPr>
          <w:p w14:paraId="1E64A168">
            <w:pPr>
              <w:pStyle w:val="4"/>
              <w:jc w:val="left"/>
            </w:pPr>
            <w:r>
              <w:rPr>
                <w:rFonts w:ascii="仿宋_GB2312" w:hAnsi="仿宋_GB2312" w:eastAsia="仿宋_GB2312" w:cs="仿宋_GB2312"/>
              </w:rPr>
              <w:t>技术要求</w:t>
            </w:r>
          </w:p>
        </w:tc>
        <w:tc>
          <w:tcPr>
            <w:tcW w:w="5814" w:type="dxa"/>
          </w:tcPr>
          <w:p w14:paraId="3BD37813">
            <w:pPr>
              <w:pStyle w:val="4"/>
              <w:spacing w:after="165"/>
              <w:ind w:firstLine="301"/>
              <w:jc w:val="both"/>
            </w:pPr>
            <w:r>
              <w:rPr>
                <w:rFonts w:ascii="仿宋_GB2312" w:hAnsi="仿宋_GB2312" w:eastAsia="仿宋_GB2312" w:cs="仿宋_GB2312"/>
                <w:b/>
                <w:sz w:val="30"/>
              </w:rPr>
              <w:t>（一）质量要求</w:t>
            </w:r>
          </w:p>
          <w:p w14:paraId="55F23678">
            <w:pPr>
              <w:pStyle w:val="4"/>
              <w:spacing w:after="165"/>
              <w:ind w:firstLine="600"/>
              <w:jc w:val="both"/>
            </w:pPr>
            <w:r>
              <w:rPr>
                <w:rFonts w:ascii="仿宋_GB2312" w:hAnsi="仿宋_GB2312" w:eastAsia="仿宋_GB2312" w:cs="仿宋_GB2312"/>
                <w:sz w:val="30"/>
              </w:rPr>
              <w:t>1、</w:t>
            </w:r>
            <w:r>
              <w:rPr>
                <w:rFonts w:ascii="仿宋_GB2312" w:hAnsi="仿宋_GB2312" w:eastAsia="仿宋_GB2312" w:cs="仿宋_GB2312"/>
                <w:b/>
                <w:sz w:val="30"/>
              </w:rPr>
              <w:t>采购清单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62"/>
              <w:gridCol w:w="1521"/>
              <w:gridCol w:w="1997"/>
              <w:gridCol w:w="1405"/>
            </w:tblGrid>
            <w:tr w14:paraId="1A84D0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8714D7A">
                  <w:pPr>
                    <w:pStyle w:val="4"/>
                    <w:spacing w:after="165"/>
                    <w:jc w:val="center"/>
                  </w:pPr>
                  <w:r>
                    <w:rPr>
                      <w:rFonts w:ascii="仿宋_GB2312" w:hAnsi="仿宋_GB2312" w:eastAsia="仿宋_GB2312" w:cs="仿宋_GB2312"/>
                      <w:b/>
                      <w:sz w:val="30"/>
                    </w:rPr>
                    <w:t>序号</w:t>
                  </w:r>
                </w:p>
              </w:tc>
              <w:tc>
                <w:tcPr>
                  <w:tcW w:w="152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A062B6D">
                  <w:pPr>
                    <w:pStyle w:val="4"/>
                    <w:spacing w:after="165"/>
                    <w:jc w:val="center"/>
                  </w:pPr>
                  <w:r>
                    <w:rPr>
                      <w:rFonts w:ascii="仿宋_GB2312" w:hAnsi="仿宋_GB2312" w:eastAsia="仿宋_GB2312" w:cs="仿宋_GB2312"/>
                      <w:b/>
                      <w:sz w:val="30"/>
                    </w:rPr>
                    <w:t>类别</w:t>
                  </w:r>
                </w:p>
              </w:tc>
              <w:tc>
                <w:tcPr>
                  <w:tcW w:w="199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BC721FE">
                  <w:pPr>
                    <w:pStyle w:val="4"/>
                    <w:spacing w:after="165"/>
                    <w:jc w:val="center"/>
                  </w:pPr>
                  <w:r>
                    <w:rPr>
                      <w:rFonts w:ascii="仿宋_GB2312" w:hAnsi="仿宋_GB2312" w:eastAsia="仿宋_GB2312" w:cs="仿宋_GB2312"/>
                      <w:b/>
                      <w:sz w:val="30"/>
                    </w:rPr>
                    <w:t>标的名称</w:t>
                  </w:r>
                </w:p>
              </w:tc>
              <w:tc>
                <w:tcPr>
                  <w:tcW w:w="140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06B1B1C">
                  <w:pPr>
                    <w:pStyle w:val="4"/>
                    <w:spacing w:after="165"/>
                    <w:jc w:val="center"/>
                  </w:pPr>
                  <w:r>
                    <w:rPr>
                      <w:rFonts w:ascii="仿宋_GB2312" w:hAnsi="仿宋_GB2312" w:eastAsia="仿宋_GB2312" w:cs="仿宋_GB2312"/>
                      <w:b/>
                      <w:sz w:val="30"/>
                    </w:rPr>
                    <w:t>是否属于核心产品</w:t>
                  </w:r>
                </w:p>
              </w:tc>
            </w:tr>
            <w:tr w14:paraId="098DCD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A11818">
                  <w:pPr>
                    <w:pStyle w:val="4"/>
                    <w:numPr>
                      <w:ilvl w:val="0"/>
                      <w:numId w:val="1"/>
                    </w:numPr>
                    <w:spacing w:after="165"/>
                    <w:jc w:val="center"/>
                  </w:pPr>
                </w:p>
              </w:tc>
              <w:tc>
                <w:tcPr>
                  <w:tcW w:w="15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0FA238">
                  <w:pPr>
                    <w:pStyle w:val="4"/>
                    <w:spacing w:after="165"/>
                    <w:jc w:val="center"/>
                  </w:pPr>
                  <w:r>
                    <w:rPr>
                      <w:rFonts w:ascii="仿宋_GB2312" w:hAnsi="仿宋_GB2312" w:eastAsia="仿宋_GB2312" w:cs="仿宋_GB2312"/>
                      <w:sz w:val="30"/>
                    </w:rPr>
                    <w:t>牛奶、面包类</w:t>
                  </w:r>
                </w:p>
              </w:tc>
              <w:tc>
                <w:tcPr>
                  <w:tcW w:w="19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1F9914">
                  <w:pPr>
                    <w:pStyle w:val="4"/>
                    <w:spacing w:after="165"/>
                    <w:jc w:val="center"/>
                  </w:pPr>
                  <w:r>
                    <w:rPr>
                      <w:rFonts w:ascii="仿宋_GB2312" w:hAnsi="仿宋_GB2312" w:eastAsia="仿宋_GB2312" w:cs="仿宋_GB2312"/>
                      <w:sz w:val="30"/>
                    </w:rPr>
                    <w:t>灭菌奶</w:t>
                  </w:r>
                </w:p>
              </w:tc>
              <w:tc>
                <w:tcPr>
                  <w:tcW w:w="14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DE3231">
                  <w:pPr>
                    <w:pStyle w:val="4"/>
                    <w:spacing w:after="165"/>
                    <w:jc w:val="center"/>
                  </w:pPr>
                  <w:r>
                    <w:rPr>
                      <w:rFonts w:ascii="仿宋_GB2312" w:hAnsi="仿宋_GB2312" w:eastAsia="仿宋_GB2312" w:cs="仿宋_GB2312"/>
                      <w:sz w:val="30"/>
                    </w:rPr>
                    <w:t>是</w:t>
                  </w:r>
                </w:p>
              </w:tc>
            </w:tr>
            <w:tr w14:paraId="29FDE0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DA1A5B">
                  <w:pPr>
                    <w:pStyle w:val="4"/>
                    <w:numPr>
                      <w:ilvl w:val="0"/>
                      <w:numId w:val="1"/>
                    </w:numPr>
                    <w:spacing w:after="165"/>
                    <w:jc w:val="center"/>
                  </w:pPr>
                </w:p>
              </w:tc>
              <w:tc>
                <w:tcPr>
                  <w:tcW w:w="1521" w:type="dxa"/>
                  <w:vMerge w:val="continue"/>
                  <w:tcBorders>
                    <w:top w:val="nil"/>
                    <w:left w:val="single" w:color="000000" w:sz="4" w:space="0"/>
                    <w:bottom w:val="single" w:color="000000" w:sz="4" w:space="0"/>
                    <w:right w:val="single" w:color="000000" w:sz="4" w:space="0"/>
                  </w:tcBorders>
                </w:tcPr>
                <w:p w14:paraId="3954727B"/>
              </w:tc>
              <w:tc>
                <w:tcPr>
                  <w:tcW w:w="19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690862">
                  <w:pPr>
                    <w:pStyle w:val="4"/>
                    <w:spacing w:after="165"/>
                    <w:jc w:val="center"/>
                  </w:pPr>
                  <w:r>
                    <w:rPr>
                      <w:rFonts w:ascii="仿宋_GB2312" w:hAnsi="仿宋_GB2312" w:eastAsia="仿宋_GB2312" w:cs="仿宋_GB2312"/>
                      <w:sz w:val="30"/>
                    </w:rPr>
                    <w:t>发酵奶</w:t>
                  </w:r>
                </w:p>
              </w:tc>
              <w:tc>
                <w:tcPr>
                  <w:tcW w:w="14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BA22FF">
                  <w:pPr>
                    <w:pStyle w:val="4"/>
                    <w:spacing w:after="165"/>
                    <w:jc w:val="center"/>
                  </w:pPr>
                  <w:r>
                    <w:rPr>
                      <w:rFonts w:ascii="仿宋_GB2312" w:hAnsi="仿宋_GB2312" w:eastAsia="仿宋_GB2312" w:cs="仿宋_GB2312"/>
                      <w:sz w:val="30"/>
                    </w:rPr>
                    <w:t>是</w:t>
                  </w:r>
                </w:p>
              </w:tc>
            </w:tr>
            <w:tr w14:paraId="07585C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59F653">
                  <w:pPr>
                    <w:pStyle w:val="4"/>
                    <w:numPr>
                      <w:ilvl w:val="0"/>
                      <w:numId w:val="1"/>
                    </w:numPr>
                    <w:spacing w:after="165"/>
                    <w:jc w:val="center"/>
                  </w:pPr>
                </w:p>
              </w:tc>
              <w:tc>
                <w:tcPr>
                  <w:tcW w:w="1521" w:type="dxa"/>
                  <w:vMerge w:val="continue"/>
                  <w:tcBorders>
                    <w:top w:val="nil"/>
                    <w:left w:val="single" w:color="000000" w:sz="4" w:space="0"/>
                    <w:bottom w:val="single" w:color="000000" w:sz="4" w:space="0"/>
                    <w:right w:val="single" w:color="000000" w:sz="4" w:space="0"/>
                  </w:tcBorders>
                </w:tcPr>
                <w:p w14:paraId="55FA8AFE"/>
              </w:tc>
              <w:tc>
                <w:tcPr>
                  <w:tcW w:w="19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6009CA">
                  <w:pPr>
                    <w:pStyle w:val="4"/>
                    <w:spacing w:after="165"/>
                    <w:jc w:val="center"/>
                  </w:pPr>
                  <w:r>
                    <w:rPr>
                      <w:rFonts w:ascii="仿宋_GB2312" w:hAnsi="仿宋_GB2312" w:eastAsia="仿宋_GB2312" w:cs="仿宋_GB2312"/>
                      <w:sz w:val="30"/>
                    </w:rPr>
                    <w:t>吐司</w:t>
                  </w:r>
                </w:p>
              </w:tc>
              <w:tc>
                <w:tcPr>
                  <w:tcW w:w="14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063BDF">
                  <w:pPr>
                    <w:pStyle w:val="4"/>
                    <w:spacing w:after="165"/>
                    <w:jc w:val="center"/>
                  </w:pPr>
                  <w:r>
                    <w:rPr>
                      <w:rFonts w:ascii="仿宋_GB2312" w:hAnsi="仿宋_GB2312" w:eastAsia="仿宋_GB2312" w:cs="仿宋_GB2312"/>
                      <w:sz w:val="30"/>
                    </w:rPr>
                    <w:t>否</w:t>
                  </w:r>
                </w:p>
              </w:tc>
            </w:tr>
            <w:tr w14:paraId="51B446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01FB63">
                  <w:pPr>
                    <w:pStyle w:val="4"/>
                    <w:numPr>
                      <w:ilvl w:val="0"/>
                      <w:numId w:val="1"/>
                    </w:numPr>
                    <w:spacing w:after="165"/>
                    <w:jc w:val="center"/>
                  </w:pPr>
                </w:p>
              </w:tc>
              <w:tc>
                <w:tcPr>
                  <w:tcW w:w="1521" w:type="dxa"/>
                  <w:vMerge w:val="continue"/>
                  <w:tcBorders>
                    <w:top w:val="nil"/>
                    <w:left w:val="single" w:color="000000" w:sz="4" w:space="0"/>
                    <w:bottom w:val="single" w:color="000000" w:sz="4" w:space="0"/>
                    <w:right w:val="single" w:color="000000" w:sz="4" w:space="0"/>
                  </w:tcBorders>
                </w:tcPr>
                <w:p w14:paraId="1C2F1B53"/>
              </w:tc>
              <w:tc>
                <w:tcPr>
                  <w:tcW w:w="19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202FFD">
                  <w:pPr>
                    <w:pStyle w:val="4"/>
                    <w:spacing w:after="165"/>
                    <w:jc w:val="center"/>
                  </w:pPr>
                  <w:r>
                    <w:rPr>
                      <w:rFonts w:ascii="仿宋_GB2312" w:hAnsi="仿宋_GB2312" w:eastAsia="仿宋_GB2312" w:cs="仿宋_GB2312"/>
                      <w:sz w:val="30"/>
                    </w:rPr>
                    <w:t>夹心面包</w:t>
                  </w:r>
                </w:p>
              </w:tc>
              <w:tc>
                <w:tcPr>
                  <w:tcW w:w="14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2B447B">
                  <w:pPr>
                    <w:pStyle w:val="4"/>
                    <w:spacing w:after="165"/>
                    <w:jc w:val="center"/>
                  </w:pPr>
                  <w:r>
                    <w:rPr>
                      <w:rFonts w:ascii="仿宋_GB2312" w:hAnsi="仿宋_GB2312" w:eastAsia="仿宋_GB2312" w:cs="仿宋_GB2312"/>
                      <w:sz w:val="30"/>
                    </w:rPr>
                    <w:t>否</w:t>
                  </w:r>
                </w:p>
              </w:tc>
            </w:tr>
            <w:tr w14:paraId="65B863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943C74">
                  <w:pPr>
                    <w:pStyle w:val="4"/>
                    <w:numPr>
                      <w:ilvl w:val="0"/>
                      <w:numId w:val="1"/>
                    </w:numPr>
                    <w:spacing w:after="165"/>
                    <w:jc w:val="center"/>
                  </w:pPr>
                </w:p>
              </w:tc>
              <w:tc>
                <w:tcPr>
                  <w:tcW w:w="1521" w:type="dxa"/>
                  <w:vMerge w:val="continue"/>
                  <w:tcBorders>
                    <w:top w:val="nil"/>
                    <w:left w:val="single" w:color="000000" w:sz="4" w:space="0"/>
                    <w:bottom w:val="single" w:color="000000" w:sz="4" w:space="0"/>
                    <w:right w:val="single" w:color="000000" w:sz="4" w:space="0"/>
                  </w:tcBorders>
                </w:tcPr>
                <w:p w14:paraId="3608328D"/>
              </w:tc>
              <w:tc>
                <w:tcPr>
                  <w:tcW w:w="19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7C17A9">
                  <w:pPr>
                    <w:pStyle w:val="4"/>
                    <w:spacing w:after="165"/>
                    <w:jc w:val="center"/>
                  </w:pPr>
                  <w:r>
                    <w:rPr>
                      <w:rFonts w:ascii="仿宋_GB2312" w:hAnsi="仿宋_GB2312" w:eastAsia="仿宋_GB2312" w:cs="仿宋_GB2312"/>
                      <w:sz w:val="30"/>
                    </w:rPr>
                    <w:t>蜂蜜蛋糕</w:t>
                  </w:r>
                </w:p>
              </w:tc>
              <w:tc>
                <w:tcPr>
                  <w:tcW w:w="14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03C84E">
                  <w:pPr>
                    <w:pStyle w:val="4"/>
                    <w:spacing w:after="165"/>
                    <w:jc w:val="center"/>
                  </w:pPr>
                  <w:r>
                    <w:rPr>
                      <w:rFonts w:ascii="仿宋_GB2312" w:hAnsi="仿宋_GB2312" w:eastAsia="仿宋_GB2312" w:cs="仿宋_GB2312"/>
                      <w:sz w:val="30"/>
                    </w:rPr>
                    <w:t>否</w:t>
                  </w:r>
                </w:p>
              </w:tc>
            </w:tr>
            <w:tr w14:paraId="193BB6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0BD7C9">
                  <w:pPr>
                    <w:pStyle w:val="4"/>
                    <w:numPr>
                      <w:ilvl w:val="0"/>
                      <w:numId w:val="1"/>
                    </w:numPr>
                    <w:spacing w:after="165"/>
                    <w:jc w:val="center"/>
                  </w:pPr>
                </w:p>
              </w:tc>
              <w:tc>
                <w:tcPr>
                  <w:tcW w:w="1521" w:type="dxa"/>
                  <w:vMerge w:val="continue"/>
                  <w:tcBorders>
                    <w:top w:val="nil"/>
                    <w:left w:val="single" w:color="000000" w:sz="4" w:space="0"/>
                    <w:bottom w:val="single" w:color="000000" w:sz="4" w:space="0"/>
                    <w:right w:val="single" w:color="000000" w:sz="4" w:space="0"/>
                  </w:tcBorders>
                </w:tcPr>
                <w:p w14:paraId="2D344C9B"/>
              </w:tc>
              <w:tc>
                <w:tcPr>
                  <w:tcW w:w="19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F6E0D0">
                  <w:pPr>
                    <w:pStyle w:val="4"/>
                    <w:spacing w:after="165"/>
                    <w:jc w:val="center"/>
                  </w:pPr>
                  <w:r>
                    <w:rPr>
                      <w:rFonts w:ascii="仿宋_GB2312" w:hAnsi="仿宋_GB2312" w:eastAsia="仿宋_GB2312" w:cs="仿宋_GB2312"/>
                      <w:sz w:val="30"/>
                    </w:rPr>
                    <w:t>糕点礼盒</w:t>
                  </w:r>
                </w:p>
              </w:tc>
              <w:tc>
                <w:tcPr>
                  <w:tcW w:w="14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F58C9C">
                  <w:pPr>
                    <w:pStyle w:val="4"/>
                    <w:spacing w:after="165"/>
                    <w:jc w:val="center"/>
                  </w:pPr>
                  <w:r>
                    <w:rPr>
                      <w:rFonts w:ascii="仿宋_GB2312" w:hAnsi="仿宋_GB2312" w:eastAsia="仿宋_GB2312" w:cs="仿宋_GB2312"/>
                      <w:sz w:val="30"/>
                    </w:rPr>
                    <w:t>否</w:t>
                  </w:r>
                </w:p>
              </w:tc>
            </w:tr>
          </w:tbl>
          <w:p w14:paraId="36424142">
            <w:pPr>
              <w:pStyle w:val="4"/>
              <w:spacing w:after="165"/>
              <w:ind w:firstLine="525"/>
              <w:jc w:val="both"/>
            </w:pPr>
            <w:r>
              <w:rPr>
                <w:rFonts w:ascii="仿宋_GB2312" w:hAnsi="仿宋_GB2312" w:eastAsia="仿宋_GB2312" w:cs="仿宋_GB2312"/>
                <w:sz w:val="30"/>
              </w:rPr>
              <w:t>注:中标人配送产品包括但不限于采购清单中列出的品类,采购人有权根据实际情况要求中标人配送同品类的其他产品，中标人应配合。</w:t>
            </w:r>
          </w:p>
          <w:p w14:paraId="1992C3BE">
            <w:pPr>
              <w:pStyle w:val="4"/>
              <w:spacing w:after="165"/>
              <w:ind w:firstLine="525"/>
              <w:jc w:val="both"/>
            </w:pPr>
            <w:r>
              <w:rPr>
                <w:rFonts w:ascii="仿宋_GB2312" w:hAnsi="仿宋_GB2312" w:eastAsia="仿宋_GB2312" w:cs="仿宋_GB2312"/>
                <w:sz w:val="30"/>
              </w:rPr>
              <w:t>2、产品必须符合国家相关标准和强制性规定要求，为质量合格产品。属于预包装类的食品，应在外包装上有带有SC标识。所列产品标准如国家有调整的，应以调整后的最新标准为准。产品生产（包括原料采购、加工、运输、贮存等）应满足《GB14881-2013 食品安全国家标准食品生产通用卫生规范》及相应产品的标准要求。</w:t>
            </w:r>
          </w:p>
          <w:p w14:paraId="1725DD14">
            <w:pPr>
              <w:pStyle w:val="4"/>
              <w:numPr>
                <w:ilvl w:val="0"/>
                <w:numId w:val="1"/>
              </w:numPr>
              <w:spacing w:after="165"/>
              <w:jc w:val="both"/>
            </w:pPr>
            <w:r>
              <w:rPr>
                <w:rFonts w:ascii="仿宋_GB2312" w:hAnsi="仿宋_GB2312" w:eastAsia="仿宋_GB2312" w:cs="仿宋_GB2312"/>
                <w:sz w:val="30"/>
              </w:rPr>
              <w:t>奶制品：产品符合《食品安全法》、《乳品质量安全监督管理条例》、《乳品安全国家标准》、GB25190-2010《食品安全国家标准 灭菌乳》、GB 19645-2010</w:t>
            </w:r>
            <w:r>
              <w:rPr>
                <w:rFonts w:ascii="仿宋_GB2312" w:hAnsi="仿宋_GB2312" w:eastAsia="仿宋_GB2312" w:cs="仿宋_GB2312"/>
                <w:sz w:val="21"/>
              </w:rPr>
              <w:t xml:space="preserve"> </w:t>
            </w:r>
            <w:r>
              <w:rPr>
                <w:rFonts w:ascii="仿宋_GB2312" w:hAnsi="仿宋_GB2312" w:eastAsia="仿宋_GB2312" w:cs="仿宋_GB2312"/>
                <w:sz w:val="30"/>
              </w:rPr>
              <w:t>《食品安全国家标准巴氏杀菌乳》及GB19302-2010《食品国家安全国家标准 发酵乳》关于奶制品的相关标准（或最新标准）。需冷藏、冷冻的乳制品配送时须采用冷藏、冷冻的专用箱式货车。每批次商品具有并提供产品检验合格证，配送的牛奶剩余的保质期不得少于规定保质期的二分之一。</w:t>
            </w:r>
          </w:p>
          <w:p w14:paraId="270BC301">
            <w:pPr>
              <w:pStyle w:val="4"/>
              <w:spacing w:after="165"/>
              <w:ind w:firstLine="525"/>
              <w:jc w:val="both"/>
            </w:pPr>
            <w:r>
              <w:rPr>
                <w:rFonts w:ascii="仿宋_GB2312" w:hAnsi="仿宋_GB2312" w:eastAsia="仿宋_GB2312" w:cs="仿宋_GB2312"/>
                <w:sz w:val="30"/>
              </w:rPr>
              <w:t>3.面包：产品符合GB7099-2015《食品安全国家标准 糕点、面包》（或最新标准）相关规定。生产日期不得超过1天，具有相应色泽，无异味、霉变、生虫及其他正常视觉可见的异物。</w:t>
            </w:r>
          </w:p>
          <w:p w14:paraId="77AC004F">
            <w:pPr>
              <w:pStyle w:val="4"/>
              <w:spacing w:after="165"/>
              <w:ind w:firstLine="602"/>
              <w:jc w:val="both"/>
            </w:pPr>
            <w:r>
              <w:rPr>
                <w:rFonts w:ascii="仿宋_GB2312" w:hAnsi="仿宋_GB2312" w:eastAsia="仿宋_GB2312" w:cs="仿宋_GB2312"/>
                <w:b/>
                <w:sz w:val="30"/>
              </w:rPr>
              <w:t>（二）配送服务要求</w:t>
            </w:r>
          </w:p>
          <w:p w14:paraId="497064CE">
            <w:pPr>
              <w:pStyle w:val="4"/>
              <w:spacing w:after="165"/>
              <w:ind w:firstLine="600"/>
              <w:jc w:val="both"/>
            </w:pPr>
            <w:r>
              <w:rPr>
                <w:rFonts w:ascii="仿宋_GB2312" w:hAnsi="仿宋_GB2312" w:eastAsia="仿宋_GB2312" w:cs="仿宋_GB2312"/>
                <w:sz w:val="30"/>
              </w:rPr>
              <w:t>1.投标人拟派本项目的服务人员须大于等于2人，其中至少包括专职配送服务人员、专职驾驶人员。服务人员具有有效的健康证且为投标人在职人员。（投标文件中提供拟派服务人员有效的身份证、健康证、在职证明材料，并加盖投标人公章。）</w:t>
            </w:r>
          </w:p>
          <w:p w14:paraId="601DECA0">
            <w:pPr>
              <w:pStyle w:val="4"/>
              <w:spacing w:after="165"/>
              <w:ind w:firstLine="600"/>
              <w:jc w:val="both"/>
            </w:pPr>
            <w:r>
              <w:rPr>
                <w:rFonts w:ascii="仿宋_GB2312" w:hAnsi="仿宋_GB2312" w:eastAsia="仿宋_GB2312" w:cs="仿宋_GB2312"/>
                <w:sz w:val="30"/>
              </w:rPr>
              <w:t>2.供应商委派对采购单位的服务人员为固定服务人员，并按照采购人要求对服务人员做好核查，中标后递交拟派本项目服务人员名单交报采购人备案。</w:t>
            </w:r>
          </w:p>
          <w:p w14:paraId="60437BEC">
            <w:pPr>
              <w:pStyle w:val="4"/>
              <w:spacing w:after="165"/>
              <w:ind w:firstLine="600"/>
              <w:jc w:val="both"/>
            </w:pPr>
            <w:r>
              <w:rPr>
                <w:rFonts w:ascii="仿宋_GB2312" w:hAnsi="仿宋_GB2312" w:eastAsia="仿宋_GB2312" w:cs="仿宋_GB2312"/>
                <w:sz w:val="30"/>
              </w:rPr>
              <w:t>3.供应商需承诺在配送运输中要确保安全，在运输及装卸过程中发生的一切安全事故，包括人员、车辆事故等情况，由中标供应商负责处置，并依法承担所有责任。 (投标人须单独提供承诺函，格式自拟，承诺函须包含本条全部内容，未提供或承诺函不满足要求的作无效投标处理)</w:t>
            </w:r>
          </w:p>
          <w:p w14:paraId="1CEB19BC">
            <w:pPr>
              <w:pStyle w:val="4"/>
              <w:spacing w:after="165"/>
              <w:ind w:firstLine="600"/>
              <w:jc w:val="both"/>
            </w:pPr>
            <w:r>
              <w:rPr>
                <w:rFonts w:ascii="仿宋_GB2312" w:hAnsi="仿宋_GB2312" w:eastAsia="仿宋_GB2312" w:cs="仿宋_GB2312"/>
                <w:sz w:val="30"/>
              </w:rPr>
              <w:t>4.采购量多于实际需要量时，如采购人需要退换部分货物，供应商应及时办理退换货；剩余保质期3个月以内的货物，采购人如需更换，供应商须提供更换货物服务。(投标人须单独提供承诺函，格式自拟，承诺函须包含本条全部内容，未提供或承诺函不满足要求的作无效投标处理)</w:t>
            </w:r>
          </w:p>
          <w:p w14:paraId="0FC09C00">
            <w:pPr>
              <w:pStyle w:val="4"/>
              <w:spacing w:after="165"/>
              <w:ind w:firstLine="600"/>
              <w:jc w:val="both"/>
            </w:pPr>
            <w:r>
              <w:rPr>
                <w:rFonts w:ascii="仿宋_GB2312" w:hAnsi="仿宋_GB2312" w:eastAsia="仿宋_GB2312" w:cs="仿宋_GB2312"/>
                <w:sz w:val="30"/>
              </w:rPr>
              <w:t>5.供应商必须自行提供配送服务，不得将配送工作进行任何方式的转包或分包。(投标人须单独提供承诺函，格式自拟，承诺函须包含本条全部内容，未提供或承诺函不满足要求的作无效投标处理)</w:t>
            </w:r>
          </w:p>
          <w:p w14:paraId="7E535FA0">
            <w:pPr>
              <w:pStyle w:val="4"/>
              <w:spacing w:after="165"/>
              <w:ind w:firstLine="600"/>
              <w:jc w:val="both"/>
            </w:pPr>
            <w:r>
              <w:rPr>
                <w:rFonts w:ascii="仿宋_GB2312" w:hAnsi="仿宋_GB2312" w:eastAsia="仿宋_GB2312" w:cs="仿宋_GB2312"/>
                <w:sz w:val="30"/>
              </w:rPr>
              <w:t>6.合同期内向采购人的管理人员提供货物储藏保管培训不得少于二次。</w:t>
            </w:r>
          </w:p>
          <w:p w14:paraId="57941DE5">
            <w:pPr>
              <w:pStyle w:val="4"/>
              <w:spacing w:after="165"/>
              <w:ind w:firstLine="600"/>
              <w:jc w:val="both"/>
            </w:pPr>
            <w:r>
              <w:rPr>
                <w:rFonts w:ascii="仿宋_GB2312" w:hAnsi="仿宋_GB2312" w:eastAsia="仿宋_GB2312" w:cs="仿宋_GB2312"/>
                <w:sz w:val="30"/>
              </w:rPr>
              <w:t>7.供应商必须承诺即使提供了所供产品合格的相关检测报告或证明材料，但在因供应商产品导致发生食品安全事故时，供应商应承担全部责任。(投标人须单独提供承诺函，格式自拟，承诺函须包含本条全部内容，未提供或承诺函不满足要求的作无效投标处理)</w:t>
            </w:r>
          </w:p>
          <w:p w14:paraId="527DF783">
            <w:pPr>
              <w:pStyle w:val="4"/>
              <w:spacing w:after="165"/>
              <w:ind w:firstLine="600"/>
              <w:jc w:val="both"/>
            </w:pPr>
            <w:r>
              <w:rPr>
                <w:rFonts w:ascii="仿宋_GB2312" w:hAnsi="仿宋_GB2312" w:eastAsia="仿宋_GB2312" w:cs="仿宋_GB2312"/>
                <w:sz w:val="30"/>
              </w:rPr>
              <w:t>8.供应商须按采购人要求保质保量的配送产品，不得以任何理由拒绝配送。(投标人须单独提供承诺函，格式自拟，承诺函须包含本条全部内容，未提供或承诺函不满足要求的作无效投标处理)</w:t>
            </w:r>
          </w:p>
          <w:p w14:paraId="52BACB64">
            <w:pPr>
              <w:pStyle w:val="4"/>
              <w:spacing w:after="165"/>
              <w:ind w:firstLine="600"/>
              <w:jc w:val="both"/>
            </w:pPr>
            <w:r>
              <w:rPr>
                <w:rFonts w:ascii="仿宋_GB2312" w:hAnsi="仿宋_GB2312" w:eastAsia="仿宋_GB2312" w:cs="仿宋_GB2312"/>
                <w:sz w:val="30"/>
              </w:rPr>
              <w:t>9.如遇采购人有临时补货的需求，供应商应及时满足采购人补货需求，需制定专门的临时补货计划。并在采购人通知临时补货的1小时内完成补货。(投标人须单独提供承诺函，格式自拟，承诺函须包含本条全部内容，未提供或承诺函不满足要求的作无效投标处理)</w:t>
            </w:r>
          </w:p>
          <w:p w14:paraId="6A36D415">
            <w:pPr>
              <w:pStyle w:val="4"/>
              <w:spacing w:after="165"/>
              <w:ind w:firstLine="600"/>
              <w:jc w:val="both"/>
            </w:pPr>
            <w:r>
              <w:rPr>
                <w:rFonts w:ascii="仿宋_GB2312" w:hAnsi="仿宋_GB2312" w:eastAsia="仿宋_GB2312" w:cs="仿宋_GB2312"/>
                <w:sz w:val="30"/>
              </w:rPr>
              <w:t>10.供应商应做好食品安全的保障工作。</w:t>
            </w:r>
          </w:p>
          <w:p w14:paraId="311C1863">
            <w:pPr>
              <w:pStyle w:val="4"/>
              <w:spacing w:after="165"/>
              <w:ind w:firstLine="300"/>
              <w:jc w:val="both"/>
            </w:pPr>
            <w:r>
              <w:rPr>
                <w:rFonts w:ascii="仿宋_GB2312" w:hAnsi="仿宋_GB2312" w:eastAsia="仿宋_GB2312" w:cs="仿宋_GB2312"/>
                <w:sz w:val="30"/>
              </w:rPr>
              <w:t>（1）建立出入库台账。供应商对所供产品的食品安全负责，供应商建立24小时监控体系，所有配送产品在配送前，必须自行查验。</w:t>
            </w:r>
          </w:p>
          <w:p w14:paraId="042B1869">
            <w:pPr>
              <w:pStyle w:val="4"/>
              <w:spacing w:after="165"/>
              <w:ind w:firstLine="300"/>
              <w:jc w:val="both"/>
            </w:pPr>
            <w:r>
              <w:rPr>
                <w:rFonts w:ascii="仿宋_GB2312" w:hAnsi="仿宋_GB2312" w:eastAsia="仿宋_GB2312" w:cs="仿宋_GB2312"/>
                <w:sz w:val="30"/>
              </w:rPr>
              <w:t>（2）供应商应在配送过程中做好食材的保鲜、保质措施，但不得喷洒有毒有害物质进行保鲜、保质。</w:t>
            </w:r>
          </w:p>
          <w:p w14:paraId="4A3165D6">
            <w:pPr>
              <w:pStyle w:val="4"/>
              <w:spacing w:after="165"/>
              <w:ind w:firstLine="300"/>
              <w:jc w:val="both"/>
            </w:pPr>
            <w:r>
              <w:rPr>
                <w:rFonts w:ascii="仿宋_GB2312" w:hAnsi="仿宋_GB2312" w:eastAsia="仿宋_GB2312" w:cs="仿宋_GB2312"/>
                <w:sz w:val="30"/>
              </w:rPr>
              <w:t>（3）投标人拟派本项目的载重1吨及以上专用封闭式运输车（自有或租赁）2辆，其中含冷冻冷藏车（自有或租赁）为1辆。车辆内部结构应平整、干净，符合相关卫生要求。所有车辆应做到每日清洗、消毒并做好消毒记录。</w:t>
            </w:r>
          </w:p>
          <w:p w14:paraId="09299753">
            <w:pPr>
              <w:pStyle w:val="4"/>
              <w:spacing w:after="165"/>
              <w:ind w:firstLine="300"/>
              <w:jc w:val="both"/>
            </w:pPr>
            <w:r>
              <w:rPr>
                <w:rFonts w:ascii="仿宋_GB2312" w:hAnsi="仿宋_GB2312" w:eastAsia="仿宋_GB2312" w:cs="仿宋_GB2312"/>
                <w:sz w:val="30"/>
              </w:rPr>
              <w:t>（4）供应商应按采购人的要求，配送时提供产品的检疫（或检测）报告、相关许可证等，应积极配合相关部门的监督检查。</w:t>
            </w:r>
          </w:p>
          <w:p w14:paraId="71DD4AC8">
            <w:pPr>
              <w:pStyle w:val="4"/>
              <w:spacing w:after="165"/>
              <w:ind w:firstLine="300"/>
              <w:jc w:val="both"/>
            </w:pPr>
            <w:r>
              <w:rPr>
                <w:rFonts w:ascii="仿宋_GB2312" w:hAnsi="仿宋_GB2312" w:eastAsia="仿宋_GB2312" w:cs="仿宋_GB2312"/>
                <w:sz w:val="30"/>
              </w:rPr>
              <w:t>（5）供应商应自行负责所供物资的运输及装卸，负责搬运货物到达指定位置。负责承运、搬运的人员安全、货物安全及其风险，并承担全部费用。供应商配送车辆必须是固定车辆，若车辆需要更换，需经采购人同意后方可更换。车辆进入采购人单位场地后，应缓速慢行，听从采购人单位工作人员指挥，在确保安全的前提下方可运输装卸。在运输及装卸过程中发生的一切安全事故，由供应商负责，并依法承担责任。</w:t>
            </w:r>
          </w:p>
        </w:tc>
      </w:tr>
      <w:tr w14:paraId="2A80B5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7333D0">
            <w:pPr>
              <w:pStyle w:val="4"/>
              <w:jc w:val="center"/>
            </w:pPr>
            <w:r>
              <w:rPr>
                <w:rFonts w:ascii="仿宋_GB2312" w:hAnsi="仿宋_GB2312" w:eastAsia="仿宋_GB2312" w:cs="仿宋_GB2312"/>
              </w:rPr>
              <w:t>2</w:t>
            </w:r>
          </w:p>
        </w:tc>
        <w:tc>
          <w:tcPr>
            <w:tcW w:w="581" w:type="dxa"/>
          </w:tcPr>
          <w:p w14:paraId="58A4D04C">
            <w:pPr>
              <w:pStyle w:val="4"/>
              <w:jc w:val="center"/>
            </w:pPr>
            <w:r>
              <w:rPr>
                <w:rFonts w:ascii="仿宋_GB2312" w:hAnsi="仿宋_GB2312" w:eastAsia="仿宋_GB2312" w:cs="仿宋_GB2312"/>
              </w:rPr>
              <w:t>★</w:t>
            </w:r>
          </w:p>
        </w:tc>
        <w:tc>
          <w:tcPr>
            <w:tcW w:w="1495" w:type="dxa"/>
          </w:tcPr>
          <w:p w14:paraId="47BB48AD">
            <w:pPr>
              <w:pStyle w:val="4"/>
              <w:jc w:val="left"/>
            </w:pPr>
            <w:r>
              <w:rPr>
                <w:rFonts w:ascii="仿宋_GB2312" w:hAnsi="仿宋_GB2312" w:eastAsia="仿宋_GB2312" w:cs="仿宋_GB2312"/>
              </w:rPr>
              <w:t>服务要求</w:t>
            </w:r>
          </w:p>
        </w:tc>
        <w:tc>
          <w:tcPr>
            <w:tcW w:w="5814" w:type="dxa"/>
          </w:tcPr>
          <w:p w14:paraId="32EA45C4">
            <w:pPr>
              <w:pStyle w:val="4"/>
              <w:jc w:val="left"/>
            </w:pPr>
            <w:r>
              <w:rPr>
                <w:rFonts w:ascii="仿宋_GB2312" w:hAnsi="仿宋_GB2312" w:eastAsia="仿宋_GB2312" w:cs="仿宋_GB2312"/>
              </w:rPr>
              <w:t>（一）、</w:t>
            </w:r>
            <w:r>
              <w:rPr>
                <w:rFonts w:ascii="仿宋_GB2312" w:hAnsi="仿宋_GB2312" w:eastAsia="仿宋_GB2312" w:cs="仿宋_GB2312"/>
                <w:b/>
                <w:sz w:val="30"/>
              </w:rPr>
              <w:t>询价、定价管理：</w:t>
            </w:r>
          </w:p>
          <w:p w14:paraId="05EAAE72">
            <w:pPr>
              <w:pStyle w:val="4"/>
              <w:spacing w:after="165"/>
              <w:ind w:firstLine="600"/>
              <w:jc w:val="both"/>
            </w:pPr>
            <w:r>
              <w:rPr>
                <w:rFonts w:ascii="仿宋_GB2312" w:hAnsi="仿宋_GB2312" w:eastAsia="仿宋_GB2312" w:cs="仿宋_GB2312"/>
                <w:sz w:val="30"/>
              </w:rPr>
              <w:t>1、询价周期：牛奶、面包每半年询价一次。</w:t>
            </w:r>
          </w:p>
          <w:p w14:paraId="11CE60C0">
            <w:pPr>
              <w:pStyle w:val="4"/>
              <w:spacing w:before="45" w:after="165"/>
              <w:ind w:right="30" w:firstLine="640"/>
              <w:jc w:val="both"/>
            </w:pPr>
            <w:r>
              <w:rPr>
                <w:rFonts w:ascii="仿宋_GB2312" w:hAnsi="仿宋_GB2312" w:eastAsia="仿宋_GB2312" w:cs="仿宋_GB2312"/>
                <w:sz w:val="32"/>
              </w:rPr>
              <w:t>2、</w:t>
            </w:r>
            <w:r>
              <w:rPr>
                <w:rFonts w:ascii="仿宋_GB2312" w:hAnsi="仿宋_GB2312" w:eastAsia="仿宋_GB2312" w:cs="仿宋_GB2312"/>
                <w:sz w:val="30"/>
              </w:rPr>
              <w:t>本采购包产品询价地点表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48"/>
              <w:gridCol w:w="1418"/>
              <w:gridCol w:w="3544"/>
            </w:tblGrid>
            <w:tr w14:paraId="657D97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421F95B">
                  <w:pPr>
                    <w:pStyle w:val="4"/>
                    <w:spacing w:after="165"/>
                    <w:jc w:val="center"/>
                  </w:pPr>
                  <w:r>
                    <w:rPr>
                      <w:rFonts w:ascii="仿宋_GB2312" w:hAnsi="仿宋_GB2312" w:eastAsia="仿宋_GB2312" w:cs="仿宋_GB2312"/>
                      <w:sz w:val="22"/>
                    </w:rPr>
                    <w:t>包号</w:t>
                  </w:r>
                </w:p>
              </w:tc>
              <w:tc>
                <w:tcPr>
                  <w:tcW w:w="141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2FFCFE7">
                  <w:pPr>
                    <w:pStyle w:val="4"/>
                    <w:spacing w:after="165"/>
                    <w:jc w:val="center"/>
                  </w:pPr>
                  <w:r>
                    <w:rPr>
                      <w:rFonts w:ascii="仿宋_GB2312" w:hAnsi="仿宋_GB2312" w:eastAsia="仿宋_GB2312" w:cs="仿宋_GB2312"/>
                      <w:sz w:val="22"/>
                    </w:rPr>
                    <w:t>产品类别</w:t>
                  </w:r>
                </w:p>
              </w:tc>
              <w:tc>
                <w:tcPr>
                  <w:tcW w:w="354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11A6FFE">
                  <w:pPr>
                    <w:pStyle w:val="4"/>
                    <w:spacing w:after="165"/>
                    <w:jc w:val="center"/>
                  </w:pPr>
                  <w:r>
                    <w:rPr>
                      <w:rFonts w:ascii="仿宋_GB2312" w:hAnsi="仿宋_GB2312" w:eastAsia="仿宋_GB2312" w:cs="仿宋_GB2312"/>
                      <w:sz w:val="22"/>
                    </w:rPr>
                    <w:t>调查地点（南充市内）</w:t>
                  </w:r>
                </w:p>
              </w:tc>
            </w:tr>
            <w:tr w14:paraId="302555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58A19C">
                  <w:pPr>
                    <w:pStyle w:val="4"/>
                    <w:spacing w:after="165"/>
                    <w:jc w:val="center"/>
                  </w:pPr>
                  <w:r>
                    <w:rPr>
                      <w:rFonts w:ascii="仿宋_GB2312" w:hAnsi="仿宋_GB2312" w:eastAsia="仿宋_GB2312" w:cs="仿宋_GB2312"/>
                      <w:sz w:val="22"/>
                    </w:rPr>
                    <w:t>5</w:t>
                  </w:r>
                </w:p>
              </w:tc>
              <w:tc>
                <w:tcPr>
                  <w:tcW w:w="1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7986DC">
                  <w:pPr>
                    <w:pStyle w:val="4"/>
                    <w:spacing w:after="165"/>
                    <w:jc w:val="center"/>
                  </w:pPr>
                  <w:r>
                    <w:rPr>
                      <w:rFonts w:ascii="仿宋_GB2312" w:hAnsi="仿宋_GB2312" w:eastAsia="仿宋_GB2312" w:cs="仿宋_GB2312"/>
                      <w:sz w:val="22"/>
                    </w:rPr>
                    <w:t>牛奶、面包类</w:t>
                  </w:r>
                </w:p>
              </w:tc>
              <w:tc>
                <w:tcPr>
                  <w:tcW w:w="3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EC27C6">
                  <w:pPr>
                    <w:pStyle w:val="4"/>
                    <w:spacing w:after="165"/>
                    <w:jc w:val="center"/>
                  </w:pPr>
                  <w:r>
                    <w:rPr>
                      <w:rFonts w:ascii="仿宋_GB2312" w:hAnsi="仿宋_GB2312" w:eastAsia="仿宋_GB2312" w:cs="仿宋_GB2312"/>
                      <w:sz w:val="22"/>
                    </w:rPr>
                    <w:t>超市：华联超市尚品时代广场店、新世纪百货南充商都超市、大润发正阳店</w:t>
                  </w:r>
                </w:p>
                <w:p w14:paraId="1E35055F">
                  <w:pPr>
                    <w:pStyle w:val="4"/>
                    <w:spacing w:after="165"/>
                    <w:jc w:val="center"/>
                  </w:pPr>
                  <w:r>
                    <w:rPr>
                      <w:rFonts w:ascii="仿宋_GB2312" w:hAnsi="仿宋_GB2312" w:eastAsia="仿宋_GB2312" w:cs="仿宋_GB2312"/>
                      <w:sz w:val="22"/>
                    </w:rPr>
                    <w:t>市场：面包路（四海街店）、可香烘焙（四海街店）、雷仕蛋糕（春风玫瑰园店）</w:t>
                  </w:r>
                </w:p>
              </w:tc>
            </w:tr>
          </w:tbl>
          <w:p w14:paraId="71FD0D94">
            <w:pPr>
              <w:pStyle w:val="4"/>
              <w:spacing w:after="165"/>
              <w:ind w:firstLine="640"/>
              <w:jc w:val="both"/>
            </w:pPr>
            <w:r>
              <w:rPr>
                <w:rFonts w:ascii="仿宋_GB2312" w:hAnsi="仿宋_GB2312" w:eastAsia="仿宋_GB2312" w:cs="仿宋_GB2312"/>
                <w:sz w:val="32"/>
              </w:rPr>
              <w:t>若产品询价地点表中规定的价格调查超市出现停业、撤场、闭店等情况，采购人将从好又多超市雍景四季广场店、永辉超市英伦城邦商业广场店中任意选取一家进行替补，作为新的询价超市。</w:t>
            </w:r>
          </w:p>
          <w:p w14:paraId="2CE1D61F">
            <w:pPr>
              <w:pStyle w:val="4"/>
              <w:ind w:firstLine="640"/>
              <w:jc w:val="both"/>
            </w:pPr>
            <w:r>
              <w:rPr>
                <w:rFonts w:ascii="仿宋_GB2312" w:hAnsi="仿宋_GB2312" w:eastAsia="仿宋_GB2312" w:cs="仿宋_GB2312"/>
                <w:sz w:val="32"/>
              </w:rPr>
              <w:t>3、按照牛奶、面包类的产品清单，前半年基准价以询价小组在合同签订后第一次供货后一个月，根据当月供货明细在规定的超市现场询价结果为准，后半年的基准价以询价小组在后半年第二个月中旬的一个工作日前往规定的超市现场询价结果为准，找到与相应品种的品名、规格、等级、质量等要求相符合的超市在售货物，现场进行拍照（或购买）；若在超市未找到与相应品种的品名、规格、等级、质量完全一致的产品，则由询价小组前往规定的询价市场，调查拟采购产品的市场零售价，市场询价方式以口头询价为主。询价结束后，由询价工作小组汇总全部询价的原始数据，分别计算出所调查产品的超市询价结果平均价或市场询价结果平均价，作为所调查产品的基准价，</w:t>
            </w:r>
            <w:r>
              <w:rPr>
                <w:rFonts w:ascii="仿宋_GB2312" w:hAnsi="仿宋_GB2312" w:eastAsia="仿宋_GB2312" w:cs="仿宋_GB2312"/>
                <w:sz w:val="30"/>
              </w:rPr>
              <w:t>基准价确定后，需报采购人分管食堂的科室负责人签字后执行。中标供应商需在合同供应的相关食材基准价确认单上签字确认并加盖公章。</w:t>
            </w:r>
          </w:p>
          <w:p w14:paraId="6022653D">
            <w:pPr>
              <w:pStyle w:val="4"/>
              <w:spacing w:after="240"/>
              <w:ind w:firstLine="532"/>
              <w:jc w:val="left"/>
            </w:pPr>
            <w:r>
              <w:rPr>
                <w:rFonts w:ascii="仿宋_GB2312" w:hAnsi="仿宋_GB2312" w:eastAsia="仿宋_GB2312" w:cs="仿宋_GB2312"/>
                <w:sz w:val="30"/>
              </w:rPr>
              <w:t>4、结算价的确定：结算单价=基准价*成交结算比例，当月结算金额=结算单价*实际供应数量。投标人所报的结算比例是唯一的，如有多个结算比例，其报价无效，投标文件作无效投标处理。投标报价应包含配送食材本身的费用、包装费、车辆运输费、运输过程保险费、质量保证费、可能的法定部门检测验收费用、相关的伴随加工服务费、搬运费和配送食材本身已支付或将支付的各种税费以及其他交付使用前的所有费用。</w:t>
            </w:r>
          </w:p>
          <w:p w14:paraId="50202FBE">
            <w:pPr>
              <w:pStyle w:val="4"/>
              <w:spacing w:before="45" w:after="165"/>
              <w:ind w:right="30" w:firstLine="640"/>
              <w:jc w:val="both"/>
            </w:pPr>
            <w:r>
              <w:rPr>
                <w:rFonts w:ascii="仿宋_GB2312" w:hAnsi="仿宋_GB2312" w:eastAsia="仿宋_GB2312" w:cs="仿宋_GB2312"/>
                <w:sz w:val="32"/>
              </w:rPr>
              <w:t>5、市场询价工作小组由采购人的后勤保障部、财务部工作人员及职工代表组成，负责产品市场零售价调查，不询临期、过期产品、不询定制、二次加工产品，不询尾货价、处理价、特价、打折优惠价。确保每次物资调查价格的真实性，认真及时做好价格调查结果记录并签字确认，以此作为调价定价的重要依据。</w:t>
            </w:r>
          </w:p>
          <w:p w14:paraId="70F32A9B">
            <w:pPr>
              <w:pStyle w:val="4"/>
              <w:spacing w:before="45" w:after="165"/>
              <w:ind w:right="30"/>
              <w:jc w:val="both"/>
            </w:pPr>
            <w:r>
              <w:rPr>
                <w:rFonts w:ascii="仿宋_GB2312" w:hAnsi="仿宋_GB2312" w:eastAsia="仿宋_GB2312" w:cs="仿宋_GB2312"/>
                <w:sz w:val="32"/>
              </w:rPr>
              <w:t xml:space="preserve">   6、市场询价工作小组在询价过程中如遇某种食材原料只能在某一超市或某一市场能询到价格，无法求算平均价的情况，将该类食材询得的价格报采购人单位膳食管理小组讨论，按讨论结果执行该类食材原料的基准价。</w:t>
            </w:r>
          </w:p>
          <w:p w14:paraId="0ED75920">
            <w:pPr>
              <w:pStyle w:val="4"/>
              <w:spacing w:before="45" w:after="165"/>
              <w:ind w:right="30"/>
              <w:jc w:val="both"/>
            </w:pPr>
            <w:r>
              <w:rPr>
                <w:rFonts w:ascii="仿宋_GB2312" w:hAnsi="仿宋_GB2312" w:eastAsia="仿宋_GB2312" w:cs="仿宋_GB2312"/>
              </w:rPr>
              <w:t>（二）、</w:t>
            </w:r>
            <w:r>
              <w:rPr>
                <w:rFonts w:ascii="仿宋_GB2312" w:hAnsi="仿宋_GB2312" w:eastAsia="仿宋_GB2312" w:cs="仿宋_GB2312"/>
                <w:sz w:val="30"/>
              </w:rPr>
              <w:t>退出机制：</w:t>
            </w:r>
          </w:p>
          <w:p w14:paraId="79742844">
            <w:pPr>
              <w:pStyle w:val="4"/>
              <w:spacing w:after="165"/>
              <w:ind w:firstLine="600"/>
              <w:jc w:val="both"/>
            </w:pPr>
            <w:r>
              <w:rPr>
                <w:rFonts w:ascii="仿宋_GB2312" w:hAnsi="仿宋_GB2312" w:eastAsia="仿宋_GB2312" w:cs="仿宋_GB2312"/>
                <w:sz w:val="30"/>
              </w:rPr>
              <w:t>供应商如出现如下情况的，采购人有权终止配送资格，由此产生的一切经济及法律责任由供应商承担。</w:t>
            </w:r>
          </w:p>
          <w:p w14:paraId="4569EF1C">
            <w:pPr>
              <w:pStyle w:val="4"/>
              <w:spacing w:after="165"/>
              <w:ind w:firstLine="600"/>
              <w:jc w:val="both"/>
            </w:pPr>
            <w:r>
              <w:rPr>
                <w:rFonts w:ascii="仿宋_GB2312" w:hAnsi="仿宋_GB2312" w:eastAsia="仿宋_GB2312" w:cs="仿宋_GB2312"/>
                <w:sz w:val="30"/>
              </w:rPr>
              <w:t>（1）因配送食材质量引发食品安全事故或舆情事件；</w:t>
            </w:r>
          </w:p>
          <w:p w14:paraId="12900D68">
            <w:pPr>
              <w:pStyle w:val="4"/>
              <w:spacing w:after="165"/>
              <w:ind w:firstLine="600"/>
              <w:jc w:val="both"/>
            </w:pPr>
            <w:r>
              <w:rPr>
                <w:rFonts w:ascii="仿宋_GB2312" w:hAnsi="仿宋_GB2312" w:eastAsia="仿宋_GB2312" w:cs="仿宋_GB2312"/>
                <w:sz w:val="30"/>
              </w:rPr>
              <w:t>（2）采购加工制作高危食品，或因质量不符合相关质量标准，导致采购人被监管部门处罚；</w:t>
            </w:r>
          </w:p>
          <w:p w14:paraId="0E99259C">
            <w:pPr>
              <w:pStyle w:val="4"/>
              <w:spacing w:after="165"/>
              <w:ind w:firstLine="600"/>
              <w:jc w:val="both"/>
            </w:pPr>
            <w:r>
              <w:rPr>
                <w:rFonts w:ascii="仿宋_GB2312" w:hAnsi="仿宋_GB2312" w:eastAsia="仿宋_GB2312" w:cs="仿宋_GB2312"/>
                <w:sz w:val="30"/>
              </w:rPr>
              <w:t>（3）逃避监督管理部门监管，情节严重的，或严重违反食品质量安全法规以及有其他不良行为造成恶劣影响或严重后果的；</w:t>
            </w:r>
          </w:p>
          <w:p w14:paraId="0C2BBDB0">
            <w:pPr>
              <w:pStyle w:val="4"/>
              <w:spacing w:after="165"/>
              <w:ind w:firstLine="600"/>
              <w:jc w:val="both"/>
            </w:pPr>
            <w:r>
              <w:rPr>
                <w:rFonts w:ascii="仿宋_GB2312" w:hAnsi="仿宋_GB2312" w:eastAsia="仿宋_GB2312" w:cs="仿宋_GB2312"/>
                <w:sz w:val="30"/>
              </w:rPr>
              <w:t>（4）一个月内配送不及时超过3次，影响就餐的；</w:t>
            </w:r>
          </w:p>
          <w:p w14:paraId="41A01925">
            <w:pPr>
              <w:pStyle w:val="4"/>
              <w:spacing w:after="165"/>
              <w:ind w:firstLine="600"/>
              <w:jc w:val="both"/>
            </w:pPr>
            <w:r>
              <w:rPr>
                <w:rFonts w:ascii="仿宋_GB2312" w:hAnsi="仿宋_GB2312" w:eastAsia="仿宋_GB2312" w:cs="仿宋_GB2312"/>
                <w:sz w:val="30"/>
              </w:rPr>
              <w:t>（5）供应商存在严重安全隐患整改不到位；</w:t>
            </w:r>
          </w:p>
          <w:p w14:paraId="4E422B28">
            <w:pPr>
              <w:pStyle w:val="4"/>
              <w:spacing w:after="165"/>
              <w:ind w:firstLine="600"/>
              <w:jc w:val="both"/>
            </w:pPr>
            <w:r>
              <w:rPr>
                <w:rFonts w:ascii="仿宋_GB2312" w:hAnsi="仿宋_GB2312" w:eastAsia="仿宋_GB2312" w:cs="仿宋_GB2312"/>
                <w:sz w:val="30"/>
              </w:rPr>
              <w:t>（6）在配送期间相关资质失效、丧失或出现被相关部门行政处罚；</w:t>
            </w:r>
          </w:p>
          <w:p w14:paraId="7BD88078">
            <w:pPr>
              <w:pStyle w:val="4"/>
              <w:spacing w:after="165"/>
              <w:ind w:firstLine="600"/>
              <w:jc w:val="both"/>
            </w:pPr>
            <w:r>
              <w:rPr>
                <w:rFonts w:ascii="仿宋_GB2312" w:hAnsi="仿宋_GB2312" w:eastAsia="仿宋_GB2312" w:cs="仿宋_GB2312"/>
                <w:sz w:val="30"/>
              </w:rPr>
              <w:t>（7）不配合、不执行招标文件及合同约定的食材定价管理。</w:t>
            </w:r>
          </w:p>
          <w:p w14:paraId="3F14FCE8">
            <w:pPr>
              <w:pStyle w:val="4"/>
              <w:spacing w:after="165"/>
              <w:ind w:firstLine="600"/>
              <w:jc w:val="both"/>
            </w:pPr>
            <w:r>
              <w:rPr>
                <w:rFonts w:ascii="仿宋_GB2312" w:hAnsi="仿宋_GB2312" w:eastAsia="仿宋_GB2312" w:cs="仿宋_GB2312"/>
              </w:rPr>
              <w:t>（三）、</w:t>
            </w:r>
            <w:r>
              <w:rPr>
                <w:rFonts w:ascii="仿宋_GB2312" w:hAnsi="仿宋_GB2312" w:eastAsia="仿宋_GB2312" w:cs="仿宋_GB2312"/>
                <w:sz w:val="30"/>
              </w:rPr>
              <w:t>配送时间：接到采购人通知后次日上午9：00前送达，特殊紧急情况下，接到采购人通知后1小时内送达。</w:t>
            </w:r>
          </w:p>
          <w:p w14:paraId="24633271">
            <w:pPr>
              <w:pStyle w:val="4"/>
              <w:spacing w:after="165"/>
              <w:ind w:firstLine="600"/>
              <w:jc w:val="both"/>
            </w:pPr>
            <w:r>
              <w:rPr>
                <w:rFonts w:ascii="仿宋_GB2312" w:hAnsi="仿宋_GB2312" w:eastAsia="仿宋_GB2312" w:cs="仿宋_GB2312"/>
              </w:rPr>
              <w:t>（四）、</w:t>
            </w:r>
          </w:p>
          <w:p w14:paraId="74A7AE81">
            <w:pPr>
              <w:pStyle w:val="4"/>
              <w:spacing w:after="165"/>
              <w:jc w:val="center"/>
            </w:pPr>
            <w:r>
              <w:rPr>
                <w:rFonts w:ascii="仿宋_GB2312" w:hAnsi="仿宋_GB2312" w:eastAsia="仿宋_GB2312" w:cs="仿宋_GB2312"/>
                <w:b/>
                <w:sz w:val="36"/>
              </w:rPr>
              <w:t>食材配送服务考核评分表（每月考核）</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73"/>
              <w:gridCol w:w="1833"/>
              <w:gridCol w:w="826"/>
              <w:gridCol w:w="1824"/>
              <w:gridCol w:w="422"/>
            </w:tblGrid>
            <w:tr w14:paraId="1837E9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CF850AF">
                  <w:pPr>
                    <w:pStyle w:val="4"/>
                    <w:spacing w:after="165"/>
                    <w:jc w:val="center"/>
                  </w:pPr>
                  <w:r>
                    <w:rPr>
                      <w:rFonts w:ascii="仿宋_GB2312" w:hAnsi="仿宋_GB2312" w:eastAsia="仿宋_GB2312" w:cs="仿宋_GB2312"/>
                      <w:b/>
                      <w:sz w:val="21"/>
                    </w:rPr>
                    <w:t>考核</w:t>
                  </w:r>
                </w:p>
                <w:p w14:paraId="2D7E0A3A">
                  <w:pPr>
                    <w:pStyle w:val="4"/>
                    <w:spacing w:after="165"/>
                    <w:jc w:val="center"/>
                  </w:pPr>
                  <w:r>
                    <w:rPr>
                      <w:rFonts w:ascii="仿宋_GB2312" w:hAnsi="仿宋_GB2312" w:eastAsia="仿宋_GB2312" w:cs="仿宋_GB2312"/>
                      <w:b/>
                      <w:sz w:val="21"/>
                    </w:rPr>
                    <w:t>项目</w:t>
                  </w:r>
                </w:p>
              </w:tc>
              <w:tc>
                <w:tcPr>
                  <w:tcW w:w="183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2DF76D">
                  <w:pPr>
                    <w:pStyle w:val="4"/>
                    <w:spacing w:after="165"/>
                    <w:jc w:val="center"/>
                  </w:pPr>
                  <w:r>
                    <w:rPr>
                      <w:rFonts w:ascii="仿宋_GB2312" w:hAnsi="仿宋_GB2312" w:eastAsia="仿宋_GB2312" w:cs="仿宋_GB2312"/>
                      <w:b/>
                      <w:sz w:val="21"/>
                    </w:rPr>
                    <w:t>考核内容</w:t>
                  </w:r>
                </w:p>
              </w:tc>
              <w:tc>
                <w:tcPr>
                  <w:tcW w:w="82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F6AA218">
                  <w:pPr>
                    <w:pStyle w:val="4"/>
                    <w:spacing w:after="165"/>
                    <w:jc w:val="center"/>
                  </w:pPr>
                  <w:r>
                    <w:rPr>
                      <w:rFonts w:ascii="仿宋_GB2312" w:hAnsi="仿宋_GB2312" w:eastAsia="仿宋_GB2312" w:cs="仿宋_GB2312"/>
                      <w:b/>
                      <w:sz w:val="21"/>
                    </w:rPr>
                    <w:t>考核分值</w:t>
                  </w:r>
                </w:p>
              </w:tc>
              <w:tc>
                <w:tcPr>
                  <w:tcW w:w="182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B3070D7">
                  <w:pPr>
                    <w:pStyle w:val="4"/>
                    <w:spacing w:after="165"/>
                    <w:jc w:val="center"/>
                  </w:pPr>
                  <w:r>
                    <w:rPr>
                      <w:rFonts w:ascii="仿宋_GB2312" w:hAnsi="仿宋_GB2312" w:eastAsia="仿宋_GB2312" w:cs="仿宋_GB2312"/>
                      <w:b/>
                      <w:sz w:val="21"/>
                    </w:rPr>
                    <w:t>考核标准</w:t>
                  </w:r>
                </w:p>
              </w:tc>
              <w:tc>
                <w:tcPr>
                  <w:tcW w:w="4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125AE8E">
                  <w:pPr>
                    <w:pStyle w:val="4"/>
                    <w:spacing w:after="165"/>
                    <w:jc w:val="center"/>
                  </w:pPr>
                  <w:r>
                    <w:rPr>
                      <w:rFonts w:ascii="仿宋_GB2312" w:hAnsi="仿宋_GB2312" w:eastAsia="仿宋_GB2312" w:cs="仿宋_GB2312"/>
                      <w:b/>
                      <w:sz w:val="21"/>
                    </w:rPr>
                    <w:t>得分</w:t>
                  </w:r>
                </w:p>
              </w:tc>
            </w:tr>
            <w:tr w14:paraId="5ACE7D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EB15B2">
                  <w:pPr>
                    <w:pStyle w:val="4"/>
                    <w:spacing w:after="165"/>
                    <w:jc w:val="center"/>
                  </w:pPr>
                  <w:r>
                    <w:rPr>
                      <w:rFonts w:ascii="仿宋_GB2312" w:hAnsi="仿宋_GB2312" w:eastAsia="仿宋_GB2312" w:cs="仿宋_GB2312"/>
                      <w:b/>
                      <w:sz w:val="21"/>
                    </w:rPr>
                    <w:t>送货服务</w:t>
                  </w:r>
                </w:p>
              </w:tc>
              <w:tc>
                <w:tcPr>
                  <w:tcW w:w="1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141607">
                  <w:pPr>
                    <w:pStyle w:val="4"/>
                    <w:spacing w:after="165"/>
                    <w:jc w:val="both"/>
                  </w:pPr>
                  <w:r>
                    <w:rPr>
                      <w:rFonts w:ascii="仿宋_GB2312" w:hAnsi="仿宋_GB2312" w:eastAsia="仿宋_GB2312" w:cs="仿宋_GB2312"/>
                      <w:b/>
                      <w:sz w:val="21"/>
                    </w:rPr>
                    <w:t>设立供货团队固定的人员提供配送服务，不得随意调换配送服务人员</w:t>
                  </w:r>
                </w:p>
              </w:tc>
              <w:tc>
                <w:tcPr>
                  <w:tcW w:w="8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6B3CCD">
                  <w:pPr>
                    <w:pStyle w:val="4"/>
                    <w:spacing w:after="165"/>
                    <w:jc w:val="center"/>
                  </w:pPr>
                  <w:r>
                    <w:rPr>
                      <w:rFonts w:ascii="仿宋_GB2312" w:hAnsi="仿宋_GB2312" w:eastAsia="仿宋_GB2312" w:cs="仿宋_GB2312"/>
                      <w:b/>
                      <w:sz w:val="21"/>
                    </w:rPr>
                    <w:t>10分</w:t>
                  </w:r>
                </w:p>
              </w:tc>
              <w:tc>
                <w:tcPr>
                  <w:tcW w:w="18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9ED29D">
                  <w:pPr>
                    <w:pStyle w:val="4"/>
                    <w:spacing w:after="165"/>
                    <w:jc w:val="both"/>
                  </w:pPr>
                  <w:r>
                    <w:rPr>
                      <w:rFonts w:ascii="仿宋_GB2312" w:hAnsi="仿宋_GB2312" w:eastAsia="仿宋_GB2312" w:cs="仿宋_GB2312"/>
                      <w:b/>
                      <w:sz w:val="21"/>
                    </w:rPr>
                    <w:t>人员不固定，出现一次扣5分</w:t>
                  </w:r>
                </w:p>
              </w:tc>
              <w:tc>
                <w:tcPr>
                  <w:tcW w:w="4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DBD8C2">
                  <w:pPr>
                    <w:pStyle w:val="4"/>
                    <w:spacing w:after="165"/>
                    <w:jc w:val="center"/>
                  </w:pPr>
                </w:p>
              </w:tc>
            </w:tr>
            <w:tr w14:paraId="50345E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3" w:type="dxa"/>
                  <w:vMerge w:val="continue"/>
                  <w:tcBorders>
                    <w:top w:val="nil"/>
                    <w:left w:val="single" w:color="000000" w:sz="4" w:space="0"/>
                    <w:bottom w:val="single" w:color="000000" w:sz="4" w:space="0"/>
                    <w:right w:val="single" w:color="000000" w:sz="4" w:space="0"/>
                  </w:tcBorders>
                </w:tcPr>
                <w:p w14:paraId="2C77EF11"/>
              </w:tc>
              <w:tc>
                <w:tcPr>
                  <w:tcW w:w="1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1F343C">
                  <w:pPr>
                    <w:pStyle w:val="4"/>
                    <w:jc w:val="both"/>
                  </w:pPr>
                  <w:r>
                    <w:rPr>
                      <w:rFonts w:ascii="仿宋_GB2312" w:hAnsi="仿宋_GB2312" w:eastAsia="仿宋_GB2312" w:cs="仿宋_GB2312"/>
                      <w:b/>
                      <w:sz w:val="21"/>
                    </w:rPr>
                    <w:t>按照采购人要求按时、按量、按质将食材配送到指定地点,不得随意调换</w:t>
                  </w:r>
                </w:p>
              </w:tc>
              <w:tc>
                <w:tcPr>
                  <w:tcW w:w="8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2C7959">
                  <w:pPr>
                    <w:pStyle w:val="4"/>
                    <w:spacing w:after="165"/>
                    <w:jc w:val="center"/>
                  </w:pPr>
                  <w:r>
                    <w:rPr>
                      <w:rFonts w:ascii="仿宋_GB2312" w:hAnsi="仿宋_GB2312" w:eastAsia="仿宋_GB2312" w:cs="仿宋_GB2312"/>
                      <w:b/>
                      <w:sz w:val="21"/>
                    </w:rPr>
                    <w:t>10分</w:t>
                  </w:r>
                </w:p>
              </w:tc>
              <w:tc>
                <w:tcPr>
                  <w:tcW w:w="18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E2C686">
                  <w:pPr>
                    <w:pStyle w:val="4"/>
                    <w:spacing w:after="165"/>
                    <w:jc w:val="both"/>
                  </w:pPr>
                  <w:r>
                    <w:rPr>
                      <w:rFonts w:ascii="仿宋_GB2312" w:hAnsi="仿宋_GB2312" w:eastAsia="仿宋_GB2312" w:cs="仿宋_GB2312"/>
                      <w:b/>
                      <w:sz w:val="21"/>
                    </w:rPr>
                    <w:t>未按时、按量、按质送到，有任何一种或几种情况出现的一次扣5分</w:t>
                  </w:r>
                </w:p>
              </w:tc>
              <w:tc>
                <w:tcPr>
                  <w:tcW w:w="4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2F125A">
                  <w:pPr>
                    <w:pStyle w:val="4"/>
                    <w:spacing w:after="165"/>
                    <w:jc w:val="center"/>
                  </w:pPr>
                </w:p>
              </w:tc>
            </w:tr>
            <w:tr w14:paraId="1A0183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F2463E">
                  <w:pPr>
                    <w:pStyle w:val="4"/>
                    <w:jc w:val="center"/>
                  </w:pPr>
                  <w:r>
                    <w:rPr>
                      <w:rFonts w:ascii="仿宋_GB2312" w:hAnsi="仿宋_GB2312" w:eastAsia="仿宋_GB2312" w:cs="仿宋_GB2312"/>
                      <w:b/>
                      <w:sz w:val="21"/>
                    </w:rPr>
                    <w:t>食材</w:t>
                  </w:r>
                </w:p>
                <w:p w14:paraId="36F03FAB">
                  <w:pPr>
                    <w:pStyle w:val="4"/>
                    <w:spacing w:after="165"/>
                    <w:jc w:val="center"/>
                  </w:pPr>
                  <w:r>
                    <w:rPr>
                      <w:rFonts w:ascii="仿宋_GB2312" w:hAnsi="仿宋_GB2312" w:eastAsia="仿宋_GB2312" w:cs="仿宋_GB2312"/>
                      <w:b/>
                      <w:sz w:val="21"/>
                    </w:rPr>
                    <w:t>价格</w:t>
                  </w:r>
                </w:p>
              </w:tc>
              <w:tc>
                <w:tcPr>
                  <w:tcW w:w="1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DF229C">
                  <w:pPr>
                    <w:pStyle w:val="4"/>
                    <w:spacing w:after="165"/>
                    <w:jc w:val="both"/>
                  </w:pPr>
                  <w:r>
                    <w:rPr>
                      <w:rFonts w:ascii="仿宋_GB2312" w:hAnsi="仿宋_GB2312" w:eastAsia="仿宋_GB2312" w:cs="仿宋_GB2312"/>
                      <w:b/>
                      <w:sz w:val="21"/>
                    </w:rPr>
                    <w:t>是否按合同及招标文件的要求执行定价并提供用于结算食材货款的票、据、证</w:t>
                  </w:r>
                </w:p>
              </w:tc>
              <w:tc>
                <w:tcPr>
                  <w:tcW w:w="8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E763CE">
                  <w:pPr>
                    <w:pStyle w:val="4"/>
                    <w:spacing w:after="165"/>
                    <w:jc w:val="center"/>
                  </w:pPr>
                  <w:r>
                    <w:rPr>
                      <w:rFonts w:ascii="仿宋_GB2312" w:hAnsi="仿宋_GB2312" w:eastAsia="仿宋_GB2312" w:cs="仿宋_GB2312"/>
                      <w:b/>
                      <w:sz w:val="21"/>
                    </w:rPr>
                    <w:t>20分</w:t>
                  </w:r>
                </w:p>
              </w:tc>
              <w:tc>
                <w:tcPr>
                  <w:tcW w:w="18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525FA6">
                  <w:pPr>
                    <w:pStyle w:val="4"/>
                    <w:spacing w:after="165"/>
                    <w:jc w:val="both"/>
                  </w:pPr>
                  <w:r>
                    <w:rPr>
                      <w:rFonts w:ascii="仿宋_GB2312" w:hAnsi="仿宋_GB2312" w:eastAsia="仿宋_GB2312" w:cs="仿宋_GB2312"/>
                      <w:b/>
                      <w:sz w:val="21"/>
                    </w:rPr>
                    <w:t>未按合同及招标文件的要求执行定价，或未按要求、故意拖延提交用于食材结算所需的票、据、证等情况，出现任何一种扣20 分</w:t>
                  </w:r>
                </w:p>
              </w:tc>
              <w:tc>
                <w:tcPr>
                  <w:tcW w:w="4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FCDACD">
                  <w:pPr>
                    <w:pStyle w:val="4"/>
                    <w:spacing w:after="165"/>
                    <w:jc w:val="center"/>
                  </w:pPr>
                </w:p>
              </w:tc>
            </w:tr>
            <w:tr w14:paraId="788F9F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817150">
                  <w:pPr>
                    <w:pStyle w:val="4"/>
                    <w:jc w:val="center"/>
                  </w:pPr>
                  <w:r>
                    <w:rPr>
                      <w:rFonts w:ascii="仿宋_GB2312" w:hAnsi="仿宋_GB2312" w:eastAsia="仿宋_GB2312" w:cs="仿宋_GB2312"/>
                      <w:b/>
                      <w:sz w:val="21"/>
                    </w:rPr>
                    <w:t>食材</w:t>
                  </w:r>
                </w:p>
                <w:p w14:paraId="1B69EB96">
                  <w:pPr>
                    <w:pStyle w:val="4"/>
                    <w:spacing w:after="165"/>
                    <w:jc w:val="center"/>
                  </w:pPr>
                  <w:r>
                    <w:rPr>
                      <w:rFonts w:ascii="仿宋_GB2312" w:hAnsi="仿宋_GB2312" w:eastAsia="仿宋_GB2312" w:cs="仿宋_GB2312"/>
                      <w:b/>
                      <w:sz w:val="21"/>
                    </w:rPr>
                    <w:t>质量</w:t>
                  </w:r>
                </w:p>
              </w:tc>
              <w:tc>
                <w:tcPr>
                  <w:tcW w:w="1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73BFFF">
                  <w:pPr>
                    <w:pStyle w:val="4"/>
                    <w:spacing w:after="165"/>
                    <w:jc w:val="both"/>
                  </w:pPr>
                  <w:r>
                    <w:rPr>
                      <w:rFonts w:ascii="仿宋_GB2312" w:hAnsi="仿宋_GB2312" w:eastAsia="仿宋_GB2312" w:cs="仿宋_GB2312"/>
                      <w:b/>
                      <w:sz w:val="21"/>
                    </w:rPr>
                    <w:t>是否按照合同及招标文件要求采购原材料，杜绝以次充好、腐败变质、来历不明的食材</w:t>
                  </w:r>
                </w:p>
              </w:tc>
              <w:tc>
                <w:tcPr>
                  <w:tcW w:w="8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0567D7">
                  <w:pPr>
                    <w:pStyle w:val="4"/>
                    <w:spacing w:after="165"/>
                    <w:jc w:val="center"/>
                  </w:pPr>
                  <w:r>
                    <w:rPr>
                      <w:rFonts w:ascii="仿宋_GB2312" w:hAnsi="仿宋_GB2312" w:eastAsia="仿宋_GB2312" w:cs="仿宋_GB2312"/>
                      <w:b/>
                      <w:sz w:val="21"/>
                    </w:rPr>
                    <w:t>15分</w:t>
                  </w:r>
                </w:p>
              </w:tc>
              <w:tc>
                <w:tcPr>
                  <w:tcW w:w="18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C1ADC6">
                  <w:pPr>
                    <w:pStyle w:val="4"/>
                    <w:spacing w:after="165"/>
                    <w:jc w:val="both"/>
                  </w:pPr>
                  <w:r>
                    <w:rPr>
                      <w:rFonts w:ascii="仿宋_GB2312" w:hAnsi="仿宋_GB2312" w:eastAsia="仿宋_GB2312" w:cs="仿宋_GB2312"/>
                      <w:b/>
                      <w:sz w:val="21"/>
                    </w:rPr>
                    <w:t>未按合同及招标文件提供食材或出现考核内容描述的不良情况等现象，出现一次不得分</w:t>
                  </w:r>
                </w:p>
              </w:tc>
              <w:tc>
                <w:tcPr>
                  <w:tcW w:w="4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79585">
                  <w:pPr>
                    <w:pStyle w:val="4"/>
                    <w:spacing w:after="165"/>
                    <w:jc w:val="center"/>
                  </w:pPr>
                </w:p>
              </w:tc>
            </w:tr>
            <w:tr w14:paraId="6148AE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3" w:type="dxa"/>
                  <w:vMerge w:val="continue"/>
                  <w:tcBorders>
                    <w:top w:val="nil"/>
                    <w:left w:val="single" w:color="000000" w:sz="4" w:space="0"/>
                    <w:bottom w:val="single" w:color="000000" w:sz="4" w:space="0"/>
                    <w:right w:val="single" w:color="000000" w:sz="4" w:space="0"/>
                  </w:tcBorders>
                </w:tcPr>
                <w:p w14:paraId="7A889BD1"/>
              </w:tc>
              <w:tc>
                <w:tcPr>
                  <w:tcW w:w="1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B322E1">
                  <w:pPr>
                    <w:pStyle w:val="4"/>
                    <w:jc w:val="both"/>
                  </w:pPr>
                  <w:r>
                    <w:rPr>
                      <w:rFonts w:ascii="仿宋_GB2312" w:hAnsi="仿宋_GB2312" w:eastAsia="仿宋_GB2312" w:cs="仿宋_GB2312"/>
                      <w:b/>
                      <w:sz w:val="21"/>
                    </w:rPr>
                    <w:t>是否及时提供产品同批次检疫检验报告、合格证书等确保产品溯源</w:t>
                  </w:r>
                </w:p>
              </w:tc>
              <w:tc>
                <w:tcPr>
                  <w:tcW w:w="8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215B85">
                  <w:pPr>
                    <w:pStyle w:val="4"/>
                    <w:spacing w:after="165"/>
                    <w:jc w:val="center"/>
                  </w:pPr>
                  <w:r>
                    <w:rPr>
                      <w:rFonts w:ascii="仿宋_GB2312" w:hAnsi="仿宋_GB2312" w:eastAsia="仿宋_GB2312" w:cs="仿宋_GB2312"/>
                      <w:b/>
                      <w:sz w:val="21"/>
                    </w:rPr>
                    <w:t>15分</w:t>
                  </w:r>
                </w:p>
              </w:tc>
              <w:tc>
                <w:tcPr>
                  <w:tcW w:w="18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AE7180">
                  <w:pPr>
                    <w:pStyle w:val="4"/>
                    <w:spacing w:after="165"/>
                    <w:jc w:val="both"/>
                  </w:pPr>
                  <w:r>
                    <w:rPr>
                      <w:rFonts w:ascii="仿宋_GB2312" w:hAnsi="仿宋_GB2312" w:eastAsia="仿宋_GB2312" w:cs="仿宋_GB2312"/>
                      <w:b/>
                      <w:sz w:val="21"/>
                    </w:rPr>
                    <w:t>未提供同批次食材检验报告、合格证书，出现一次不得分</w:t>
                  </w:r>
                </w:p>
              </w:tc>
              <w:tc>
                <w:tcPr>
                  <w:tcW w:w="4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D00A96">
                  <w:pPr>
                    <w:pStyle w:val="4"/>
                    <w:spacing w:after="165"/>
                    <w:jc w:val="center"/>
                  </w:pPr>
                </w:p>
              </w:tc>
            </w:tr>
            <w:tr w14:paraId="3410B3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A96C1D">
                  <w:pPr>
                    <w:pStyle w:val="4"/>
                    <w:jc w:val="center"/>
                  </w:pPr>
                  <w:r>
                    <w:rPr>
                      <w:rFonts w:ascii="仿宋_GB2312" w:hAnsi="仿宋_GB2312" w:eastAsia="仿宋_GB2312" w:cs="仿宋_GB2312"/>
                      <w:b/>
                      <w:sz w:val="21"/>
                    </w:rPr>
                    <w:t>应急保障服务</w:t>
                  </w:r>
                </w:p>
              </w:tc>
              <w:tc>
                <w:tcPr>
                  <w:tcW w:w="1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6538DE">
                  <w:pPr>
                    <w:pStyle w:val="4"/>
                    <w:spacing w:after="165"/>
                    <w:jc w:val="both"/>
                  </w:pPr>
                  <w:r>
                    <w:rPr>
                      <w:rFonts w:ascii="仿宋_GB2312" w:hAnsi="仿宋_GB2312" w:eastAsia="仿宋_GB2312" w:cs="仿宋_GB2312"/>
                      <w:b/>
                      <w:sz w:val="21"/>
                    </w:rPr>
                    <w:t>供应商是否建立应急保障服务制度并是否执行</w:t>
                  </w:r>
                </w:p>
              </w:tc>
              <w:tc>
                <w:tcPr>
                  <w:tcW w:w="8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64E824">
                  <w:pPr>
                    <w:pStyle w:val="4"/>
                    <w:spacing w:after="165"/>
                    <w:jc w:val="center"/>
                  </w:pPr>
                  <w:r>
                    <w:rPr>
                      <w:rFonts w:ascii="仿宋_GB2312" w:hAnsi="仿宋_GB2312" w:eastAsia="仿宋_GB2312" w:cs="仿宋_GB2312"/>
                      <w:b/>
                      <w:sz w:val="21"/>
                    </w:rPr>
                    <w:t>10分</w:t>
                  </w:r>
                </w:p>
              </w:tc>
              <w:tc>
                <w:tcPr>
                  <w:tcW w:w="18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511451">
                  <w:pPr>
                    <w:pStyle w:val="4"/>
                    <w:spacing w:after="165"/>
                    <w:jc w:val="both"/>
                  </w:pPr>
                  <w:r>
                    <w:rPr>
                      <w:rFonts w:ascii="仿宋_GB2312" w:hAnsi="仿宋_GB2312" w:eastAsia="仿宋_GB2312" w:cs="仿宋_GB2312"/>
                      <w:b/>
                      <w:sz w:val="21"/>
                    </w:rPr>
                    <w:t>未执行应急保障服务制度，出现一次不得分</w:t>
                  </w:r>
                </w:p>
              </w:tc>
              <w:tc>
                <w:tcPr>
                  <w:tcW w:w="4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A0FD3F">
                  <w:pPr>
                    <w:pStyle w:val="4"/>
                    <w:spacing w:after="165"/>
                    <w:jc w:val="center"/>
                  </w:pPr>
                </w:p>
              </w:tc>
            </w:tr>
            <w:tr w14:paraId="68D0D2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3" w:type="dxa"/>
                  <w:vMerge w:val="continue"/>
                  <w:tcBorders>
                    <w:top w:val="nil"/>
                    <w:left w:val="single" w:color="000000" w:sz="4" w:space="0"/>
                    <w:bottom w:val="single" w:color="000000" w:sz="4" w:space="0"/>
                    <w:right w:val="single" w:color="000000" w:sz="4" w:space="0"/>
                  </w:tcBorders>
                </w:tcPr>
                <w:p w14:paraId="110CEAC7"/>
              </w:tc>
              <w:tc>
                <w:tcPr>
                  <w:tcW w:w="1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025488">
                  <w:pPr>
                    <w:pStyle w:val="4"/>
                    <w:jc w:val="both"/>
                  </w:pPr>
                  <w:r>
                    <w:rPr>
                      <w:rFonts w:ascii="仿宋_GB2312" w:hAnsi="仿宋_GB2312" w:eastAsia="仿宋_GB2312" w:cs="仿宋_GB2312"/>
                      <w:b/>
                      <w:sz w:val="21"/>
                    </w:rPr>
                    <w:t>应急保障配送是否及时并保障原材料质量</w:t>
                  </w:r>
                </w:p>
              </w:tc>
              <w:tc>
                <w:tcPr>
                  <w:tcW w:w="8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9F77B4">
                  <w:pPr>
                    <w:pStyle w:val="4"/>
                    <w:spacing w:after="165"/>
                    <w:jc w:val="center"/>
                  </w:pPr>
                  <w:r>
                    <w:rPr>
                      <w:rFonts w:ascii="仿宋_GB2312" w:hAnsi="仿宋_GB2312" w:eastAsia="仿宋_GB2312" w:cs="仿宋_GB2312"/>
                      <w:b/>
                      <w:sz w:val="21"/>
                    </w:rPr>
                    <w:t>10分</w:t>
                  </w:r>
                </w:p>
              </w:tc>
              <w:tc>
                <w:tcPr>
                  <w:tcW w:w="18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A0C5F2">
                  <w:pPr>
                    <w:pStyle w:val="4"/>
                    <w:spacing w:after="165"/>
                    <w:jc w:val="both"/>
                  </w:pPr>
                  <w:r>
                    <w:rPr>
                      <w:rFonts w:ascii="仿宋_GB2312" w:hAnsi="仿宋_GB2312" w:eastAsia="仿宋_GB2312" w:cs="仿宋_GB2312"/>
                      <w:b/>
                      <w:sz w:val="21"/>
                    </w:rPr>
                    <w:t>应急配送不及时，出现一次不得分</w:t>
                  </w:r>
                </w:p>
              </w:tc>
              <w:tc>
                <w:tcPr>
                  <w:tcW w:w="4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4CB659">
                  <w:pPr>
                    <w:pStyle w:val="4"/>
                    <w:spacing w:after="165"/>
                    <w:jc w:val="center"/>
                  </w:pPr>
                </w:p>
              </w:tc>
            </w:tr>
            <w:tr w14:paraId="393CFC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434801">
                  <w:pPr>
                    <w:pStyle w:val="4"/>
                    <w:jc w:val="center"/>
                  </w:pPr>
                  <w:r>
                    <w:rPr>
                      <w:rFonts w:ascii="仿宋_GB2312" w:hAnsi="仿宋_GB2312" w:eastAsia="仿宋_GB2312" w:cs="仿宋_GB2312"/>
                      <w:b/>
                      <w:sz w:val="21"/>
                    </w:rPr>
                    <w:t>满意度</w:t>
                  </w:r>
                </w:p>
              </w:tc>
              <w:tc>
                <w:tcPr>
                  <w:tcW w:w="1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58FEDB">
                  <w:pPr>
                    <w:pStyle w:val="4"/>
                    <w:spacing w:after="165"/>
                    <w:jc w:val="both"/>
                  </w:pPr>
                  <w:r>
                    <w:rPr>
                      <w:rFonts w:ascii="仿宋_GB2312" w:hAnsi="仿宋_GB2312" w:eastAsia="仿宋_GB2312" w:cs="仿宋_GB2312"/>
                      <w:b/>
                      <w:sz w:val="21"/>
                    </w:rPr>
                    <w:t>是否因食材出现投诉现象</w:t>
                  </w:r>
                </w:p>
              </w:tc>
              <w:tc>
                <w:tcPr>
                  <w:tcW w:w="8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D465C5">
                  <w:pPr>
                    <w:pStyle w:val="4"/>
                    <w:spacing w:after="165"/>
                    <w:jc w:val="center"/>
                  </w:pPr>
                  <w:r>
                    <w:rPr>
                      <w:rFonts w:ascii="仿宋_GB2312" w:hAnsi="仿宋_GB2312" w:eastAsia="仿宋_GB2312" w:cs="仿宋_GB2312"/>
                      <w:b/>
                      <w:sz w:val="21"/>
                    </w:rPr>
                    <w:t>10分</w:t>
                  </w:r>
                </w:p>
              </w:tc>
              <w:tc>
                <w:tcPr>
                  <w:tcW w:w="18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DA3105">
                  <w:pPr>
                    <w:pStyle w:val="4"/>
                    <w:spacing w:after="165"/>
                    <w:jc w:val="both"/>
                  </w:pPr>
                  <w:r>
                    <w:rPr>
                      <w:rFonts w:ascii="仿宋_GB2312" w:hAnsi="仿宋_GB2312" w:eastAsia="仿宋_GB2312" w:cs="仿宋_GB2312"/>
                      <w:b/>
                      <w:sz w:val="21"/>
                    </w:rPr>
                    <w:t>出现一次不得分</w:t>
                  </w:r>
                </w:p>
              </w:tc>
              <w:tc>
                <w:tcPr>
                  <w:tcW w:w="4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B19BDF">
                  <w:pPr>
                    <w:pStyle w:val="4"/>
                    <w:spacing w:after="165"/>
                    <w:jc w:val="center"/>
                  </w:pPr>
                </w:p>
              </w:tc>
            </w:tr>
            <w:tr w14:paraId="34FB95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56"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F51BCD">
                  <w:pPr>
                    <w:pStyle w:val="4"/>
                    <w:jc w:val="both"/>
                  </w:pPr>
                  <w:r>
                    <w:rPr>
                      <w:rFonts w:ascii="仿宋_GB2312" w:hAnsi="仿宋_GB2312" w:eastAsia="仿宋_GB2312" w:cs="仿宋_GB2312"/>
                      <w:b/>
                      <w:sz w:val="21"/>
                    </w:rPr>
                    <w:t xml:space="preserve">                                                                 合计</w:t>
                  </w:r>
                </w:p>
              </w:tc>
              <w:tc>
                <w:tcPr>
                  <w:tcW w:w="4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7280C5">
                  <w:pPr>
                    <w:pStyle w:val="4"/>
                    <w:spacing w:after="165"/>
                    <w:jc w:val="center"/>
                  </w:pPr>
                </w:p>
              </w:tc>
            </w:tr>
            <w:tr w14:paraId="636477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78"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0DE1D4">
                  <w:pPr>
                    <w:pStyle w:val="4"/>
                    <w:jc w:val="left"/>
                  </w:pPr>
                  <w:r>
                    <w:rPr>
                      <w:rFonts w:ascii="仿宋_GB2312" w:hAnsi="仿宋_GB2312" w:eastAsia="仿宋_GB2312" w:cs="仿宋_GB2312"/>
                      <w:b/>
                      <w:sz w:val="21"/>
                    </w:rPr>
                    <w:t>考核方式：</w:t>
                  </w:r>
                </w:p>
                <w:p w14:paraId="3E0D42DA">
                  <w:pPr>
                    <w:pStyle w:val="4"/>
                    <w:spacing w:after="165"/>
                    <w:jc w:val="left"/>
                  </w:pPr>
                  <w:r>
                    <w:rPr>
                      <w:rFonts w:ascii="仿宋_GB2312" w:hAnsi="仿宋_GB2312" w:eastAsia="仿宋_GB2312" w:cs="仿宋_GB2312"/>
                      <w:b/>
                      <w:sz w:val="21"/>
                    </w:rPr>
                    <w:t>1、当月总分达到95分（含）以上，无处罚措施；</w:t>
                  </w:r>
                </w:p>
                <w:p w14:paraId="1D351564">
                  <w:pPr>
                    <w:pStyle w:val="4"/>
                    <w:spacing w:after="165"/>
                    <w:jc w:val="left"/>
                  </w:pPr>
                  <w:r>
                    <w:rPr>
                      <w:rFonts w:ascii="仿宋_GB2312" w:hAnsi="仿宋_GB2312" w:eastAsia="仿宋_GB2312" w:cs="仿宋_GB2312"/>
                      <w:b/>
                      <w:sz w:val="21"/>
                    </w:rPr>
                    <w:t>2、当月总分在90分（含）—95分（不含）之间，在95分的基础上，每少1分罚款200元；</w:t>
                  </w:r>
                </w:p>
                <w:p w14:paraId="7F60E30F">
                  <w:pPr>
                    <w:pStyle w:val="4"/>
                    <w:spacing w:after="165"/>
                    <w:jc w:val="left"/>
                  </w:pPr>
                  <w:r>
                    <w:rPr>
                      <w:rFonts w:ascii="仿宋_GB2312" w:hAnsi="仿宋_GB2312" w:eastAsia="仿宋_GB2312" w:cs="仿宋_GB2312"/>
                      <w:b/>
                      <w:sz w:val="21"/>
                    </w:rPr>
                    <w:t>3、当月总分在80分（含）—90分（不含）之间，在执行上一条扣款规定后，再在90分的基础上，每少1分罚款300元，实行累计罚款；</w:t>
                  </w:r>
                </w:p>
                <w:p w14:paraId="229C0BFF">
                  <w:pPr>
                    <w:pStyle w:val="4"/>
                    <w:spacing w:after="165"/>
                    <w:jc w:val="left"/>
                  </w:pPr>
                  <w:r>
                    <w:rPr>
                      <w:rFonts w:ascii="仿宋_GB2312" w:hAnsi="仿宋_GB2312" w:eastAsia="仿宋_GB2312" w:cs="仿宋_GB2312"/>
                      <w:b/>
                      <w:sz w:val="21"/>
                    </w:rPr>
                    <w:t>4、当月总分在80分（不含）以下，在执行上一条扣款规定后，再在80分的基础上，每少1分罚款500元，实行累计罚款，并启动退出机制。</w:t>
                  </w:r>
                </w:p>
                <w:p w14:paraId="5BFFC76E">
                  <w:pPr>
                    <w:pStyle w:val="4"/>
                    <w:spacing w:after="165"/>
                    <w:jc w:val="left"/>
                  </w:pPr>
                  <w:r>
                    <w:rPr>
                      <w:rFonts w:ascii="仿宋_GB2312" w:hAnsi="仿宋_GB2312" w:eastAsia="仿宋_GB2312" w:cs="仿宋_GB2312"/>
                      <w:b/>
                      <w:sz w:val="21"/>
                    </w:rPr>
                    <w:t>5、罚款款项统一交于医院财务部或在当月货款中扣除。</w:t>
                  </w:r>
                </w:p>
                <w:p w14:paraId="35DC186C">
                  <w:pPr>
                    <w:pStyle w:val="4"/>
                    <w:spacing w:after="165"/>
                    <w:jc w:val="left"/>
                  </w:pPr>
                  <w:r>
                    <w:rPr>
                      <w:rFonts w:ascii="仿宋_GB2312" w:hAnsi="仿宋_GB2312" w:eastAsia="仿宋_GB2312" w:cs="仿宋_GB2312"/>
                      <w:b/>
                      <w:sz w:val="21"/>
                    </w:rPr>
                    <w:t>退出机制：服务考核评分满分为100分，连续两月考核评分未达80分（不含80分），启动退出机制，由此对医院照成的损失及影响，由中标人承担。</w:t>
                  </w:r>
                </w:p>
              </w:tc>
            </w:tr>
          </w:tbl>
          <w:p w14:paraId="2C3ED519">
            <w:pPr>
              <w:pStyle w:val="4"/>
              <w:spacing w:after="165"/>
              <w:jc w:val="both"/>
            </w:pPr>
          </w:p>
        </w:tc>
      </w:tr>
    </w:tbl>
    <w:p w14:paraId="18704FB0">
      <w:pPr>
        <w:pStyle w:val="4"/>
        <w:jc w:val="left"/>
        <w:outlineLvl w:val="2"/>
      </w:pPr>
      <w:r>
        <w:rPr>
          <w:rFonts w:ascii="仿宋_GB2312" w:hAnsi="仿宋_GB2312" w:eastAsia="仿宋_GB2312" w:cs="仿宋_GB2312"/>
          <w:b/>
          <w:sz w:val="28"/>
        </w:rPr>
        <w:t>3.3.服务要求</w:t>
      </w:r>
    </w:p>
    <w:p w14:paraId="21E1572D">
      <w:pPr>
        <w:pStyle w:val="4"/>
        <w:jc w:val="left"/>
        <w:outlineLvl w:val="3"/>
      </w:pPr>
      <w:r>
        <w:rPr>
          <w:rFonts w:ascii="仿宋_GB2312" w:hAnsi="仿宋_GB2312" w:eastAsia="仿宋_GB2312" w:cs="仿宋_GB2312"/>
          <w:b/>
          <w:sz w:val="24"/>
        </w:rPr>
        <w:t>3.3.1.服务内容要求</w:t>
      </w:r>
    </w:p>
    <w:p w14:paraId="49CE21C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4A1E3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C52361">
            <w:pPr>
              <w:pStyle w:val="4"/>
              <w:jc w:val="center"/>
            </w:pPr>
            <w:r>
              <w:rPr>
                <w:rFonts w:ascii="仿宋_GB2312" w:hAnsi="仿宋_GB2312" w:eastAsia="仿宋_GB2312" w:cs="仿宋_GB2312"/>
              </w:rPr>
              <w:t xml:space="preserve"> 序号</w:t>
            </w:r>
          </w:p>
        </w:tc>
        <w:tc>
          <w:tcPr>
            <w:tcW w:w="581" w:type="dxa"/>
          </w:tcPr>
          <w:p w14:paraId="3F00D28C">
            <w:pPr>
              <w:pStyle w:val="4"/>
              <w:jc w:val="center"/>
            </w:pPr>
            <w:r>
              <w:rPr>
                <w:rFonts w:ascii="仿宋_GB2312" w:hAnsi="仿宋_GB2312" w:eastAsia="仿宋_GB2312" w:cs="仿宋_GB2312"/>
              </w:rPr>
              <w:t xml:space="preserve"> 符号标识</w:t>
            </w:r>
          </w:p>
        </w:tc>
        <w:tc>
          <w:tcPr>
            <w:tcW w:w="1495" w:type="dxa"/>
          </w:tcPr>
          <w:p w14:paraId="6099EA6C">
            <w:pPr>
              <w:pStyle w:val="4"/>
              <w:jc w:val="center"/>
            </w:pPr>
            <w:r>
              <w:rPr>
                <w:rFonts w:ascii="仿宋_GB2312" w:hAnsi="仿宋_GB2312" w:eastAsia="仿宋_GB2312" w:cs="仿宋_GB2312"/>
              </w:rPr>
              <w:t xml:space="preserve"> 服务要求名称</w:t>
            </w:r>
          </w:p>
        </w:tc>
        <w:tc>
          <w:tcPr>
            <w:tcW w:w="5814" w:type="dxa"/>
          </w:tcPr>
          <w:p w14:paraId="4642D0C3">
            <w:pPr>
              <w:pStyle w:val="4"/>
              <w:jc w:val="center"/>
            </w:pPr>
            <w:r>
              <w:rPr>
                <w:rFonts w:ascii="仿宋_GB2312" w:hAnsi="仿宋_GB2312" w:eastAsia="仿宋_GB2312" w:cs="仿宋_GB2312"/>
              </w:rPr>
              <w:t xml:space="preserve"> 服务要求内容</w:t>
            </w:r>
          </w:p>
        </w:tc>
      </w:tr>
      <w:tr w14:paraId="7CECDB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7EBA2730">
            <w:pPr>
              <w:pStyle w:val="4"/>
              <w:jc w:val="center"/>
            </w:pPr>
            <w:r>
              <w:rPr>
                <w:rFonts w:ascii="仿宋_GB2312" w:hAnsi="仿宋_GB2312" w:eastAsia="仿宋_GB2312" w:cs="仿宋_GB2312"/>
              </w:rPr>
              <w:t>无</w:t>
            </w:r>
          </w:p>
        </w:tc>
      </w:tr>
    </w:tbl>
    <w:p w14:paraId="370F34FC">
      <w:pPr>
        <w:pStyle w:val="4"/>
        <w:jc w:val="left"/>
        <w:outlineLvl w:val="3"/>
      </w:pPr>
      <w:r>
        <w:rPr>
          <w:rFonts w:ascii="仿宋_GB2312" w:hAnsi="仿宋_GB2312" w:eastAsia="仿宋_GB2312" w:cs="仿宋_GB2312"/>
          <w:b/>
          <w:sz w:val="24"/>
        </w:rPr>
        <w:t>3.3.2.商务要求</w:t>
      </w:r>
    </w:p>
    <w:p w14:paraId="142D9F3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FA84A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D13B95">
            <w:pPr>
              <w:pStyle w:val="4"/>
              <w:jc w:val="center"/>
            </w:pPr>
            <w:r>
              <w:rPr>
                <w:rFonts w:ascii="仿宋_GB2312" w:hAnsi="仿宋_GB2312" w:eastAsia="仿宋_GB2312" w:cs="仿宋_GB2312"/>
              </w:rPr>
              <w:t>序号</w:t>
            </w:r>
          </w:p>
        </w:tc>
        <w:tc>
          <w:tcPr>
            <w:tcW w:w="581" w:type="dxa"/>
          </w:tcPr>
          <w:p w14:paraId="48FBB47D">
            <w:pPr>
              <w:pStyle w:val="4"/>
              <w:jc w:val="center"/>
            </w:pPr>
            <w:r>
              <w:rPr>
                <w:rFonts w:ascii="仿宋_GB2312" w:hAnsi="仿宋_GB2312" w:eastAsia="仿宋_GB2312" w:cs="仿宋_GB2312"/>
              </w:rPr>
              <w:t>符号标识</w:t>
            </w:r>
          </w:p>
        </w:tc>
        <w:tc>
          <w:tcPr>
            <w:tcW w:w="1495" w:type="dxa"/>
          </w:tcPr>
          <w:p w14:paraId="7D054C65">
            <w:pPr>
              <w:pStyle w:val="4"/>
              <w:jc w:val="center"/>
            </w:pPr>
            <w:r>
              <w:rPr>
                <w:rFonts w:ascii="仿宋_GB2312" w:hAnsi="仿宋_GB2312" w:eastAsia="仿宋_GB2312" w:cs="仿宋_GB2312"/>
              </w:rPr>
              <w:t>商务要求名称</w:t>
            </w:r>
          </w:p>
        </w:tc>
        <w:tc>
          <w:tcPr>
            <w:tcW w:w="5814" w:type="dxa"/>
          </w:tcPr>
          <w:p w14:paraId="156CEEDB">
            <w:pPr>
              <w:pStyle w:val="4"/>
              <w:jc w:val="center"/>
            </w:pPr>
            <w:r>
              <w:rPr>
                <w:rFonts w:ascii="仿宋_GB2312" w:hAnsi="仿宋_GB2312" w:eastAsia="仿宋_GB2312" w:cs="仿宋_GB2312"/>
              </w:rPr>
              <w:t>商务要求内容</w:t>
            </w:r>
          </w:p>
        </w:tc>
      </w:tr>
      <w:tr w14:paraId="2E85C3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390617">
            <w:pPr>
              <w:pStyle w:val="4"/>
              <w:jc w:val="center"/>
            </w:pPr>
            <w:r>
              <w:rPr>
                <w:rFonts w:ascii="仿宋_GB2312" w:hAnsi="仿宋_GB2312" w:eastAsia="仿宋_GB2312" w:cs="仿宋_GB2312"/>
              </w:rPr>
              <w:t>1</w:t>
            </w:r>
          </w:p>
        </w:tc>
        <w:tc>
          <w:tcPr>
            <w:tcW w:w="581" w:type="dxa"/>
          </w:tcPr>
          <w:p w14:paraId="1292C5EC">
            <w:pPr>
              <w:pStyle w:val="4"/>
              <w:jc w:val="center"/>
            </w:pPr>
            <w:r>
              <w:rPr>
                <w:rFonts w:ascii="仿宋_GB2312" w:hAnsi="仿宋_GB2312" w:eastAsia="仿宋_GB2312" w:cs="仿宋_GB2312"/>
              </w:rPr>
              <w:t>★</w:t>
            </w:r>
          </w:p>
        </w:tc>
        <w:tc>
          <w:tcPr>
            <w:tcW w:w="1495" w:type="dxa"/>
          </w:tcPr>
          <w:p w14:paraId="7941E9D0">
            <w:pPr>
              <w:pStyle w:val="4"/>
              <w:jc w:val="left"/>
            </w:pPr>
            <w:r>
              <w:rPr>
                <w:rFonts w:ascii="仿宋_GB2312" w:hAnsi="仿宋_GB2312" w:eastAsia="仿宋_GB2312" w:cs="仿宋_GB2312"/>
              </w:rPr>
              <w:t>交货时间</w:t>
            </w:r>
          </w:p>
        </w:tc>
        <w:tc>
          <w:tcPr>
            <w:tcW w:w="5814" w:type="dxa"/>
          </w:tcPr>
          <w:p w14:paraId="06B74244">
            <w:pPr>
              <w:pStyle w:val="4"/>
              <w:jc w:val="left"/>
            </w:pPr>
            <w:r>
              <w:rPr>
                <w:rFonts w:ascii="仿宋_GB2312" w:hAnsi="仿宋_GB2312" w:eastAsia="仿宋_GB2312" w:cs="仿宋_GB2312"/>
              </w:rPr>
              <w:t>签订合同之日起一年，合同到期或者本包采购预算金额用完后合同终止。</w:t>
            </w:r>
          </w:p>
        </w:tc>
      </w:tr>
      <w:tr w14:paraId="0011B9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341346">
            <w:pPr>
              <w:pStyle w:val="4"/>
              <w:jc w:val="center"/>
            </w:pPr>
            <w:r>
              <w:rPr>
                <w:rFonts w:ascii="仿宋_GB2312" w:hAnsi="仿宋_GB2312" w:eastAsia="仿宋_GB2312" w:cs="仿宋_GB2312"/>
              </w:rPr>
              <w:t>2</w:t>
            </w:r>
          </w:p>
        </w:tc>
        <w:tc>
          <w:tcPr>
            <w:tcW w:w="581" w:type="dxa"/>
          </w:tcPr>
          <w:p w14:paraId="35215735">
            <w:pPr>
              <w:pStyle w:val="4"/>
              <w:jc w:val="center"/>
            </w:pPr>
            <w:r>
              <w:rPr>
                <w:rFonts w:ascii="仿宋_GB2312" w:hAnsi="仿宋_GB2312" w:eastAsia="仿宋_GB2312" w:cs="仿宋_GB2312"/>
              </w:rPr>
              <w:t>★</w:t>
            </w:r>
          </w:p>
        </w:tc>
        <w:tc>
          <w:tcPr>
            <w:tcW w:w="1495" w:type="dxa"/>
          </w:tcPr>
          <w:p w14:paraId="1814EA42">
            <w:pPr>
              <w:pStyle w:val="4"/>
              <w:jc w:val="left"/>
            </w:pPr>
            <w:r>
              <w:rPr>
                <w:rFonts w:ascii="仿宋_GB2312" w:hAnsi="仿宋_GB2312" w:eastAsia="仿宋_GB2312" w:cs="仿宋_GB2312"/>
              </w:rPr>
              <w:t>交货地点</w:t>
            </w:r>
          </w:p>
        </w:tc>
        <w:tc>
          <w:tcPr>
            <w:tcW w:w="5814" w:type="dxa"/>
          </w:tcPr>
          <w:p w14:paraId="7F8CDB21">
            <w:pPr>
              <w:pStyle w:val="4"/>
              <w:jc w:val="left"/>
            </w:pPr>
            <w:r>
              <w:rPr>
                <w:rFonts w:ascii="仿宋_GB2312" w:hAnsi="仿宋_GB2312" w:eastAsia="仿宋_GB2312" w:cs="仿宋_GB2312"/>
              </w:rPr>
              <w:t>南充市顺庆区茂源南路1号川北医学院附属医院茂源南路院区采购人指定地点。</w:t>
            </w:r>
          </w:p>
        </w:tc>
      </w:tr>
      <w:tr w14:paraId="19524A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5323E9">
            <w:pPr>
              <w:pStyle w:val="4"/>
              <w:jc w:val="center"/>
            </w:pPr>
            <w:r>
              <w:rPr>
                <w:rFonts w:ascii="仿宋_GB2312" w:hAnsi="仿宋_GB2312" w:eastAsia="仿宋_GB2312" w:cs="仿宋_GB2312"/>
              </w:rPr>
              <w:t>3</w:t>
            </w:r>
          </w:p>
        </w:tc>
        <w:tc>
          <w:tcPr>
            <w:tcW w:w="581" w:type="dxa"/>
          </w:tcPr>
          <w:p w14:paraId="5C3F01CC">
            <w:pPr>
              <w:pStyle w:val="4"/>
              <w:jc w:val="center"/>
            </w:pPr>
            <w:r>
              <w:rPr>
                <w:rFonts w:ascii="仿宋_GB2312" w:hAnsi="仿宋_GB2312" w:eastAsia="仿宋_GB2312" w:cs="仿宋_GB2312"/>
              </w:rPr>
              <w:t>★</w:t>
            </w:r>
          </w:p>
        </w:tc>
        <w:tc>
          <w:tcPr>
            <w:tcW w:w="1495" w:type="dxa"/>
          </w:tcPr>
          <w:p w14:paraId="764194C3">
            <w:pPr>
              <w:pStyle w:val="4"/>
              <w:jc w:val="left"/>
            </w:pPr>
            <w:r>
              <w:rPr>
                <w:rFonts w:ascii="仿宋_GB2312" w:hAnsi="仿宋_GB2312" w:eastAsia="仿宋_GB2312" w:cs="仿宋_GB2312"/>
              </w:rPr>
              <w:t>支付方式</w:t>
            </w:r>
          </w:p>
        </w:tc>
        <w:tc>
          <w:tcPr>
            <w:tcW w:w="5814" w:type="dxa"/>
          </w:tcPr>
          <w:p w14:paraId="6819D1CA">
            <w:pPr>
              <w:pStyle w:val="4"/>
              <w:jc w:val="left"/>
            </w:pPr>
            <w:r>
              <w:rPr>
                <w:rFonts w:ascii="仿宋_GB2312" w:hAnsi="仿宋_GB2312" w:eastAsia="仿宋_GB2312" w:cs="仿宋_GB2312"/>
              </w:rPr>
              <w:t>分期付款</w:t>
            </w:r>
          </w:p>
        </w:tc>
      </w:tr>
      <w:tr w14:paraId="71A71D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54B89E">
            <w:pPr>
              <w:pStyle w:val="4"/>
              <w:jc w:val="center"/>
            </w:pPr>
            <w:r>
              <w:rPr>
                <w:rFonts w:ascii="仿宋_GB2312" w:hAnsi="仿宋_GB2312" w:eastAsia="仿宋_GB2312" w:cs="仿宋_GB2312"/>
              </w:rPr>
              <w:t>4</w:t>
            </w:r>
          </w:p>
        </w:tc>
        <w:tc>
          <w:tcPr>
            <w:tcW w:w="581" w:type="dxa"/>
          </w:tcPr>
          <w:p w14:paraId="52CA226F">
            <w:pPr>
              <w:pStyle w:val="4"/>
              <w:jc w:val="center"/>
            </w:pPr>
            <w:r>
              <w:rPr>
                <w:rFonts w:ascii="仿宋_GB2312" w:hAnsi="仿宋_GB2312" w:eastAsia="仿宋_GB2312" w:cs="仿宋_GB2312"/>
              </w:rPr>
              <w:t>★</w:t>
            </w:r>
          </w:p>
        </w:tc>
        <w:tc>
          <w:tcPr>
            <w:tcW w:w="1495" w:type="dxa"/>
          </w:tcPr>
          <w:p w14:paraId="6CFB05A9">
            <w:pPr>
              <w:pStyle w:val="4"/>
              <w:jc w:val="left"/>
            </w:pPr>
            <w:r>
              <w:rPr>
                <w:rFonts w:ascii="仿宋_GB2312" w:hAnsi="仿宋_GB2312" w:eastAsia="仿宋_GB2312" w:cs="仿宋_GB2312"/>
              </w:rPr>
              <w:t>付款进度安排</w:t>
            </w:r>
          </w:p>
        </w:tc>
        <w:tc>
          <w:tcPr>
            <w:tcW w:w="5814" w:type="dxa"/>
          </w:tcPr>
          <w:p w14:paraId="09F2C01D">
            <w:pPr>
              <w:pStyle w:val="4"/>
              <w:jc w:val="left"/>
            </w:pPr>
            <w:r>
              <w:rPr>
                <w:rFonts w:ascii="仿宋_GB2312" w:hAnsi="仿宋_GB2312" w:eastAsia="仿宋_GB2312" w:cs="仿宋_GB2312"/>
              </w:rPr>
              <w:t>1、按月据实结算，中标供应商结算货款时，以采购人上月实际用量（签收单）为准。双方应于次月中旬前完成对账。对账时，中标供应商须附货物验收单（须收货员、相关负责人签字）。经采购人审核无误后，并完成对中标供应商的服务的考核，中标供应商按最终结算金额开具增值税普通发票，采购人收到中标供应商提供的增值税普通发票、销售货物税务清单及报销发票查验凭据等相关资料，确认无误后30日内以银行对公转账方式支付货款。若结算时双方存在款项争议，待争议解决后再支付货款，付款手续按采购人财务相关规定进行。中标供应商未提交发票及货物验收单等资料或资料不齐全、不符合约定的，采购人有权拒绝付款，因此导致迟延付款的责任及造成的采购人损失由中标供应商自行承担，且中标供应商不得因此拒绝履行合同，否则应按合同约定承担违约责任，达到付款条件起30日内，据实情况说明为按月据实结算，中标供应商结算货款时，以采购人上月实际用量（签收单）为准</w:t>
            </w:r>
          </w:p>
        </w:tc>
      </w:tr>
      <w:tr w14:paraId="47B606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7CC26D">
            <w:pPr>
              <w:pStyle w:val="4"/>
              <w:jc w:val="center"/>
            </w:pPr>
            <w:r>
              <w:rPr>
                <w:rFonts w:ascii="仿宋_GB2312" w:hAnsi="仿宋_GB2312" w:eastAsia="仿宋_GB2312" w:cs="仿宋_GB2312"/>
              </w:rPr>
              <w:t>5</w:t>
            </w:r>
          </w:p>
        </w:tc>
        <w:tc>
          <w:tcPr>
            <w:tcW w:w="581" w:type="dxa"/>
          </w:tcPr>
          <w:p w14:paraId="6CF7C1ED">
            <w:pPr>
              <w:pStyle w:val="4"/>
              <w:jc w:val="center"/>
            </w:pPr>
            <w:r>
              <w:rPr>
                <w:rFonts w:ascii="仿宋_GB2312" w:hAnsi="仿宋_GB2312" w:eastAsia="仿宋_GB2312" w:cs="仿宋_GB2312"/>
              </w:rPr>
              <w:t>★</w:t>
            </w:r>
          </w:p>
        </w:tc>
        <w:tc>
          <w:tcPr>
            <w:tcW w:w="1495" w:type="dxa"/>
          </w:tcPr>
          <w:p w14:paraId="210171B7">
            <w:pPr>
              <w:pStyle w:val="4"/>
              <w:jc w:val="left"/>
            </w:pPr>
            <w:r>
              <w:rPr>
                <w:rFonts w:ascii="仿宋_GB2312" w:hAnsi="仿宋_GB2312" w:eastAsia="仿宋_GB2312" w:cs="仿宋_GB2312"/>
              </w:rPr>
              <w:t>验收、交付标准和方法</w:t>
            </w:r>
          </w:p>
        </w:tc>
        <w:tc>
          <w:tcPr>
            <w:tcW w:w="5814" w:type="dxa"/>
          </w:tcPr>
          <w:p w14:paraId="2C860BBD">
            <w:pPr>
              <w:pStyle w:val="4"/>
              <w:jc w:val="left"/>
            </w:pPr>
            <w:r>
              <w:rPr>
                <w:rFonts w:ascii="仿宋_GB2312" w:hAnsi="仿宋_GB2312" w:eastAsia="仿宋_GB2312" w:cs="仿宋_GB2312"/>
              </w:rPr>
              <w:t>一、验收组织方式： 自行验收；二、是否邀请本项目的其他供应商： 否；三、是否邀请专家：否；四、是否邀请服务对象：否；五、是否邀请第三方检测机构： 否；六、履约验收程序：按批次验收（因系统格式原因，履约验收程序以此为准）；七、履约验收时间：验收条件说明： 验收为每日、每次收货时对配送食材的数量、质量进行验收 ，达到验收条件起 1 日内，验收该批次总金额的 100%（因系统格式原因，履约验收时间以此为准）；八、验收组织的其他事项： 无；九、技术履约验收内容： 按照本项目招标文件中“技术、服务要求”及中标人投标文件进行验收；十、商务履约验收内容： 按照本项目招标文件中“商务要求”及中标人投标文件进行验收；十一、履约验收标准： 严格按照《财政部关于进一步加强政府采购需求和履约验收管理的指导意见》（财库〔2016〕205 号）以及招标文件要求、中标人投标文件以及签订的合同验收；十二、履约验收其他事项： 1.数量验收标准：按采购人实际下单要求验收，送货量、质量由采购人及中标供应商双方人员现场确定，并签字确认。数量不足的食材，中标供应商在1小时内补齐，若无法按时补齐，则按缺货金额的5倍在当日应付货款中进行扣除。 2.质量验收标准： 2.1所有食品均应符合《中华人民共和国食品安全法》、国家及当地卫生和食品相关监督管理部门最新颁发的法律法规、卫生防疫和检疫部门以及质量检验和监督等部门的相关质量要求，属于预包装食品的，在配送时，须向采购人出具相关部门相应批次的质检报告。牛奶、面包配送服务时需提供每批次的出厂合格证明及检验报告，配送的牛奶、面包须保证足够的新鲜程度，配送的牛奶剩余的保质期不得少于规定保质期的二分之一，配送的面包的生产日期不得超过1天，否则采购人有权拒收。（投标人须单独提供承诺函，格式自拟，承诺函须包含本条全部内容，未提供或承诺函不满足要求的作无效投标处理） 2.2供应商提供的食品原料必须是符合质量标准和食品安全标准的食品。并在配送时提供产品所涉及的《食品生产许可证》，不得提供转基因食品或利用转基因食品原料加工的成品，投标人所供产品达到相关食品卫生安全规定，国家有出台新的更高标准的，以新的更高标准为准，保证所供产品配送到采购人时的质量、卫生和安全。 3.验收流程：货物验收由采购人、中标人双方的业务管理人员进行现场检验，对采购人所供应货物的品名、数量确认无误，质量符合招标文件要求，视为验收合格，双方经办人在采购人提供食品原材料入库单上签字确认，各自留存，作为结算依据。 4.在验收时，若采购人发现货物有破损或其他非正常情况，中标人应于1小时内进行更换，货物如有数量不足情况，中标人应于1小时内进行补充；若货物品名、型号等不符合要求的，一律退回，中标人无条件按采购人要求重新更换配送货物。若补充或更换后仍然不符合要求的，视为验收不合格。 5.货物在验收时，若发现中标人所供货物的包装、质量等不符合要求的，视为验收不合格。 6.中标供应商向采购人供应的所有货物应能够按规定索票、索证和溯源。 7.中标人所供货物若达不到采购人要求，采购人有权要求中标人更换不同品牌产品，并且中标人必须对产品的使用提供技术指导</w:t>
            </w:r>
          </w:p>
        </w:tc>
      </w:tr>
      <w:tr w14:paraId="4B987E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6D17A9">
            <w:pPr>
              <w:pStyle w:val="4"/>
              <w:jc w:val="center"/>
            </w:pPr>
            <w:r>
              <w:rPr>
                <w:rFonts w:ascii="仿宋_GB2312" w:hAnsi="仿宋_GB2312" w:eastAsia="仿宋_GB2312" w:cs="仿宋_GB2312"/>
              </w:rPr>
              <w:t>6</w:t>
            </w:r>
          </w:p>
        </w:tc>
        <w:tc>
          <w:tcPr>
            <w:tcW w:w="581" w:type="dxa"/>
          </w:tcPr>
          <w:p w14:paraId="57CC62E4"/>
        </w:tc>
        <w:tc>
          <w:tcPr>
            <w:tcW w:w="1495" w:type="dxa"/>
          </w:tcPr>
          <w:p w14:paraId="293F12FE">
            <w:pPr>
              <w:pStyle w:val="4"/>
              <w:jc w:val="left"/>
            </w:pPr>
            <w:r>
              <w:rPr>
                <w:rFonts w:ascii="仿宋_GB2312" w:hAnsi="仿宋_GB2312" w:eastAsia="仿宋_GB2312" w:cs="仿宋_GB2312"/>
              </w:rPr>
              <w:t>质量保修范围和保修期</w:t>
            </w:r>
          </w:p>
        </w:tc>
        <w:tc>
          <w:tcPr>
            <w:tcW w:w="5814" w:type="dxa"/>
          </w:tcPr>
          <w:p w14:paraId="464453EE">
            <w:pPr>
              <w:pStyle w:val="4"/>
              <w:jc w:val="left"/>
            </w:pPr>
            <w:r>
              <w:rPr>
                <w:rFonts w:ascii="仿宋_GB2312" w:hAnsi="仿宋_GB2312" w:eastAsia="仿宋_GB2312" w:cs="仿宋_GB2312"/>
              </w:rPr>
              <w:t>/</w:t>
            </w:r>
          </w:p>
        </w:tc>
      </w:tr>
      <w:tr w14:paraId="56A829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612DDC">
            <w:pPr>
              <w:pStyle w:val="4"/>
              <w:jc w:val="center"/>
            </w:pPr>
            <w:r>
              <w:rPr>
                <w:rFonts w:ascii="仿宋_GB2312" w:hAnsi="仿宋_GB2312" w:eastAsia="仿宋_GB2312" w:cs="仿宋_GB2312"/>
              </w:rPr>
              <w:t>7</w:t>
            </w:r>
          </w:p>
        </w:tc>
        <w:tc>
          <w:tcPr>
            <w:tcW w:w="581" w:type="dxa"/>
          </w:tcPr>
          <w:p w14:paraId="06D459A3">
            <w:pPr>
              <w:pStyle w:val="4"/>
              <w:jc w:val="center"/>
            </w:pPr>
            <w:r>
              <w:rPr>
                <w:rFonts w:ascii="仿宋_GB2312" w:hAnsi="仿宋_GB2312" w:eastAsia="仿宋_GB2312" w:cs="仿宋_GB2312"/>
              </w:rPr>
              <w:t>★</w:t>
            </w:r>
          </w:p>
        </w:tc>
        <w:tc>
          <w:tcPr>
            <w:tcW w:w="1495" w:type="dxa"/>
          </w:tcPr>
          <w:p w14:paraId="45E86BEC">
            <w:pPr>
              <w:pStyle w:val="4"/>
              <w:jc w:val="left"/>
            </w:pPr>
            <w:r>
              <w:rPr>
                <w:rFonts w:ascii="仿宋_GB2312" w:hAnsi="仿宋_GB2312" w:eastAsia="仿宋_GB2312" w:cs="仿宋_GB2312"/>
              </w:rPr>
              <w:t>违约责任与解决争议的方法</w:t>
            </w:r>
          </w:p>
        </w:tc>
        <w:tc>
          <w:tcPr>
            <w:tcW w:w="5814" w:type="dxa"/>
          </w:tcPr>
          <w:p w14:paraId="7048353D">
            <w:pPr>
              <w:pStyle w:val="4"/>
              <w:jc w:val="left"/>
            </w:pPr>
            <w:r>
              <w:rPr>
                <w:rFonts w:ascii="仿宋_GB2312" w:hAnsi="仿宋_GB2312" w:eastAsia="仿宋_GB2312" w:cs="仿宋_GB2312"/>
              </w:rPr>
              <w:t>1.中标人擅自更换或实际参与的配送人员和驾驶员等本项目的服务人员与所提交采购人的信息不一致，采购人将视情况按500元/人的标准收取中标人违约金。 2.中标人为本项目安排的配送车辆不符合防疫要求、卫生状况较差，或不符合招标文件要求及投标文件的响应，采购人将按1000元/车次的标准收取中标人违约金，且有权拒收该批次全部货物，由此造成的一切经济损失由中标人承担。 3.中标人及本项目工作人员在院区内违反医院管理规定，或发生交通事故，采购人将按1000元/次的标准收取中标人违约金，且因事故引起的全部经济与法律责任由中标人承担。 4.中标人未按采购人订单配送，或未在规定时间送到采购人指定的地点，若影响食堂正常工作，则采购人有权拒收该批次全部货物，并视其情况轻重按500元--1000元/批次的标准收取中标人违约金，且采购人为维持食堂正常生产所需在市场采购的同等级产品差价由中标人承担。 5.采购人因业务需要电话联系中标人及其本项目工作人员，但因无法联系而影响工作，则采购人可视其情况轻重按100元--300元/次的标准收取中标人违约金。 6.中标人现场不履行验收应尽义务（如：不卸货、不参与验收、阻挠采购方验收人员正常行使验收职责、无故不签字确认相关票据、表格等），采购人将视其情况轻重按500元--1000元/批次的标准收取中标人违约金，并拒收该批次全部货物，且由此造成的一切经济损失由中标人承担。 7.中标人或其服务本项目的人员资质到期，未按采购人要求及时提交最新证照或补办相应证明材料的，采购人将按400元/人次的标准收取中标人违约金。 8.中标人未按要求提供或不能完整提供相关资质、检验报告等索证索票和溯源资料的，采购人将按500元/次的标准收取中标人违约金；若伪造索证索票和溯源资料的，采购人将视其情况轻重按1000元--2000元/次的标准收取中标人违约金；且拒收该批次全部货物，由此造成的一切经济损失由中标人承担，并进一步追究中标人法律责任。 9.中标人所供应货物的剩余保质期不符合合同约定，或与投标产品的品名、品牌、规格、产地、包装等不一致，或有异物或有霉变、受潮等现象，采购人将视其情况轻重按500元--1000元/批次的标准收取中标人违约金，并拒收该批次全部货物，且由此造成的一切经济损失由中标人承担。 10.中标人所配送货物，若现场验收不合格，或经国家认可的第三方检验（检测）机构检验质量不合格，或含有的兴奋剂、添加剂、农残、药残、重金属、激素等超过国家标准，或引发采购人食品安全事故，则采购人退回该批次剩余货物，并按该批次货款1倍的金额收取中标人违约金（若批次货款不足1000元，则按1000元处罚），且由此造成的一切经济损失和法律责任由中标人承担。 11.因中标人所供应货物的质量问题引起第三人（就餐者、食堂）投诉，一经查实，对未造成事故的，采购人将视其情况轻重按300元--500元/次的标准收取中标人违约金；若因产品质量问题导致采购人或第三人受到损害的，采购人将视其情况轻重按1500元--2000元/次的标准收取中标人违约金，且由中标人承担全部经济和法律责任，包括但不限于采购人的损失、第三人向采购人索赔的所有费用等。 12.若因中标人所提供货物的质量等不符合招标文件要求及中标人投标文件的响应，导致采购人被国家相关行政部门处罚，所产生的罚款费用由中标人全额承担，且采购人有权退回该批次全部剩余货物，并按该批次货款1倍的金额收取中标人违约金（若批次货款不足1000元，则按1000元处罚），且由此造成的一切经济损失和法律责任由中标人承担。 13.未经采购人书面同意，中标人单方面停止向采购人供货的，采购人有权扣除中标人的全部未支付货款及履约保证金，保留终止合同并进一步追究中标人经济和法律责任的权利。 14.未经采购人书面同意,供应商将合同转让、委托其他机构或个人履行,要求供应商退还已支付的全部合同价款,同时还有权扣除中标人的全部未支付货款及全部履约保证金，并要求供应商支付采购人合同总价款百分之十的违约金，保留终止合同并进一步追究中标人经济和法律责任的权利。 15.以上所列违约责任条款的认定和实施由采购人负责。采购人在对中标人做出收取违约金和赔偿扣款前，应向中标人告知收取违约金或赔偿事由及金额。相关违约金和赔偿费用的收取由采购人先从中标人的未支付货款中扣除，不足部分再从中标人的履约保证金扣除。若中标人的履约保证金余额不足，采购人可终止合同，并保留进一步追究中标人经济和法律责任的权利</w:t>
            </w:r>
          </w:p>
        </w:tc>
      </w:tr>
      <w:tr w14:paraId="34DA88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88E887">
            <w:pPr>
              <w:pStyle w:val="4"/>
              <w:jc w:val="center"/>
            </w:pPr>
            <w:r>
              <w:rPr>
                <w:rFonts w:ascii="仿宋_GB2312" w:hAnsi="仿宋_GB2312" w:eastAsia="仿宋_GB2312" w:cs="仿宋_GB2312"/>
              </w:rPr>
              <w:t>8</w:t>
            </w:r>
          </w:p>
        </w:tc>
        <w:tc>
          <w:tcPr>
            <w:tcW w:w="581" w:type="dxa"/>
          </w:tcPr>
          <w:p w14:paraId="285D9ADB">
            <w:pPr>
              <w:pStyle w:val="4"/>
              <w:jc w:val="center"/>
            </w:pPr>
            <w:r>
              <w:rPr>
                <w:rFonts w:ascii="仿宋_GB2312" w:hAnsi="仿宋_GB2312" w:eastAsia="仿宋_GB2312" w:cs="仿宋_GB2312"/>
              </w:rPr>
              <w:t>★</w:t>
            </w:r>
          </w:p>
        </w:tc>
        <w:tc>
          <w:tcPr>
            <w:tcW w:w="1495" w:type="dxa"/>
          </w:tcPr>
          <w:p w14:paraId="58F074CE">
            <w:pPr>
              <w:pStyle w:val="4"/>
              <w:jc w:val="left"/>
            </w:pPr>
            <w:r>
              <w:rPr>
                <w:rFonts w:ascii="仿宋_GB2312" w:hAnsi="仿宋_GB2312" w:eastAsia="仿宋_GB2312" w:cs="仿宋_GB2312"/>
              </w:rPr>
              <w:t>包装方式及运输</w:t>
            </w:r>
          </w:p>
        </w:tc>
        <w:tc>
          <w:tcPr>
            <w:tcW w:w="5814" w:type="dxa"/>
          </w:tcPr>
          <w:p w14:paraId="3B262C38">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173699AF">
      <w:pPr>
        <w:pStyle w:val="4"/>
        <w:jc w:val="left"/>
        <w:outlineLvl w:val="2"/>
      </w:pPr>
      <w:r>
        <w:rPr>
          <w:rFonts w:ascii="仿宋_GB2312" w:hAnsi="仿宋_GB2312" w:eastAsia="仿宋_GB2312" w:cs="仿宋_GB2312"/>
          <w:b/>
          <w:sz w:val="28"/>
        </w:rPr>
        <w:t>3.4.其他要求</w:t>
      </w:r>
    </w:p>
    <w:p w14:paraId="76EF57B3">
      <w:pPr>
        <w:pStyle w:val="4"/>
        <w:jc w:val="left"/>
      </w:pPr>
      <w:r>
        <w:rPr>
          <w:rFonts w:ascii="仿宋_GB2312" w:hAnsi="仿宋_GB2312" w:eastAsia="仿宋_GB2312" w:cs="仿宋_GB2312"/>
        </w:rPr>
        <w:t>1、设施设备：在满足招标文件的基础上，投标人提供的仓储库房或承诺中标后提供仓储库房；2、履约能力：投标人为本项目配置的配送服务人员中具有食品安全管理证书；投标人2021年1月1日（含）至本项目投标截止之日具有类似项目业绩；3、质量保证：投标人承诺中标后为本次项目购买食品安全责任保险；4、服务方案：在满足招标文件的基础上，根据投标人针对本项目制定的服务方案进行评审，服务方案包含：①人员保障方案；②货源组织与仓储管理方案；③货物配送方案与配送时效保障措施；④货物质量与食品安全保障方案；⑤日常运行管理制度及风险防控措施；⑥售后服务方案；⑦应急处置预案。</w:t>
      </w:r>
    </w:p>
    <w:p w14:paraId="74211B98">
      <w:pPr>
        <w:pStyle w:val="4"/>
      </w:pPr>
      <w:r>
        <w:rPr>
          <w:rFonts w:ascii="仿宋_GB2312" w:hAnsi="仿宋_GB2312" w:eastAsia="仿宋_GB2312" w:cs="仿宋_GB2312"/>
        </w:rPr>
        <w:t xml:space="preserve"> </w:t>
      </w:r>
      <w:r>
        <w:rPr>
          <w:rFonts w:ascii="仿宋_GB2312" w:hAnsi="仿宋_GB2312" w:eastAsia="仿宋_GB2312" w:cs="仿宋_GB231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2271BE"/>
    <w:rsid w:val="5C2271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2025-09-26T06:45:00Z</dcterms:created>
  <dc:creator>    </dc:creator>
  <cp:lastModifiedBy>    </cp:lastModifiedBy>
  <dcterms:modified xsi:type="dcterms:W3CDTF">2025-09-26T06:46:39Z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9BE18CCDEFC54ACE94BBB2158312A085_11</vt:lpwstr>
  </property>
  <property fmtid="{D5CDD505-2E9C-101B-9397-08002B2CF9AE}" pid="4" name="KSOTemplateDocerSaveRecord">
    <vt:lpwstr>eyJoZGlkIjoiNDQzMDMxZDhkZWVmNjk0OTAyODk5ZDY5MDYzZGYzYWYiLCJ1c2VySWQiOiIyMTQwNTA2OTMifQ==</vt:lpwstr>
  </property>
</Properties>
</file>