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04E08">
      <w:pPr>
        <w:spacing w:line="480" w:lineRule="exact"/>
        <w:jc w:val="center"/>
        <w:rPr>
          <w:rFonts w:hint="eastAsia" w:ascii="Times New Roman" w:hAnsi="Times New Roman" w:eastAsia="仿宋" w:cs="仿宋"/>
          <w:b/>
          <w:color w:val="000000"/>
          <w:sz w:val="32"/>
          <w:szCs w:val="32"/>
          <w:highlight w:val="none"/>
        </w:rPr>
      </w:pPr>
    </w:p>
    <w:p w14:paraId="1BE3EBC4">
      <w:pPr>
        <w:spacing w:line="360" w:lineRule="auto"/>
        <w:ind w:firstLine="260" w:firstLineChars="50"/>
        <w:jc w:val="center"/>
        <w:rPr>
          <w:rFonts w:hint="eastAsia" w:ascii="Times New Roman" w:hAnsi="Times New Roman" w:eastAsia="仿宋" w:cs="仿宋"/>
          <w:b/>
          <w:color w:val="000000"/>
          <w:sz w:val="52"/>
          <w:szCs w:val="52"/>
          <w:highlight w:val="none"/>
        </w:rPr>
      </w:pPr>
    </w:p>
    <w:p w14:paraId="6F758A94">
      <w:pPr>
        <w:spacing w:line="360" w:lineRule="auto"/>
        <w:ind w:firstLine="260" w:firstLineChars="50"/>
        <w:jc w:val="center"/>
        <w:rPr>
          <w:rFonts w:hint="eastAsia" w:ascii="Times New Roman" w:hAnsi="Times New Roman" w:eastAsia="仿宋" w:cs="仿宋"/>
          <w:b/>
          <w:color w:val="000000"/>
          <w:sz w:val="52"/>
          <w:szCs w:val="52"/>
          <w:highlight w:val="none"/>
        </w:rPr>
      </w:pPr>
    </w:p>
    <w:p w14:paraId="0CD65D40">
      <w:pPr>
        <w:spacing w:line="360" w:lineRule="auto"/>
        <w:ind w:firstLine="260" w:firstLineChars="50"/>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辽宁省政府采购项目</w:t>
      </w:r>
    </w:p>
    <w:p w14:paraId="095C7B0B">
      <w:pPr>
        <w:spacing w:line="360" w:lineRule="auto"/>
        <w:ind w:firstLine="260" w:firstLineChars="50"/>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货物类公开招标</w:t>
      </w:r>
    </w:p>
    <w:p w14:paraId="11F3F2DD">
      <w:pPr>
        <w:spacing w:line="360" w:lineRule="auto"/>
        <w:ind w:firstLine="260" w:firstLineChars="50"/>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招标文件</w:t>
      </w:r>
    </w:p>
    <w:p w14:paraId="51BEE85F">
      <w:pPr>
        <w:spacing w:line="480" w:lineRule="exact"/>
        <w:jc w:val="center"/>
        <w:rPr>
          <w:rFonts w:hint="eastAsia" w:ascii="Times New Roman" w:hAnsi="Times New Roman" w:eastAsia="仿宋" w:cs="仿宋"/>
          <w:b/>
          <w:color w:val="000000"/>
          <w:sz w:val="24"/>
          <w:highlight w:val="none"/>
        </w:rPr>
      </w:pPr>
    </w:p>
    <w:p w14:paraId="3800223A">
      <w:pPr>
        <w:spacing w:line="480" w:lineRule="exact"/>
        <w:jc w:val="center"/>
        <w:rPr>
          <w:rFonts w:hint="eastAsia" w:ascii="Times New Roman" w:hAnsi="Times New Roman" w:eastAsia="仿宋" w:cs="仿宋"/>
          <w:b/>
          <w:color w:val="000000"/>
          <w:sz w:val="24"/>
          <w:highlight w:val="none"/>
        </w:rPr>
      </w:pPr>
    </w:p>
    <w:p w14:paraId="3B062CF1">
      <w:pPr>
        <w:spacing w:line="480" w:lineRule="exact"/>
        <w:jc w:val="center"/>
        <w:rPr>
          <w:rFonts w:hint="eastAsia" w:ascii="Times New Roman" w:hAnsi="Times New Roman" w:eastAsia="仿宋" w:cs="仿宋"/>
          <w:b/>
          <w:color w:val="000000"/>
          <w:sz w:val="24"/>
          <w:highlight w:val="none"/>
        </w:rPr>
      </w:pPr>
    </w:p>
    <w:p w14:paraId="319249BE">
      <w:pPr>
        <w:spacing w:line="480" w:lineRule="exact"/>
        <w:jc w:val="center"/>
        <w:rPr>
          <w:rFonts w:hint="eastAsia" w:ascii="Times New Roman" w:hAnsi="Times New Roman" w:eastAsia="仿宋" w:cs="仿宋"/>
          <w:b/>
          <w:color w:val="000000"/>
          <w:sz w:val="24"/>
          <w:highlight w:val="none"/>
        </w:rPr>
      </w:pPr>
    </w:p>
    <w:p w14:paraId="0FD7CDD7">
      <w:pPr>
        <w:spacing w:line="480" w:lineRule="exact"/>
        <w:jc w:val="center"/>
        <w:rPr>
          <w:rFonts w:hint="eastAsia" w:ascii="Times New Roman" w:hAnsi="Times New Roman" w:eastAsia="仿宋" w:cs="仿宋"/>
          <w:b/>
          <w:color w:val="000000"/>
          <w:sz w:val="24"/>
          <w:highlight w:val="none"/>
        </w:rPr>
      </w:pPr>
    </w:p>
    <w:p w14:paraId="76DA05C1">
      <w:pPr>
        <w:spacing w:line="480" w:lineRule="exact"/>
        <w:jc w:val="center"/>
        <w:rPr>
          <w:rFonts w:hint="eastAsia" w:ascii="Times New Roman" w:hAnsi="Times New Roman" w:eastAsia="仿宋" w:cs="仿宋"/>
          <w:b/>
          <w:color w:val="000000"/>
          <w:sz w:val="24"/>
          <w:highlight w:val="none"/>
        </w:rPr>
      </w:pPr>
    </w:p>
    <w:p w14:paraId="62D35967">
      <w:pPr>
        <w:spacing w:line="480" w:lineRule="exact"/>
        <w:jc w:val="center"/>
        <w:rPr>
          <w:rFonts w:hint="eastAsia" w:ascii="Times New Roman" w:hAnsi="Times New Roman" w:eastAsia="仿宋" w:cs="仿宋"/>
          <w:b/>
          <w:color w:val="000000"/>
          <w:sz w:val="24"/>
          <w:highlight w:val="none"/>
        </w:rPr>
      </w:pPr>
    </w:p>
    <w:p w14:paraId="0A6944ED">
      <w:pPr>
        <w:spacing w:line="480" w:lineRule="exact"/>
        <w:jc w:val="center"/>
        <w:rPr>
          <w:rFonts w:hint="eastAsia" w:ascii="Times New Roman" w:hAnsi="Times New Roman" w:eastAsia="仿宋" w:cs="仿宋"/>
          <w:b/>
          <w:color w:val="000000"/>
          <w:sz w:val="24"/>
          <w:highlight w:val="none"/>
        </w:rPr>
      </w:pPr>
    </w:p>
    <w:p w14:paraId="551E070E">
      <w:pPr>
        <w:spacing w:line="480" w:lineRule="exact"/>
        <w:jc w:val="center"/>
        <w:rPr>
          <w:rFonts w:hint="eastAsia" w:ascii="Times New Roman" w:hAnsi="Times New Roman" w:eastAsia="仿宋" w:cs="仿宋"/>
          <w:b/>
          <w:color w:val="000000"/>
          <w:sz w:val="24"/>
          <w:highlight w:val="none"/>
        </w:rPr>
      </w:pPr>
    </w:p>
    <w:p w14:paraId="4B4C60A6">
      <w:pPr>
        <w:spacing w:line="360" w:lineRule="auto"/>
        <w:ind w:firstLine="846" w:firstLineChars="235"/>
        <w:rPr>
          <w:rFonts w:hint="eastAsia" w:ascii="仿宋_GB2312" w:hAnsi="仿宋_GB2312" w:eastAsia="仿宋_GB2312" w:cs="仿宋_GB2312"/>
          <w:b/>
          <w:color w:val="auto"/>
          <w:sz w:val="36"/>
          <w:szCs w:val="36"/>
          <w:highlight w:val="none"/>
          <w:lang w:eastAsia="zh-CN"/>
        </w:rPr>
      </w:pPr>
      <w:r>
        <w:rPr>
          <w:rFonts w:hint="eastAsia" w:ascii="仿宋_GB2312" w:hAnsi="仿宋_GB2312" w:eastAsia="仿宋_GB2312" w:cs="仿宋_GB2312"/>
          <w:b/>
          <w:color w:val="auto"/>
          <w:sz w:val="36"/>
          <w:szCs w:val="36"/>
          <w:highlight w:val="none"/>
        </w:rPr>
        <w:t>项目名称：</w:t>
      </w:r>
      <w:r>
        <w:rPr>
          <w:rFonts w:hint="eastAsia" w:ascii="仿宋_GB2312" w:hAnsi="仿宋_GB2312" w:eastAsia="仿宋_GB2312" w:cs="仿宋_GB2312"/>
          <w:b/>
          <w:color w:val="auto"/>
          <w:sz w:val="36"/>
          <w:szCs w:val="36"/>
          <w:highlight w:val="none"/>
          <w:lang w:val="en-US" w:eastAsia="zh-CN"/>
        </w:rPr>
        <w:t>大连医科大学</w:t>
      </w:r>
      <w:r>
        <w:rPr>
          <w:rFonts w:hint="eastAsia" w:ascii="仿宋_GB2312" w:hAnsi="仿宋_GB2312" w:eastAsia="仿宋_GB2312" w:cs="仿宋_GB2312"/>
          <w:b/>
          <w:color w:val="auto"/>
          <w:sz w:val="36"/>
          <w:szCs w:val="36"/>
          <w:highlight w:val="none"/>
          <w:lang w:eastAsia="zh-CN"/>
        </w:rPr>
        <w:t>保种质量控制系统设备购置项目</w:t>
      </w:r>
    </w:p>
    <w:p w14:paraId="3E01EA81">
      <w:pPr>
        <w:spacing w:line="360" w:lineRule="auto"/>
        <w:ind w:firstLine="846" w:firstLineChars="235"/>
        <w:rPr>
          <w:rFonts w:hint="eastAsia" w:ascii="仿宋_GB2312" w:hAnsi="仿宋_GB2312" w:eastAsia="仿宋_GB2312" w:cs="仿宋_GB2312"/>
          <w:b/>
          <w:color w:val="auto"/>
          <w:sz w:val="36"/>
          <w:szCs w:val="36"/>
          <w:highlight w:val="none"/>
          <w:lang w:eastAsia="zh-CN"/>
        </w:rPr>
      </w:pPr>
      <w:r>
        <w:rPr>
          <w:rFonts w:hint="eastAsia" w:ascii="仿宋_GB2312" w:hAnsi="仿宋_GB2312" w:eastAsia="仿宋_GB2312" w:cs="仿宋_GB2312"/>
          <w:b/>
          <w:color w:val="auto"/>
          <w:sz w:val="36"/>
          <w:szCs w:val="36"/>
          <w:highlight w:val="none"/>
        </w:rPr>
        <w:t>项目编号：JH26-210000-43661</w:t>
      </w:r>
    </w:p>
    <w:p w14:paraId="19986F3C">
      <w:pPr>
        <w:spacing w:line="360" w:lineRule="auto"/>
        <w:ind w:firstLine="846" w:firstLineChars="235"/>
        <w:rPr>
          <w:rFonts w:hint="eastAsia" w:ascii="仿宋_GB2312" w:hAnsi="仿宋_GB2312" w:eastAsia="仿宋_GB2312" w:cs="仿宋_GB2312"/>
          <w:b/>
          <w:color w:val="auto"/>
          <w:sz w:val="36"/>
          <w:szCs w:val="36"/>
          <w:highlight w:val="none"/>
        </w:rPr>
      </w:pPr>
      <w:r>
        <w:rPr>
          <w:rFonts w:hint="eastAsia" w:ascii="仿宋_GB2312" w:hAnsi="仿宋_GB2312" w:eastAsia="仿宋_GB2312" w:cs="仿宋_GB2312"/>
          <w:b/>
          <w:color w:val="auto"/>
          <w:sz w:val="36"/>
          <w:szCs w:val="36"/>
          <w:highlight w:val="none"/>
        </w:rPr>
        <w:t xml:space="preserve">编制单位：通利晟信管理咨询有限公司 </w:t>
      </w:r>
    </w:p>
    <w:p w14:paraId="4E286815">
      <w:pPr>
        <w:ind w:firstLine="846" w:firstLineChars="235"/>
        <w:jc w:val="center"/>
        <w:rPr>
          <w:rFonts w:hint="eastAsia" w:ascii="仿宋_GB2312" w:hAnsi="仿宋_GB2312" w:eastAsia="仿宋_GB2312" w:cs="仿宋_GB2312"/>
          <w:b w:val="0"/>
          <w:bCs/>
          <w:color w:val="000000"/>
          <w:sz w:val="36"/>
          <w:szCs w:val="44"/>
          <w:highlight w:val="none"/>
        </w:rPr>
        <w:sectPr>
          <w:pgSz w:w="11906" w:h="16838"/>
          <w:pgMar w:top="1440" w:right="1800" w:bottom="1440" w:left="1800" w:header="851" w:footer="992" w:gutter="0"/>
          <w:cols w:space="720" w:num="1"/>
          <w:docGrid w:type="linesAndChars" w:linePitch="312" w:charSpace="0"/>
        </w:sectPr>
      </w:pPr>
    </w:p>
    <w:p w14:paraId="018314E1">
      <w:pPr>
        <w:jc w:val="center"/>
        <w:rPr>
          <w:rFonts w:hint="eastAsia" w:ascii="宋体" w:hAnsi="宋体" w:eastAsia="宋体" w:cs="宋体"/>
          <w:b/>
          <w:bCs/>
          <w:color w:val="000000"/>
          <w:sz w:val="44"/>
          <w:szCs w:val="44"/>
          <w:highlight w:val="none"/>
        </w:rPr>
      </w:pPr>
    </w:p>
    <w:p w14:paraId="325C4D55">
      <w:pPr>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目  录</w:t>
      </w:r>
    </w:p>
    <w:p w14:paraId="69BF66F8">
      <w:pPr>
        <w:jc w:val="center"/>
        <w:rPr>
          <w:rFonts w:hint="eastAsia" w:ascii="Times New Roman" w:hAnsi="Times New Roman" w:eastAsia="仿宋" w:cs="仿宋"/>
          <w:b/>
          <w:bCs/>
          <w:color w:val="000000"/>
          <w:sz w:val="44"/>
          <w:szCs w:val="44"/>
          <w:highlight w:val="none"/>
        </w:rPr>
      </w:pPr>
    </w:p>
    <w:p w14:paraId="313708DB">
      <w:pPr>
        <w:pStyle w:val="14"/>
        <w:tabs>
          <w:tab w:val="right" w:leader="dot" w:pos="8306"/>
        </w:tabs>
        <w:spacing w:line="600" w:lineRule="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TOC \o "1-1" \h \u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HYPERLINK \l _Toc31747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招标公告</w:t>
      </w:r>
      <w:r>
        <w:rPr>
          <w:rFonts w:hint="eastAsia" w:ascii="仿宋_GB2312" w:hAnsi="仿宋_GB2312" w:eastAsia="仿宋_GB2312" w:cs="仿宋_GB2312"/>
          <w:color w:val="auto"/>
          <w:kern w:val="2"/>
          <w:sz w:val="28"/>
          <w:szCs w:val="28"/>
          <w:highlight w:val="none"/>
          <w:lang w:val="en-US" w:eastAsia="zh-CN" w:bidi="ar-SA"/>
        </w:rPr>
        <w:tab/>
      </w: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PAGEREF _Toc31747 \h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1</w:t>
      </w:r>
      <w:r>
        <w:rPr>
          <w:rFonts w:hint="eastAsia" w:ascii="仿宋_GB2312" w:hAnsi="仿宋_GB2312" w:eastAsia="仿宋_GB2312" w:cs="仿宋_GB2312"/>
          <w:color w:val="auto"/>
          <w:kern w:val="2"/>
          <w:sz w:val="28"/>
          <w:szCs w:val="28"/>
          <w:highlight w:val="none"/>
          <w:lang w:val="en-US" w:eastAsia="zh-CN" w:bidi="ar-SA"/>
        </w:rPr>
        <w:fldChar w:fldCharType="end"/>
      </w:r>
      <w:r>
        <w:rPr>
          <w:rFonts w:hint="eastAsia" w:ascii="仿宋_GB2312" w:hAnsi="仿宋_GB2312" w:eastAsia="仿宋_GB2312" w:cs="仿宋_GB2312"/>
          <w:color w:val="auto"/>
          <w:kern w:val="2"/>
          <w:sz w:val="28"/>
          <w:szCs w:val="28"/>
          <w:highlight w:val="none"/>
          <w:lang w:val="en-US" w:eastAsia="zh-CN" w:bidi="ar-SA"/>
        </w:rPr>
        <w:fldChar w:fldCharType="end"/>
      </w:r>
    </w:p>
    <w:p w14:paraId="1A589CA8">
      <w:pPr>
        <w:pStyle w:val="14"/>
        <w:tabs>
          <w:tab w:val="right" w:leader="dot" w:pos="8306"/>
        </w:tabs>
        <w:spacing w:line="600" w:lineRule="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HYPERLINK \l _Toc17609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第一章 投标人须知</w:t>
      </w:r>
      <w:r>
        <w:rPr>
          <w:rFonts w:hint="eastAsia" w:ascii="仿宋_GB2312" w:hAnsi="仿宋_GB2312" w:eastAsia="仿宋_GB2312" w:cs="仿宋_GB2312"/>
          <w:color w:val="auto"/>
          <w:kern w:val="2"/>
          <w:sz w:val="28"/>
          <w:szCs w:val="28"/>
          <w:highlight w:val="none"/>
          <w:lang w:val="en-US" w:eastAsia="zh-CN" w:bidi="ar-SA"/>
        </w:rPr>
        <w:tab/>
      </w: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PAGEREF _Toc17609 \h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4</w:t>
      </w:r>
      <w:r>
        <w:rPr>
          <w:rFonts w:hint="eastAsia" w:ascii="仿宋_GB2312" w:hAnsi="仿宋_GB2312" w:eastAsia="仿宋_GB2312" w:cs="仿宋_GB2312"/>
          <w:color w:val="auto"/>
          <w:kern w:val="2"/>
          <w:sz w:val="28"/>
          <w:szCs w:val="28"/>
          <w:highlight w:val="none"/>
          <w:lang w:val="en-US" w:eastAsia="zh-CN" w:bidi="ar-SA"/>
        </w:rPr>
        <w:fldChar w:fldCharType="end"/>
      </w:r>
      <w:r>
        <w:rPr>
          <w:rFonts w:hint="eastAsia" w:ascii="仿宋_GB2312" w:hAnsi="仿宋_GB2312" w:eastAsia="仿宋_GB2312" w:cs="仿宋_GB2312"/>
          <w:color w:val="auto"/>
          <w:kern w:val="2"/>
          <w:sz w:val="28"/>
          <w:szCs w:val="28"/>
          <w:highlight w:val="none"/>
          <w:lang w:val="en-US" w:eastAsia="zh-CN" w:bidi="ar-SA"/>
        </w:rPr>
        <w:fldChar w:fldCharType="end"/>
      </w:r>
    </w:p>
    <w:p w14:paraId="41ADDE6D">
      <w:pPr>
        <w:pStyle w:val="14"/>
        <w:tabs>
          <w:tab w:val="right" w:leader="dot" w:pos="8306"/>
        </w:tabs>
        <w:spacing w:line="600" w:lineRule="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HYPERLINK \l _Toc30817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第二章 投标文件内容及格式</w:t>
      </w:r>
      <w:r>
        <w:rPr>
          <w:rFonts w:hint="eastAsia" w:ascii="仿宋_GB2312" w:hAnsi="仿宋_GB2312" w:eastAsia="仿宋_GB2312" w:cs="仿宋_GB2312"/>
          <w:color w:val="auto"/>
          <w:kern w:val="2"/>
          <w:sz w:val="28"/>
          <w:szCs w:val="28"/>
          <w:highlight w:val="none"/>
          <w:lang w:val="en-US" w:eastAsia="zh-CN" w:bidi="ar-SA"/>
        </w:rPr>
        <w:tab/>
      </w: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PAGEREF _Toc30817 \h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12</w:t>
      </w:r>
      <w:r>
        <w:rPr>
          <w:rFonts w:hint="eastAsia" w:ascii="仿宋_GB2312" w:hAnsi="仿宋_GB2312" w:eastAsia="仿宋_GB2312" w:cs="仿宋_GB2312"/>
          <w:color w:val="auto"/>
          <w:kern w:val="2"/>
          <w:sz w:val="28"/>
          <w:szCs w:val="28"/>
          <w:highlight w:val="none"/>
          <w:lang w:val="en-US" w:eastAsia="zh-CN" w:bidi="ar-SA"/>
        </w:rPr>
        <w:fldChar w:fldCharType="end"/>
      </w:r>
      <w:r>
        <w:rPr>
          <w:rFonts w:hint="eastAsia" w:ascii="仿宋_GB2312" w:hAnsi="仿宋_GB2312" w:eastAsia="仿宋_GB2312" w:cs="仿宋_GB2312"/>
          <w:color w:val="auto"/>
          <w:kern w:val="2"/>
          <w:sz w:val="28"/>
          <w:szCs w:val="28"/>
          <w:highlight w:val="none"/>
          <w:lang w:val="en-US" w:eastAsia="zh-CN" w:bidi="ar-SA"/>
        </w:rPr>
        <w:fldChar w:fldCharType="end"/>
      </w:r>
    </w:p>
    <w:p w14:paraId="1FBA5F72">
      <w:pPr>
        <w:pStyle w:val="14"/>
        <w:tabs>
          <w:tab w:val="right" w:leader="dot" w:pos="8306"/>
        </w:tabs>
        <w:spacing w:line="600" w:lineRule="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HYPERLINK \l _Toc4983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第二章 投标文件内容及格式</w:t>
      </w:r>
      <w:r>
        <w:rPr>
          <w:rFonts w:hint="eastAsia" w:ascii="仿宋_GB2312" w:hAnsi="仿宋_GB2312" w:eastAsia="仿宋_GB2312" w:cs="仿宋_GB2312"/>
          <w:color w:val="auto"/>
          <w:kern w:val="2"/>
          <w:sz w:val="28"/>
          <w:szCs w:val="28"/>
          <w:highlight w:val="none"/>
          <w:lang w:val="en-US" w:eastAsia="zh-CN" w:bidi="ar-SA"/>
        </w:rPr>
        <w:tab/>
      </w: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PAGEREF _Toc4983 \h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27</w:t>
      </w:r>
      <w:r>
        <w:rPr>
          <w:rFonts w:hint="eastAsia" w:ascii="仿宋_GB2312" w:hAnsi="仿宋_GB2312" w:eastAsia="仿宋_GB2312" w:cs="仿宋_GB2312"/>
          <w:color w:val="auto"/>
          <w:kern w:val="2"/>
          <w:sz w:val="28"/>
          <w:szCs w:val="28"/>
          <w:highlight w:val="none"/>
          <w:lang w:val="en-US" w:eastAsia="zh-CN" w:bidi="ar-SA"/>
        </w:rPr>
        <w:fldChar w:fldCharType="end"/>
      </w:r>
      <w:r>
        <w:rPr>
          <w:rFonts w:hint="eastAsia" w:ascii="仿宋_GB2312" w:hAnsi="仿宋_GB2312" w:eastAsia="仿宋_GB2312" w:cs="仿宋_GB2312"/>
          <w:color w:val="auto"/>
          <w:kern w:val="2"/>
          <w:sz w:val="28"/>
          <w:szCs w:val="28"/>
          <w:highlight w:val="none"/>
          <w:lang w:val="en-US" w:eastAsia="zh-CN" w:bidi="ar-SA"/>
        </w:rPr>
        <w:fldChar w:fldCharType="end"/>
      </w:r>
    </w:p>
    <w:p w14:paraId="0712B9BC">
      <w:pPr>
        <w:pStyle w:val="14"/>
        <w:tabs>
          <w:tab w:val="right" w:leader="dot" w:pos="8306"/>
        </w:tabs>
        <w:spacing w:line="600" w:lineRule="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HYPERLINK \l _Toc1258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第三章 货物需求</w:t>
      </w:r>
      <w:r>
        <w:rPr>
          <w:rFonts w:hint="eastAsia" w:ascii="仿宋_GB2312" w:hAnsi="仿宋_GB2312" w:eastAsia="仿宋_GB2312" w:cs="仿宋_GB2312"/>
          <w:color w:val="auto"/>
          <w:kern w:val="2"/>
          <w:sz w:val="28"/>
          <w:szCs w:val="28"/>
          <w:highlight w:val="none"/>
          <w:lang w:val="en-US" w:eastAsia="zh-CN" w:bidi="ar-SA"/>
        </w:rPr>
        <w:tab/>
      </w: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PAGEREF _Toc1258 \h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52</w:t>
      </w:r>
      <w:r>
        <w:rPr>
          <w:rFonts w:hint="eastAsia" w:ascii="仿宋_GB2312" w:hAnsi="仿宋_GB2312" w:eastAsia="仿宋_GB2312" w:cs="仿宋_GB2312"/>
          <w:color w:val="auto"/>
          <w:kern w:val="2"/>
          <w:sz w:val="28"/>
          <w:szCs w:val="28"/>
          <w:highlight w:val="none"/>
          <w:lang w:val="en-US" w:eastAsia="zh-CN" w:bidi="ar-SA"/>
        </w:rPr>
        <w:fldChar w:fldCharType="end"/>
      </w:r>
      <w:r>
        <w:rPr>
          <w:rFonts w:hint="eastAsia" w:ascii="仿宋_GB2312" w:hAnsi="仿宋_GB2312" w:eastAsia="仿宋_GB2312" w:cs="仿宋_GB2312"/>
          <w:color w:val="auto"/>
          <w:kern w:val="2"/>
          <w:sz w:val="28"/>
          <w:szCs w:val="28"/>
          <w:highlight w:val="none"/>
          <w:lang w:val="en-US" w:eastAsia="zh-CN" w:bidi="ar-SA"/>
        </w:rPr>
        <w:fldChar w:fldCharType="end"/>
      </w:r>
    </w:p>
    <w:p w14:paraId="586F8173">
      <w:pPr>
        <w:pStyle w:val="14"/>
        <w:tabs>
          <w:tab w:val="right" w:leader="dot" w:pos="8306"/>
        </w:tabs>
        <w:spacing w:line="600" w:lineRule="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HYPERLINK \l _Toc7918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第四章 评标方法</w:t>
      </w:r>
      <w:r>
        <w:rPr>
          <w:rFonts w:hint="eastAsia" w:ascii="仿宋_GB2312" w:hAnsi="仿宋_GB2312" w:eastAsia="仿宋_GB2312" w:cs="仿宋_GB2312"/>
          <w:color w:val="auto"/>
          <w:kern w:val="2"/>
          <w:sz w:val="28"/>
          <w:szCs w:val="28"/>
          <w:highlight w:val="none"/>
          <w:lang w:val="en-US" w:eastAsia="zh-CN" w:bidi="ar-SA"/>
        </w:rPr>
        <w:tab/>
      </w: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PAGEREF _Toc7918 \h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58</w:t>
      </w:r>
      <w:r>
        <w:rPr>
          <w:rFonts w:hint="eastAsia" w:ascii="仿宋_GB2312" w:hAnsi="仿宋_GB2312" w:eastAsia="仿宋_GB2312" w:cs="仿宋_GB2312"/>
          <w:color w:val="auto"/>
          <w:kern w:val="2"/>
          <w:sz w:val="28"/>
          <w:szCs w:val="28"/>
          <w:highlight w:val="none"/>
          <w:lang w:val="en-US" w:eastAsia="zh-CN" w:bidi="ar-SA"/>
        </w:rPr>
        <w:fldChar w:fldCharType="end"/>
      </w:r>
      <w:r>
        <w:rPr>
          <w:rFonts w:hint="eastAsia" w:ascii="仿宋_GB2312" w:hAnsi="仿宋_GB2312" w:eastAsia="仿宋_GB2312" w:cs="仿宋_GB2312"/>
          <w:color w:val="auto"/>
          <w:kern w:val="2"/>
          <w:sz w:val="28"/>
          <w:szCs w:val="28"/>
          <w:highlight w:val="none"/>
          <w:lang w:val="en-US" w:eastAsia="zh-CN" w:bidi="ar-SA"/>
        </w:rPr>
        <w:fldChar w:fldCharType="end"/>
      </w:r>
    </w:p>
    <w:p w14:paraId="6AE652AC">
      <w:pPr>
        <w:pStyle w:val="14"/>
        <w:tabs>
          <w:tab w:val="right" w:leader="dot" w:pos="8306"/>
        </w:tabs>
        <w:spacing w:line="600" w:lineRule="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HYPERLINK \l _Toc32187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第五章 政府采购合同条款及格式</w:t>
      </w:r>
      <w:r>
        <w:rPr>
          <w:rFonts w:hint="eastAsia" w:ascii="仿宋_GB2312" w:hAnsi="仿宋_GB2312" w:eastAsia="仿宋_GB2312" w:cs="仿宋_GB2312"/>
          <w:color w:val="auto"/>
          <w:kern w:val="2"/>
          <w:sz w:val="28"/>
          <w:szCs w:val="28"/>
          <w:highlight w:val="none"/>
          <w:lang w:val="en-US" w:eastAsia="zh-CN" w:bidi="ar-SA"/>
        </w:rPr>
        <w:tab/>
      </w: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PAGEREF _Toc32187 \h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70</w:t>
      </w:r>
      <w:r>
        <w:rPr>
          <w:rFonts w:hint="eastAsia" w:ascii="仿宋_GB2312" w:hAnsi="仿宋_GB2312" w:eastAsia="仿宋_GB2312" w:cs="仿宋_GB2312"/>
          <w:color w:val="auto"/>
          <w:kern w:val="2"/>
          <w:sz w:val="28"/>
          <w:szCs w:val="28"/>
          <w:highlight w:val="none"/>
          <w:lang w:val="en-US" w:eastAsia="zh-CN" w:bidi="ar-SA"/>
        </w:rPr>
        <w:fldChar w:fldCharType="end"/>
      </w:r>
      <w:r>
        <w:rPr>
          <w:rFonts w:hint="eastAsia" w:ascii="仿宋_GB2312" w:hAnsi="仿宋_GB2312" w:eastAsia="仿宋_GB2312" w:cs="仿宋_GB2312"/>
          <w:color w:val="auto"/>
          <w:kern w:val="2"/>
          <w:sz w:val="28"/>
          <w:szCs w:val="28"/>
          <w:highlight w:val="none"/>
          <w:lang w:val="en-US" w:eastAsia="zh-CN" w:bidi="ar-SA"/>
        </w:rPr>
        <w:fldChar w:fldCharType="end"/>
      </w:r>
    </w:p>
    <w:p w14:paraId="1E1C4F42">
      <w:pPr>
        <w:spacing w:line="600" w:lineRule="auto"/>
        <w:rPr>
          <w:rFonts w:hint="eastAsia" w:ascii="Times New Roman" w:hAnsi="Times New Roman" w:eastAsia="仿宋" w:cs="仿宋"/>
          <w:color w:val="000000"/>
          <w:highlight w:val="none"/>
        </w:rPr>
      </w:pPr>
      <w:r>
        <w:rPr>
          <w:rFonts w:hint="eastAsia" w:ascii="仿宋_GB2312" w:hAnsi="仿宋_GB2312" w:eastAsia="仿宋_GB2312" w:cs="仿宋_GB2312"/>
          <w:color w:val="auto"/>
          <w:kern w:val="2"/>
          <w:sz w:val="28"/>
          <w:szCs w:val="28"/>
          <w:highlight w:val="none"/>
          <w:lang w:val="en-US" w:eastAsia="zh-CN" w:bidi="ar-SA"/>
        </w:rPr>
        <w:fldChar w:fldCharType="end"/>
      </w:r>
    </w:p>
    <w:p w14:paraId="5DDF1492">
      <w:pPr>
        <w:pStyle w:val="3"/>
        <w:rPr>
          <w:rFonts w:hint="eastAsia" w:ascii="Times New Roman" w:hAnsi="Times New Roman" w:eastAsia="仿宋" w:cs="仿宋"/>
          <w:color w:val="000000"/>
          <w:highlight w:val="none"/>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1124_WPSOffice_Level1"/>
    </w:p>
    <w:bookmarkEnd w:id="0"/>
    <w:p w14:paraId="79681EEE">
      <w:pPr>
        <w:pStyle w:val="3"/>
        <w:outlineLvl w:val="0"/>
        <w:rPr>
          <w:rFonts w:hint="eastAsia" w:ascii="仿宋_GB2312" w:hAnsi="仿宋_GB2312" w:eastAsia="仿宋_GB2312" w:cs="仿宋_GB2312"/>
          <w:color w:val="auto"/>
          <w:highlight w:val="none"/>
        </w:rPr>
      </w:pPr>
      <w:bookmarkStart w:id="1" w:name="_Toc31747"/>
      <w:bookmarkStart w:id="2" w:name="_Toc26518_WPSOffice_Level1"/>
      <w:r>
        <w:rPr>
          <w:rFonts w:hint="eastAsia" w:ascii="仿宋_GB2312" w:hAnsi="仿宋_GB2312" w:eastAsia="仿宋_GB2312" w:cs="仿宋_GB2312"/>
          <w:color w:val="auto"/>
          <w:highlight w:val="none"/>
        </w:rPr>
        <w:t>（</w:t>
      </w:r>
      <w:r>
        <w:rPr>
          <w:rFonts w:hint="eastAsia" w:ascii="仿宋_GB2312" w:hAnsi="仿宋_GB2312" w:eastAsia="仿宋_GB2312" w:cs="仿宋_GB2312"/>
          <w:color w:val="auto"/>
          <w:highlight w:val="none"/>
          <w:lang w:val="en-US" w:eastAsia="zh-CN"/>
        </w:rPr>
        <w:t>大连医科大学</w:t>
      </w:r>
      <w:r>
        <w:rPr>
          <w:rFonts w:hint="eastAsia" w:ascii="仿宋_GB2312" w:hAnsi="仿宋_GB2312" w:eastAsia="仿宋_GB2312" w:cs="仿宋_GB2312"/>
          <w:color w:val="auto"/>
          <w:highlight w:val="none"/>
          <w:lang w:eastAsia="zh-CN"/>
        </w:rPr>
        <w:t>保种质量控制系统设备购置项目</w:t>
      </w:r>
      <w:r>
        <w:rPr>
          <w:rFonts w:hint="eastAsia" w:ascii="仿宋_GB2312" w:hAnsi="仿宋_GB2312" w:eastAsia="仿宋_GB2312" w:cs="仿宋_GB2312"/>
          <w:color w:val="auto"/>
          <w:highlight w:val="none"/>
        </w:rPr>
        <w:t>）的招标公告</w:t>
      </w:r>
      <w:bookmarkEnd w:id="1"/>
    </w:p>
    <w:p w14:paraId="468FA257">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项目概况</w:t>
      </w:r>
    </w:p>
    <w:p w14:paraId="11B29212">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u w:val="single"/>
          <w:lang w:val="en-US" w:eastAsia="zh-CN"/>
        </w:rPr>
        <w:t>大连医科大学</w:t>
      </w:r>
      <w:r>
        <w:rPr>
          <w:rFonts w:hint="eastAsia" w:ascii="仿宋_GB2312" w:hAnsi="仿宋_GB2312" w:eastAsia="仿宋_GB2312" w:cs="仿宋_GB2312"/>
          <w:color w:val="auto"/>
          <w:szCs w:val="21"/>
          <w:highlight w:val="none"/>
          <w:u w:val="single"/>
          <w:lang w:eastAsia="zh-CN"/>
        </w:rPr>
        <w:t>保种质量控制系统设备购置项目</w:t>
      </w:r>
      <w:r>
        <w:rPr>
          <w:rFonts w:hint="eastAsia" w:ascii="仿宋_GB2312" w:hAnsi="仿宋_GB2312" w:eastAsia="仿宋_GB2312" w:cs="仿宋_GB2312"/>
          <w:color w:val="auto"/>
          <w:szCs w:val="21"/>
          <w:highlight w:val="none"/>
          <w:u w:val="single"/>
        </w:rPr>
        <w:t>)</w:t>
      </w:r>
      <w:r>
        <w:rPr>
          <w:rFonts w:hint="eastAsia" w:ascii="仿宋_GB2312" w:hAnsi="仿宋_GB2312" w:eastAsia="仿宋_GB2312" w:cs="仿宋_GB2312"/>
          <w:color w:val="auto"/>
          <w:szCs w:val="21"/>
          <w:highlight w:val="none"/>
        </w:rPr>
        <w:t xml:space="preserve"> 招标项目的潜在供应商应在</w:t>
      </w:r>
      <w:r>
        <w:rPr>
          <w:rFonts w:hint="eastAsia" w:ascii="仿宋_GB2312" w:hAnsi="仿宋_GB2312" w:eastAsia="仿宋_GB2312" w:cs="仿宋_GB2312"/>
          <w:color w:val="auto"/>
          <w:szCs w:val="21"/>
          <w:highlight w:val="none"/>
          <w:u w:val="single"/>
        </w:rPr>
        <w:t>（辽宁政府采购网）</w:t>
      </w:r>
      <w:r>
        <w:rPr>
          <w:rFonts w:hint="eastAsia" w:ascii="仿宋_GB2312" w:hAnsi="仿宋_GB2312" w:eastAsia="仿宋_GB2312" w:cs="仿宋_GB2312"/>
          <w:color w:val="auto"/>
          <w:szCs w:val="21"/>
          <w:highlight w:val="none"/>
        </w:rPr>
        <w:t>获取招标文件，并于</w:t>
      </w:r>
      <w:r>
        <w:rPr>
          <w:rFonts w:hint="eastAsia" w:ascii="仿宋_GB2312" w:hAnsi="仿宋_GB2312" w:eastAsia="仿宋_GB2312" w:cs="仿宋_GB2312"/>
          <w:color w:val="auto"/>
          <w:szCs w:val="21"/>
          <w:highlight w:val="none"/>
          <w:u w:val="single"/>
          <w:lang w:eastAsia="zh-CN"/>
        </w:rPr>
        <w:t>2026年10月8日9点00分</w:t>
      </w:r>
      <w:r>
        <w:rPr>
          <w:rFonts w:hint="eastAsia" w:ascii="仿宋_GB2312" w:hAnsi="仿宋_GB2312" w:eastAsia="仿宋_GB2312" w:cs="仿宋_GB2312"/>
          <w:bCs/>
          <w:color w:val="auto"/>
          <w:szCs w:val="21"/>
          <w:highlight w:val="none"/>
          <w:u w:val="single"/>
        </w:rPr>
        <w:t>（</w:t>
      </w:r>
      <w:r>
        <w:rPr>
          <w:rFonts w:hint="eastAsia" w:ascii="仿宋_GB2312" w:hAnsi="仿宋_GB2312" w:eastAsia="仿宋_GB2312" w:cs="仿宋_GB2312"/>
          <w:bCs/>
          <w:color w:val="auto"/>
          <w:szCs w:val="21"/>
          <w:highlight w:val="none"/>
        </w:rPr>
        <w:t>北京时间）前递交投标文件</w:t>
      </w:r>
    </w:p>
    <w:p w14:paraId="0BF25E42">
      <w:pPr>
        <w:widowControl/>
        <w:adjustRightInd w:val="0"/>
        <w:snapToGrid w:val="0"/>
        <w:spacing w:line="360" w:lineRule="auto"/>
        <w:ind w:firstLine="420" w:firstLineChars="200"/>
        <w:jc w:val="left"/>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color w:val="auto"/>
          <w:kern w:val="0"/>
          <w:szCs w:val="21"/>
          <w:highlight w:val="none"/>
        </w:rPr>
        <w:t xml:space="preserve"> </w:t>
      </w:r>
    </w:p>
    <w:p w14:paraId="1D15098F">
      <w:pPr>
        <w:adjustRightInd w:val="0"/>
        <w:snapToGrid w:val="0"/>
        <w:spacing w:line="360" w:lineRule="auto"/>
        <w:ind w:firstLine="420" w:firstLineChars="200"/>
        <w:rPr>
          <w:rFonts w:hint="eastAsia" w:ascii="仿宋_GB2312" w:hAnsi="仿宋_GB2312" w:eastAsia="仿宋_GB2312" w:cs="仿宋_GB2312"/>
          <w:b/>
          <w:bCs/>
          <w:color w:val="auto"/>
          <w:szCs w:val="21"/>
          <w:highlight w:val="none"/>
        </w:rPr>
      </w:pPr>
      <w:bookmarkStart w:id="3" w:name="_Toc28359079"/>
      <w:bookmarkStart w:id="4" w:name="_Toc35393621"/>
      <w:bookmarkStart w:id="5" w:name="_Toc35393790"/>
      <w:bookmarkStart w:id="6" w:name="_Toc28359002"/>
      <w:bookmarkStart w:id="7" w:name="_Hlk24379207"/>
      <w:r>
        <w:rPr>
          <w:rFonts w:hint="eastAsia" w:ascii="仿宋_GB2312" w:hAnsi="仿宋_GB2312" w:eastAsia="仿宋_GB2312" w:cs="仿宋_GB2312"/>
          <w:b/>
          <w:bCs/>
          <w:color w:val="auto"/>
          <w:szCs w:val="21"/>
          <w:highlight w:val="none"/>
        </w:rPr>
        <w:t>一、项目基本情况</w:t>
      </w:r>
      <w:bookmarkEnd w:id="3"/>
      <w:bookmarkEnd w:id="4"/>
      <w:bookmarkEnd w:id="5"/>
      <w:bookmarkEnd w:id="6"/>
    </w:p>
    <w:p w14:paraId="1B86A252">
      <w:pPr>
        <w:adjustRightInd w:val="0"/>
        <w:snapToGrid w:val="0"/>
        <w:spacing w:line="360" w:lineRule="auto"/>
        <w:ind w:firstLine="420" w:firstLineChars="200"/>
        <w:rPr>
          <w:rFonts w:hint="eastAsia" w:ascii="仿宋_GB2312" w:hAnsi="仿宋_GB2312" w:eastAsia="仿宋_GB2312" w:cs="仿宋_GB2312"/>
          <w:b/>
          <w:bCs/>
          <w:color w:val="auto"/>
          <w:szCs w:val="21"/>
          <w:highlight w:val="none"/>
          <w:lang w:eastAsia="zh-CN"/>
        </w:rPr>
      </w:pPr>
      <w:r>
        <w:rPr>
          <w:rFonts w:hint="eastAsia" w:ascii="仿宋_GB2312" w:hAnsi="仿宋_GB2312" w:eastAsia="仿宋_GB2312" w:cs="仿宋_GB2312"/>
          <w:color w:val="auto"/>
          <w:szCs w:val="21"/>
          <w:highlight w:val="none"/>
        </w:rPr>
        <w:t>项目编号：JH26-210000-43661</w:t>
      </w:r>
    </w:p>
    <w:p w14:paraId="44BF0E40">
      <w:pPr>
        <w:adjustRightInd w:val="0"/>
        <w:snapToGrid w:val="0"/>
        <w:spacing w:line="360" w:lineRule="auto"/>
        <w:ind w:firstLine="420" w:firstLineChars="20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项目名称：</w:t>
      </w:r>
      <w:r>
        <w:rPr>
          <w:rFonts w:hint="eastAsia" w:ascii="仿宋_GB2312" w:hAnsi="仿宋_GB2312" w:eastAsia="仿宋_GB2312" w:cs="仿宋_GB2312"/>
          <w:color w:val="auto"/>
          <w:szCs w:val="21"/>
          <w:highlight w:val="none"/>
          <w:lang w:val="en-US" w:eastAsia="zh-CN"/>
        </w:rPr>
        <w:t>大连医科大学</w:t>
      </w:r>
      <w:r>
        <w:rPr>
          <w:rFonts w:hint="eastAsia" w:ascii="仿宋_GB2312" w:hAnsi="仿宋_GB2312" w:eastAsia="仿宋_GB2312" w:cs="仿宋_GB2312"/>
          <w:color w:val="auto"/>
          <w:szCs w:val="21"/>
          <w:highlight w:val="none"/>
          <w:lang w:eastAsia="zh-CN"/>
        </w:rPr>
        <w:t>保种质量控制系统设备购置项目</w:t>
      </w:r>
    </w:p>
    <w:bookmarkEnd w:id="7"/>
    <w:p w14:paraId="6483AE90">
      <w:pPr>
        <w:adjustRightInd w:val="0"/>
        <w:snapToGrid w:val="0"/>
        <w:spacing w:line="360" w:lineRule="auto"/>
        <w:ind w:firstLine="420" w:firstLineChars="20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预算金额：</w:t>
      </w:r>
      <w:r>
        <w:rPr>
          <w:rFonts w:hint="eastAsia" w:ascii="仿宋_GB2312" w:hAnsi="仿宋_GB2312" w:eastAsia="仿宋_GB2312" w:cs="仿宋_GB2312"/>
          <w:color w:val="auto"/>
          <w:szCs w:val="21"/>
          <w:highlight w:val="none"/>
          <w:lang w:eastAsia="zh-CN"/>
        </w:rPr>
        <w:t>880000元</w:t>
      </w:r>
    </w:p>
    <w:p w14:paraId="1D30D56B">
      <w:pPr>
        <w:adjustRightInd w:val="0"/>
        <w:snapToGrid w:val="0"/>
        <w:spacing w:line="360" w:lineRule="auto"/>
        <w:ind w:firstLine="420" w:firstLineChars="20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最高限价：</w:t>
      </w:r>
      <w:r>
        <w:rPr>
          <w:rFonts w:hint="eastAsia" w:ascii="仿宋_GB2312" w:hAnsi="仿宋_GB2312" w:eastAsia="仿宋_GB2312" w:cs="仿宋_GB2312"/>
          <w:color w:val="auto"/>
          <w:szCs w:val="21"/>
          <w:highlight w:val="none"/>
          <w:lang w:eastAsia="zh-CN"/>
        </w:rPr>
        <w:t>880000元</w:t>
      </w:r>
    </w:p>
    <w:p w14:paraId="0CC95DC8">
      <w:pPr>
        <w:adjustRightInd w:val="0"/>
        <w:snapToGrid w:val="0"/>
        <w:spacing w:line="360" w:lineRule="auto"/>
        <w:ind w:firstLine="420" w:firstLineChars="200"/>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采购需求：</w:t>
      </w:r>
      <w:r>
        <w:rPr>
          <w:rFonts w:hint="eastAsia" w:ascii="仿宋_GB2312" w:hAnsi="仿宋_GB2312" w:eastAsia="仿宋_GB2312" w:cs="仿宋_GB2312"/>
          <w:color w:val="auto"/>
          <w:szCs w:val="21"/>
          <w:highlight w:val="none"/>
          <w:lang w:eastAsia="zh-CN"/>
        </w:rPr>
        <w:t>双人IVF工作站、体视显微镜、多仓桌面胚胎培养箱、精子分析仪、CO2培养箱、恒温加热板等采购</w:t>
      </w:r>
      <w:r>
        <w:rPr>
          <w:rFonts w:hint="eastAsia" w:ascii="仿宋_GB2312" w:hAnsi="仿宋_GB2312" w:eastAsia="仿宋_GB2312" w:cs="仿宋_GB2312"/>
          <w:color w:val="auto"/>
          <w:szCs w:val="21"/>
          <w:highlight w:val="none"/>
        </w:rPr>
        <w:t>（详见招标文件）</w:t>
      </w:r>
    </w:p>
    <w:p w14:paraId="7BD8C5C8">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合同履行期限：</w:t>
      </w:r>
      <w:r>
        <w:rPr>
          <w:rFonts w:hint="eastAsia" w:ascii="仿宋_GB2312" w:hAnsi="仿宋_GB2312" w:eastAsia="仿宋_GB2312" w:cs="仿宋_GB2312"/>
          <w:color w:val="auto"/>
          <w:szCs w:val="21"/>
          <w:highlight w:val="none"/>
          <w:lang w:eastAsia="zh-CN"/>
        </w:rPr>
        <w:t>自合同签订之日起30日内完成货物进场安装调试并交付使用</w:t>
      </w:r>
      <w:r>
        <w:rPr>
          <w:rFonts w:hint="eastAsia" w:ascii="仿宋_GB2312" w:hAnsi="仿宋_GB2312" w:eastAsia="仿宋_GB2312" w:cs="仿宋_GB2312"/>
          <w:color w:val="auto"/>
          <w:szCs w:val="21"/>
          <w:highlight w:val="none"/>
        </w:rPr>
        <w:t>。</w:t>
      </w:r>
    </w:p>
    <w:p w14:paraId="294942D6">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需落实的政府采购政策内容：绿色发展、节能环保、中小企业发展、监狱发展、残疾人就业、支持创新、本国产品等政府采购政策相关规定。</w:t>
      </w:r>
    </w:p>
    <w:p w14:paraId="0BB1D15D">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本项目（是/否）接受联合体投标：否。</w:t>
      </w:r>
    </w:p>
    <w:p w14:paraId="26FEA849">
      <w:pPr>
        <w:adjustRightInd w:val="0"/>
        <w:snapToGrid w:val="0"/>
        <w:spacing w:line="360" w:lineRule="auto"/>
        <w:rPr>
          <w:rFonts w:hint="eastAsia" w:ascii="仿宋_GB2312" w:hAnsi="仿宋_GB2312" w:eastAsia="仿宋_GB2312" w:cs="仿宋_GB2312"/>
          <w:b/>
          <w:bCs/>
          <w:color w:val="auto"/>
          <w:szCs w:val="21"/>
          <w:highlight w:val="none"/>
        </w:rPr>
      </w:pPr>
      <w:bookmarkStart w:id="8" w:name="_Toc28359080"/>
      <w:bookmarkStart w:id="9" w:name="_Toc35393791"/>
      <w:bookmarkStart w:id="10" w:name="_Toc28359003"/>
      <w:bookmarkStart w:id="11" w:name="_Toc35393622"/>
      <w:r>
        <w:rPr>
          <w:rFonts w:hint="eastAsia" w:ascii="仿宋_GB2312" w:hAnsi="仿宋_GB2312" w:eastAsia="仿宋_GB2312" w:cs="仿宋_GB2312"/>
          <w:b/>
          <w:bCs/>
          <w:color w:val="auto"/>
          <w:szCs w:val="21"/>
          <w:highlight w:val="none"/>
        </w:rPr>
        <w:t>二、供应商的资格要求：</w:t>
      </w:r>
      <w:bookmarkEnd w:id="8"/>
      <w:bookmarkEnd w:id="9"/>
      <w:bookmarkEnd w:id="10"/>
      <w:bookmarkEnd w:id="11"/>
    </w:p>
    <w:p w14:paraId="1A1C9692">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1.满足《中华人民共和国政府采购法》第二十二条规定；</w:t>
      </w:r>
    </w:p>
    <w:p w14:paraId="476D649C">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bookmarkStart w:id="12" w:name="_Toc28359004"/>
      <w:bookmarkStart w:id="13" w:name="_Toc28359081"/>
      <w:r>
        <w:rPr>
          <w:rFonts w:hint="eastAsia" w:ascii="仿宋_GB2312" w:hAnsi="仿宋_GB2312" w:eastAsia="仿宋_GB2312" w:cs="仿宋_GB2312"/>
          <w:color w:val="auto"/>
          <w:szCs w:val="21"/>
          <w:highlight w:val="none"/>
        </w:rPr>
        <w:t>2.落实政府采购政策需满足的资格要求：本项目属于专门面向中小企业采购的项目，供应商应为中小微企业、监狱企业、残疾人福利性单位。</w:t>
      </w:r>
    </w:p>
    <w:p w14:paraId="6F019925">
      <w:pPr>
        <w:adjustRightInd w:val="0"/>
        <w:snapToGrid w:val="0"/>
        <w:spacing w:line="360" w:lineRule="auto"/>
        <w:ind w:firstLine="420" w:firstLineChars="200"/>
        <w:rPr>
          <w:rFonts w:hint="eastAsia" w:ascii="仿宋_GB2312" w:hAnsi="仿宋_GB2312" w:eastAsia="仿宋_GB2312" w:cs="仿宋_GB2312"/>
          <w:i/>
          <w:iCs/>
          <w:color w:val="auto"/>
          <w:szCs w:val="21"/>
          <w:highlight w:val="none"/>
          <w:u w:val="single"/>
        </w:rPr>
      </w:pPr>
      <w:r>
        <w:rPr>
          <w:rFonts w:hint="eastAsia" w:ascii="仿宋_GB2312" w:hAnsi="仿宋_GB2312" w:eastAsia="仿宋_GB2312" w:cs="仿宋_GB2312"/>
          <w:color w:val="auto"/>
          <w:szCs w:val="21"/>
          <w:highlight w:val="none"/>
        </w:rPr>
        <w:t>3.本项目的特定资格要求：无。</w:t>
      </w:r>
    </w:p>
    <w:p w14:paraId="5CB9769D">
      <w:pPr>
        <w:adjustRightInd w:val="0"/>
        <w:snapToGrid w:val="0"/>
        <w:spacing w:line="360" w:lineRule="auto"/>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三、政府采购供应商入库须知</w:t>
      </w:r>
    </w:p>
    <w:p w14:paraId="5A32B476">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bookmarkStart w:id="14" w:name="_Toc35393792"/>
      <w:bookmarkStart w:id="15" w:name="_Toc35393623"/>
      <w:r>
        <w:rPr>
          <w:rFonts w:hint="eastAsia" w:ascii="仿宋_GB2312" w:hAnsi="仿宋_GB2312" w:eastAsia="仿宋_GB2312" w:cs="仿宋_GB2312"/>
          <w:color w:val="auto"/>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5E52B02D">
      <w:pPr>
        <w:adjustRightInd w:val="0"/>
        <w:snapToGrid w:val="0"/>
        <w:spacing w:line="360" w:lineRule="auto"/>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四、获取招标文件</w:t>
      </w:r>
      <w:bookmarkEnd w:id="12"/>
      <w:bookmarkEnd w:id="13"/>
      <w:bookmarkEnd w:id="14"/>
      <w:bookmarkEnd w:id="15"/>
    </w:p>
    <w:p w14:paraId="62C78FDC">
      <w:pPr>
        <w:adjustRightInd w:val="0"/>
        <w:snapToGrid w:val="0"/>
        <w:spacing w:line="360" w:lineRule="auto"/>
        <w:ind w:firstLine="54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时间：2026年</w:t>
      </w:r>
      <w:r>
        <w:rPr>
          <w:rFonts w:hint="eastAsia" w:ascii="仿宋_GB2312" w:hAnsi="仿宋_GB2312" w:eastAsia="仿宋_GB2312" w:cs="仿宋_GB2312"/>
          <w:color w:val="auto"/>
          <w:szCs w:val="21"/>
          <w:highlight w:val="none"/>
          <w:lang w:val="en-US" w:eastAsia="zh-CN"/>
        </w:rPr>
        <w:t>9</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lang w:val="en-US" w:eastAsia="zh-CN"/>
        </w:rPr>
        <w:t>10</w:t>
      </w:r>
      <w:r>
        <w:rPr>
          <w:rFonts w:hint="eastAsia" w:ascii="仿宋_GB2312" w:hAnsi="仿宋_GB2312" w:eastAsia="仿宋_GB2312" w:cs="仿宋_GB2312"/>
          <w:color w:val="auto"/>
          <w:szCs w:val="21"/>
          <w:highlight w:val="none"/>
        </w:rPr>
        <w:t>日23时59分至2026年</w:t>
      </w:r>
      <w:r>
        <w:rPr>
          <w:rFonts w:hint="eastAsia" w:ascii="仿宋_GB2312" w:hAnsi="仿宋_GB2312" w:eastAsia="仿宋_GB2312" w:cs="仿宋_GB2312"/>
          <w:color w:val="auto"/>
          <w:szCs w:val="21"/>
          <w:highlight w:val="none"/>
          <w:lang w:val="en-US" w:eastAsia="zh-CN"/>
        </w:rPr>
        <w:t>9</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lang w:val="en-US" w:eastAsia="zh-CN"/>
        </w:rPr>
        <w:t>18</w:t>
      </w:r>
      <w:bookmarkStart w:id="176" w:name="_GoBack"/>
      <w:bookmarkEnd w:id="176"/>
      <w:r>
        <w:rPr>
          <w:rFonts w:hint="eastAsia" w:ascii="仿宋_GB2312" w:hAnsi="仿宋_GB2312" w:eastAsia="仿宋_GB2312" w:cs="仿宋_GB2312"/>
          <w:color w:val="auto"/>
          <w:szCs w:val="21"/>
          <w:highlight w:val="none"/>
        </w:rPr>
        <w:t>日00时00分（北京时间，法定节假日除外）</w:t>
      </w:r>
    </w:p>
    <w:p w14:paraId="2912B017">
      <w:pPr>
        <w:adjustRightInd w:val="0"/>
        <w:snapToGrid w:val="0"/>
        <w:spacing w:line="360" w:lineRule="auto"/>
        <w:ind w:firstLine="540"/>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地点：线上获取</w:t>
      </w:r>
    </w:p>
    <w:p w14:paraId="321C8254">
      <w:pPr>
        <w:adjustRightInd w:val="0"/>
        <w:snapToGrid w:val="0"/>
        <w:spacing w:line="360" w:lineRule="auto"/>
        <w:ind w:firstLine="540"/>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方式：线上</w:t>
      </w:r>
    </w:p>
    <w:p w14:paraId="47DC8FC3">
      <w:pPr>
        <w:adjustRightInd w:val="0"/>
        <w:snapToGrid w:val="0"/>
        <w:spacing w:line="360" w:lineRule="auto"/>
        <w:ind w:firstLine="54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售价：免费</w:t>
      </w:r>
    </w:p>
    <w:p w14:paraId="448539F3">
      <w:pPr>
        <w:adjustRightInd w:val="0"/>
        <w:snapToGrid w:val="0"/>
        <w:spacing w:line="360" w:lineRule="auto"/>
        <w:rPr>
          <w:rFonts w:hint="eastAsia" w:ascii="仿宋_GB2312" w:hAnsi="仿宋_GB2312" w:eastAsia="仿宋_GB2312" w:cs="仿宋_GB2312"/>
          <w:b/>
          <w:bCs/>
          <w:color w:val="auto"/>
          <w:szCs w:val="21"/>
          <w:highlight w:val="none"/>
        </w:rPr>
      </w:pPr>
      <w:bookmarkStart w:id="16" w:name="_Toc28359082"/>
      <w:bookmarkStart w:id="17" w:name="_Toc28359005"/>
      <w:bookmarkStart w:id="18" w:name="_Toc35393624"/>
      <w:bookmarkStart w:id="19" w:name="_Toc35393793"/>
      <w:r>
        <w:rPr>
          <w:rFonts w:hint="eastAsia" w:ascii="仿宋_GB2312" w:hAnsi="仿宋_GB2312" w:eastAsia="仿宋_GB2312" w:cs="仿宋_GB2312"/>
          <w:b/>
          <w:bCs/>
          <w:color w:val="auto"/>
          <w:szCs w:val="21"/>
          <w:highlight w:val="none"/>
        </w:rPr>
        <w:t>五、提交投标文件</w:t>
      </w:r>
      <w:bookmarkEnd w:id="16"/>
      <w:bookmarkEnd w:id="17"/>
      <w:r>
        <w:rPr>
          <w:rFonts w:hint="eastAsia" w:ascii="仿宋_GB2312" w:hAnsi="仿宋_GB2312" w:eastAsia="仿宋_GB2312" w:cs="仿宋_GB2312"/>
          <w:b/>
          <w:bCs/>
          <w:color w:val="auto"/>
          <w:szCs w:val="21"/>
          <w:highlight w:val="none"/>
        </w:rPr>
        <w:t>截止时间、开标时间和地点</w:t>
      </w:r>
      <w:bookmarkEnd w:id="18"/>
      <w:bookmarkEnd w:id="19"/>
    </w:p>
    <w:p w14:paraId="777458AA">
      <w:pPr>
        <w:adjustRightInd w:val="0"/>
        <w:snapToGrid w:val="0"/>
        <w:spacing w:line="360" w:lineRule="auto"/>
        <w:ind w:firstLine="420" w:firstLineChars="200"/>
        <w:rPr>
          <w:rFonts w:hint="eastAsia"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lang w:eastAsia="zh-CN"/>
        </w:rPr>
        <w:t>2026年10月8日9点00分</w:t>
      </w:r>
      <w:r>
        <w:rPr>
          <w:rFonts w:hint="eastAsia" w:ascii="仿宋_GB2312" w:hAnsi="仿宋_GB2312" w:eastAsia="仿宋_GB2312" w:cs="仿宋_GB2312"/>
          <w:bCs/>
          <w:color w:val="auto"/>
          <w:szCs w:val="21"/>
          <w:highlight w:val="none"/>
        </w:rPr>
        <w:t>（北京时间）</w:t>
      </w:r>
    </w:p>
    <w:p w14:paraId="64C9E815">
      <w:pPr>
        <w:adjustRightInd w:val="0"/>
        <w:snapToGrid w:val="0"/>
        <w:spacing w:line="360" w:lineRule="auto"/>
        <w:ind w:firstLine="420" w:firstLineChars="200"/>
        <w:rPr>
          <w:rFonts w:hint="eastAsia" w:ascii="仿宋_GB2312" w:hAnsi="仿宋_GB2312" w:eastAsia="仿宋_GB2312" w:cs="仿宋_GB2312"/>
          <w:bCs/>
          <w:color w:val="auto"/>
          <w:szCs w:val="21"/>
          <w:highlight w:val="none"/>
          <w:u w:val="single"/>
        </w:rPr>
      </w:pPr>
      <w:r>
        <w:rPr>
          <w:rFonts w:hint="eastAsia" w:ascii="仿宋_GB2312" w:hAnsi="仿宋_GB2312" w:eastAsia="仿宋_GB2312" w:cs="仿宋_GB2312"/>
          <w:color w:val="auto"/>
          <w:szCs w:val="21"/>
          <w:highlight w:val="none"/>
        </w:rPr>
        <w:t>地点：辽宁政府采购网</w:t>
      </w:r>
    </w:p>
    <w:p w14:paraId="053CD6D8">
      <w:pPr>
        <w:adjustRightInd w:val="0"/>
        <w:snapToGrid w:val="0"/>
        <w:spacing w:line="360" w:lineRule="auto"/>
        <w:rPr>
          <w:rFonts w:hint="eastAsia" w:ascii="仿宋_GB2312" w:hAnsi="仿宋_GB2312" w:eastAsia="仿宋_GB2312" w:cs="仿宋_GB2312"/>
          <w:b/>
          <w:bCs/>
          <w:color w:val="auto"/>
          <w:szCs w:val="21"/>
          <w:highlight w:val="none"/>
        </w:rPr>
      </w:pPr>
      <w:bookmarkStart w:id="20" w:name="_Toc28359084"/>
      <w:bookmarkStart w:id="21" w:name="_Toc28359007"/>
      <w:bookmarkStart w:id="22" w:name="_Toc35393794"/>
      <w:bookmarkStart w:id="23" w:name="_Toc35393625"/>
      <w:r>
        <w:rPr>
          <w:rFonts w:hint="eastAsia" w:ascii="仿宋_GB2312" w:hAnsi="仿宋_GB2312" w:eastAsia="仿宋_GB2312" w:cs="仿宋_GB2312"/>
          <w:b/>
          <w:bCs/>
          <w:color w:val="auto"/>
          <w:szCs w:val="21"/>
          <w:highlight w:val="none"/>
        </w:rPr>
        <w:t>六、公告期限</w:t>
      </w:r>
      <w:bookmarkEnd w:id="20"/>
      <w:bookmarkEnd w:id="21"/>
      <w:bookmarkEnd w:id="22"/>
      <w:bookmarkEnd w:id="23"/>
    </w:p>
    <w:p w14:paraId="27D50195">
      <w:pPr>
        <w:adjustRightInd w:val="0"/>
        <w:snapToGrid w:val="0"/>
        <w:spacing w:line="360" w:lineRule="auto"/>
        <w:ind w:firstLine="420" w:firstLineChars="2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自本公告发布之日起5个工作日。</w:t>
      </w:r>
    </w:p>
    <w:p w14:paraId="40E61557">
      <w:pPr>
        <w:keepNext/>
        <w:keepLines/>
        <w:adjustRightInd w:val="0"/>
        <w:snapToGrid w:val="0"/>
        <w:spacing w:line="360" w:lineRule="auto"/>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七、质疑与投诉</w:t>
      </w:r>
    </w:p>
    <w:p w14:paraId="61F814CB">
      <w:pPr>
        <w:widowControl/>
        <w:adjustRightInd w:val="0"/>
        <w:snapToGrid w:val="0"/>
        <w:spacing w:line="360" w:lineRule="auto"/>
        <w:ind w:firstLine="539"/>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供应商认为自己的权益受到损害的，可以在知道或者应知其权益受到损害之日起七个工作日内，向采购代理机构或采购人提出质疑。</w:t>
      </w:r>
    </w:p>
    <w:p w14:paraId="1642AE0A">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1、接收质疑函方式：线上或书面纸质质疑函</w:t>
      </w:r>
    </w:p>
    <w:p w14:paraId="549E00CF">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2、质疑函内容、格式：应符合《政府采购质疑和投诉办法》相关规定和财政部制定的《政府采购质疑函范本》格式，详见辽宁政府采购网。</w:t>
      </w:r>
    </w:p>
    <w:p w14:paraId="52A4B451">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质疑供应商对采购人、采购代理机构的答复不满意，或者采购人、采购代理机构未在规定时间内作出答复的，可以在答复期满后15个工作日内向本级财政部门提起投诉。</w:t>
      </w:r>
    </w:p>
    <w:p w14:paraId="426C3FE0">
      <w:pPr>
        <w:adjustRightInd w:val="0"/>
        <w:snapToGrid w:val="0"/>
        <w:spacing w:line="360" w:lineRule="auto"/>
        <w:rPr>
          <w:rFonts w:hint="eastAsia" w:ascii="仿宋_GB2312" w:hAnsi="仿宋_GB2312" w:eastAsia="仿宋_GB2312" w:cs="仿宋_GB2312"/>
          <w:b/>
          <w:bCs/>
          <w:color w:val="auto"/>
          <w:szCs w:val="21"/>
          <w:highlight w:val="none"/>
        </w:rPr>
      </w:pPr>
      <w:bookmarkStart w:id="24" w:name="_Toc35393795"/>
      <w:bookmarkStart w:id="25" w:name="_Toc35393626"/>
      <w:r>
        <w:rPr>
          <w:rFonts w:hint="eastAsia" w:ascii="仿宋_GB2312" w:hAnsi="仿宋_GB2312" w:eastAsia="仿宋_GB2312" w:cs="仿宋_GB2312"/>
          <w:b/>
          <w:bCs/>
          <w:color w:val="auto"/>
          <w:szCs w:val="21"/>
          <w:highlight w:val="none"/>
        </w:rPr>
        <w:t>八、其他补充事宜</w:t>
      </w:r>
      <w:bookmarkEnd w:id="24"/>
      <w:bookmarkEnd w:id="25"/>
    </w:p>
    <w:p w14:paraId="5042822B">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1.因目前全省推广政府采购电子招投标业务，投标人需自行办理政府采购CA数字证书并学习电子投标文件制作教程，系统操作问题请咨询技术支持电话（400-128-8588），CA 办理问题请咨询CA认证机构。CA办理成功的供应商须在网上进行投标报名，如未报名将不允许参与本项目投标，报名成功后用CA操作网上电子投标等相关事宜（包括在电子投标环节填写报价、上传文件等），操作教学详见（辽宁政府采购网：http://www.ccgp-liaoning.gov.cn/portalindex.do?method=getPubInfoViewOpen&amp;infoId=31adcfa21750bd6d482-5dfd），如未按视频教学操作将导致投标文件无效。</w:t>
      </w:r>
    </w:p>
    <w:p w14:paraId="64614AA4">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2.投标人应认真学习辽宁政府采购网电子文件制作指南，并按照招标文件和电子评审系统要求进行投标（响应）信息填报、电子文件编制、盖章或电子签章等工作。对于使用电子签章的，投标人应在辽宁政府采购网 CA 认证平台下载签章工具或向 CA 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投标人因自身操作问题导致的一切不良后果由投标人自行负责。（具体规定详见《关于启用政府采购数字认证和电子招投标业务有关事宜的通知》（辽财采【2020】298号）） </w:t>
      </w:r>
    </w:p>
    <w:p w14:paraId="63A7E49C">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3.投标文件递交方式采用线上递交,如因投标人自身原因导致未线上递交投标文件的按照无效投标处理。</w:t>
      </w:r>
    </w:p>
    <w:p w14:paraId="08BDB49A">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4.请投标人自行准备电脑设备并下载好对应的CA认证证书，于提交投标文件截止时间（开标时间）起自行解密，解密时限为30分钟。</w:t>
      </w:r>
    </w:p>
    <w:p w14:paraId="19DE3BFA">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5.投标人在电子评审活动中出现以下情形的，按如下规定进行处理：</w:t>
      </w:r>
    </w:p>
    <w:p w14:paraId="13901797">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（1）因投标人或其自用设备原因造成投标文件未在规定时间内进行解密的；</w:t>
      </w:r>
    </w:p>
    <w:p w14:paraId="45130C84">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（2）因投标人或其自用设备原因造成的未在规定时间内上传文件的；</w:t>
      </w:r>
    </w:p>
    <w:p w14:paraId="22684EE5">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（3）因投标人原因未对文件校验造成信息缺失、文件内容或格式不正确以及备份文件不符合要求等问题影响评审的。</w:t>
      </w:r>
    </w:p>
    <w:p w14:paraId="17760BD5">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出现前款（1）（2）情形的，视为放弃投标；出现前款（3）情形的，由投标人自行承担相应责任。</w:t>
      </w:r>
    </w:p>
    <w:p w14:paraId="597B373E">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因本项目为不见面开标，各投标人须在投标文件的“法定代表人（或非法人组织负责人）授权委托书”中明确本项目的项目联系人及联系电话（建议包含手机及座机号码），并注意电话来电，以便重要事宜的通知。若因联系电话错误、关机、无法接通等无法联系到投标人，投标人自行承担相应后果。</w:t>
      </w:r>
    </w:p>
    <w:p w14:paraId="6BBD4781">
      <w:pPr>
        <w:adjustRightInd w:val="0"/>
        <w:snapToGrid w:val="0"/>
        <w:spacing w:line="360" w:lineRule="auto"/>
        <w:rPr>
          <w:rFonts w:hint="eastAsia" w:ascii="仿宋_GB2312" w:hAnsi="仿宋_GB2312" w:eastAsia="仿宋_GB2312" w:cs="仿宋_GB2312"/>
          <w:b/>
          <w:bCs/>
          <w:color w:val="auto"/>
          <w:szCs w:val="21"/>
          <w:highlight w:val="none"/>
        </w:rPr>
      </w:pPr>
      <w:bookmarkStart w:id="26" w:name="_Toc35393796"/>
      <w:bookmarkStart w:id="27" w:name="_Toc35393627"/>
      <w:bookmarkStart w:id="28" w:name="_Toc28359085"/>
      <w:bookmarkStart w:id="29" w:name="_Toc28359008"/>
      <w:r>
        <w:rPr>
          <w:rFonts w:hint="eastAsia" w:ascii="仿宋_GB2312" w:hAnsi="仿宋_GB2312" w:eastAsia="仿宋_GB2312" w:cs="仿宋_GB2312"/>
          <w:b/>
          <w:bCs/>
          <w:color w:val="auto"/>
          <w:szCs w:val="21"/>
          <w:highlight w:val="none"/>
        </w:rPr>
        <w:t>九、对本次招标提出询问，请按以下方式联系。</w:t>
      </w:r>
      <w:bookmarkEnd w:id="26"/>
      <w:bookmarkEnd w:id="27"/>
      <w:bookmarkEnd w:id="28"/>
      <w:bookmarkEnd w:id="29"/>
    </w:p>
    <w:p w14:paraId="5047ADD3">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1.采购人信息</w:t>
      </w:r>
    </w:p>
    <w:p w14:paraId="6C2CA6A1">
      <w:pPr>
        <w:widowControl/>
        <w:adjustRightInd w:val="0"/>
        <w:snapToGrid w:val="0"/>
        <w:spacing w:line="360" w:lineRule="auto"/>
        <w:ind w:firstLine="613" w:firstLineChars="292"/>
        <w:jc w:val="left"/>
        <w:rPr>
          <w:rFonts w:hint="eastAsia" w:ascii="仿宋_GB2312" w:hAnsi="仿宋_GB2312" w:eastAsia="仿宋_GB2312" w:cs="仿宋_GB2312"/>
          <w:color w:val="auto"/>
          <w:kern w:val="0"/>
          <w:szCs w:val="21"/>
          <w:highlight w:val="none"/>
          <w:lang w:eastAsia="zh-CN"/>
        </w:rPr>
      </w:pPr>
      <w:r>
        <w:rPr>
          <w:rFonts w:hint="eastAsia" w:ascii="仿宋_GB2312" w:hAnsi="仿宋_GB2312" w:eastAsia="仿宋_GB2312" w:cs="仿宋_GB2312"/>
          <w:color w:val="auto"/>
          <w:kern w:val="0"/>
          <w:szCs w:val="21"/>
          <w:highlight w:val="none"/>
        </w:rPr>
        <w:t>名称：</w:t>
      </w:r>
      <w:r>
        <w:rPr>
          <w:rFonts w:hint="eastAsia" w:ascii="仿宋_GB2312" w:hAnsi="仿宋_GB2312" w:eastAsia="仿宋_GB2312" w:cs="仿宋_GB2312"/>
          <w:color w:val="auto"/>
          <w:szCs w:val="21"/>
          <w:highlight w:val="none"/>
          <w:u w:val="single"/>
          <w:lang w:eastAsia="zh-CN"/>
        </w:rPr>
        <w:t>大连医科大学</w:t>
      </w:r>
    </w:p>
    <w:p w14:paraId="4903D96D">
      <w:pPr>
        <w:widowControl/>
        <w:adjustRightInd w:val="0"/>
        <w:snapToGrid w:val="0"/>
        <w:spacing w:line="360" w:lineRule="auto"/>
        <w:ind w:firstLine="613" w:firstLineChars="292"/>
        <w:jc w:val="left"/>
        <w:rPr>
          <w:rFonts w:hint="eastAsia" w:ascii="仿宋_GB2312" w:hAnsi="仿宋_GB2312" w:eastAsia="仿宋_GB2312" w:cs="仿宋_GB2312"/>
          <w:color w:val="auto"/>
          <w:kern w:val="0"/>
          <w:szCs w:val="21"/>
          <w:highlight w:val="none"/>
          <w:lang w:eastAsia="zh-CN"/>
        </w:rPr>
      </w:pPr>
      <w:r>
        <w:rPr>
          <w:rFonts w:hint="eastAsia" w:ascii="仿宋_GB2312" w:hAnsi="仿宋_GB2312" w:eastAsia="仿宋_GB2312" w:cs="仿宋_GB2312"/>
          <w:color w:val="auto"/>
          <w:kern w:val="0"/>
          <w:szCs w:val="21"/>
          <w:highlight w:val="none"/>
        </w:rPr>
        <w:t>地址：</w:t>
      </w:r>
      <w:r>
        <w:rPr>
          <w:rFonts w:hint="eastAsia" w:ascii="仿宋_GB2312" w:hAnsi="仿宋_GB2312" w:eastAsia="仿宋_GB2312" w:cs="仿宋_GB2312"/>
          <w:color w:val="auto"/>
          <w:szCs w:val="21"/>
          <w:highlight w:val="none"/>
          <w:u w:val="single"/>
          <w:lang w:eastAsia="zh-CN"/>
        </w:rPr>
        <w:t>辽宁省大连市旅顺南路西段9号</w:t>
      </w:r>
    </w:p>
    <w:p w14:paraId="3B605201">
      <w:pPr>
        <w:widowControl/>
        <w:adjustRightInd w:val="0"/>
        <w:snapToGrid w:val="0"/>
        <w:spacing w:line="360" w:lineRule="auto"/>
        <w:ind w:firstLine="613" w:firstLineChars="292"/>
        <w:jc w:val="left"/>
        <w:rPr>
          <w:rFonts w:hint="eastAsia" w:ascii="仿宋_GB2312" w:hAnsi="仿宋_GB2312" w:eastAsia="仿宋_GB2312" w:cs="仿宋_GB2312"/>
          <w:color w:val="auto"/>
          <w:kern w:val="0"/>
          <w:szCs w:val="21"/>
          <w:highlight w:val="none"/>
          <w:lang w:eastAsia="zh-CN"/>
        </w:rPr>
      </w:pPr>
      <w:r>
        <w:rPr>
          <w:rFonts w:hint="eastAsia" w:ascii="仿宋_GB2312" w:hAnsi="仿宋_GB2312" w:eastAsia="仿宋_GB2312" w:cs="仿宋_GB2312"/>
          <w:color w:val="auto"/>
          <w:kern w:val="0"/>
          <w:szCs w:val="21"/>
          <w:highlight w:val="none"/>
        </w:rPr>
        <w:t>联系方式：</w:t>
      </w:r>
      <w:r>
        <w:rPr>
          <w:rFonts w:hint="eastAsia" w:ascii="仿宋_GB2312" w:hAnsi="仿宋_GB2312" w:eastAsia="仿宋_GB2312" w:cs="仿宋_GB2312"/>
          <w:color w:val="auto"/>
          <w:szCs w:val="21"/>
          <w:highlight w:val="none"/>
          <w:u w:val="single"/>
          <w:lang w:eastAsia="zh-CN"/>
        </w:rPr>
        <w:t>0411-86110096</w:t>
      </w:r>
    </w:p>
    <w:p w14:paraId="621C5626">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2.采购代理机构信息</w:t>
      </w:r>
    </w:p>
    <w:p w14:paraId="55F114E8">
      <w:pPr>
        <w:adjustRightInd w:val="0"/>
        <w:snapToGrid w:val="0"/>
        <w:spacing w:line="360" w:lineRule="auto"/>
        <w:ind w:firstLine="630" w:firstLineChars="300"/>
        <w:rPr>
          <w:rFonts w:hint="eastAsia"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名称：</w:t>
      </w:r>
      <w:r>
        <w:rPr>
          <w:rFonts w:hint="eastAsia" w:ascii="仿宋_GB2312" w:hAnsi="仿宋_GB2312" w:eastAsia="仿宋_GB2312" w:cs="仿宋_GB2312"/>
          <w:bCs/>
          <w:color w:val="auto"/>
          <w:szCs w:val="21"/>
          <w:highlight w:val="none"/>
          <w:u w:val="single"/>
        </w:rPr>
        <w:t>通利晟信管理咨询有限公司</w:t>
      </w:r>
    </w:p>
    <w:p w14:paraId="2026A2FC">
      <w:pPr>
        <w:adjustRightInd w:val="0"/>
        <w:snapToGrid w:val="0"/>
        <w:spacing w:line="360" w:lineRule="auto"/>
        <w:ind w:firstLine="630" w:firstLineChars="300"/>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bCs/>
          <w:color w:val="auto"/>
          <w:szCs w:val="21"/>
          <w:highlight w:val="none"/>
        </w:rPr>
        <w:t>地址：</w:t>
      </w:r>
      <w:bookmarkStart w:id="30" w:name="OLE_LINK15"/>
      <w:r>
        <w:rPr>
          <w:rFonts w:hint="eastAsia" w:ascii="仿宋_GB2312" w:hAnsi="仿宋_GB2312" w:eastAsia="仿宋_GB2312" w:cs="仿宋_GB2312"/>
          <w:color w:val="auto"/>
          <w:szCs w:val="21"/>
          <w:highlight w:val="none"/>
          <w:u w:val="single"/>
        </w:rPr>
        <w:t>大连市沙河口区万岁街135号</w:t>
      </w:r>
      <w:bookmarkEnd w:id="30"/>
    </w:p>
    <w:p w14:paraId="74FE688C">
      <w:pPr>
        <w:adjustRightInd w:val="0"/>
        <w:snapToGrid w:val="0"/>
        <w:spacing w:line="360" w:lineRule="auto"/>
        <w:ind w:firstLine="630" w:firstLineChars="300"/>
        <w:rPr>
          <w:rFonts w:hint="eastAsia"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联系方式：</w:t>
      </w:r>
      <w:r>
        <w:rPr>
          <w:rFonts w:hint="eastAsia" w:ascii="仿宋_GB2312" w:hAnsi="仿宋_GB2312" w:eastAsia="仿宋_GB2312" w:cs="仿宋_GB2312"/>
          <w:color w:val="auto"/>
          <w:szCs w:val="21"/>
          <w:highlight w:val="none"/>
          <w:u w:val="single"/>
        </w:rPr>
        <w:t>0411-84350112、84651726</w:t>
      </w:r>
    </w:p>
    <w:p w14:paraId="546733AD">
      <w:pPr>
        <w:adjustRightInd w:val="0"/>
        <w:snapToGrid w:val="0"/>
        <w:spacing w:line="360" w:lineRule="auto"/>
        <w:ind w:firstLine="630" w:firstLineChars="300"/>
        <w:rPr>
          <w:rFonts w:hint="eastAsia"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邮箱地址：</w:t>
      </w:r>
      <w:r>
        <w:rPr>
          <w:rFonts w:hint="eastAsia" w:ascii="仿宋_GB2312" w:hAnsi="仿宋_GB2312" w:eastAsia="仿宋_GB2312" w:cs="仿宋_GB2312"/>
          <w:color w:val="auto"/>
          <w:highlight w:val="none"/>
        </w:rPr>
        <w:fldChar w:fldCharType="begin"/>
      </w:r>
      <w:r>
        <w:rPr>
          <w:rFonts w:hint="eastAsia" w:ascii="仿宋_GB2312" w:hAnsi="仿宋_GB2312" w:eastAsia="仿宋_GB2312" w:cs="仿宋_GB2312"/>
          <w:color w:val="auto"/>
          <w:highlight w:val="none"/>
        </w:rPr>
        <w:instrText xml:space="preserve"> HYPERLINK "mailto:tongli_dl@163.com" </w:instrText>
      </w:r>
      <w:r>
        <w:rPr>
          <w:rFonts w:hint="eastAsia" w:ascii="仿宋_GB2312" w:hAnsi="仿宋_GB2312" w:eastAsia="仿宋_GB2312" w:cs="仿宋_GB2312"/>
          <w:color w:val="auto"/>
          <w:highlight w:val="none"/>
        </w:rPr>
        <w:fldChar w:fldCharType="separate"/>
      </w:r>
      <w:r>
        <w:rPr>
          <w:rStyle w:val="24"/>
          <w:rFonts w:hint="eastAsia" w:ascii="仿宋_GB2312" w:hAnsi="仿宋_GB2312" w:eastAsia="仿宋_GB2312" w:cs="仿宋_GB2312"/>
          <w:color w:val="auto"/>
          <w:szCs w:val="21"/>
          <w:highlight w:val="none"/>
        </w:rPr>
        <w:t>tonglishengxin@126.com</w:t>
      </w:r>
      <w:r>
        <w:rPr>
          <w:rStyle w:val="24"/>
          <w:rFonts w:hint="eastAsia" w:ascii="仿宋_GB2312" w:hAnsi="仿宋_GB2312" w:eastAsia="仿宋_GB2312" w:cs="仿宋_GB2312"/>
          <w:color w:val="auto"/>
          <w:szCs w:val="21"/>
          <w:highlight w:val="none"/>
        </w:rPr>
        <w:fldChar w:fldCharType="end"/>
      </w:r>
    </w:p>
    <w:p w14:paraId="50A3863D">
      <w:pPr>
        <w:adjustRightInd w:val="0"/>
        <w:snapToGrid w:val="0"/>
        <w:spacing w:line="360" w:lineRule="auto"/>
        <w:ind w:firstLine="630" w:firstLineChars="300"/>
        <w:rPr>
          <w:rFonts w:hint="eastAsia"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开户行：</w:t>
      </w:r>
      <w:r>
        <w:rPr>
          <w:rFonts w:hint="eastAsia" w:ascii="仿宋_GB2312" w:hAnsi="仿宋_GB2312" w:eastAsia="仿宋_GB2312" w:cs="仿宋_GB2312"/>
          <w:color w:val="auto"/>
          <w:szCs w:val="21"/>
          <w:highlight w:val="none"/>
          <w:u w:val="single"/>
        </w:rPr>
        <w:t>中信银行大连沙河口支行（仅限代理服务费及标书费）</w:t>
      </w:r>
    </w:p>
    <w:p w14:paraId="73CD3E6D">
      <w:pPr>
        <w:adjustRightInd w:val="0"/>
        <w:snapToGrid w:val="0"/>
        <w:spacing w:line="360" w:lineRule="auto"/>
        <w:ind w:firstLine="630" w:firstLineChars="300"/>
        <w:rPr>
          <w:rFonts w:hint="eastAsia"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账户名称：</w:t>
      </w:r>
      <w:r>
        <w:rPr>
          <w:rFonts w:hint="eastAsia" w:ascii="仿宋_GB2312" w:hAnsi="仿宋_GB2312" w:eastAsia="仿宋_GB2312" w:cs="仿宋_GB2312"/>
          <w:color w:val="auto"/>
          <w:szCs w:val="21"/>
          <w:highlight w:val="none"/>
          <w:u w:val="single"/>
        </w:rPr>
        <w:t>通利晟信管理咨询有限公司</w:t>
      </w:r>
    </w:p>
    <w:p w14:paraId="7F41888F">
      <w:pPr>
        <w:adjustRightInd w:val="0"/>
        <w:snapToGrid w:val="0"/>
        <w:spacing w:line="360" w:lineRule="auto"/>
        <w:ind w:firstLine="630" w:firstLineChars="300"/>
        <w:rPr>
          <w:rFonts w:hint="eastAsia"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账号：</w:t>
      </w:r>
      <w:r>
        <w:rPr>
          <w:rFonts w:hint="eastAsia" w:ascii="仿宋_GB2312" w:hAnsi="仿宋_GB2312" w:eastAsia="仿宋_GB2312" w:cs="仿宋_GB2312"/>
          <w:color w:val="auto"/>
          <w:szCs w:val="21"/>
          <w:highlight w:val="none"/>
          <w:u w:val="single"/>
        </w:rPr>
        <w:t>7212910182600212195</w:t>
      </w:r>
    </w:p>
    <w:p w14:paraId="2152A828">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3.项目联系方式</w:t>
      </w:r>
    </w:p>
    <w:p w14:paraId="11F537A4">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项目联系人：</w:t>
      </w:r>
      <w:r>
        <w:rPr>
          <w:rFonts w:hint="eastAsia" w:ascii="仿宋_GB2312" w:hAnsi="仿宋_GB2312" w:eastAsia="仿宋_GB2312" w:cs="仿宋_GB2312"/>
          <w:color w:val="auto"/>
          <w:szCs w:val="21"/>
          <w:highlight w:val="none"/>
          <w:u w:val="single"/>
        </w:rPr>
        <w:t>盛小飞、</w:t>
      </w:r>
      <w:r>
        <w:rPr>
          <w:rFonts w:hint="eastAsia" w:ascii="仿宋_GB2312" w:hAnsi="仿宋_GB2312" w:eastAsia="仿宋_GB2312" w:cs="仿宋_GB2312"/>
          <w:color w:val="auto"/>
          <w:kern w:val="0"/>
          <w:szCs w:val="21"/>
          <w:highlight w:val="none"/>
          <w:u w:val="single"/>
        </w:rPr>
        <w:t>张筱鑫</w:t>
      </w:r>
    </w:p>
    <w:p w14:paraId="655D4AF8">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电　话：</w:t>
      </w:r>
      <w:r>
        <w:rPr>
          <w:rFonts w:hint="eastAsia" w:ascii="仿宋_GB2312" w:hAnsi="仿宋_GB2312" w:eastAsia="仿宋_GB2312" w:cs="仿宋_GB2312"/>
          <w:color w:val="auto"/>
          <w:szCs w:val="21"/>
          <w:highlight w:val="none"/>
          <w:u w:val="single"/>
        </w:rPr>
        <w:t>0411-84350112、84651726</w:t>
      </w:r>
    </w:p>
    <w:p w14:paraId="0324A817">
      <w:pPr>
        <w:keepNext w:val="0"/>
        <w:keepLines/>
        <w:pageBreakBefore w:val="0"/>
        <w:widowControl/>
        <w:kinsoku/>
        <w:wordWrap/>
        <w:overflowPunct/>
        <w:topLinePunct w:val="0"/>
        <w:autoSpaceDE/>
        <w:autoSpaceDN/>
        <w:bidi w:val="0"/>
        <w:adjustRightInd w:val="0"/>
        <w:snapToGrid w:val="0"/>
        <w:spacing w:line="480" w:lineRule="exact"/>
        <w:ind w:firstLine="480" w:firstLineChars="200"/>
        <w:jc w:val="both"/>
        <w:textAlignment w:val="auto"/>
        <w:rPr>
          <w:rFonts w:hint="eastAsia" w:ascii="仿宋_GB2312" w:hAnsi="仿宋_GB2312" w:eastAsia="仿宋_GB2312" w:cs="仿宋_GB2312"/>
          <w:color w:val="000000"/>
          <w:sz w:val="24"/>
          <w:szCs w:val="24"/>
          <w:highlight w:val="none"/>
          <w:u w:val="single"/>
        </w:rPr>
      </w:pPr>
    </w:p>
    <w:p w14:paraId="1E5E463A">
      <w:pPr>
        <w:keepNext w:val="0"/>
        <w:keepLines/>
        <w:pageBreakBefore w:val="0"/>
        <w:widowControl/>
        <w:kinsoku/>
        <w:wordWrap/>
        <w:overflowPunct/>
        <w:topLinePunct w:val="0"/>
        <w:autoSpaceDE/>
        <w:autoSpaceDN/>
        <w:bidi w:val="0"/>
        <w:adjustRightInd w:val="0"/>
        <w:snapToGrid w:val="0"/>
        <w:spacing w:line="360" w:lineRule="auto"/>
        <w:ind w:left="495" w:firstLine="240" w:firstLineChars="100"/>
        <w:jc w:val="center"/>
        <w:textAlignment w:val="auto"/>
        <w:outlineLvl w:val="0"/>
        <w:rPr>
          <w:rFonts w:hint="eastAsia" w:ascii="黑体" w:hAnsi="黑体" w:eastAsia="黑体" w:cs="黑体"/>
          <w:b w:val="0"/>
          <w:bCs/>
          <w:color w:val="000000"/>
          <w:kern w:val="2"/>
          <w:sz w:val="36"/>
          <w:szCs w:val="36"/>
          <w:highlight w:val="none"/>
          <w:lang w:val="en-US" w:eastAsia="zh-CN" w:bidi="ar-SA"/>
        </w:rPr>
      </w:pPr>
      <w:r>
        <w:rPr>
          <w:rFonts w:hint="eastAsia" w:ascii="仿宋_GB2312" w:hAnsi="仿宋_GB2312" w:eastAsia="仿宋_GB2312" w:cs="仿宋_GB2312"/>
          <w:color w:val="000000"/>
          <w:sz w:val="24"/>
          <w:szCs w:val="24"/>
          <w:highlight w:val="none"/>
        </w:rPr>
        <w:br w:type="page"/>
      </w:r>
      <w:bookmarkStart w:id="31" w:name="_Toc17609"/>
      <w:r>
        <w:rPr>
          <w:rFonts w:hint="eastAsia" w:ascii="黑体" w:hAnsi="黑体" w:eastAsia="黑体" w:cs="黑体"/>
          <w:b w:val="0"/>
          <w:bCs/>
          <w:color w:val="000000"/>
          <w:kern w:val="44"/>
          <w:sz w:val="36"/>
          <w:szCs w:val="36"/>
          <w:highlight w:val="none"/>
          <w:lang w:val="en-US" w:eastAsia="zh-CN" w:bidi="ar-SA"/>
        </w:rPr>
        <w:t>第一章 投标人须知</w:t>
      </w:r>
      <w:bookmarkEnd w:id="2"/>
      <w:bookmarkEnd w:id="31"/>
    </w:p>
    <w:p w14:paraId="7C297ADE">
      <w:pPr>
        <w:pStyle w:val="4"/>
        <w:adjustRightInd w:val="0"/>
        <w:snapToGrid w:val="0"/>
        <w:spacing w:before="0" w:after="0" w:line="360" w:lineRule="auto"/>
        <w:rPr>
          <w:rFonts w:hint="eastAsia" w:ascii="楷体_GB2312" w:hAnsi="楷体_GB2312" w:eastAsia="楷体_GB2312" w:cs="楷体_GB2312"/>
          <w:b/>
          <w:bCs w:val="0"/>
          <w:color w:val="000000"/>
          <w:sz w:val="32"/>
          <w:szCs w:val="36"/>
          <w:highlight w:val="none"/>
        </w:rPr>
      </w:pPr>
      <w:bookmarkStart w:id="32" w:name="_Toc18613_WPSOffice_Level2"/>
      <w:r>
        <w:rPr>
          <w:rFonts w:hint="eastAsia" w:ascii="楷体_GB2312" w:hAnsi="楷体_GB2312" w:eastAsia="楷体_GB2312" w:cs="楷体_GB2312"/>
          <w:b/>
          <w:bCs w:val="0"/>
          <w:color w:val="000000"/>
          <w:sz w:val="32"/>
          <w:szCs w:val="36"/>
          <w:highlight w:val="none"/>
          <w:lang w:val="en-US" w:eastAsia="zh-CN"/>
        </w:rPr>
        <w:t xml:space="preserve">   </w:t>
      </w:r>
      <w:r>
        <w:rPr>
          <w:rFonts w:hint="eastAsia" w:ascii="楷体_GB2312" w:hAnsi="楷体_GB2312" w:eastAsia="楷体_GB2312" w:cs="楷体_GB2312"/>
          <w:b/>
          <w:bCs w:val="0"/>
          <w:color w:val="000000"/>
          <w:sz w:val="32"/>
          <w:szCs w:val="36"/>
          <w:highlight w:val="none"/>
        </w:rPr>
        <w:t>一 投标人须知表</w:t>
      </w:r>
      <w:bookmarkEnd w:id="32"/>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17"/>
        <w:gridCol w:w="5887"/>
      </w:tblGrid>
      <w:tr w14:paraId="0727C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blHeader/>
        </w:trPr>
        <w:tc>
          <w:tcPr>
            <w:tcW w:w="852" w:type="dxa"/>
            <w:noWrap w:val="0"/>
            <w:vAlign w:val="center"/>
          </w:tcPr>
          <w:p w14:paraId="7D7E29B5">
            <w:pPr>
              <w:widowControl/>
              <w:adjustRightInd w:val="0"/>
              <w:snapToGrid w:val="0"/>
              <w:jc w:val="center"/>
              <w:rPr>
                <w:rFonts w:hint="eastAsia" w:ascii="仿宋_GB2312" w:hAnsi="仿宋_GB2312" w:eastAsia="仿宋_GB2312" w:cs="仿宋_GB2312"/>
                <w:color w:val="000000"/>
                <w:kern w:val="0"/>
                <w:sz w:val="21"/>
                <w:szCs w:val="21"/>
                <w:highlight w:val="none"/>
              </w:rPr>
            </w:pPr>
            <w:bookmarkStart w:id="33" w:name="招标项目基本内容及要求：Block"/>
            <w:bookmarkEnd w:id="33"/>
            <w:bookmarkStart w:id="34" w:name="sys_招标项目基本内容及要求其他：Block"/>
            <w:bookmarkEnd w:id="34"/>
            <w:bookmarkStart w:id="35" w:name="招标项目基本内容及要求其他：Block"/>
            <w:bookmarkEnd w:id="35"/>
            <w:bookmarkStart w:id="36" w:name="sys_招标项目基本内容及要求：Block"/>
            <w:bookmarkEnd w:id="36"/>
            <w:r>
              <w:rPr>
                <w:rFonts w:hint="eastAsia" w:ascii="仿宋_GB2312" w:hAnsi="仿宋_GB2312" w:eastAsia="仿宋_GB2312" w:cs="仿宋_GB2312"/>
                <w:color w:val="000000"/>
                <w:kern w:val="0"/>
                <w:sz w:val="21"/>
                <w:szCs w:val="21"/>
                <w:highlight w:val="none"/>
              </w:rPr>
              <w:t>条款号</w:t>
            </w:r>
          </w:p>
        </w:tc>
        <w:tc>
          <w:tcPr>
            <w:tcW w:w="1917" w:type="dxa"/>
            <w:noWrap w:val="0"/>
            <w:vAlign w:val="center"/>
          </w:tcPr>
          <w:p w14:paraId="1D9B52C8">
            <w:pPr>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项   目</w:t>
            </w:r>
          </w:p>
        </w:tc>
        <w:tc>
          <w:tcPr>
            <w:tcW w:w="5887" w:type="dxa"/>
            <w:noWrap w:val="0"/>
            <w:vAlign w:val="center"/>
          </w:tcPr>
          <w:p w14:paraId="3A59AC5E">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内     容</w:t>
            </w:r>
          </w:p>
        </w:tc>
      </w:tr>
      <w:tr w14:paraId="33678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noWrap w:val="0"/>
            <w:vAlign w:val="center"/>
          </w:tcPr>
          <w:p w14:paraId="05769FC5">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1.1</w:t>
            </w:r>
          </w:p>
        </w:tc>
        <w:tc>
          <w:tcPr>
            <w:tcW w:w="1917" w:type="dxa"/>
            <w:noWrap w:val="0"/>
            <w:vAlign w:val="center"/>
          </w:tcPr>
          <w:p w14:paraId="2A53F006">
            <w:pPr>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采购人</w:t>
            </w:r>
          </w:p>
        </w:tc>
        <w:tc>
          <w:tcPr>
            <w:tcW w:w="5887" w:type="dxa"/>
            <w:noWrap w:val="0"/>
            <w:vAlign w:val="center"/>
          </w:tcPr>
          <w:p w14:paraId="7B1FCE40">
            <w:pPr>
              <w:widowControl/>
              <w:jc w:val="left"/>
              <w:rPr>
                <w:rFonts w:hint="eastAsia" w:ascii="仿宋_GB2312" w:hAnsi="仿宋_GB2312" w:eastAsia="仿宋_GB2312" w:cs="仿宋_GB2312"/>
                <w:color w:val="auto"/>
                <w:kern w:val="0"/>
                <w:szCs w:val="21"/>
                <w:highlight w:val="none"/>
                <w:u w:val="single"/>
                <w:lang w:eastAsia="zh-CN"/>
              </w:rPr>
            </w:pPr>
            <w:r>
              <w:rPr>
                <w:rFonts w:hint="eastAsia" w:ascii="仿宋_GB2312" w:hAnsi="仿宋_GB2312" w:eastAsia="仿宋_GB2312" w:cs="仿宋_GB2312"/>
                <w:color w:val="auto"/>
                <w:kern w:val="0"/>
                <w:szCs w:val="21"/>
                <w:highlight w:val="none"/>
              </w:rPr>
              <w:t>名  称：</w:t>
            </w:r>
            <w:r>
              <w:rPr>
                <w:rFonts w:hint="eastAsia" w:ascii="仿宋_GB2312" w:hAnsi="仿宋_GB2312" w:eastAsia="仿宋_GB2312" w:cs="仿宋_GB2312"/>
                <w:color w:val="auto"/>
                <w:kern w:val="0"/>
                <w:szCs w:val="21"/>
                <w:highlight w:val="none"/>
                <w:u w:val="single"/>
                <w:lang w:eastAsia="zh-CN"/>
              </w:rPr>
              <w:t>大连医科大学</w:t>
            </w:r>
          </w:p>
          <w:p w14:paraId="50E37AB5">
            <w:pPr>
              <w:widowControl/>
              <w:jc w:val="left"/>
              <w:rPr>
                <w:rFonts w:hint="eastAsia" w:ascii="仿宋_GB2312" w:hAnsi="仿宋_GB2312" w:eastAsia="仿宋_GB2312" w:cs="仿宋_GB2312"/>
                <w:color w:val="auto"/>
                <w:kern w:val="0"/>
                <w:szCs w:val="21"/>
                <w:highlight w:val="none"/>
                <w:u w:val="single"/>
                <w:lang w:eastAsia="zh-CN"/>
              </w:rPr>
            </w:pPr>
            <w:r>
              <w:rPr>
                <w:rFonts w:hint="eastAsia" w:ascii="仿宋_GB2312" w:hAnsi="仿宋_GB2312" w:eastAsia="仿宋_GB2312" w:cs="仿宋_GB2312"/>
                <w:color w:val="auto"/>
                <w:kern w:val="0"/>
                <w:szCs w:val="21"/>
                <w:highlight w:val="none"/>
              </w:rPr>
              <w:t>地  址：</w:t>
            </w:r>
            <w:r>
              <w:rPr>
                <w:rFonts w:hint="eastAsia" w:ascii="仿宋_GB2312" w:hAnsi="仿宋_GB2312" w:eastAsia="仿宋_GB2312" w:cs="仿宋_GB2312"/>
                <w:color w:val="auto"/>
                <w:szCs w:val="21"/>
                <w:highlight w:val="none"/>
                <w:u w:val="single"/>
                <w:lang w:eastAsia="zh-CN"/>
              </w:rPr>
              <w:t>辽宁省大连市旅顺南路西段9号</w:t>
            </w:r>
          </w:p>
          <w:p w14:paraId="045B17B6">
            <w:pPr>
              <w:widowControl/>
              <w:jc w:val="left"/>
              <w:rPr>
                <w:rFonts w:hint="eastAsia" w:ascii="仿宋_GB2312" w:hAnsi="仿宋_GB2312" w:eastAsia="仿宋_GB2312" w:cs="仿宋_GB2312"/>
                <w:color w:val="auto"/>
                <w:kern w:val="0"/>
                <w:szCs w:val="21"/>
                <w:highlight w:val="none"/>
                <w:u w:val="single"/>
                <w:lang w:eastAsia="zh-CN"/>
              </w:rPr>
            </w:pPr>
            <w:r>
              <w:rPr>
                <w:rFonts w:hint="eastAsia" w:ascii="仿宋_GB2312" w:hAnsi="仿宋_GB2312" w:eastAsia="仿宋_GB2312" w:cs="仿宋_GB2312"/>
                <w:color w:val="auto"/>
                <w:kern w:val="0"/>
                <w:szCs w:val="21"/>
                <w:highlight w:val="none"/>
              </w:rPr>
              <w:t>联系人：</w:t>
            </w:r>
            <w:r>
              <w:rPr>
                <w:rFonts w:hint="eastAsia" w:ascii="仿宋_GB2312" w:hAnsi="仿宋_GB2312" w:eastAsia="仿宋_GB2312" w:cs="仿宋_GB2312"/>
                <w:color w:val="auto"/>
                <w:kern w:val="0"/>
                <w:szCs w:val="21"/>
                <w:highlight w:val="none"/>
                <w:u w:val="single"/>
                <w:lang w:eastAsia="zh-CN"/>
              </w:rPr>
              <w:t>刘老师</w:t>
            </w:r>
          </w:p>
          <w:p w14:paraId="72BC412D">
            <w:pPr>
              <w:widowControl/>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auto"/>
                <w:kern w:val="0"/>
                <w:szCs w:val="21"/>
                <w:highlight w:val="none"/>
              </w:rPr>
              <w:t>电  话：</w:t>
            </w:r>
            <w:r>
              <w:rPr>
                <w:rFonts w:hint="eastAsia" w:ascii="仿宋_GB2312" w:hAnsi="仿宋_GB2312" w:eastAsia="仿宋_GB2312" w:cs="仿宋_GB2312"/>
                <w:color w:val="auto"/>
                <w:szCs w:val="21"/>
                <w:highlight w:val="none"/>
                <w:u w:val="single"/>
                <w:lang w:eastAsia="zh-CN"/>
              </w:rPr>
              <w:t>0411-86110096</w:t>
            </w:r>
          </w:p>
        </w:tc>
      </w:tr>
      <w:tr w14:paraId="4DE2C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noWrap w:val="0"/>
            <w:vAlign w:val="center"/>
          </w:tcPr>
          <w:p w14:paraId="7940AAA2">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1.2</w:t>
            </w:r>
          </w:p>
        </w:tc>
        <w:tc>
          <w:tcPr>
            <w:tcW w:w="1917" w:type="dxa"/>
            <w:noWrap w:val="0"/>
            <w:vAlign w:val="center"/>
          </w:tcPr>
          <w:p w14:paraId="0F14CB26">
            <w:pPr>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采购代理机构</w:t>
            </w:r>
          </w:p>
        </w:tc>
        <w:tc>
          <w:tcPr>
            <w:tcW w:w="5887" w:type="dxa"/>
            <w:noWrap w:val="0"/>
            <w:vAlign w:val="center"/>
          </w:tcPr>
          <w:p w14:paraId="7A82F0B0">
            <w:pPr>
              <w:widowControl/>
              <w:jc w:val="left"/>
              <w:rPr>
                <w:rFonts w:hint="eastAsia"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名  称：</w:t>
            </w:r>
            <w:r>
              <w:rPr>
                <w:rFonts w:hint="eastAsia" w:ascii="仿宋_GB2312" w:hAnsi="仿宋_GB2312" w:eastAsia="仿宋_GB2312" w:cs="仿宋_GB2312"/>
                <w:bCs/>
                <w:color w:val="auto"/>
                <w:szCs w:val="21"/>
                <w:highlight w:val="none"/>
                <w:u w:val="single"/>
              </w:rPr>
              <w:t>通利晟信管理咨询有限公司</w:t>
            </w:r>
          </w:p>
          <w:p w14:paraId="73651823">
            <w:pPr>
              <w:widowControl/>
              <w:jc w:val="left"/>
              <w:rPr>
                <w:rFonts w:hint="eastAsia"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地  址：</w:t>
            </w:r>
            <w:r>
              <w:rPr>
                <w:rFonts w:hint="eastAsia" w:ascii="仿宋_GB2312" w:hAnsi="仿宋_GB2312" w:eastAsia="仿宋_GB2312" w:cs="仿宋_GB2312"/>
                <w:color w:val="auto"/>
                <w:szCs w:val="21"/>
                <w:highlight w:val="none"/>
                <w:u w:val="single"/>
              </w:rPr>
              <w:t>大连市沙河口区万岁街135号</w:t>
            </w:r>
          </w:p>
          <w:p w14:paraId="3ED712D5">
            <w:pPr>
              <w:widowControl/>
              <w:jc w:val="left"/>
              <w:rPr>
                <w:rFonts w:hint="eastAsia"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联系人：</w:t>
            </w:r>
            <w:r>
              <w:rPr>
                <w:rFonts w:hint="eastAsia" w:ascii="仿宋_GB2312" w:hAnsi="仿宋_GB2312" w:eastAsia="仿宋_GB2312" w:cs="仿宋_GB2312"/>
                <w:color w:val="auto"/>
                <w:szCs w:val="21"/>
                <w:highlight w:val="none"/>
                <w:u w:val="single"/>
              </w:rPr>
              <w:t>盛小飞、</w:t>
            </w:r>
            <w:r>
              <w:rPr>
                <w:rFonts w:hint="eastAsia" w:ascii="仿宋_GB2312" w:hAnsi="仿宋_GB2312" w:eastAsia="仿宋_GB2312" w:cs="仿宋_GB2312"/>
                <w:color w:val="auto"/>
                <w:kern w:val="0"/>
                <w:szCs w:val="21"/>
                <w:highlight w:val="none"/>
                <w:u w:val="single"/>
              </w:rPr>
              <w:t>张筱鑫</w:t>
            </w:r>
          </w:p>
          <w:p w14:paraId="35031600">
            <w:pPr>
              <w:widowControl/>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auto"/>
                <w:kern w:val="0"/>
                <w:szCs w:val="21"/>
                <w:highlight w:val="none"/>
              </w:rPr>
              <w:t>电  话：</w:t>
            </w:r>
            <w:r>
              <w:rPr>
                <w:rFonts w:hint="eastAsia" w:ascii="仿宋_GB2312" w:hAnsi="仿宋_GB2312" w:eastAsia="仿宋_GB2312" w:cs="仿宋_GB2312"/>
                <w:color w:val="auto"/>
                <w:szCs w:val="21"/>
                <w:highlight w:val="none"/>
                <w:u w:val="single"/>
              </w:rPr>
              <w:t>0411-84350112、84651726</w:t>
            </w:r>
          </w:p>
        </w:tc>
      </w:tr>
      <w:tr w14:paraId="22E19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5A442565">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1.3.4</w:t>
            </w:r>
          </w:p>
        </w:tc>
        <w:tc>
          <w:tcPr>
            <w:tcW w:w="1917" w:type="dxa"/>
            <w:noWrap w:val="0"/>
            <w:vAlign w:val="center"/>
          </w:tcPr>
          <w:p w14:paraId="3B39011E">
            <w:pPr>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合格供应商还要满足的</w:t>
            </w:r>
            <w:r>
              <w:rPr>
                <w:rFonts w:hint="eastAsia" w:ascii="仿宋_GB2312" w:hAnsi="仿宋_GB2312" w:eastAsia="仿宋_GB2312" w:cs="仿宋_GB2312"/>
                <w:color w:val="000000"/>
                <w:kern w:val="0"/>
                <w:sz w:val="21"/>
                <w:szCs w:val="21"/>
                <w:highlight w:val="none"/>
                <w:lang w:eastAsia="zh-CN"/>
              </w:rPr>
              <w:t>其他</w:t>
            </w:r>
            <w:r>
              <w:rPr>
                <w:rFonts w:hint="eastAsia" w:ascii="仿宋_GB2312" w:hAnsi="仿宋_GB2312" w:eastAsia="仿宋_GB2312" w:cs="仿宋_GB2312"/>
                <w:color w:val="000000"/>
                <w:kern w:val="0"/>
                <w:sz w:val="21"/>
                <w:szCs w:val="21"/>
                <w:highlight w:val="none"/>
              </w:rPr>
              <w:t>资格条件</w:t>
            </w:r>
          </w:p>
        </w:tc>
        <w:tc>
          <w:tcPr>
            <w:tcW w:w="5887" w:type="dxa"/>
            <w:noWrap w:val="0"/>
            <w:vAlign w:val="center"/>
          </w:tcPr>
          <w:p w14:paraId="27D9F929">
            <w:pPr>
              <w:widowControl/>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auto"/>
                <w:kern w:val="0"/>
                <w:sz w:val="21"/>
                <w:szCs w:val="21"/>
                <w:highlight w:val="none"/>
              </w:rPr>
              <w:t>注：在资格审查环节，经查询供应商在中国政府采购网（www.ccgp.gov.cn）被列入政府采购严重违法失信行为记录名单，或在“信用中国”网站（www.creditchina.gov.cn）被列入失信被执行人、重大税收违法失信主体名单，以及存在《中华人民共和国政府采购法实施条例》第十九条规定的行政处罚记录的不得参加本采购项目。</w:t>
            </w:r>
          </w:p>
        </w:tc>
      </w:tr>
      <w:tr w14:paraId="4C91A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08A74670">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1.3.5</w:t>
            </w:r>
          </w:p>
        </w:tc>
        <w:tc>
          <w:tcPr>
            <w:tcW w:w="1917" w:type="dxa"/>
            <w:noWrap w:val="0"/>
            <w:vAlign w:val="center"/>
          </w:tcPr>
          <w:p w14:paraId="50602047">
            <w:pPr>
              <w:tabs>
                <w:tab w:val="left" w:pos="1425"/>
              </w:tabs>
              <w:adjustRightInd w:val="0"/>
              <w:snapToGrid w:val="0"/>
              <w:jc w:val="center"/>
              <w:rPr>
                <w:rFonts w:hint="eastAsia" w:ascii="仿宋_GB2312" w:hAnsi="仿宋_GB2312" w:eastAsia="仿宋_GB2312" w:cs="仿宋_GB2312"/>
                <w:bCs/>
                <w:color w:val="000000"/>
                <w:kern w:val="0"/>
                <w:sz w:val="21"/>
                <w:szCs w:val="21"/>
                <w:highlight w:val="none"/>
              </w:rPr>
            </w:pPr>
            <w:r>
              <w:rPr>
                <w:rFonts w:hint="eastAsia" w:ascii="仿宋_GB2312" w:hAnsi="仿宋_GB2312" w:eastAsia="仿宋_GB2312" w:cs="仿宋_GB2312"/>
                <w:bCs/>
                <w:color w:val="000000"/>
                <w:kern w:val="0"/>
                <w:sz w:val="21"/>
                <w:szCs w:val="21"/>
                <w:highlight w:val="none"/>
              </w:rPr>
              <w:t>是否允许采购进口产品</w:t>
            </w:r>
          </w:p>
        </w:tc>
        <w:tc>
          <w:tcPr>
            <w:tcW w:w="5887" w:type="dxa"/>
            <w:noWrap w:val="0"/>
            <w:vAlign w:val="center"/>
          </w:tcPr>
          <w:p w14:paraId="7BFE63A7">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sym w:font="Wingdings 2" w:char="00A3"/>
            </w:r>
            <w:r>
              <w:rPr>
                <w:rFonts w:hint="eastAsia" w:ascii="仿宋_GB2312" w:hAnsi="仿宋_GB2312" w:eastAsia="仿宋_GB2312" w:cs="仿宋_GB2312"/>
                <w:color w:val="000000"/>
                <w:kern w:val="0"/>
                <w:sz w:val="21"/>
                <w:szCs w:val="21"/>
                <w:highlight w:val="none"/>
              </w:rPr>
              <w:t>是</w:t>
            </w:r>
          </w:p>
          <w:p w14:paraId="6A855682">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sym w:font="Wingdings 2" w:char="0052"/>
            </w:r>
            <w:r>
              <w:rPr>
                <w:rFonts w:hint="eastAsia" w:ascii="仿宋_GB2312" w:hAnsi="仿宋_GB2312" w:eastAsia="仿宋_GB2312" w:cs="仿宋_GB2312"/>
                <w:color w:val="000000"/>
                <w:kern w:val="0"/>
                <w:sz w:val="21"/>
                <w:szCs w:val="21"/>
                <w:highlight w:val="none"/>
              </w:rPr>
              <w:t>否</w:t>
            </w:r>
          </w:p>
        </w:tc>
      </w:tr>
      <w:tr w14:paraId="6BE01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4119C101">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1.3.6</w:t>
            </w:r>
          </w:p>
        </w:tc>
        <w:tc>
          <w:tcPr>
            <w:tcW w:w="1917" w:type="dxa"/>
            <w:noWrap w:val="0"/>
            <w:vAlign w:val="center"/>
          </w:tcPr>
          <w:p w14:paraId="30839646">
            <w:pPr>
              <w:tabs>
                <w:tab w:val="left" w:pos="1425"/>
              </w:tabs>
              <w:adjustRightInd w:val="0"/>
              <w:snapToGrid w:val="0"/>
              <w:jc w:val="center"/>
              <w:rPr>
                <w:rFonts w:hint="eastAsia" w:ascii="仿宋_GB2312" w:hAnsi="仿宋_GB2312" w:eastAsia="仿宋_GB2312" w:cs="仿宋_GB2312"/>
                <w:bCs/>
                <w:color w:val="000000"/>
                <w:kern w:val="0"/>
                <w:sz w:val="21"/>
                <w:szCs w:val="21"/>
                <w:highlight w:val="none"/>
              </w:rPr>
            </w:pPr>
            <w:r>
              <w:rPr>
                <w:rFonts w:hint="eastAsia" w:ascii="仿宋_GB2312" w:hAnsi="仿宋_GB2312" w:eastAsia="仿宋_GB2312" w:cs="仿宋_GB2312"/>
                <w:color w:val="000000"/>
                <w:kern w:val="0"/>
                <w:sz w:val="21"/>
                <w:szCs w:val="21"/>
                <w:highlight w:val="none"/>
              </w:rPr>
              <w:t>是否为专门面向</w:t>
            </w:r>
            <w:r>
              <w:rPr>
                <w:rFonts w:hint="eastAsia" w:ascii="仿宋_GB2312" w:hAnsi="仿宋_GB2312" w:eastAsia="仿宋_GB2312" w:cs="仿宋_GB2312"/>
                <w:color w:val="000000"/>
                <w:sz w:val="21"/>
                <w:szCs w:val="21"/>
                <w:highlight w:val="none"/>
              </w:rPr>
              <w:t>中小企业</w:t>
            </w:r>
            <w:r>
              <w:rPr>
                <w:rFonts w:hint="eastAsia" w:ascii="仿宋_GB2312" w:hAnsi="仿宋_GB2312" w:eastAsia="仿宋_GB2312" w:cs="仿宋_GB2312"/>
                <w:color w:val="000000"/>
                <w:kern w:val="0"/>
                <w:sz w:val="21"/>
                <w:szCs w:val="21"/>
                <w:highlight w:val="none"/>
              </w:rPr>
              <w:t>采购</w:t>
            </w:r>
          </w:p>
        </w:tc>
        <w:tc>
          <w:tcPr>
            <w:tcW w:w="5887" w:type="dxa"/>
            <w:noWrap w:val="0"/>
            <w:vAlign w:val="center"/>
          </w:tcPr>
          <w:p w14:paraId="3EE40789">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sym w:font="Wingdings 2" w:char="0052"/>
            </w:r>
            <w:r>
              <w:rPr>
                <w:rFonts w:hint="eastAsia" w:ascii="仿宋_GB2312" w:hAnsi="仿宋_GB2312" w:eastAsia="仿宋_GB2312" w:cs="仿宋_GB2312"/>
                <w:color w:val="000000"/>
                <w:kern w:val="0"/>
                <w:sz w:val="21"/>
                <w:szCs w:val="21"/>
                <w:highlight w:val="none"/>
              </w:rPr>
              <w:t>是</w:t>
            </w:r>
          </w:p>
          <w:p w14:paraId="17580101">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sym w:font="Wingdings 2" w:char="00A3"/>
            </w:r>
            <w:r>
              <w:rPr>
                <w:rFonts w:hint="eastAsia" w:ascii="仿宋_GB2312" w:hAnsi="仿宋_GB2312" w:eastAsia="仿宋_GB2312" w:cs="仿宋_GB2312"/>
                <w:color w:val="000000"/>
                <w:kern w:val="0"/>
                <w:sz w:val="21"/>
                <w:szCs w:val="21"/>
                <w:highlight w:val="none"/>
              </w:rPr>
              <w:t>否</w:t>
            </w:r>
          </w:p>
          <w:p w14:paraId="58D2D8EB">
            <w:pPr>
              <w:pStyle w:val="34"/>
              <w:snapToGrid w:val="0"/>
              <w:spacing w:line="240" w:lineRule="auto"/>
              <w:ind w:firstLine="0" w:firstLineChars="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采购标的对应的中小企业划分标准所属行业为：</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u w:val="single"/>
                <w:lang w:eastAsia="zh-CN"/>
              </w:rPr>
              <w:t>工业</w:t>
            </w:r>
            <w:r>
              <w:rPr>
                <w:rFonts w:hint="eastAsia" w:ascii="仿宋_GB2312" w:hAnsi="仿宋_GB2312" w:eastAsia="仿宋_GB2312" w:cs="仿宋_GB2312"/>
                <w:color w:val="000000"/>
                <w:sz w:val="21"/>
                <w:szCs w:val="21"/>
                <w:highlight w:val="none"/>
                <w:u w:val="single"/>
              </w:rPr>
              <w:t xml:space="preserve">   </w:t>
            </w:r>
            <w:r>
              <w:rPr>
                <w:rFonts w:hint="eastAsia" w:ascii="仿宋_GB2312" w:hAnsi="仿宋_GB2312" w:eastAsia="仿宋_GB2312" w:cs="仿宋_GB2312"/>
                <w:color w:val="000000"/>
                <w:sz w:val="21"/>
                <w:szCs w:val="21"/>
                <w:highlight w:val="none"/>
              </w:rPr>
              <w:t>。</w:t>
            </w:r>
          </w:p>
        </w:tc>
      </w:tr>
      <w:tr w14:paraId="5CDBF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52" w:type="dxa"/>
            <w:noWrap w:val="0"/>
            <w:vAlign w:val="center"/>
          </w:tcPr>
          <w:p w14:paraId="631F75D8">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1.3.7</w:t>
            </w:r>
          </w:p>
        </w:tc>
        <w:tc>
          <w:tcPr>
            <w:tcW w:w="1917" w:type="dxa"/>
            <w:noWrap w:val="0"/>
            <w:vAlign w:val="center"/>
          </w:tcPr>
          <w:p w14:paraId="6FCB34F7">
            <w:pPr>
              <w:tabs>
                <w:tab w:val="left" w:pos="1425"/>
              </w:tabs>
              <w:adjustRightInd w:val="0"/>
              <w:snapToGrid w:val="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是否有政府强制采购的节能产品</w:t>
            </w:r>
          </w:p>
        </w:tc>
        <w:tc>
          <w:tcPr>
            <w:tcW w:w="5887" w:type="dxa"/>
            <w:noWrap w:val="0"/>
            <w:vAlign w:val="center"/>
          </w:tcPr>
          <w:p w14:paraId="3B3F53C9">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b/>
                <w:bCs/>
                <w:color w:val="000000"/>
                <w:kern w:val="0"/>
                <w:sz w:val="21"/>
                <w:szCs w:val="21"/>
                <w:highlight w:val="none"/>
              </w:rPr>
              <w:sym w:font="Wingdings 2" w:char="0052"/>
            </w:r>
            <w:r>
              <w:rPr>
                <w:rFonts w:hint="eastAsia" w:ascii="仿宋_GB2312" w:hAnsi="仿宋_GB2312" w:eastAsia="仿宋_GB2312" w:cs="仿宋_GB2312"/>
                <w:b/>
                <w:bCs/>
                <w:color w:val="000000"/>
                <w:kern w:val="0"/>
                <w:sz w:val="21"/>
                <w:szCs w:val="21"/>
                <w:highlight w:val="none"/>
              </w:rPr>
              <w:t>有，具体产品为</w:t>
            </w:r>
            <w:r>
              <w:rPr>
                <w:rFonts w:hint="eastAsia" w:ascii="仿宋_GB2312" w:hAnsi="仿宋_GB2312" w:eastAsia="仿宋_GB2312" w:cs="仿宋_GB2312"/>
                <w:b/>
                <w:bCs/>
                <w:color w:val="000000"/>
                <w:kern w:val="0"/>
                <w:sz w:val="21"/>
                <w:szCs w:val="21"/>
                <w:highlight w:val="none"/>
                <w:u w:val="single"/>
              </w:rPr>
              <w:t xml:space="preserve">   </w:t>
            </w:r>
            <w:r>
              <w:rPr>
                <w:rFonts w:hint="eastAsia" w:ascii="仿宋_GB2312" w:hAnsi="仿宋_GB2312" w:eastAsia="仿宋_GB2312" w:cs="仿宋_GB2312"/>
                <w:b/>
                <w:bCs/>
                <w:color w:val="000000"/>
                <w:kern w:val="0"/>
                <w:sz w:val="21"/>
                <w:szCs w:val="21"/>
                <w:highlight w:val="none"/>
                <w:u w:val="single"/>
                <w:lang w:eastAsia="zh-CN"/>
              </w:rPr>
              <w:t>台式计算机</w:t>
            </w:r>
            <w:r>
              <w:rPr>
                <w:rFonts w:hint="eastAsia" w:ascii="仿宋_GB2312" w:hAnsi="仿宋_GB2312" w:eastAsia="仿宋_GB2312" w:cs="仿宋_GB2312"/>
                <w:b/>
                <w:bCs/>
                <w:color w:val="000000"/>
                <w:kern w:val="0"/>
                <w:sz w:val="21"/>
                <w:szCs w:val="21"/>
                <w:highlight w:val="none"/>
                <w:u w:val="single"/>
              </w:rPr>
              <w:t xml:space="preserve"> </w:t>
            </w:r>
            <w:r>
              <w:rPr>
                <w:rFonts w:hint="eastAsia" w:ascii="仿宋_GB2312" w:hAnsi="仿宋_GB2312" w:eastAsia="仿宋_GB2312" w:cs="仿宋_GB2312"/>
                <w:bCs/>
                <w:color w:val="000000"/>
                <w:kern w:val="0"/>
                <w:sz w:val="21"/>
                <w:szCs w:val="21"/>
                <w:highlight w:val="none"/>
                <w:u w:val="single"/>
              </w:rPr>
              <w:t xml:space="preserve">    </w:t>
            </w:r>
          </w:p>
          <w:p w14:paraId="6761DE52">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sym w:font="Wingdings 2" w:char="00A3"/>
            </w:r>
            <w:r>
              <w:rPr>
                <w:rFonts w:hint="eastAsia" w:ascii="仿宋_GB2312" w:hAnsi="仿宋_GB2312" w:eastAsia="仿宋_GB2312" w:cs="仿宋_GB2312"/>
                <w:color w:val="000000"/>
                <w:kern w:val="0"/>
                <w:sz w:val="21"/>
                <w:szCs w:val="21"/>
                <w:highlight w:val="none"/>
              </w:rPr>
              <w:t>没有</w:t>
            </w:r>
          </w:p>
        </w:tc>
      </w:tr>
      <w:tr w14:paraId="02E99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noWrap w:val="0"/>
            <w:vAlign w:val="center"/>
          </w:tcPr>
          <w:p w14:paraId="1BDE051F">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1.4</w:t>
            </w:r>
          </w:p>
        </w:tc>
        <w:tc>
          <w:tcPr>
            <w:tcW w:w="1917" w:type="dxa"/>
            <w:noWrap w:val="0"/>
            <w:vAlign w:val="center"/>
          </w:tcPr>
          <w:p w14:paraId="3F378F03">
            <w:pPr>
              <w:tabs>
                <w:tab w:val="left" w:pos="1425"/>
              </w:tabs>
              <w:adjustRightInd w:val="0"/>
              <w:snapToGrid w:val="0"/>
              <w:jc w:val="center"/>
              <w:rPr>
                <w:rFonts w:hint="eastAsia" w:ascii="仿宋_GB2312" w:hAnsi="仿宋_GB2312" w:eastAsia="仿宋_GB2312" w:cs="仿宋_GB2312"/>
                <w:b/>
                <w:color w:val="000000"/>
                <w:kern w:val="0"/>
                <w:sz w:val="21"/>
                <w:szCs w:val="21"/>
                <w:highlight w:val="none"/>
              </w:rPr>
            </w:pPr>
            <w:r>
              <w:rPr>
                <w:rFonts w:hint="eastAsia" w:ascii="仿宋_GB2312" w:hAnsi="仿宋_GB2312" w:eastAsia="仿宋_GB2312" w:cs="仿宋_GB2312"/>
                <w:bCs/>
                <w:color w:val="000000"/>
                <w:kern w:val="0"/>
                <w:sz w:val="21"/>
                <w:szCs w:val="21"/>
                <w:highlight w:val="none"/>
              </w:rPr>
              <w:t>是否允许联合体投标</w:t>
            </w:r>
          </w:p>
        </w:tc>
        <w:tc>
          <w:tcPr>
            <w:tcW w:w="5887" w:type="dxa"/>
            <w:noWrap w:val="0"/>
            <w:vAlign w:val="center"/>
          </w:tcPr>
          <w:p w14:paraId="2E6DC8DF">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sym w:font="Wingdings 2" w:char="00A3"/>
            </w:r>
            <w:r>
              <w:rPr>
                <w:rFonts w:hint="eastAsia" w:ascii="仿宋_GB2312" w:hAnsi="仿宋_GB2312" w:eastAsia="仿宋_GB2312" w:cs="仿宋_GB2312"/>
                <w:color w:val="000000"/>
                <w:kern w:val="0"/>
                <w:sz w:val="21"/>
                <w:szCs w:val="21"/>
                <w:highlight w:val="none"/>
              </w:rPr>
              <w:t>是</w:t>
            </w:r>
          </w:p>
          <w:p w14:paraId="2BD270F7">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sym w:font="Wingdings 2" w:char="0052"/>
            </w:r>
            <w:r>
              <w:rPr>
                <w:rFonts w:hint="eastAsia" w:ascii="仿宋_GB2312" w:hAnsi="仿宋_GB2312" w:eastAsia="仿宋_GB2312" w:cs="仿宋_GB2312"/>
                <w:color w:val="000000"/>
                <w:kern w:val="0"/>
                <w:sz w:val="21"/>
                <w:szCs w:val="21"/>
                <w:highlight w:val="none"/>
              </w:rPr>
              <w:t>否</w:t>
            </w:r>
          </w:p>
        </w:tc>
      </w:tr>
      <w:tr w14:paraId="7C2FE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233E5D89">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1.4.7</w:t>
            </w:r>
          </w:p>
        </w:tc>
        <w:tc>
          <w:tcPr>
            <w:tcW w:w="1917" w:type="dxa"/>
            <w:noWrap w:val="0"/>
            <w:vAlign w:val="center"/>
          </w:tcPr>
          <w:p w14:paraId="0D71C4E8">
            <w:pPr>
              <w:tabs>
                <w:tab w:val="left" w:pos="1425"/>
              </w:tabs>
              <w:adjustRightInd w:val="0"/>
              <w:snapToGrid w:val="0"/>
              <w:jc w:val="center"/>
              <w:rPr>
                <w:rFonts w:hint="eastAsia" w:ascii="仿宋_GB2312" w:hAnsi="仿宋_GB2312" w:eastAsia="仿宋_GB2312" w:cs="仿宋_GB2312"/>
                <w:bCs/>
                <w:color w:val="000000"/>
                <w:kern w:val="0"/>
                <w:sz w:val="21"/>
                <w:szCs w:val="21"/>
                <w:highlight w:val="none"/>
              </w:rPr>
            </w:pPr>
            <w:r>
              <w:rPr>
                <w:rFonts w:hint="eastAsia" w:ascii="仿宋_GB2312" w:hAnsi="仿宋_GB2312" w:eastAsia="仿宋_GB2312" w:cs="仿宋_GB2312"/>
                <w:bCs/>
                <w:color w:val="000000"/>
                <w:kern w:val="0"/>
                <w:sz w:val="21"/>
                <w:szCs w:val="21"/>
                <w:highlight w:val="none"/>
              </w:rPr>
              <w:t>联合体投标的其他资格要求</w:t>
            </w:r>
          </w:p>
        </w:tc>
        <w:tc>
          <w:tcPr>
            <w:tcW w:w="5887" w:type="dxa"/>
            <w:noWrap w:val="0"/>
            <w:vAlign w:val="center"/>
          </w:tcPr>
          <w:p w14:paraId="0B80A05D">
            <w:pPr>
              <w:adjustRightInd w:val="0"/>
              <w:snapToGrid w:val="0"/>
              <w:rPr>
                <w:rFonts w:hint="eastAsia" w:ascii="仿宋_GB2312" w:hAnsi="仿宋_GB2312" w:eastAsia="仿宋_GB2312" w:cs="仿宋_GB2312"/>
                <w:bCs/>
                <w:color w:val="000000"/>
                <w:kern w:val="0"/>
                <w:sz w:val="21"/>
                <w:szCs w:val="21"/>
                <w:highlight w:val="none"/>
                <w:lang w:eastAsia="zh-CN"/>
              </w:rPr>
            </w:pPr>
            <w:r>
              <w:rPr>
                <w:rFonts w:hint="eastAsia" w:ascii="仿宋_GB2312" w:hAnsi="仿宋_GB2312" w:eastAsia="仿宋_GB2312" w:cs="仿宋_GB2312"/>
                <w:bCs/>
                <w:color w:val="000000"/>
                <w:kern w:val="0"/>
                <w:sz w:val="21"/>
                <w:szCs w:val="21"/>
                <w:highlight w:val="none"/>
                <w:lang w:eastAsia="zh-CN"/>
              </w:rPr>
              <w:t>无</w:t>
            </w:r>
          </w:p>
        </w:tc>
      </w:tr>
      <w:tr w14:paraId="2E9E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noWrap w:val="0"/>
            <w:vAlign w:val="center"/>
          </w:tcPr>
          <w:p w14:paraId="5B622CE3">
            <w:pPr>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2.2</w:t>
            </w:r>
          </w:p>
        </w:tc>
        <w:tc>
          <w:tcPr>
            <w:tcW w:w="1917" w:type="dxa"/>
            <w:noWrap w:val="0"/>
            <w:vAlign w:val="center"/>
          </w:tcPr>
          <w:p w14:paraId="026A083B">
            <w:pPr>
              <w:shd w:val="clear" w:color="auto" w:fill="FFFFFF"/>
              <w:adjustRightInd w:val="0"/>
              <w:snapToGrid w:val="0"/>
              <w:jc w:val="center"/>
              <w:rPr>
                <w:rFonts w:hint="eastAsia" w:ascii="仿宋_GB2312" w:hAnsi="仿宋_GB2312" w:eastAsia="仿宋_GB2312" w:cs="仿宋_GB2312"/>
                <w:bCs/>
                <w:color w:val="000000"/>
                <w:kern w:val="0"/>
                <w:sz w:val="21"/>
                <w:szCs w:val="21"/>
                <w:highlight w:val="none"/>
              </w:rPr>
            </w:pPr>
            <w:r>
              <w:rPr>
                <w:rFonts w:hint="eastAsia" w:ascii="仿宋_GB2312" w:hAnsi="仿宋_GB2312" w:eastAsia="仿宋_GB2312" w:cs="仿宋_GB2312"/>
                <w:color w:val="000000"/>
                <w:kern w:val="0"/>
                <w:sz w:val="21"/>
                <w:szCs w:val="21"/>
                <w:highlight w:val="none"/>
              </w:rPr>
              <w:t>项目预算金额、最高限价</w:t>
            </w:r>
          </w:p>
        </w:tc>
        <w:tc>
          <w:tcPr>
            <w:tcW w:w="5887" w:type="dxa"/>
            <w:noWrap w:val="0"/>
            <w:vAlign w:val="center"/>
          </w:tcPr>
          <w:p w14:paraId="17C769B1">
            <w:pPr>
              <w:adjustRightInd w:val="0"/>
              <w:snapToGrid w:val="0"/>
              <w:spacing w:line="360" w:lineRule="auto"/>
              <w:rPr>
                <w:rFonts w:hint="eastAsia" w:ascii="仿宋_GB2312" w:hAnsi="仿宋_GB2312" w:eastAsia="仿宋_GB2312" w:cs="仿宋_GB2312"/>
                <w:bCs/>
                <w:color w:val="auto"/>
                <w:kern w:val="0"/>
                <w:szCs w:val="21"/>
                <w:highlight w:val="none"/>
                <w:lang w:eastAsia="zh-CN"/>
              </w:rPr>
            </w:pPr>
            <w:r>
              <w:rPr>
                <w:rFonts w:hint="eastAsia" w:ascii="仿宋_GB2312" w:hAnsi="仿宋_GB2312" w:eastAsia="仿宋_GB2312" w:cs="仿宋_GB2312"/>
                <w:bCs/>
                <w:color w:val="auto"/>
                <w:kern w:val="0"/>
                <w:szCs w:val="21"/>
                <w:highlight w:val="none"/>
              </w:rPr>
              <w:t>预算金额：</w:t>
            </w:r>
            <w:r>
              <w:rPr>
                <w:rFonts w:hint="eastAsia" w:ascii="仿宋_GB2312" w:hAnsi="仿宋_GB2312" w:eastAsia="仿宋_GB2312" w:cs="仿宋_GB2312"/>
                <w:color w:val="auto"/>
                <w:szCs w:val="21"/>
                <w:highlight w:val="none"/>
                <w:lang w:eastAsia="zh-CN"/>
              </w:rPr>
              <w:t>880000元</w:t>
            </w:r>
          </w:p>
          <w:p w14:paraId="038B9C83">
            <w:pPr>
              <w:adjustRightInd w:val="0"/>
              <w:snapToGrid w:val="0"/>
              <w:spacing w:line="360" w:lineRule="auto"/>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bCs/>
                <w:color w:val="auto"/>
                <w:kern w:val="0"/>
                <w:szCs w:val="21"/>
                <w:highlight w:val="none"/>
              </w:rPr>
              <w:t>最高限价：</w:t>
            </w:r>
            <w:r>
              <w:rPr>
                <w:rFonts w:hint="eastAsia" w:ascii="仿宋_GB2312" w:hAnsi="仿宋_GB2312" w:eastAsia="仿宋_GB2312" w:cs="仿宋_GB2312"/>
                <w:color w:val="auto"/>
                <w:szCs w:val="21"/>
                <w:highlight w:val="none"/>
                <w:lang w:eastAsia="zh-CN"/>
              </w:rPr>
              <w:t>880000元</w:t>
            </w:r>
          </w:p>
          <w:p w14:paraId="618A5EFF">
            <w:pPr>
              <w:adjustRightInd w:val="0"/>
              <w:snapToGrid w:val="0"/>
              <w:rPr>
                <w:rFonts w:hint="eastAsia" w:ascii="仿宋_GB2312" w:hAnsi="仿宋_GB2312" w:eastAsia="仿宋_GB2312" w:cs="仿宋_GB2312"/>
                <w:bCs/>
                <w:color w:val="000000"/>
                <w:kern w:val="0"/>
                <w:sz w:val="21"/>
                <w:szCs w:val="21"/>
                <w:highlight w:val="none"/>
              </w:rPr>
            </w:pPr>
            <w:r>
              <w:rPr>
                <w:rFonts w:hint="eastAsia" w:ascii="仿宋_GB2312" w:hAnsi="仿宋_GB2312" w:eastAsia="仿宋_GB2312" w:cs="仿宋_GB2312"/>
                <w:b/>
                <w:bCs/>
                <w:color w:val="auto"/>
                <w:szCs w:val="21"/>
                <w:highlight w:val="none"/>
                <w:lang w:eastAsia="zh-CN"/>
              </w:rPr>
              <w:t>注：超过采购预算金额、最高限价及采购单价按照废标处理；</w:t>
            </w:r>
          </w:p>
        </w:tc>
      </w:tr>
      <w:tr w14:paraId="391D9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59EE31D4">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4</w:t>
            </w:r>
          </w:p>
        </w:tc>
        <w:tc>
          <w:tcPr>
            <w:tcW w:w="1917" w:type="dxa"/>
            <w:noWrap w:val="0"/>
            <w:vAlign w:val="center"/>
          </w:tcPr>
          <w:p w14:paraId="3D911571">
            <w:pPr>
              <w:tabs>
                <w:tab w:val="left" w:pos="1425"/>
              </w:tabs>
              <w:adjustRightInd w:val="0"/>
              <w:snapToGrid w:val="0"/>
              <w:jc w:val="center"/>
              <w:rPr>
                <w:rFonts w:hint="eastAsia" w:ascii="仿宋_GB2312" w:hAnsi="仿宋_GB2312" w:eastAsia="仿宋_GB2312" w:cs="仿宋_GB2312"/>
                <w:bCs/>
                <w:color w:val="000000"/>
                <w:kern w:val="0"/>
                <w:sz w:val="21"/>
                <w:szCs w:val="21"/>
                <w:highlight w:val="none"/>
              </w:rPr>
            </w:pPr>
            <w:r>
              <w:rPr>
                <w:rFonts w:hint="eastAsia" w:ascii="仿宋_GB2312" w:hAnsi="仿宋_GB2312" w:eastAsia="仿宋_GB2312" w:cs="仿宋_GB2312"/>
                <w:bCs/>
                <w:color w:val="000000"/>
                <w:kern w:val="0"/>
                <w:sz w:val="21"/>
                <w:szCs w:val="21"/>
                <w:highlight w:val="none"/>
              </w:rPr>
              <w:t>计量单位</w:t>
            </w:r>
          </w:p>
        </w:tc>
        <w:tc>
          <w:tcPr>
            <w:tcW w:w="5887" w:type="dxa"/>
            <w:noWrap w:val="0"/>
            <w:vAlign w:val="center"/>
          </w:tcPr>
          <w:p w14:paraId="0C8FBC2D">
            <w:pPr>
              <w:adjustRightInd w:val="0"/>
              <w:snapToGrid w:val="0"/>
              <w:rPr>
                <w:rFonts w:hint="eastAsia" w:ascii="仿宋_GB2312" w:hAnsi="仿宋_GB2312" w:eastAsia="仿宋_GB2312" w:cs="仿宋_GB2312"/>
                <w:bCs/>
                <w:color w:val="000000"/>
                <w:kern w:val="0"/>
                <w:sz w:val="21"/>
                <w:szCs w:val="21"/>
                <w:highlight w:val="none"/>
              </w:rPr>
            </w:pPr>
            <w:r>
              <w:rPr>
                <w:rFonts w:hint="eastAsia" w:ascii="仿宋_GB2312" w:hAnsi="仿宋_GB2312" w:eastAsia="仿宋_GB2312" w:cs="仿宋_GB2312"/>
                <w:bCs/>
                <w:color w:val="000000"/>
                <w:kern w:val="0"/>
                <w:sz w:val="21"/>
                <w:szCs w:val="21"/>
                <w:highlight w:val="none"/>
              </w:rPr>
              <w:sym w:font="Wingdings 2" w:char="0052"/>
            </w:r>
            <w:r>
              <w:rPr>
                <w:rFonts w:hint="eastAsia" w:ascii="仿宋_GB2312" w:hAnsi="仿宋_GB2312" w:eastAsia="仿宋_GB2312" w:cs="仿宋_GB2312"/>
                <w:bCs/>
                <w:color w:val="000000"/>
                <w:kern w:val="0"/>
                <w:sz w:val="21"/>
                <w:szCs w:val="21"/>
                <w:highlight w:val="none"/>
              </w:rPr>
              <w:t>中华人民共和国法定计量单位</w:t>
            </w:r>
          </w:p>
          <w:p w14:paraId="07D9A548">
            <w:pPr>
              <w:adjustRightInd w:val="0"/>
              <w:snapToGrid w:val="0"/>
              <w:rPr>
                <w:rFonts w:hint="eastAsia" w:ascii="仿宋_GB2312" w:hAnsi="仿宋_GB2312" w:eastAsia="仿宋_GB2312" w:cs="仿宋_GB2312"/>
                <w:bCs/>
                <w:color w:val="000000"/>
                <w:kern w:val="0"/>
                <w:sz w:val="21"/>
                <w:szCs w:val="21"/>
                <w:highlight w:val="none"/>
              </w:rPr>
            </w:pPr>
            <w:r>
              <w:rPr>
                <w:rFonts w:hint="eastAsia" w:ascii="仿宋_GB2312" w:hAnsi="仿宋_GB2312" w:eastAsia="仿宋_GB2312" w:cs="仿宋_GB2312"/>
                <w:bCs/>
                <w:color w:val="000000"/>
                <w:kern w:val="0"/>
                <w:sz w:val="21"/>
                <w:szCs w:val="21"/>
                <w:highlight w:val="none"/>
              </w:rPr>
              <w:sym w:font="Wingdings 2" w:char="00A3"/>
            </w:r>
            <w:r>
              <w:rPr>
                <w:rFonts w:hint="eastAsia" w:ascii="仿宋_GB2312" w:hAnsi="仿宋_GB2312" w:eastAsia="仿宋_GB2312" w:cs="仿宋_GB2312"/>
                <w:bCs/>
                <w:color w:val="000000"/>
                <w:kern w:val="0"/>
                <w:sz w:val="21"/>
                <w:szCs w:val="21"/>
                <w:highlight w:val="none"/>
              </w:rPr>
              <w:t>其他：</w:t>
            </w:r>
            <w:r>
              <w:rPr>
                <w:rFonts w:hint="eastAsia" w:ascii="仿宋_GB2312" w:hAnsi="仿宋_GB2312" w:eastAsia="仿宋_GB2312" w:cs="仿宋_GB2312"/>
                <w:bCs/>
                <w:color w:val="000000"/>
                <w:kern w:val="0"/>
                <w:sz w:val="21"/>
                <w:szCs w:val="21"/>
                <w:highlight w:val="none"/>
                <w:u w:val="single"/>
              </w:rPr>
              <w:t xml:space="preserve">             </w:t>
            </w:r>
          </w:p>
        </w:tc>
      </w:tr>
      <w:tr w14:paraId="23D32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trPr>
        <w:tc>
          <w:tcPr>
            <w:tcW w:w="852" w:type="dxa"/>
            <w:noWrap w:val="0"/>
            <w:vAlign w:val="center"/>
          </w:tcPr>
          <w:p w14:paraId="0DAB963A">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6.1</w:t>
            </w:r>
          </w:p>
        </w:tc>
        <w:tc>
          <w:tcPr>
            <w:tcW w:w="1917" w:type="dxa"/>
            <w:noWrap w:val="0"/>
            <w:vAlign w:val="center"/>
          </w:tcPr>
          <w:p w14:paraId="603B874A">
            <w:pPr>
              <w:shd w:val="clear" w:color="auto" w:fill="FFFFFF"/>
              <w:adjustRightInd w:val="0"/>
              <w:snapToGrid w:val="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0"/>
                <w:sz w:val="21"/>
                <w:szCs w:val="21"/>
                <w:highlight w:val="none"/>
              </w:rPr>
              <w:t>现场考察、开标前答疑会</w:t>
            </w:r>
          </w:p>
        </w:tc>
        <w:tc>
          <w:tcPr>
            <w:tcW w:w="5887" w:type="dxa"/>
            <w:noWrap w:val="0"/>
            <w:vAlign w:val="center"/>
          </w:tcPr>
          <w:p w14:paraId="2C7DC300">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sym w:font="Wingdings 2" w:char="0052"/>
            </w:r>
            <w:r>
              <w:rPr>
                <w:rFonts w:hint="eastAsia" w:ascii="仿宋_GB2312" w:hAnsi="仿宋_GB2312" w:eastAsia="仿宋_GB2312" w:cs="仿宋_GB2312"/>
                <w:color w:val="000000"/>
                <w:kern w:val="0"/>
                <w:sz w:val="21"/>
                <w:szCs w:val="21"/>
                <w:highlight w:val="none"/>
              </w:rPr>
              <w:t>不组织</w:t>
            </w:r>
          </w:p>
          <w:p w14:paraId="4BC67471">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sym w:font="Wingdings 2" w:char="00A3"/>
            </w:r>
            <w:r>
              <w:rPr>
                <w:rFonts w:hint="eastAsia" w:ascii="仿宋_GB2312" w:hAnsi="仿宋_GB2312" w:eastAsia="仿宋_GB2312" w:cs="仿宋_GB2312"/>
                <w:color w:val="000000"/>
                <w:kern w:val="0"/>
                <w:sz w:val="21"/>
                <w:szCs w:val="21"/>
                <w:highlight w:val="none"/>
              </w:rPr>
              <w:t>组织，时  间：</w:t>
            </w:r>
            <w:r>
              <w:rPr>
                <w:rFonts w:hint="eastAsia" w:ascii="仿宋_GB2312" w:hAnsi="仿宋_GB2312" w:eastAsia="仿宋_GB2312" w:cs="仿宋_GB2312"/>
                <w:bCs/>
                <w:color w:val="000000"/>
                <w:kern w:val="0"/>
                <w:sz w:val="21"/>
                <w:szCs w:val="21"/>
                <w:highlight w:val="none"/>
                <w:u w:val="single"/>
              </w:rPr>
              <w:t xml:space="preserve">         </w:t>
            </w:r>
          </w:p>
          <w:p w14:paraId="6747422F">
            <w:pPr>
              <w:widowControl/>
              <w:adjustRightInd w:val="0"/>
              <w:snapToGrid w:val="0"/>
              <w:ind w:left="-105" w:leftChars="-50" w:firstLine="949" w:firstLineChars="452"/>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地  点：</w:t>
            </w:r>
            <w:r>
              <w:rPr>
                <w:rFonts w:hint="eastAsia" w:ascii="仿宋_GB2312" w:hAnsi="仿宋_GB2312" w:eastAsia="仿宋_GB2312" w:cs="仿宋_GB2312"/>
                <w:bCs/>
                <w:color w:val="000000"/>
                <w:kern w:val="0"/>
                <w:sz w:val="21"/>
                <w:szCs w:val="21"/>
                <w:highlight w:val="none"/>
                <w:u w:val="single"/>
              </w:rPr>
              <w:t xml:space="preserve">         </w:t>
            </w:r>
          </w:p>
          <w:p w14:paraId="41B3261E">
            <w:pPr>
              <w:adjustRightInd w:val="0"/>
              <w:snapToGrid w:val="0"/>
              <w:ind w:left="-105" w:leftChars="-50" w:firstLine="949" w:firstLineChars="452"/>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联系人：</w:t>
            </w:r>
            <w:r>
              <w:rPr>
                <w:rFonts w:hint="eastAsia" w:ascii="仿宋_GB2312" w:hAnsi="仿宋_GB2312" w:eastAsia="仿宋_GB2312" w:cs="仿宋_GB2312"/>
                <w:bCs/>
                <w:color w:val="000000"/>
                <w:kern w:val="0"/>
                <w:sz w:val="21"/>
                <w:szCs w:val="21"/>
                <w:highlight w:val="none"/>
                <w:u w:val="single"/>
              </w:rPr>
              <w:t xml:space="preserve">         </w:t>
            </w:r>
          </w:p>
          <w:p w14:paraId="2F292DBD">
            <w:pPr>
              <w:adjustRightInd w:val="0"/>
              <w:snapToGrid w:val="0"/>
              <w:ind w:left="-105" w:leftChars="-50" w:firstLine="949" w:firstLineChars="452"/>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电  话：</w:t>
            </w:r>
            <w:r>
              <w:rPr>
                <w:rFonts w:hint="eastAsia" w:ascii="仿宋_GB2312" w:hAnsi="仿宋_GB2312" w:eastAsia="仿宋_GB2312" w:cs="仿宋_GB2312"/>
                <w:bCs/>
                <w:color w:val="000000"/>
                <w:kern w:val="0"/>
                <w:sz w:val="21"/>
                <w:szCs w:val="21"/>
                <w:highlight w:val="none"/>
                <w:u w:val="single"/>
              </w:rPr>
              <w:t xml:space="preserve">         </w:t>
            </w:r>
          </w:p>
          <w:p w14:paraId="30CA7446">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sym w:font="Wingdings 2" w:char="00A3"/>
            </w:r>
            <w:r>
              <w:rPr>
                <w:rFonts w:hint="eastAsia" w:ascii="仿宋_GB2312" w:hAnsi="仿宋_GB2312" w:eastAsia="仿宋_GB2312" w:cs="仿宋_GB2312"/>
                <w:color w:val="000000"/>
                <w:kern w:val="0"/>
                <w:sz w:val="21"/>
                <w:szCs w:val="21"/>
                <w:highlight w:val="none"/>
              </w:rPr>
              <w:t>组织，招标文件提供期限截止后以书面形式通知。</w:t>
            </w:r>
          </w:p>
        </w:tc>
      </w:tr>
      <w:tr w14:paraId="1A956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7338DE7D">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10.3</w:t>
            </w:r>
          </w:p>
        </w:tc>
        <w:tc>
          <w:tcPr>
            <w:tcW w:w="1917" w:type="dxa"/>
            <w:noWrap w:val="0"/>
            <w:vAlign w:val="center"/>
          </w:tcPr>
          <w:p w14:paraId="7C48070E">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核心产品</w:t>
            </w:r>
          </w:p>
        </w:tc>
        <w:tc>
          <w:tcPr>
            <w:tcW w:w="5887" w:type="dxa"/>
            <w:noWrap w:val="0"/>
            <w:vAlign w:val="center"/>
          </w:tcPr>
          <w:p w14:paraId="222F3C84">
            <w:pPr>
              <w:widowControl/>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sz w:val="21"/>
                <w:szCs w:val="21"/>
                <w:highlight w:val="none"/>
                <w:u w:val="single"/>
              </w:rPr>
              <w:t xml:space="preserve"> 双人IVF工作站  </w:t>
            </w:r>
            <w:r>
              <w:rPr>
                <w:rFonts w:hint="eastAsia" w:ascii="仿宋_GB2312" w:hAnsi="仿宋_GB2312" w:eastAsia="仿宋_GB2312" w:cs="仿宋_GB2312"/>
                <w:color w:val="000000"/>
                <w:sz w:val="21"/>
                <w:szCs w:val="21"/>
                <w:highlight w:val="none"/>
              </w:rPr>
              <w:t>（非单一产品采购时，只能设一个核心产品）</w:t>
            </w:r>
          </w:p>
        </w:tc>
      </w:tr>
      <w:tr w14:paraId="66159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5EC13DE8">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11.2</w:t>
            </w:r>
          </w:p>
        </w:tc>
        <w:tc>
          <w:tcPr>
            <w:tcW w:w="1917" w:type="dxa"/>
            <w:noWrap w:val="0"/>
            <w:vAlign w:val="center"/>
          </w:tcPr>
          <w:p w14:paraId="224B017C">
            <w:pPr>
              <w:tabs>
                <w:tab w:val="left" w:pos="1425"/>
              </w:tabs>
              <w:adjustRightInd w:val="0"/>
              <w:snapToGrid w:val="0"/>
              <w:jc w:val="center"/>
              <w:rPr>
                <w:rFonts w:hint="eastAsia" w:ascii="仿宋_GB2312" w:hAnsi="仿宋_GB2312" w:eastAsia="仿宋_GB2312" w:cs="仿宋_GB2312"/>
                <w:bCs/>
                <w:color w:val="000000"/>
                <w:kern w:val="0"/>
                <w:sz w:val="21"/>
                <w:szCs w:val="21"/>
                <w:highlight w:val="none"/>
              </w:rPr>
            </w:pPr>
            <w:r>
              <w:rPr>
                <w:rFonts w:hint="eastAsia" w:ascii="仿宋_GB2312" w:hAnsi="仿宋_GB2312" w:eastAsia="仿宋_GB2312" w:cs="仿宋_GB2312"/>
                <w:bCs/>
                <w:color w:val="000000"/>
                <w:kern w:val="0"/>
                <w:sz w:val="21"/>
                <w:szCs w:val="21"/>
                <w:highlight w:val="none"/>
              </w:rPr>
              <w:t>是否采用</w:t>
            </w:r>
          </w:p>
          <w:p w14:paraId="541A6360">
            <w:pPr>
              <w:tabs>
                <w:tab w:val="left" w:pos="1425"/>
              </w:tabs>
              <w:adjustRightInd w:val="0"/>
              <w:snapToGrid w:val="0"/>
              <w:jc w:val="center"/>
              <w:rPr>
                <w:rFonts w:hint="eastAsia" w:ascii="仿宋_GB2312" w:hAnsi="仿宋_GB2312" w:eastAsia="仿宋_GB2312" w:cs="仿宋_GB2312"/>
                <w:bCs/>
                <w:color w:val="000000"/>
                <w:kern w:val="0"/>
                <w:sz w:val="21"/>
                <w:szCs w:val="21"/>
                <w:highlight w:val="none"/>
              </w:rPr>
            </w:pPr>
            <w:r>
              <w:rPr>
                <w:rFonts w:hint="eastAsia" w:ascii="仿宋_GB2312" w:hAnsi="仿宋_GB2312" w:eastAsia="仿宋_GB2312" w:cs="仿宋_GB2312"/>
                <w:bCs/>
                <w:color w:val="000000"/>
                <w:kern w:val="0"/>
                <w:sz w:val="21"/>
                <w:szCs w:val="21"/>
                <w:highlight w:val="none"/>
              </w:rPr>
              <w:t>“暗标盲评”评审</w:t>
            </w:r>
          </w:p>
        </w:tc>
        <w:tc>
          <w:tcPr>
            <w:tcW w:w="5887" w:type="dxa"/>
            <w:noWrap w:val="0"/>
            <w:vAlign w:val="center"/>
          </w:tcPr>
          <w:p w14:paraId="198C0E3B">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sym w:font="Wingdings 2" w:char="00A3"/>
            </w:r>
            <w:r>
              <w:rPr>
                <w:rFonts w:hint="eastAsia" w:ascii="仿宋_GB2312" w:hAnsi="仿宋_GB2312" w:eastAsia="仿宋_GB2312" w:cs="仿宋_GB2312"/>
                <w:color w:val="000000"/>
                <w:kern w:val="0"/>
                <w:sz w:val="21"/>
                <w:szCs w:val="21"/>
                <w:highlight w:val="none"/>
              </w:rPr>
              <w:t>是，</w:t>
            </w:r>
            <w:r>
              <w:rPr>
                <w:rFonts w:hint="eastAsia" w:ascii="仿宋_GB2312" w:hAnsi="仿宋_GB2312" w:eastAsia="仿宋_GB2312" w:cs="仿宋_GB2312"/>
                <w:color w:val="000000"/>
                <w:kern w:val="0"/>
                <w:sz w:val="21"/>
                <w:szCs w:val="21"/>
                <w:highlight w:val="none"/>
                <w:u w:val="single"/>
              </w:rPr>
              <w:t xml:space="preserve">              </w:t>
            </w:r>
            <w:r>
              <w:rPr>
                <w:rFonts w:hint="eastAsia" w:ascii="仿宋_GB2312" w:hAnsi="仿宋_GB2312" w:eastAsia="仿宋_GB2312" w:cs="仿宋_GB2312"/>
                <w:color w:val="000000"/>
                <w:kern w:val="0"/>
                <w:sz w:val="21"/>
                <w:szCs w:val="21"/>
                <w:highlight w:val="none"/>
              </w:rPr>
              <w:t xml:space="preserve"> 为暗标盲评内容</w:t>
            </w:r>
          </w:p>
          <w:p w14:paraId="64BE41BE">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sym w:font="Wingdings 2" w:char="0052"/>
            </w:r>
            <w:r>
              <w:rPr>
                <w:rFonts w:hint="eastAsia" w:ascii="仿宋_GB2312" w:hAnsi="仿宋_GB2312" w:eastAsia="仿宋_GB2312" w:cs="仿宋_GB2312"/>
                <w:color w:val="000000"/>
                <w:kern w:val="0"/>
                <w:sz w:val="21"/>
                <w:szCs w:val="21"/>
                <w:highlight w:val="none"/>
              </w:rPr>
              <w:t>否</w:t>
            </w:r>
          </w:p>
        </w:tc>
      </w:tr>
      <w:tr w14:paraId="10EEF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8" w:hRule="atLeast"/>
        </w:trPr>
        <w:tc>
          <w:tcPr>
            <w:tcW w:w="852" w:type="dxa"/>
            <w:noWrap w:val="0"/>
            <w:vAlign w:val="center"/>
          </w:tcPr>
          <w:p w14:paraId="4E89A93C">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11.4</w:t>
            </w:r>
          </w:p>
        </w:tc>
        <w:tc>
          <w:tcPr>
            <w:tcW w:w="1917" w:type="dxa"/>
            <w:noWrap w:val="0"/>
            <w:vAlign w:val="center"/>
          </w:tcPr>
          <w:p w14:paraId="12D8B4BF">
            <w:pPr>
              <w:shd w:val="clear" w:color="auto" w:fill="FFFFFF"/>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样品或演示</w:t>
            </w:r>
          </w:p>
        </w:tc>
        <w:tc>
          <w:tcPr>
            <w:tcW w:w="5887" w:type="dxa"/>
            <w:noWrap w:val="0"/>
            <w:vAlign w:val="center"/>
          </w:tcPr>
          <w:p w14:paraId="292E91D1">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不需要</w:t>
            </w:r>
            <w:r>
              <w:rPr>
                <w:rFonts w:hint="eastAsia" w:ascii="仿宋_GB2312" w:hAnsi="仿宋_GB2312" w:eastAsia="仿宋_GB2312" w:cs="仿宋_GB2312"/>
                <w:bCs/>
                <w:color w:val="000000"/>
                <w:kern w:val="0"/>
                <w:szCs w:val="21"/>
                <w:highlight w:val="none"/>
              </w:rPr>
              <w:t>提供样品</w:t>
            </w:r>
          </w:p>
          <w:p w14:paraId="1BF82F13">
            <w:pPr>
              <w:adjustRightInd w:val="0"/>
              <w:snapToGrid w:val="0"/>
              <w:rPr>
                <w:rFonts w:hint="eastAsia" w:ascii="仿宋_GB2312" w:hAnsi="仿宋_GB2312" w:eastAsia="仿宋_GB2312" w:cs="仿宋_GB2312"/>
                <w:bCs/>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需要</w:t>
            </w:r>
            <w:r>
              <w:rPr>
                <w:rFonts w:hint="eastAsia" w:ascii="仿宋_GB2312" w:hAnsi="仿宋_GB2312" w:eastAsia="仿宋_GB2312" w:cs="仿宋_GB2312"/>
                <w:bCs/>
                <w:color w:val="000000"/>
                <w:kern w:val="0"/>
                <w:szCs w:val="21"/>
                <w:highlight w:val="none"/>
              </w:rPr>
              <w:t>提供样品</w:t>
            </w:r>
          </w:p>
          <w:p w14:paraId="14800557">
            <w:pPr>
              <w:adjustRightInd w:val="0"/>
              <w:snapToGrid w:val="0"/>
              <w:ind w:firstLine="210" w:firstLineChars="10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lang w:eastAsia="zh-CN"/>
              </w:rPr>
              <w:t>1.</w:t>
            </w:r>
            <w:r>
              <w:rPr>
                <w:rFonts w:hint="eastAsia" w:ascii="仿宋_GB2312" w:hAnsi="仿宋_GB2312" w:eastAsia="仿宋_GB2312" w:cs="仿宋_GB2312"/>
                <w:color w:val="000000"/>
                <w:kern w:val="0"/>
                <w:szCs w:val="21"/>
                <w:highlight w:val="none"/>
              </w:rPr>
              <w:t>递交样品的截止时间：</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年</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月</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日</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时（北京时间）</w:t>
            </w:r>
          </w:p>
          <w:p w14:paraId="72932CDD">
            <w:pPr>
              <w:adjustRightInd w:val="0"/>
              <w:snapToGrid w:val="0"/>
              <w:ind w:firstLine="525" w:firstLineChars="250"/>
              <w:rPr>
                <w:rFonts w:hint="eastAsia"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递交样品地点：</w:t>
            </w:r>
            <w:r>
              <w:rPr>
                <w:rFonts w:hint="eastAsia" w:ascii="仿宋_GB2312" w:hAnsi="仿宋_GB2312" w:eastAsia="仿宋_GB2312" w:cs="仿宋_GB2312"/>
                <w:color w:val="000000"/>
                <w:kern w:val="0"/>
                <w:szCs w:val="21"/>
                <w:highlight w:val="none"/>
                <w:u w:val="single"/>
              </w:rPr>
              <w:t xml:space="preserve">                     </w:t>
            </w:r>
          </w:p>
          <w:p w14:paraId="28373F62">
            <w:pPr>
              <w:adjustRightInd w:val="0"/>
              <w:snapToGrid w:val="0"/>
              <w:ind w:firstLine="525" w:firstLineChars="250"/>
              <w:rPr>
                <w:rFonts w:hint="eastAsia"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递交样品联系人：</w:t>
            </w:r>
            <w:r>
              <w:rPr>
                <w:rFonts w:hint="eastAsia" w:ascii="仿宋_GB2312" w:hAnsi="仿宋_GB2312" w:eastAsia="仿宋_GB2312" w:cs="仿宋_GB2312"/>
                <w:color w:val="000000"/>
                <w:kern w:val="0"/>
                <w:szCs w:val="21"/>
                <w:highlight w:val="none"/>
                <w:u w:val="single"/>
              </w:rPr>
              <w:t xml:space="preserve">                   </w:t>
            </w:r>
          </w:p>
          <w:p w14:paraId="41E7556B">
            <w:pPr>
              <w:adjustRightInd w:val="0"/>
              <w:snapToGrid w:val="0"/>
              <w:ind w:firstLine="525" w:firstLineChars="250"/>
              <w:rPr>
                <w:rFonts w:hint="eastAsia"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递交样品联系电话：</w:t>
            </w:r>
            <w:r>
              <w:rPr>
                <w:rFonts w:hint="eastAsia" w:ascii="仿宋_GB2312" w:hAnsi="仿宋_GB2312" w:eastAsia="仿宋_GB2312" w:cs="仿宋_GB2312"/>
                <w:color w:val="000000"/>
                <w:kern w:val="0"/>
                <w:szCs w:val="21"/>
                <w:highlight w:val="none"/>
                <w:u w:val="single"/>
              </w:rPr>
              <w:t xml:space="preserve">                 </w:t>
            </w:r>
          </w:p>
          <w:p w14:paraId="6C200198">
            <w:pPr>
              <w:adjustRightInd w:val="0"/>
              <w:snapToGrid w:val="0"/>
              <w:ind w:firstLine="210" w:firstLineChars="10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lang w:eastAsia="zh-CN"/>
              </w:rPr>
              <w:t>2.</w:t>
            </w:r>
            <w:r>
              <w:rPr>
                <w:rFonts w:hint="eastAsia" w:ascii="仿宋_GB2312" w:hAnsi="仿宋_GB2312" w:eastAsia="仿宋_GB2312" w:cs="仿宋_GB2312"/>
                <w:color w:val="000000"/>
                <w:kern w:val="0"/>
                <w:szCs w:val="21"/>
                <w:highlight w:val="none"/>
              </w:rPr>
              <w:t>样品制作的标准和要求：</w:t>
            </w:r>
            <w:r>
              <w:rPr>
                <w:rFonts w:hint="eastAsia" w:ascii="仿宋_GB2312" w:hAnsi="仿宋_GB2312" w:eastAsia="仿宋_GB2312" w:cs="仿宋_GB2312"/>
                <w:color w:val="000000"/>
                <w:kern w:val="0"/>
                <w:szCs w:val="21"/>
                <w:highlight w:val="none"/>
                <w:u w:val="single"/>
              </w:rPr>
              <w:t xml:space="preserve">             </w:t>
            </w:r>
          </w:p>
          <w:p w14:paraId="59076253">
            <w:pPr>
              <w:adjustRightInd w:val="0"/>
              <w:snapToGrid w:val="0"/>
              <w:ind w:firstLine="210" w:firstLineChars="10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lang w:eastAsia="zh-CN"/>
              </w:rPr>
              <w:t>3.</w:t>
            </w:r>
            <w:r>
              <w:rPr>
                <w:rFonts w:hint="eastAsia" w:ascii="仿宋_GB2312" w:hAnsi="仿宋_GB2312" w:eastAsia="仿宋_GB2312" w:cs="仿宋_GB2312"/>
                <w:color w:val="000000"/>
                <w:kern w:val="0"/>
                <w:szCs w:val="21"/>
                <w:highlight w:val="none"/>
              </w:rPr>
              <w:t>随样品提交相关检测报告要求：</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 xml:space="preserve"> </w:t>
            </w:r>
          </w:p>
          <w:p w14:paraId="4EE76EA5">
            <w:pPr>
              <w:adjustRightInd w:val="0"/>
              <w:snapToGrid w:val="0"/>
              <w:ind w:firstLine="420" w:firstLineChars="20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（包含是否要求提供、检测机构要求、检测内容等）</w:t>
            </w:r>
          </w:p>
          <w:p w14:paraId="4F73BA50">
            <w:pPr>
              <w:adjustRightInd w:val="0"/>
              <w:snapToGrid w:val="0"/>
              <w:ind w:firstLine="210" w:firstLineChars="10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lang w:eastAsia="zh-CN"/>
              </w:rPr>
              <w:t>4.</w:t>
            </w:r>
            <w:r>
              <w:rPr>
                <w:rFonts w:hint="eastAsia" w:ascii="仿宋_GB2312" w:hAnsi="仿宋_GB2312" w:eastAsia="仿宋_GB2312" w:cs="仿宋_GB2312"/>
                <w:color w:val="000000"/>
                <w:kern w:val="0"/>
                <w:szCs w:val="21"/>
                <w:highlight w:val="none"/>
              </w:rPr>
              <w:t>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613C41C4">
            <w:pPr>
              <w:adjustRightInd w:val="0"/>
              <w:snapToGrid w:val="0"/>
              <w:ind w:left="21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 xml:space="preserve">  </w:t>
            </w:r>
          </w:p>
          <w:p w14:paraId="3E1EC2F3">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不</w:t>
            </w:r>
            <w:r>
              <w:rPr>
                <w:rFonts w:hint="eastAsia" w:ascii="仿宋_GB2312" w:hAnsi="仿宋_GB2312" w:eastAsia="仿宋_GB2312" w:cs="仿宋_GB2312"/>
                <w:bCs/>
                <w:color w:val="000000"/>
                <w:kern w:val="0"/>
                <w:szCs w:val="21"/>
                <w:highlight w:val="none"/>
              </w:rPr>
              <w:t>需要提供演示</w:t>
            </w:r>
          </w:p>
          <w:p w14:paraId="42DC4700">
            <w:pPr>
              <w:adjustRightInd w:val="0"/>
              <w:snapToGrid w:val="0"/>
              <w:rPr>
                <w:rFonts w:hint="eastAsia" w:ascii="仿宋_GB2312" w:hAnsi="仿宋_GB2312" w:eastAsia="仿宋_GB2312" w:cs="仿宋_GB2312"/>
                <w:bCs/>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需要</w:t>
            </w:r>
            <w:r>
              <w:rPr>
                <w:rFonts w:hint="eastAsia" w:ascii="仿宋_GB2312" w:hAnsi="仿宋_GB2312" w:eastAsia="仿宋_GB2312" w:cs="仿宋_GB2312"/>
                <w:bCs/>
                <w:color w:val="000000"/>
                <w:kern w:val="0"/>
                <w:szCs w:val="21"/>
                <w:highlight w:val="none"/>
              </w:rPr>
              <w:t>提供演示</w:t>
            </w:r>
          </w:p>
          <w:p w14:paraId="272F9CD0">
            <w:pPr>
              <w:adjustRightInd w:val="0"/>
              <w:snapToGrid w:val="0"/>
              <w:ind w:firstLine="210" w:firstLineChars="10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w:t>
            </w:r>
            <w:r>
              <w:rPr>
                <w:rFonts w:hint="eastAsia" w:ascii="仿宋_GB2312" w:hAnsi="仿宋_GB2312" w:eastAsia="仿宋_GB2312" w:cs="仿宋_GB2312"/>
                <w:color w:val="000000"/>
                <w:kern w:val="0"/>
                <w:szCs w:val="21"/>
                <w:highlight w:val="none"/>
                <w:lang w:val="en-US" w:eastAsia="zh-CN"/>
              </w:rPr>
              <w:t>.</w:t>
            </w:r>
            <w:r>
              <w:rPr>
                <w:rFonts w:hint="eastAsia" w:ascii="仿宋_GB2312" w:hAnsi="仿宋_GB2312" w:eastAsia="仿宋_GB2312" w:cs="仿宋_GB2312"/>
                <w:color w:val="000000"/>
                <w:kern w:val="0"/>
                <w:szCs w:val="21"/>
                <w:highlight w:val="none"/>
              </w:rPr>
              <w:t>演示时间：</w:t>
            </w:r>
            <w:r>
              <w:rPr>
                <w:rFonts w:hint="eastAsia" w:ascii="仿宋_GB2312" w:hAnsi="仿宋_GB2312" w:eastAsia="仿宋_GB2312" w:cs="仿宋_GB2312"/>
                <w:bCs/>
                <w:color w:val="000000"/>
                <w:kern w:val="0"/>
                <w:szCs w:val="21"/>
                <w:highlight w:val="none"/>
                <w:u w:val="single"/>
              </w:rPr>
              <w:t xml:space="preserve">                          </w:t>
            </w:r>
          </w:p>
          <w:p w14:paraId="088E51E0">
            <w:pPr>
              <w:adjustRightInd w:val="0"/>
              <w:snapToGrid w:val="0"/>
              <w:ind w:firstLine="420" w:firstLineChars="20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演示地点：</w:t>
            </w:r>
            <w:r>
              <w:rPr>
                <w:rFonts w:hint="eastAsia" w:ascii="仿宋_GB2312" w:hAnsi="仿宋_GB2312" w:eastAsia="仿宋_GB2312" w:cs="仿宋_GB2312"/>
                <w:bCs/>
                <w:color w:val="000000"/>
                <w:kern w:val="0"/>
                <w:szCs w:val="21"/>
                <w:highlight w:val="none"/>
                <w:u w:val="single"/>
              </w:rPr>
              <w:t xml:space="preserve">                          </w:t>
            </w:r>
          </w:p>
          <w:p w14:paraId="34527B52">
            <w:pPr>
              <w:adjustRightInd w:val="0"/>
              <w:snapToGrid w:val="0"/>
              <w:ind w:firstLine="420" w:firstLineChars="20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演示顺序：</w:t>
            </w:r>
            <w:r>
              <w:rPr>
                <w:rFonts w:hint="eastAsia" w:ascii="仿宋_GB2312" w:hAnsi="仿宋_GB2312" w:eastAsia="仿宋_GB2312" w:cs="仿宋_GB2312"/>
                <w:bCs/>
                <w:color w:val="000000"/>
                <w:kern w:val="0"/>
                <w:szCs w:val="21"/>
                <w:highlight w:val="none"/>
                <w:u w:val="single"/>
              </w:rPr>
              <w:t xml:space="preserve">                          </w:t>
            </w:r>
          </w:p>
          <w:p w14:paraId="754EDD3A">
            <w:pPr>
              <w:adjustRightInd w:val="0"/>
              <w:snapToGrid w:val="0"/>
              <w:ind w:firstLine="210" w:firstLineChars="10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lang w:eastAsia="zh-CN"/>
              </w:rPr>
              <w:t>2.</w:t>
            </w:r>
            <w:r>
              <w:rPr>
                <w:rFonts w:hint="eastAsia" w:ascii="仿宋_GB2312" w:hAnsi="仿宋_GB2312" w:eastAsia="仿宋_GB2312" w:cs="仿宋_GB2312"/>
                <w:color w:val="000000"/>
                <w:kern w:val="0"/>
                <w:szCs w:val="21"/>
                <w:highlight w:val="none"/>
              </w:rPr>
              <w:t>演示要求：</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（内容、设备等要求）</w:t>
            </w:r>
          </w:p>
        </w:tc>
      </w:tr>
      <w:tr w14:paraId="44FAE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696EE41A">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12.1</w:t>
            </w:r>
          </w:p>
        </w:tc>
        <w:tc>
          <w:tcPr>
            <w:tcW w:w="1917" w:type="dxa"/>
            <w:noWrap w:val="0"/>
            <w:vAlign w:val="center"/>
          </w:tcPr>
          <w:p w14:paraId="1FBAECA5">
            <w:pPr>
              <w:shd w:val="clear" w:color="auto" w:fill="FFFFFF"/>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投标报价货币要求</w:t>
            </w:r>
          </w:p>
        </w:tc>
        <w:tc>
          <w:tcPr>
            <w:tcW w:w="5887" w:type="dxa"/>
            <w:noWrap w:val="0"/>
            <w:vAlign w:val="center"/>
          </w:tcPr>
          <w:p w14:paraId="7086720C">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所有投标均按</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u w:val="single"/>
                <w:lang w:eastAsia="zh-CN"/>
              </w:rPr>
              <w:t>人民币</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货币进行报价。</w:t>
            </w:r>
          </w:p>
          <w:p w14:paraId="724522FA">
            <w:pPr>
              <w:adjustRightInd w:val="0"/>
              <w:snapToGrid w:val="0"/>
              <w:rPr>
                <w:rFonts w:hint="eastAsia"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lang w:eastAsia="zh-CN"/>
              </w:rPr>
              <w:t>其他</w:t>
            </w:r>
            <w:r>
              <w:rPr>
                <w:rFonts w:hint="eastAsia" w:ascii="仿宋_GB2312" w:hAnsi="仿宋_GB2312" w:eastAsia="仿宋_GB2312" w:cs="仿宋_GB2312"/>
                <w:color w:val="000000"/>
                <w:kern w:val="0"/>
                <w:szCs w:val="21"/>
                <w:highlight w:val="none"/>
              </w:rPr>
              <w:t>：</w:t>
            </w:r>
            <w:r>
              <w:rPr>
                <w:rFonts w:hint="eastAsia" w:ascii="仿宋_GB2312" w:hAnsi="仿宋_GB2312" w:eastAsia="仿宋_GB2312" w:cs="仿宋_GB2312"/>
                <w:color w:val="000000"/>
                <w:kern w:val="0"/>
                <w:szCs w:val="21"/>
                <w:highlight w:val="none"/>
                <w:u w:val="single"/>
              </w:rPr>
              <w:t xml:space="preserve">               </w:t>
            </w:r>
          </w:p>
        </w:tc>
      </w:tr>
      <w:tr w14:paraId="547B7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852" w:type="dxa"/>
            <w:noWrap w:val="0"/>
            <w:vAlign w:val="center"/>
          </w:tcPr>
          <w:p w14:paraId="368A4E7C">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13.1</w:t>
            </w:r>
          </w:p>
        </w:tc>
        <w:tc>
          <w:tcPr>
            <w:tcW w:w="1917" w:type="dxa"/>
            <w:noWrap w:val="0"/>
            <w:vAlign w:val="center"/>
          </w:tcPr>
          <w:p w14:paraId="1088F78B">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投标保证金</w:t>
            </w:r>
          </w:p>
        </w:tc>
        <w:tc>
          <w:tcPr>
            <w:tcW w:w="5887" w:type="dxa"/>
            <w:noWrap w:val="0"/>
            <w:vAlign w:val="center"/>
          </w:tcPr>
          <w:p w14:paraId="78099657">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auto"/>
                <w:szCs w:val="21"/>
                <w:highlight w:val="none"/>
              </w:rPr>
              <w:t>本项目不收取</w:t>
            </w:r>
          </w:p>
        </w:tc>
      </w:tr>
      <w:tr w14:paraId="1750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23EEFD9E">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15.1</w:t>
            </w:r>
          </w:p>
        </w:tc>
        <w:tc>
          <w:tcPr>
            <w:tcW w:w="1917" w:type="dxa"/>
            <w:noWrap w:val="0"/>
            <w:vAlign w:val="center"/>
          </w:tcPr>
          <w:p w14:paraId="77E59272">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投标有效期</w:t>
            </w:r>
          </w:p>
        </w:tc>
        <w:tc>
          <w:tcPr>
            <w:tcW w:w="5887" w:type="dxa"/>
            <w:noWrap w:val="0"/>
            <w:vAlign w:val="center"/>
          </w:tcPr>
          <w:p w14:paraId="4112557A">
            <w:pPr>
              <w:pStyle w:val="7"/>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auto"/>
                <w:kern w:val="0"/>
                <w:szCs w:val="21"/>
                <w:highlight w:val="none"/>
                <w:u w:val="single"/>
              </w:rPr>
              <w:t xml:space="preserve">90 </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日历日</w:t>
            </w:r>
          </w:p>
        </w:tc>
      </w:tr>
      <w:tr w14:paraId="0C652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52" w:type="dxa"/>
            <w:noWrap w:val="0"/>
            <w:vAlign w:val="center"/>
          </w:tcPr>
          <w:p w14:paraId="6AE91A19">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17.1</w:t>
            </w:r>
          </w:p>
        </w:tc>
        <w:tc>
          <w:tcPr>
            <w:tcW w:w="1917" w:type="dxa"/>
            <w:noWrap w:val="0"/>
            <w:vAlign w:val="center"/>
          </w:tcPr>
          <w:p w14:paraId="3FB9E829">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highlight w:val="none"/>
              </w:rPr>
              <w:t>加密备份投标文件递交要求</w:t>
            </w:r>
          </w:p>
        </w:tc>
        <w:tc>
          <w:tcPr>
            <w:tcW w:w="5887" w:type="dxa"/>
            <w:noWrap w:val="0"/>
            <w:vAlign w:val="center"/>
          </w:tcPr>
          <w:p w14:paraId="79E0C92B">
            <w:pPr>
              <w:widowControl/>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auto"/>
                <w:szCs w:val="21"/>
                <w:highlight w:val="none"/>
              </w:rPr>
              <w:t>本项目不收取</w:t>
            </w:r>
          </w:p>
        </w:tc>
      </w:tr>
      <w:tr w14:paraId="2C842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1B3C3018">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18.1</w:t>
            </w:r>
          </w:p>
        </w:tc>
        <w:tc>
          <w:tcPr>
            <w:tcW w:w="1917" w:type="dxa"/>
            <w:noWrap w:val="0"/>
            <w:vAlign w:val="center"/>
          </w:tcPr>
          <w:p w14:paraId="354F38C7">
            <w:pPr>
              <w:widowControl/>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递交投标文件截止时间、地点</w:t>
            </w:r>
          </w:p>
        </w:tc>
        <w:tc>
          <w:tcPr>
            <w:tcW w:w="5887" w:type="dxa"/>
            <w:noWrap w:val="0"/>
            <w:vAlign w:val="center"/>
          </w:tcPr>
          <w:p w14:paraId="15823E47">
            <w:pPr>
              <w:widowControl/>
              <w:adjustRightInd w:val="0"/>
              <w:snapToGrid w:val="0"/>
              <w:rPr>
                <w:rFonts w:hint="eastAsia"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详见招标公告，以招标公告规定时间、地点为准。</w:t>
            </w:r>
          </w:p>
        </w:tc>
      </w:tr>
      <w:tr w14:paraId="08F9B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noWrap w:val="0"/>
            <w:vAlign w:val="center"/>
          </w:tcPr>
          <w:p w14:paraId="7778C1E9">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20.1</w:t>
            </w:r>
          </w:p>
        </w:tc>
        <w:tc>
          <w:tcPr>
            <w:tcW w:w="1917" w:type="dxa"/>
            <w:noWrap w:val="0"/>
            <w:vAlign w:val="center"/>
          </w:tcPr>
          <w:p w14:paraId="4CB8F661">
            <w:pPr>
              <w:widowControl/>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开标时间、地点</w:t>
            </w:r>
          </w:p>
        </w:tc>
        <w:tc>
          <w:tcPr>
            <w:tcW w:w="5887" w:type="dxa"/>
            <w:noWrap w:val="0"/>
            <w:vAlign w:val="center"/>
          </w:tcPr>
          <w:p w14:paraId="5769DA6A">
            <w:pPr>
              <w:widowControl/>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详见招标公告，以招标公告规定时间、地点为准。</w:t>
            </w:r>
          </w:p>
        </w:tc>
      </w:tr>
      <w:tr w14:paraId="515DA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noWrap w:val="0"/>
            <w:vAlign w:val="center"/>
          </w:tcPr>
          <w:p w14:paraId="1607B16E">
            <w:pPr>
              <w:widowControl/>
              <w:adjustRightInd w:val="0"/>
              <w:snapToGrid w:val="0"/>
              <w:jc w:val="center"/>
              <w:rPr>
                <w:rFonts w:hint="eastAsia" w:ascii="仿宋_GB2312" w:hAnsi="仿宋_GB2312" w:eastAsia="仿宋_GB2312" w:cs="仿宋_GB2312"/>
                <w:color w:val="000000"/>
                <w:kern w:val="0"/>
                <w:sz w:val="21"/>
                <w:szCs w:val="21"/>
                <w:highlight w:val="none"/>
              </w:rPr>
            </w:pPr>
            <w:bookmarkStart w:id="37" w:name="OLE_LINK8" w:colFirst="1" w:colLast="2"/>
            <w:bookmarkStart w:id="38" w:name="OLE_LINK7" w:colFirst="1" w:colLast="2"/>
            <w:bookmarkStart w:id="39" w:name="_Hlk221696143"/>
            <w:r>
              <w:rPr>
                <w:rFonts w:hint="eastAsia" w:ascii="仿宋_GB2312" w:hAnsi="仿宋_GB2312" w:eastAsia="仿宋_GB2312" w:cs="仿宋_GB2312"/>
                <w:color w:val="000000"/>
                <w:kern w:val="0"/>
                <w:sz w:val="21"/>
                <w:szCs w:val="21"/>
                <w:highlight w:val="none"/>
              </w:rPr>
              <w:t>20.2</w:t>
            </w:r>
          </w:p>
        </w:tc>
        <w:tc>
          <w:tcPr>
            <w:tcW w:w="1917" w:type="dxa"/>
            <w:noWrap w:val="0"/>
            <w:vAlign w:val="center"/>
          </w:tcPr>
          <w:p w14:paraId="2BC11EAC">
            <w:pPr>
              <w:widowControl/>
              <w:adjustRightInd w:val="0"/>
              <w:snapToGrid w:val="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解密时间</w:t>
            </w:r>
          </w:p>
        </w:tc>
        <w:tc>
          <w:tcPr>
            <w:tcW w:w="5887" w:type="dxa"/>
            <w:noWrap w:val="0"/>
            <w:vAlign w:val="center"/>
          </w:tcPr>
          <w:p w14:paraId="48D4B70D">
            <w:pPr>
              <w:widowControl/>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u w:val="single"/>
              </w:rPr>
              <w:t xml:space="preserve">  </w:t>
            </w:r>
            <w:r>
              <w:rPr>
                <w:rFonts w:hint="eastAsia" w:ascii="仿宋_GB2312" w:hAnsi="仿宋_GB2312" w:eastAsia="仿宋_GB2312" w:cs="仿宋_GB2312"/>
                <w:color w:val="000000"/>
                <w:kern w:val="0"/>
                <w:sz w:val="21"/>
                <w:szCs w:val="21"/>
                <w:highlight w:val="none"/>
                <w:u w:val="single"/>
                <w:lang w:val="en-US" w:eastAsia="zh-CN"/>
              </w:rPr>
              <w:t>30</w:t>
            </w:r>
            <w:r>
              <w:rPr>
                <w:rFonts w:hint="eastAsia" w:ascii="仿宋_GB2312" w:hAnsi="仿宋_GB2312" w:eastAsia="仿宋_GB2312" w:cs="仿宋_GB2312"/>
                <w:color w:val="000000"/>
                <w:kern w:val="0"/>
                <w:sz w:val="21"/>
                <w:szCs w:val="21"/>
                <w:highlight w:val="none"/>
                <w:u w:val="single"/>
              </w:rPr>
              <w:t xml:space="preserve"> </w:t>
            </w:r>
            <w:r>
              <w:rPr>
                <w:rFonts w:hint="eastAsia" w:ascii="仿宋_GB2312" w:hAnsi="仿宋_GB2312" w:eastAsia="仿宋_GB2312" w:cs="仿宋_GB2312"/>
                <w:color w:val="000000"/>
                <w:kern w:val="0"/>
                <w:sz w:val="21"/>
                <w:szCs w:val="21"/>
                <w:highlight w:val="none"/>
              </w:rPr>
              <w:t>分钟</w:t>
            </w:r>
          </w:p>
        </w:tc>
      </w:tr>
      <w:bookmarkEnd w:id="37"/>
      <w:bookmarkEnd w:id="38"/>
      <w:bookmarkEnd w:id="39"/>
      <w:tr w14:paraId="038B1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noWrap w:val="0"/>
            <w:vAlign w:val="center"/>
          </w:tcPr>
          <w:p w14:paraId="652CE678">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21</w:t>
            </w:r>
          </w:p>
        </w:tc>
        <w:tc>
          <w:tcPr>
            <w:tcW w:w="1917" w:type="dxa"/>
            <w:noWrap w:val="0"/>
            <w:vAlign w:val="center"/>
          </w:tcPr>
          <w:p w14:paraId="48F17B7B">
            <w:pPr>
              <w:widowControl/>
              <w:adjustRightInd w:val="0"/>
              <w:snapToGrid w:val="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评标委员会组成</w:t>
            </w:r>
          </w:p>
        </w:tc>
        <w:tc>
          <w:tcPr>
            <w:tcW w:w="5887" w:type="dxa"/>
            <w:noWrap w:val="0"/>
            <w:vAlign w:val="center"/>
          </w:tcPr>
          <w:p w14:paraId="4FA6E56F">
            <w:pPr>
              <w:widowControl/>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auto"/>
                <w:szCs w:val="21"/>
                <w:highlight w:val="none"/>
              </w:rPr>
              <w:t>评标委员会由采购人代表</w:t>
            </w:r>
            <w:r>
              <w:rPr>
                <w:rFonts w:hint="eastAsia" w:ascii="仿宋_GB2312" w:hAnsi="仿宋_GB2312" w:eastAsia="仿宋_GB2312" w:cs="仿宋_GB2312"/>
                <w:color w:val="auto"/>
                <w:szCs w:val="21"/>
                <w:highlight w:val="none"/>
                <w:u w:val="single"/>
              </w:rPr>
              <w:t>1</w:t>
            </w:r>
            <w:r>
              <w:rPr>
                <w:rFonts w:hint="eastAsia" w:ascii="仿宋_GB2312" w:hAnsi="仿宋_GB2312" w:eastAsia="仿宋_GB2312" w:cs="仿宋_GB2312"/>
                <w:color w:val="auto"/>
                <w:szCs w:val="21"/>
                <w:highlight w:val="none"/>
              </w:rPr>
              <w:t>人，评审专家</w:t>
            </w:r>
            <w:r>
              <w:rPr>
                <w:rFonts w:hint="eastAsia" w:ascii="仿宋_GB2312" w:hAnsi="仿宋_GB2312" w:eastAsia="仿宋_GB2312" w:cs="仿宋_GB2312"/>
                <w:color w:val="auto"/>
                <w:szCs w:val="21"/>
                <w:highlight w:val="none"/>
                <w:u w:val="single"/>
              </w:rPr>
              <w:t>4</w:t>
            </w:r>
            <w:r>
              <w:rPr>
                <w:rFonts w:hint="eastAsia" w:ascii="仿宋_GB2312" w:hAnsi="仿宋_GB2312" w:eastAsia="仿宋_GB2312" w:cs="仿宋_GB2312"/>
                <w:color w:val="auto"/>
                <w:szCs w:val="21"/>
                <w:highlight w:val="none"/>
              </w:rPr>
              <w:t>人组成，共</w:t>
            </w:r>
            <w:r>
              <w:rPr>
                <w:rFonts w:hint="eastAsia" w:ascii="仿宋_GB2312" w:hAnsi="仿宋_GB2312" w:eastAsia="仿宋_GB2312" w:cs="仿宋_GB2312"/>
                <w:color w:val="auto"/>
                <w:szCs w:val="21"/>
                <w:highlight w:val="none"/>
                <w:u w:val="single"/>
              </w:rPr>
              <w:t>5</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000000"/>
                <w:sz w:val="21"/>
                <w:szCs w:val="21"/>
                <w:highlight w:val="none"/>
              </w:rPr>
              <w:t xml:space="preserve"> </w:t>
            </w:r>
          </w:p>
        </w:tc>
      </w:tr>
      <w:tr w14:paraId="040EB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3" w:hRule="atLeast"/>
        </w:trPr>
        <w:tc>
          <w:tcPr>
            <w:tcW w:w="852" w:type="dxa"/>
            <w:noWrap w:val="0"/>
            <w:vAlign w:val="center"/>
          </w:tcPr>
          <w:p w14:paraId="540EDCC0">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25.1</w:t>
            </w:r>
          </w:p>
        </w:tc>
        <w:tc>
          <w:tcPr>
            <w:tcW w:w="1917" w:type="dxa"/>
            <w:noWrap w:val="0"/>
            <w:vAlign w:val="center"/>
          </w:tcPr>
          <w:p w14:paraId="36DC855A">
            <w:pPr>
              <w:shd w:val="clear" w:color="auto" w:fill="FFFFFF"/>
              <w:adjustRightInd w:val="0"/>
              <w:snapToGrid w:val="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样品的评审方法以及评审标准</w:t>
            </w:r>
          </w:p>
          <w:p w14:paraId="077F3A27">
            <w:pPr>
              <w:shd w:val="clear" w:color="auto" w:fill="FFFFFF"/>
              <w:adjustRightInd w:val="0"/>
              <w:snapToGrid w:val="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演示的评审方法及评审标准</w:t>
            </w:r>
          </w:p>
        </w:tc>
        <w:tc>
          <w:tcPr>
            <w:tcW w:w="5887" w:type="dxa"/>
            <w:noWrap w:val="0"/>
            <w:vAlign w:val="center"/>
          </w:tcPr>
          <w:p w14:paraId="5C5A47DA">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sym w:font="Wingdings 2" w:char="00A3"/>
            </w:r>
            <w:r>
              <w:rPr>
                <w:rFonts w:hint="eastAsia" w:ascii="仿宋_GB2312" w:hAnsi="仿宋_GB2312" w:eastAsia="仿宋_GB2312" w:cs="仿宋_GB2312"/>
                <w:bCs/>
                <w:color w:val="000000"/>
                <w:kern w:val="0"/>
                <w:sz w:val="21"/>
                <w:szCs w:val="21"/>
                <w:highlight w:val="none"/>
              </w:rPr>
              <w:t>样品：</w:t>
            </w:r>
          </w:p>
          <w:p w14:paraId="5F384E92">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lang w:eastAsia="zh-CN"/>
              </w:rPr>
              <w:t>1.</w:t>
            </w:r>
            <w:r>
              <w:rPr>
                <w:rFonts w:hint="eastAsia" w:ascii="仿宋_GB2312" w:hAnsi="仿宋_GB2312" w:eastAsia="仿宋_GB2312" w:cs="仿宋_GB2312"/>
                <w:color w:val="000000"/>
                <w:kern w:val="0"/>
                <w:sz w:val="21"/>
                <w:szCs w:val="21"/>
                <w:highlight w:val="none"/>
              </w:rPr>
              <w:t>样品评审方法：</w:t>
            </w:r>
            <w:r>
              <w:rPr>
                <w:rFonts w:hint="eastAsia" w:ascii="仿宋_GB2312" w:hAnsi="仿宋_GB2312" w:eastAsia="仿宋_GB2312" w:cs="仿宋_GB2312"/>
                <w:color w:val="000000"/>
                <w:kern w:val="0"/>
                <w:sz w:val="21"/>
                <w:szCs w:val="21"/>
                <w:highlight w:val="none"/>
                <w:u w:val="single"/>
              </w:rPr>
              <w:t xml:space="preserve">              </w:t>
            </w:r>
          </w:p>
          <w:p w14:paraId="20111DE5">
            <w:pPr>
              <w:adjustRightInd w:val="0"/>
              <w:snapToGrid w:val="0"/>
              <w:rPr>
                <w:rFonts w:hint="eastAsia" w:ascii="仿宋_GB2312" w:hAnsi="仿宋_GB2312" w:eastAsia="仿宋_GB2312" w:cs="仿宋_GB2312"/>
                <w:color w:val="000000"/>
                <w:kern w:val="0"/>
                <w:sz w:val="21"/>
                <w:szCs w:val="21"/>
                <w:highlight w:val="none"/>
                <w:u w:val="single"/>
              </w:rPr>
            </w:pPr>
            <w:r>
              <w:rPr>
                <w:rFonts w:hint="eastAsia" w:ascii="仿宋_GB2312" w:hAnsi="仿宋_GB2312" w:eastAsia="仿宋_GB2312" w:cs="仿宋_GB2312"/>
                <w:color w:val="000000"/>
                <w:kern w:val="0"/>
                <w:sz w:val="21"/>
                <w:szCs w:val="21"/>
                <w:highlight w:val="none"/>
                <w:lang w:eastAsia="zh-CN"/>
              </w:rPr>
              <w:t>2.</w:t>
            </w:r>
            <w:r>
              <w:rPr>
                <w:rFonts w:hint="eastAsia" w:ascii="仿宋_GB2312" w:hAnsi="仿宋_GB2312" w:eastAsia="仿宋_GB2312" w:cs="仿宋_GB2312"/>
                <w:color w:val="000000"/>
                <w:kern w:val="0"/>
                <w:sz w:val="21"/>
                <w:szCs w:val="21"/>
                <w:highlight w:val="none"/>
              </w:rPr>
              <w:t>样品评审标准：</w:t>
            </w:r>
            <w:r>
              <w:rPr>
                <w:rFonts w:hint="eastAsia" w:ascii="仿宋_GB2312" w:hAnsi="仿宋_GB2312" w:eastAsia="仿宋_GB2312" w:cs="仿宋_GB2312"/>
                <w:color w:val="000000"/>
                <w:kern w:val="0"/>
                <w:sz w:val="21"/>
                <w:szCs w:val="21"/>
                <w:highlight w:val="none"/>
                <w:u w:val="single"/>
              </w:rPr>
              <w:t xml:space="preserve">              </w:t>
            </w:r>
          </w:p>
          <w:p w14:paraId="1D5260BC">
            <w:pPr>
              <w:adjustRightInd w:val="0"/>
              <w:snapToGrid w:val="0"/>
              <w:rPr>
                <w:rFonts w:hint="eastAsia" w:ascii="仿宋_GB2312" w:hAnsi="仿宋_GB2312" w:eastAsia="仿宋_GB2312" w:cs="仿宋_GB2312"/>
                <w:color w:val="000000"/>
                <w:kern w:val="0"/>
                <w:sz w:val="21"/>
                <w:szCs w:val="21"/>
                <w:highlight w:val="none"/>
                <w:u w:val="single"/>
              </w:rPr>
            </w:pPr>
          </w:p>
          <w:p w14:paraId="0E098AF5">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sym w:font="Wingdings 2" w:char="00A3"/>
            </w:r>
            <w:r>
              <w:rPr>
                <w:rFonts w:hint="eastAsia" w:ascii="仿宋_GB2312" w:hAnsi="仿宋_GB2312" w:eastAsia="仿宋_GB2312" w:cs="仿宋_GB2312"/>
                <w:color w:val="000000"/>
                <w:kern w:val="0"/>
                <w:sz w:val="21"/>
                <w:szCs w:val="21"/>
                <w:highlight w:val="none"/>
              </w:rPr>
              <w:t>演示：</w:t>
            </w:r>
          </w:p>
          <w:p w14:paraId="43D241C8">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lang w:eastAsia="zh-CN"/>
              </w:rPr>
              <w:t>1.</w:t>
            </w:r>
            <w:r>
              <w:rPr>
                <w:rFonts w:hint="eastAsia" w:ascii="仿宋_GB2312" w:hAnsi="仿宋_GB2312" w:eastAsia="仿宋_GB2312" w:cs="仿宋_GB2312"/>
                <w:color w:val="000000"/>
                <w:kern w:val="0"/>
                <w:sz w:val="21"/>
                <w:szCs w:val="21"/>
                <w:highlight w:val="none"/>
              </w:rPr>
              <w:t>演示评审方法：</w:t>
            </w:r>
            <w:r>
              <w:rPr>
                <w:rFonts w:hint="eastAsia" w:ascii="仿宋_GB2312" w:hAnsi="仿宋_GB2312" w:eastAsia="仿宋_GB2312" w:cs="仿宋_GB2312"/>
                <w:color w:val="000000"/>
                <w:kern w:val="0"/>
                <w:sz w:val="21"/>
                <w:szCs w:val="21"/>
                <w:highlight w:val="none"/>
                <w:u w:val="single"/>
              </w:rPr>
              <w:t xml:space="preserve">              </w:t>
            </w:r>
          </w:p>
          <w:p w14:paraId="3C449616">
            <w:pPr>
              <w:adjustRightInd w:val="0"/>
              <w:snapToGrid w:val="0"/>
              <w:rPr>
                <w:rFonts w:hint="eastAsia" w:ascii="仿宋_GB2312" w:hAnsi="仿宋_GB2312" w:eastAsia="仿宋_GB2312" w:cs="仿宋_GB2312"/>
                <w:color w:val="000000"/>
                <w:kern w:val="0"/>
                <w:sz w:val="21"/>
                <w:szCs w:val="21"/>
                <w:highlight w:val="none"/>
                <w:u w:val="single"/>
              </w:rPr>
            </w:pPr>
            <w:r>
              <w:rPr>
                <w:rFonts w:hint="eastAsia" w:ascii="仿宋_GB2312" w:hAnsi="仿宋_GB2312" w:eastAsia="仿宋_GB2312" w:cs="仿宋_GB2312"/>
                <w:color w:val="000000"/>
                <w:kern w:val="0"/>
                <w:sz w:val="21"/>
                <w:szCs w:val="21"/>
                <w:highlight w:val="none"/>
                <w:lang w:eastAsia="zh-CN"/>
              </w:rPr>
              <w:t>2.</w:t>
            </w:r>
            <w:r>
              <w:rPr>
                <w:rFonts w:hint="eastAsia" w:ascii="仿宋_GB2312" w:hAnsi="仿宋_GB2312" w:eastAsia="仿宋_GB2312" w:cs="仿宋_GB2312"/>
                <w:color w:val="000000"/>
                <w:kern w:val="0"/>
                <w:sz w:val="21"/>
                <w:szCs w:val="21"/>
                <w:highlight w:val="none"/>
              </w:rPr>
              <w:t>演示评审标准：</w:t>
            </w:r>
            <w:r>
              <w:rPr>
                <w:rFonts w:hint="eastAsia" w:ascii="仿宋_GB2312" w:hAnsi="仿宋_GB2312" w:eastAsia="仿宋_GB2312" w:cs="仿宋_GB2312"/>
                <w:color w:val="000000"/>
                <w:kern w:val="0"/>
                <w:sz w:val="21"/>
                <w:szCs w:val="21"/>
                <w:highlight w:val="none"/>
                <w:u w:val="single"/>
              </w:rPr>
              <w:t xml:space="preserve">              </w:t>
            </w:r>
          </w:p>
        </w:tc>
      </w:tr>
      <w:tr w14:paraId="3AC20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3E9F60DC">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27.2</w:t>
            </w:r>
          </w:p>
        </w:tc>
        <w:tc>
          <w:tcPr>
            <w:tcW w:w="1917" w:type="dxa"/>
            <w:noWrap w:val="0"/>
            <w:vAlign w:val="center"/>
          </w:tcPr>
          <w:p w14:paraId="3D4D9BA4">
            <w:pPr>
              <w:widowControl/>
              <w:adjustRightInd w:val="0"/>
              <w:snapToGrid w:val="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评标办法</w:t>
            </w:r>
          </w:p>
        </w:tc>
        <w:tc>
          <w:tcPr>
            <w:tcW w:w="5887" w:type="dxa"/>
            <w:noWrap w:val="0"/>
            <w:vAlign w:val="center"/>
          </w:tcPr>
          <w:p w14:paraId="69FB2414">
            <w:pPr>
              <w:widowControl/>
              <w:adjustRightInd w:val="0"/>
              <w:snapToGrid w:val="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sym w:font="Wingdings 2" w:char="0052"/>
            </w:r>
            <w:r>
              <w:rPr>
                <w:rFonts w:hint="eastAsia" w:ascii="仿宋_GB2312" w:hAnsi="仿宋_GB2312" w:eastAsia="仿宋_GB2312" w:cs="仿宋_GB2312"/>
                <w:color w:val="000000"/>
                <w:sz w:val="21"/>
                <w:szCs w:val="21"/>
                <w:highlight w:val="none"/>
              </w:rPr>
              <w:t>综合评分法</w:t>
            </w:r>
          </w:p>
          <w:p w14:paraId="17001893">
            <w:pPr>
              <w:widowControl/>
              <w:adjustRightInd w:val="0"/>
              <w:snapToGrid w:val="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sym w:font="Wingdings 2" w:char="00A3"/>
            </w:r>
            <w:r>
              <w:rPr>
                <w:rFonts w:hint="eastAsia" w:ascii="仿宋_GB2312" w:hAnsi="仿宋_GB2312" w:eastAsia="仿宋_GB2312" w:cs="仿宋_GB2312"/>
                <w:color w:val="000000"/>
                <w:sz w:val="21"/>
                <w:szCs w:val="21"/>
                <w:highlight w:val="none"/>
              </w:rPr>
              <w:t xml:space="preserve">最低评标价法 </w:t>
            </w:r>
          </w:p>
        </w:tc>
      </w:tr>
      <w:tr w14:paraId="32419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52" w:type="dxa"/>
            <w:noWrap w:val="0"/>
            <w:vAlign w:val="center"/>
          </w:tcPr>
          <w:p w14:paraId="363FCE3E">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27.6</w:t>
            </w:r>
          </w:p>
        </w:tc>
        <w:tc>
          <w:tcPr>
            <w:tcW w:w="1917" w:type="dxa"/>
            <w:noWrap w:val="0"/>
            <w:vAlign w:val="center"/>
          </w:tcPr>
          <w:p w14:paraId="7442C00E">
            <w:pPr>
              <w:tabs>
                <w:tab w:val="left" w:pos="1425"/>
              </w:tabs>
              <w:adjustRightInd w:val="0"/>
              <w:snapToGrid w:val="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支持本国产品</w:t>
            </w:r>
          </w:p>
        </w:tc>
        <w:tc>
          <w:tcPr>
            <w:tcW w:w="5887" w:type="dxa"/>
            <w:noWrap w:val="0"/>
            <w:vAlign w:val="center"/>
          </w:tcPr>
          <w:p w14:paraId="5A1A6DD9">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sym w:font="Wingdings 2" w:char="0052"/>
            </w:r>
            <w:r>
              <w:rPr>
                <w:rFonts w:hint="eastAsia" w:ascii="仿宋_GB2312" w:hAnsi="仿宋_GB2312" w:eastAsia="仿宋_GB2312" w:cs="仿宋_GB2312"/>
                <w:color w:val="000000"/>
                <w:kern w:val="0"/>
                <w:sz w:val="21"/>
                <w:szCs w:val="21"/>
                <w:highlight w:val="none"/>
              </w:rPr>
              <w:t>适用</w:t>
            </w:r>
          </w:p>
          <w:p w14:paraId="2FD84A20">
            <w:pPr>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□不适用</w:t>
            </w:r>
          </w:p>
        </w:tc>
      </w:tr>
      <w:tr w14:paraId="0B2D1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0"/>
            <w:vAlign w:val="center"/>
          </w:tcPr>
          <w:p w14:paraId="2206AD40">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29.2</w:t>
            </w:r>
          </w:p>
        </w:tc>
        <w:tc>
          <w:tcPr>
            <w:tcW w:w="1917" w:type="dxa"/>
            <w:noWrap w:val="0"/>
            <w:vAlign w:val="center"/>
          </w:tcPr>
          <w:p w14:paraId="188A0EF4">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推荐中标候选人的数量</w:t>
            </w:r>
          </w:p>
        </w:tc>
        <w:tc>
          <w:tcPr>
            <w:tcW w:w="5887" w:type="dxa"/>
            <w:noWrap w:val="0"/>
            <w:vAlign w:val="center"/>
          </w:tcPr>
          <w:p w14:paraId="088A5256">
            <w:pPr>
              <w:widowControl/>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u w:val="single"/>
              </w:rPr>
              <w:t xml:space="preserve"> </w:t>
            </w:r>
            <w:r>
              <w:rPr>
                <w:rFonts w:hint="eastAsia" w:ascii="仿宋_GB2312" w:hAnsi="仿宋_GB2312" w:eastAsia="仿宋_GB2312" w:cs="仿宋_GB2312"/>
                <w:color w:val="auto"/>
                <w:kern w:val="0"/>
                <w:szCs w:val="21"/>
                <w:highlight w:val="none"/>
                <w:u w:val="single"/>
              </w:rPr>
              <w:t>3家</w:t>
            </w:r>
            <w:r>
              <w:rPr>
                <w:rFonts w:hint="eastAsia" w:ascii="仿宋_GB2312" w:hAnsi="仿宋_GB2312" w:eastAsia="仿宋_GB2312" w:cs="仿宋_GB2312"/>
                <w:color w:val="000000"/>
                <w:kern w:val="0"/>
                <w:sz w:val="21"/>
                <w:szCs w:val="21"/>
                <w:highlight w:val="none"/>
                <w:u w:val="single"/>
              </w:rPr>
              <w:t xml:space="preserve">  </w:t>
            </w:r>
          </w:p>
        </w:tc>
      </w:tr>
      <w:tr w14:paraId="66BFE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noWrap w:val="0"/>
            <w:vAlign w:val="center"/>
          </w:tcPr>
          <w:p w14:paraId="31A39BF7">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31</w:t>
            </w:r>
          </w:p>
        </w:tc>
        <w:tc>
          <w:tcPr>
            <w:tcW w:w="1917" w:type="dxa"/>
            <w:noWrap w:val="0"/>
            <w:vAlign w:val="center"/>
          </w:tcPr>
          <w:p w14:paraId="5F3689B4">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确定中标人的方式</w:t>
            </w:r>
          </w:p>
        </w:tc>
        <w:tc>
          <w:tcPr>
            <w:tcW w:w="5887" w:type="dxa"/>
            <w:noWrap w:val="0"/>
            <w:vAlign w:val="center"/>
          </w:tcPr>
          <w:p w14:paraId="7A42C71A">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中标人数量：</w:t>
            </w:r>
            <w:r>
              <w:rPr>
                <w:rFonts w:hint="eastAsia" w:ascii="仿宋_GB2312" w:hAnsi="仿宋_GB2312" w:eastAsia="仿宋_GB2312" w:cs="仿宋_GB2312"/>
                <w:color w:val="auto"/>
                <w:kern w:val="0"/>
                <w:szCs w:val="21"/>
                <w:highlight w:val="none"/>
                <w:u w:val="single"/>
              </w:rPr>
              <w:t>1家</w:t>
            </w:r>
          </w:p>
          <w:p w14:paraId="1DC45D3B">
            <w:pPr>
              <w:widowControl/>
              <w:rPr>
                <w:rFonts w:hint="eastAsia"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sym w:font="Wingdings 2" w:char="00A3"/>
            </w:r>
            <w:r>
              <w:rPr>
                <w:rFonts w:hint="eastAsia" w:ascii="仿宋_GB2312" w:hAnsi="仿宋_GB2312" w:eastAsia="仿宋_GB2312" w:cs="仿宋_GB2312"/>
                <w:color w:val="auto"/>
                <w:kern w:val="0"/>
                <w:szCs w:val="21"/>
                <w:highlight w:val="none"/>
              </w:rPr>
              <w:t>采购人委托评标委员会直接确定中标人</w:t>
            </w:r>
          </w:p>
          <w:p w14:paraId="5BC41955">
            <w:pPr>
              <w:widowControl/>
              <w:adjustRightInd w:val="0"/>
              <w:snapToGrid w:val="0"/>
              <w:rPr>
                <w:rFonts w:hint="eastAsia" w:ascii="仿宋_GB2312" w:hAnsi="仿宋_GB2312" w:eastAsia="仿宋_GB2312" w:cs="仿宋_GB2312"/>
                <w:color w:val="000000"/>
                <w:kern w:val="0"/>
                <w:sz w:val="21"/>
                <w:szCs w:val="21"/>
                <w:highlight w:val="none"/>
                <w:u w:val="single"/>
              </w:rPr>
            </w:pPr>
            <w:r>
              <w:rPr>
                <w:rFonts w:hint="eastAsia" w:ascii="仿宋_GB2312" w:hAnsi="仿宋_GB2312" w:eastAsia="仿宋_GB2312" w:cs="仿宋_GB2312"/>
                <w:color w:val="auto"/>
                <w:kern w:val="0"/>
                <w:szCs w:val="21"/>
                <w:highlight w:val="none"/>
              </w:rPr>
              <w:sym w:font="Wingdings 2" w:char="0052"/>
            </w:r>
            <w:r>
              <w:rPr>
                <w:rFonts w:hint="eastAsia" w:ascii="仿宋_GB2312" w:hAnsi="仿宋_GB2312" w:eastAsia="仿宋_GB2312" w:cs="仿宋_GB2312"/>
                <w:color w:val="auto"/>
                <w:kern w:val="0"/>
                <w:szCs w:val="21"/>
                <w:highlight w:val="none"/>
              </w:rPr>
              <w:t>采购人确定中标人</w:t>
            </w:r>
          </w:p>
        </w:tc>
      </w:tr>
      <w:tr w14:paraId="523E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5" w:hRule="atLeast"/>
        </w:trPr>
        <w:tc>
          <w:tcPr>
            <w:tcW w:w="852" w:type="dxa"/>
            <w:noWrap w:val="0"/>
            <w:vAlign w:val="center"/>
          </w:tcPr>
          <w:p w14:paraId="68C579F1">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35.1</w:t>
            </w:r>
          </w:p>
        </w:tc>
        <w:tc>
          <w:tcPr>
            <w:tcW w:w="1917" w:type="dxa"/>
            <w:noWrap w:val="0"/>
            <w:vAlign w:val="center"/>
          </w:tcPr>
          <w:p w14:paraId="5D5DBB89">
            <w:pPr>
              <w:shd w:val="clear" w:color="auto" w:fill="FFFFFF"/>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sz w:val="21"/>
                <w:szCs w:val="21"/>
                <w:highlight w:val="none"/>
              </w:rPr>
              <w:t>履约保证金</w:t>
            </w:r>
          </w:p>
        </w:tc>
        <w:tc>
          <w:tcPr>
            <w:tcW w:w="5887" w:type="dxa"/>
            <w:noWrap w:val="0"/>
            <w:vAlign w:val="center"/>
          </w:tcPr>
          <w:p w14:paraId="0C69D00D">
            <w:pPr>
              <w:shd w:val="clear" w:color="auto" w:fill="FFFFFF"/>
              <w:adjustRightInd w:val="0"/>
              <w:snapToGrid w:val="0"/>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sym w:font="Wingdings 2" w:char="0052"/>
            </w:r>
            <w:r>
              <w:rPr>
                <w:rFonts w:hint="eastAsia" w:ascii="仿宋_GB2312" w:hAnsi="仿宋_GB2312" w:eastAsia="仿宋_GB2312" w:cs="仿宋_GB2312"/>
                <w:color w:val="000000"/>
                <w:sz w:val="21"/>
                <w:szCs w:val="21"/>
                <w:highlight w:val="none"/>
              </w:rPr>
              <w:t>本项目不收取履约保证金</w:t>
            </w:r>
          </w:p>
          <w:p w14:paraId="5BE876AA">
            <w:pPr>
              <w:shd w:val="clear" w:color="auto" w:fill="FFFFFF"/>
              <w:adjustRightInd w:val="0"/>
              <w:snapToGrid w:val="0"/>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sym w:font="Wingdings 2" w:char="00A3"/>
            </w:r>
            <w:r>
              <w:rPr>
                <w:rFonts w:hint="eastAsia" w:ascii="仿宋_GB2312" w:hAnsi="仿宋_GB2312" w:eastAsia="仿宋_GB2312" w:cs="仿宋_GB2312"/>
                <w:color w:val="000000"/>
                <w:sz w:val="21"/>
                <w:szCs w:val="21"/>
                <w:highlight w:val="none"/>
              </w:rPr>
              <w:t>本项目收取履约保证金</w:t>
            </w:r>
          </w:p>
          <w:p w14:paraId="32C341B9">
            <w:pPr>
              <w:shd w:val="clear" w:color="auto" w:fill="FFFFFF"/>
              <w:adjustRightInd w:val="0"/>
              <w:snapToGrid w:val="0"/>
              <w:ind w:firstLine="210" w:firstLineChars="100"/>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履约保证金金额：</w:t>
            </w:r>
            <w:r>
              <w:rPr>
                <w:rFonts w:hint="eastAsia" w:ascii="仿宋_GB2312" w:hAnsi="仿宋_GB2312" w:eastAsia="仿宋_GB2312" w:cs="仿宋_GB2312"/>
                <w:color w:val="000000"/>
                <w:kern w:val="0"/>
                <w:sz w:val="21"/>
                <w:szCs w:val="21"/>
                <w:highlight w:val="none"/>
                <w:u w:val="single"/>
              </w:rPr>
              <w:t xml:space="preserve">                 </w:t>
            </w:r>
          </w:p>
          <w:p w14:paraId="15EA9197">
            <w:pPr>
              <w:shd w:val="clear" w:color="auto" w:fill="FFFFFF"/>
              <w:adjustRightInd w:val="0"/>
              <w:snapToGrid w:val="0"/>
              <w:ind w:firstLine="210" w:firstLineChars="100"/>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履约保证金递交时间：</w:t>
            </w:r>
            <w:r>
              <w:rPr>
                <w:rFonts w:hint="eastAsia" w:ascii="仿宋_GB2312" w:hAnsi="仿宋_GB2312" w:eastAsia="仿宋_GB2312" w:cs="仿宋_GB2312"/>
                <w:color w:val="000000"/>
                <w:kern w:val="0"/>
                <w:sz w:val="21"/>
                <w:szCs w:val="21"/>
                <w:highlight w:val="none"/>
                <w:u w:val="single"/>
              </w:rPr>
              <w:t xml:space="preserve">             </w:t>
            </w:r>
          </w:p>
          <w:p w14:paraId="2A4ACB9E">
            <w:pPr>
              <w:pStyle w:val="7"/>
              <w:adjustRightInd w:val="0"/>
              <w:snapToGrid w:val="0"/>
              <w:ind w:firstLine="210" w:firstLineChars="10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 xml:space="preserve">履约保证金递交方式：□保函  □支票  </w:t>
            </w:r>
            <w:r>
              <w:rPr>
                <w:rFonts w:hint="eastAsia" w:ascii="仿宋_GB2312" w:hAnsi="仿宋_GB2312" w:eastAsia="仿宋_GB2312" w:cs="仿宋_GB2312"/>
                <w:color w:val="000000"/>
                <w:sz w:val="21"/>
                <w:szCs w:val="21"/>
                <w:highlight w:val="none"/>
              </w:rPr>
              <w:sym w:font="Wingdings 2" w:char="00A3"/>
            </w:r>
            <w:r>
              <w:rPr>
                <w:rFonts w:hint="eastAsia" w:ascii="仿宋_GB2312" w:hAnsi="仿宋_GB2312" w:eastAsia="仿宋_GB2312" w:cs="仿宋_GB2312"/>
                <w:color w:val="000000"/>
                <w:sz w:val="21"/>
                <w:szCs w:val="21"/>
                <w:highlight w:val="none"/>
              </w:rPr>
              <w:t xml:space="preserve">汇票  </w:t>
            </w:r>
            <w:r>
              <w:rPr>
                <w:rFonts w:hint="eastAsia" w:ascii="仿宋_GB2312" w:hAnsi="仿宋_GB2312" w:eastAsia="仿宋_GB2312" w:cs="仿宋_GB2312"/>
                <w:color w:val="000000"/>
                <w:sz w:val="21"/>
                <w:szCs w:val="21"/>
                <w:highlight w:val="none"/>
              </w:rPr>
              <w:sym w:font="Wingdings 2" w:char="00A3"/>
            </w:r>
            <w:r>
              <w:rPr>
                <w:rFonts w:hint="eastAsia" w:ascii="仿宋_GB2312" w:hAnsi="仿宋_GB2312" w:eastAsia="仿宋_GB2312" w:cs="仿宋_GB2312"/>
                <w:color w:val="000000"/>
                <w:sz w:val="21"/>
                <w:szCs w:val="21"/>
                <w:highlight w:val="none"/>
              </w:rPr>
              <w:t>本票</w:t>
            </w:r>
          </w:p>
          <w:p w14:paraId="3C86215C">
            <w:pPr>
              <w:pStyle w:val="7"/>
              <w:adjustRightInd w:val="0"/>
              <w:snapToGrid w:val="0"/>
              <w:ind w:firstLine="2310" w:firstLineChars="1100"/>
              <w:rPr>
                <w:rFonts w:hint="eastAsia" w:ascii="仿宋_GB2312" w:hAnsi="仿宋_GB2312" w:eastAsia="仿宋_GB2312" w:cs="仿宋_GB2312"/>
                <w:color w:val="000000"/>
                <w:kern w:val="0"/>
                <w:sz w:val="21"/>
                <w:szCs w:val="21"/>
                <w:highlight w:val="none"/>
                <w:u w:val="single"/>
              </w:rPr>
            </w:pPr>
            <w:r>
              <w:rPr>
                <w:rFonts w:hint="eastAsia" w:ascii="仿宋_GB2312" w:hAnsi="仿宋_GB2312" w:eastAsia="仿宋_GB2312" w:cs="仿宋_GB2312"/>
                <w:color w:val="000000"/>
                <w:sz w:val="21"/>
                <w:szCs w:val="21"/>
                <w:highlight w:val="none"/>
              </w:rPr>
              <w:t>□其他：</w:t>
            </w:r>
            <w:r>
              <w:rPr>
                <w:rFonts w:hint="eastAsia" w:ascii="仿宋_GB2312" w:hAnsi="仿宋_GB2312" w:eastAsia="仿宋_GB2312" w:cs="仿宋_GB2312"/>
                <w:color w:val="000000"/>
                <w:sz w:val="21"/>
                <w:szCs w:val="21"/>
                <w:highlight w:val="none"/>
                <w:u w:val="single"/>
              </w:rPr>
              <w:t xml:space="preserve">         </w:t>
            </w:r>
          </w:p>
          <w:p w14:paraId="0EA8B3DC">
            <w:pPr>
              <w:shd w:val="clear" w:color="auto" w:fill="FFFFFF"/>
              <w:adjustRightInd w:val="0"/>
              <w:snapToGrid w:val="0"/>
              <w:ind w:firstLine="420" w:firstLineChars="200"/>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保证金收款人银行信息：</w:t>
            </w:r>
          </w:p>
          <w:p w14:paraId="5D2D8B5D">
            <w:pPr>
              <w:adjustRightInd w:val="0"/>
              <w:snapToGrid w:val="0"/>
              <w:ind w:firstLine="420" w:firstLineChars="20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开 户 名：</w:t>
            </w:r>
            <w:r>
              <w:rPr>
                <w:rFonts w:hint="eastAsia" w:ascii="仿宋_GB2312" w:hAnsi="仿宋_GB2312" w:eastAsia="仿宋_GB2312" w:cs="仿宋_GB2312"/>
                <w:color w:val="000000"/>
                <w:kern w:val="0"/>
                <w:sz w:val="21"/>
                <w:szCs w:val="21"/>
                <w:highlight w:val="none"/>
                <w:u w:val="single"/>
              </w:rPr>
              <w:t xml:space="preserve">                 </w:t>
            </w:r>
            <w:r>
              <w:rPr>
                <w:rFonts w:hint="eastAsia" w:ascii="仿宋_GB2312" w:hAnsi="仿宋_GB2312" w:eastAsia="仿宋_GB2312" w:cs="仿宋_GB2312"/>
                <w:color w:val="000000"/>
                <w:sz w:val="21"/>
                <w:szCs w:val="21"/>
                <w:highlight w:val="none"/>
              </w:rPr>
              <w:t xml:space="preserve"> </w:t>
            </w:r>
          </w:p>
          <w:p w14:paraId="1F574EFF">
            <w:pPr>
              <w:adjustRightInd w:val="0"/>
              <w:snapToGrid w:val="0"/>
              <w:ind w:firstLine="420" w:firstLineChars="20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开 户 行：</w:t>
            </w:r>
            <w:r>
              <w:rPr>
                <w:rFonts w:hint="eastAsia" w:ascii="仿宋_GB2312" w:hAnsi="仿宋_GB2312" w:eastAsia="仿宋_GB2312" w:cs="仿宋_GB2312"/>
                <w:color w:val="000000"/>
                <w:kern w:val="0"/>
                <w:sz w:val="21"/>
                <w:szCs w:val="21"/>
                <w:highlight w:val="none"/>
                <w:u w:val="single"/>
              </w:rPr>
              <w:t xml:space="preserve">                 </w:t>
            </w:r>
            <w:r>
              <w:rPr>
                <w:rFonts w:hint="eastAsia" w:ascii="仿宋_GB2312" w:hAnsi="仿宋_GB2312" w:eastAsia="仿宋_GB2312" w:cs="仿宋_GB2312"/>
                <w:color w:val="000000"/>
                <w:sz w:val="21"/>
                <w:szCs w:val="21"/>
                <w:highlight w:val="none"/>
              </w:rPr>
              <w:t xml:space="preserve"> </w:t>
            </w:r>
          </w:p>
          <w:p w14:paraId="3028348B">
            <w:pPr>
              <w:adjustRightInd w:val="0"/>
              <w:snapToGrid w:val="0"/>
              <w:ind w:firstLine="420" w:firstLineChars="20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账    号：</w:t>
            </w:r>
            <w:r>
              <w:rPr>
                <w:rFonts w:hint="eastAsia" w:ascii="仿宋_GB2312" w:hAnsi="仿宋_GB2312" w:eastAsia="仿宋_GB2312" w:cs="仿宋_GB2312"/>
                <w:color w:val="000000"/>
                <w:kern w:val="0"/>
                <w:sz w:val="21"/>
                <w:szCs w:val="21"/>
                <w:highlight w:val="none"/>
                <w:u w:val="single"/>
              </w:rPr>
              <w:t xml:space="preserve">                 </w:t>
            </w:r>
            <w:r>
              <w:rPr>
                <w:rFonts w:hint="eastAsia" w:ascii="仿宋_GB2312" w:hAnsi="仿宋_GB2312" w:eastAsia="仿宋_GB2312" w:cs="仿宋_GB2312"/>
                <w:color w:val="000000"/>
                <w:sz w:val="21"/>
                <w:szCs w:val="21"/>
                <w:highlight w:val="none"/>
              </w:rPr>
              <w:t xml:space="preserve"> </w:t>
            </w:r>
          </w:p>
          <w:p w14:paraId="76AF6108">
            <w:pPr>
              <w:shd w:val="clear" w:color="auto" w:fill="FFFFFF"/>
              <w:adjustRightInd w:val="0"/>
              <w:snapToGrid w:val="0"/>
              <w:ind w:firstLine="210" w:firstLineChars="100"/>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履约保证金退还时间及规定：</w:t>
            </w:r>
            <w:r>
              <w:rPr>
                <w:rFonts w:hint="eastAsia" w:ascii="仿宋_GB2312" w:hAnsi="仿宋_GB2312" w:eastAsia="仿宋_GB2312" w:cs="仿宋_GB2312"/>
                <w:color w:val="000000"/>
                <w:kern w:val="0"/>
                <w:sz w:val="21"/>
                <w:szCs w:val="21"/>
                <w:highlight w:val="none"/>
                <w:u w:val="single"/>
              </w:rPr>
              <w:t xml:space="preserve">   </w:t>
            </w:r>
          </w:p>
          <w:p w14:paraId="272A2A57">
            <w:pPr>
              <w:shd w:val="clear" w:color="auto" w:fill="FFFFFF"/>
              <w:adjustRightInd w:val="0"/>
              <w:snapToGrid w:val="0"/>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b/>
                <w:bCs/>
                <w:color w:val="000000"/>
                <w:sz w:val="21"/>
                <w:szCs w:val="21"/>
                <w:highlight w:val="none"/>
              </w:rPr>
              <w:t>（注：财政部门鼓励采用保函的方式递交履约保证金，具体办理流程参阅辽宁政府采购网）</w:t>
            </w:r>
          </w:p>
        </w:tc>
      </w:tr>
      <w:tr w14:paraId="43E6D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852" w:type="dxa"/>
            <w:noWrap w:val="0"/>
            <w:vAlign w:val="center"/>
          </w:tcPr>
          <w:p w14:paraId="454BF266">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36</w:t>
            </w:r>
          </w:p>
        </w:tc>
        <w:tc>
          <w:tcPr>
            <w:tcW w:w="1917" w:type="dxa"/>
            <w:noWrap w:val="0"/>
            <w:vAlign w:val="center"/>
          </w:tcPr>
          <w:p w14:paraId="720E9050">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采购代理服务费</w:t>
            </w:r>
          </w:p>
        </w:tc>
        <w:tc>
          <w:tcPr>
            <w:tcW w:w="5887" w:type="dxa"/>
            <w:noWrap w:val="0"/>
            <w:vAlign w:val="center"/>
          </w:tcPr>
          <w:p w14:paraId="3E5CFA16">
            <w:pPr>
              <w:shd w:val="clear" w:color="auto" w:fill="FFFFFF"/>
              <w:adjustRightInd w:val="0"/>
              <w:snapToGrid w:val="0"/>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sym w:font="Wingdings 2" w:char="00A3"/>
            </w:r>
            <w:r>
              <w:rPr>
                <w:rFonts w:hint="eastAsia" w:ascii="仿宋_GB2312" w:hAnsi="仿宋_GB2312" w:eastAsia="仿宋_GB2312" w:cs="仿宋_GB2312"/>
                <w:color w:val="000000"/>
                <w:sz w:val="21"/>
                <w:szCs w:val="21"/>
                <w:highlight w:val="none"/>
              </w:rPr>
              <w:t>本项目不收取</w:t>
            </w:r>
            <w:r>
              <w:rPr>
                <w:rFonts w:hint="eastAsia" w:ascii="仿宋_GB2312" w:hAnsi="仿宋_GB2312" w:eastAsia="仿宋_GB2312" w:cs="仿宋_GB2312"/>
                <w:color w:val="000000"/>
                <w:kern w:val="0"/>
                <w:sz w:val="21"/>
                <w:szCs w:val="21"/>
                <w:highlight w:val="none"/>
              </w:rPr>
              <w:t>采购代理服务费</w:t>
            </w:r>
          </w:p>
          <w:p w14:paraId="703222A9">
            <w:pPr>
              <w:shd w:val="clear" w:color="auto" w:fill="FFFFFF"/>
              <w:adjustRightInd w:val="0"/>
              <w:snapToGrid w:val="0"/>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sym w:font="Wingdings 2" w:char="0052"/>
            </w:r>
            <w:r>
              <w:rPr>
                <w:rFonts w:hint="eastAsia" w:ascii="仿宋_GB2312" w:hAnsi="仿宋_GB2312" w:eastAsia="仿宋_GB2312" w:cs="仿宋_GB2312"/>
                <w:color w:val="000000"/>
                <w:sz w:val="21"/>
                <w:szCs w:val="21"/>
                <w:highlight w:val="none"/>
              </w:rPr>
              <w:t>本项目收取</w:t>
            </w:r>
            <w:r>
              <w:rPr>
                <w:rFonts w:hint="eastAsia" w:ascii="仿宋_GB2312" w:hAnsi="仿宋_GB2312" w:eastAsia="仿宋_GB2312" w:cs="仿宋_GB2312"/>
                <w:color w:val="000000"/>
                <w:kern w:val="0"/>
                <w:sz w:val="21"/>
                <w:szCs w:val="21"/>
                <w:highlight w:val="none"/>
              </w:rPr>
              <w:t>采购代理服务费</w:t>
            </w:r>
          </w:p>
          <w:p w14:paraId="6A74E98C">
            <w:pPr>
              <w:widowControl/>
              <w:ind w:firstLine="210" w:firstLineChars="1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本项目采购代理服务费由</w:t>
            </w:r>
            <w:r>
              <w:rPr>
                <w:rFonts w:hint="eastAsia" w:ascii="仿宋_GB2312" w:hAnsi="仿宋_GB2312" w:eastAsia="仿宋_GB2312" w:cs="仿宋_GB2312"/>
                <w:color w:val="auto"/>
                <w:kern w:val="0"/>
                <w:szCs w:val="21"/>
                <w:highlight w:val="none"/>
                <w:u w:val="single"/>
              </w:rPr>
              <w:t>中标人</w:t>
            </w:r>
            <w:r>
              <w:rPr>
                <w:rFonts w:hint="eastAsia" w:ascii="仿宋_GB2312" w:hAnsi="仿宋_GB2312" w:eastAsia="仿宋_GB2312" w:cs="仿宋_GB2312"/>
                <w:color w:val="auto"/>
                <w:kern w:val="0"/>
                <w:szCs w:val="21"/>
                <w:highlight w:val="none"/>
              </w:rPr>
              <w:t>向采购代理机构予以支付。</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4"/>
              <w:gridCol w:w="1176"/>
              <w:gridCol w:w="1324"/>
              <w:gridCol w:w="1324"/>
            </w:tblGrid>
            <w:tr w14:paraId="64D1F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trPr>
              <w:tc>
                <w:tcPr>
                  <w:tcW w:w="1620" w:type="pct"/>
                  <w:tcBorders>
                    <w:top w:val="single" w:color="auto" w:sz="4" w:space="0"/>
                    <w:left w:val="single" w:color="auto" w:sz="4" w:space="0"/>
                    <w:bottom w:val="single" w:color="auto" w:sz="4" w:space="0"/>
                    <w:right w:val="single" w:color="auto" w:sz="4" w:space="0"/>
                  </w:tcBorders>
                  <w:noWrap w:val="0"/>
                  <w:vAlign w:val="center"/>
                </w:tcPr>
                <w:p w14:paraId="30FF5DEB">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mc:AlternateContent>
                      <mc:Choice Requires="wpg">
                        <w:drawing>
                          <wp:anchor distT="0" distB="0" distL="114300" distR="114300" simplePos="0" relativeHeight="251659264" behindDoc="0" locked="0" layoutInCell="1" allowOverlap="1">
                            <wp:simplePos x="0" y="0"/>
                            <wp:positionH relativeFrom="column">
                              <wp:posOffset>-65405</wp:posOffset>
                            </wp:positionH>
                            <wp:positionV relativeFrom="paragraph">
                              <wp:posOffset>0</wp:posOffset>
                            </wp:positionV>
                            <wp:extent cx="1167130" cy="1010920"/>
                            <wp:effectExtent l="3175" t="4445" r="3175" b="5715"/>
                            <wp:wrapNone/>
                            <wp:docPr id="19" name="__TH_G32五号150"/>
                            <wp:cNvGraphicFramePr/>
                            <a:graphic xmlns:a="http://schemas.openxmlformats.org/drawingml/2006/main">
                              <a:graphicData uri="http://schemas.microsoft.com/office/word/2010/wordprocessingGroup">
                                <wpg:wgp>
                                  <wpg:cNvGrpSpPr/>
                                  <wpg:grpSpPr>
                                    <a:xfrm>
                                      <a:off x="0" y="0"/>
                                      <a:ext cx="1167130" cy="1010920"/>
                                      <a:chOff x="2762" y="2367"/>
                                      <a:chExt cx="2534" cy="1169"/>
                                    </a:xfrm>
                                    <a:effectLst/>
                                  </wpg:grpSpPr>
                                  <wps:wsp>
                                    <wps:cNvPr id="3" name="__TH_L134"/>
                                    <wps:cNvCnPr/>
                                    <wps:spPr>
                                      <a:xfrm>
                                        <a:off x="2762" y="2367"/>
                                        <a:ext cx="2534" cy="585"/>
                                      </a:xfrm>
                                      <a:prstGeom prst="line">
                                        <a:avLst/>
                                      </a:prstGeom>
                                      <a:ln w="6350" cap="flat" cmpd="sng">
                                        <a:solidFill>
                                          <a:srgbClr val="000000"/>
                                        </a:solidFill>
                                        <a:prstDash val="solid"/>
                                        <a:headEnd type="none" w="med" len="med"/>
                                        <a:tailEnd type="none" w="med" len="med"/>
                                      </a:ln>
                                      <a:effectLst/>
                                    </wps:spPr>
                                    <wps:bodyPr/>
                                  </wps:wsp>
                                  <wps:wsp>
                                    <wps:cNvPr id="4" name="__TH_L135"/>
                                    <wps:cNvCnPr/>
                                    <wps:spPr>
                                      <a:xfrm>
                                        <a:off x="2762" y="2367"/>
                                        <a:ext cx="2534" cy="1169"/>
                                      </a:xfrm>
                                      <a:prstGeom prst="line">
                                        <a:avLst/>
                                      </a:prstGeom>
                                      <a:ln w="6350" cap="flat" cmpd="sng">
                                        <a:solidFill>
                                          <a:srgbClr val="000000"/>
                                        </a:solidFill>
                                        <a:prstDash val="solid"/>
                                        <a:headEnd type="none" w="med" len="med"/>
                                        <a:tailEnd type="none" w="med" len="med"/>
                                      </a:ln>
                                      <a:effectLst/>
                                    </wps:spPr>
                                    <wps:bodyPr/>
                                  </wps:wsp>
                                  <wps:wsp>
                                    <wps:cNvPr id="5" name="__TH_B11136"/>
                                    <wps:cNvSpPr txBox="1"/>
                                    <wps:spPr>
                                      <a:xfrm>
                                        <a:off x="3843" y="2367"/>
                                        <a:ext cx="253" cy="263"/>
                                      </a:xfrm>
                                      <a:prstGeom prst="rect">
                                        <a:avLst/>
                                      </a:prstGeom>
                                      <a:noFill/>
                                      <a:ln>
                                        <a:noFill/>
                                      </a:ln>
                                      <a:effectLst/>
                                    </wps:spPr>
                                    <wps:txbx>
                                      <w:txbxContent>
                                        <w:p w14:paraId="3661D5B8">
                                          <w:pPr>
                                            <w:snapToGrid w:val="0"/>
                                          </w:pPr>
                                          <w:r>
                                            <w:rPr>
                                              <w:rFonts w:hint="eastAsia"/>
                                            </w:rPr>
                                            <w:t>招</w:t>
                                          </w:r>
                                        </w:p>
                                      </w:txbxContent>
                                    </wps:txbx>
                                    <wps:bodyPr vert="horz" wrap="square" lIns="0" tIns="0" rIns="0" bIns="0" anchor="t" anchorCtr="0" upright="1"/>
                                  </wps:wsp>
                                  <wps:wsp>
                                    <wps:cNvPr id="6" name="__TH_B12137"/>
                                    <wps:cNvSpPr txBox="1"/>
                                    <wps:spPr>
                                      <a:xfrm>
                                        <a:off x="4186" y="2400"/>
                                        <a:ext cx="253" cy="263"/>
                                      </a:xfrm>
                                      <a:prstGeom prst="rect">
                                        <a:avLst/>
                                      </a:prstGeom>
                                      <a:noFill/>
                                      <a:ln>
                                        <a:noFill/>
                                      </a:ln>
                                      <a:effectLst/>
                                    </wps:spPr>
                                    <wps:txbx>
                                      <w:txbxContent>
                                        <w:p w14:paraId="0B7A3509">
                                          <w:pPr>
                                            <w:snapToGrid w:val="0"/>
                                          </w:pPr>
                                          <w:r>
                                            <w:rPr>
                                              <w:rFonts w:hint="eastAsia"/>
                                            </w:rPr>
                                            <w:t>标</w:t>
                                          </w:r>
                                        </w:p>
                                      </w:txbxContent>
                                    </wps:txbx>
                                    <wps:bodyPr vert="horz" wrap="square" lIns="0" tIns="0" rIns="0" bIns="0" anchor="t" anchorCtr="0" upright="1"/>
                                  </wps:wsp>
                                  <wps:wsp>
                                    <wps:cNvPr id="7" name="__TH_B13138"/>
                                    <wps:cNvSpPr txBox="1"/>
                                    <wps:spPr>
                                      <a:xfrm>
                                        <a:off x="4529" y="2440"/>
                                        <a:ext cx="253" cy="262"/>
                                      </a:xfrm>
                                      <a:prstGeom prst="rect">
                                        <a:avLst/>
                                      </a:prstGeom>
                                      <a:noFill/>
                                      <a:ln>
                                        <a:noFill/>
                                      </a:ln>
                                      <a:effectLst/>
                                    </wps:spPr>
                                    <wps:txbx>
                                      <w:txbxContent>
                                        <w:p w14:paraId="35566CE5">
                                          <w:pPr>
                                            <w:snapToGrid w:val="0"/>
                                          </w:pPr>
                                          <w:r>
                                            <w:rPr>
                                              <w:rFonts w:hint="eastAsia"/>
                                            </w:rPr>
                                            <w:t>类</w:t>
                                          </w:r>
                                        </w:p>
                                      </w:txbxContent>
                                    </wps:txbx>
                                    <wps:bodyPr vert="horz" wrap="square" lIns="0" tIns="0" rIns="0" bIns="0" anchor="t" anchorCtr="0" upright="1"/>
                                  </wps:wsp>
                                  <wps:wsp>
                                    <wps:cNvPr id="8" name="__TH_B14139"/>
                                    <wps:cNvSpPr txBox="1"/>
                                    <wps:spPr>
                                      <a:xfrm>
                                        <a:off x="4872" y="2479"/>
                                        <a:ext cx="253" cy="263"/>
                                      </a:xfrm>
                                      <a:prstGeom prst="rect">
                                        <a:avLst/>
                                      </a:prstGeom>
                                      <a:noFill/>
                                      <a:ln>
                                        <a:noFill/>
                                      </a:ln>
                                      <a:effectLst/>
                                    </wps:spPr>
                                    <wps:txbx>
                                      <w:txbxContent>
                                        <w:p w14:paraId="13543C94">
                                          <w:pPr>
                                            <w:snapToGrid w:val="0"/>
                                          </w:pPr>
                                          <w:r>
                                            <w:rPr>
                                              <w:rFonts w:hint="eastAsia"/>
                                            </w:rPr>
                                            <w:t>别</w:t>
                                          </w:r>
                                        </w:p>
                                      </w:txbxContent>
                                    </wps:txbx>
                                    <wps:bodyPr vert="horz" wrap="square" lIns="0" tIns="0" rIns="0" bIns="0" anchor="t" anchorCtr="0" upright="1"/>
                                  </wps:wsp>
                                  <wps:wsp>
                                    <wps:cNvPr id="9" name="__TH_B21140"/>
                                    <wps:cNvSpPr txBox="1"/>
                                    <wps:spPr>
                                      <a:xfrm>
                                        <a:off x="4085" y="2722"/>
                                        <a:ext cx="214" cy="262"/>
                                      </a:xfrm>
                                      <a:prstGeom prst="rect">
                                        <a:avLst/>
                                      </a:prstGeom>
                                      <a:noFill/>
                                      <a:ln>
                                        <a:noFill/>
                                      </a:ln>
                                      <a:effectLst/>
                                    </wps:spPr>
                                    <wps:txbx>
                                      <w:txbxContent>
                                        <w:p w14:paraId="68194003">
                                          <w:pPr>
                                            <w:snapToGrid w:val="0"/>
                                          </w:pPr>
                                          <w:r>
                                            <w:rPr>
                                              <w:rFonts w:hint="eastAsia"/>
                                            </w:rPr>
                                            <w:t>费</w:t>
                                          </w:r>
                                        </w:p>
                                      </w:txbxContent>
                                    </wps:txbx>
                                    <wps:bodyPr vert="horz" wrap="square" lIns="0" tIns="0" rIns="0" bIns="0" anchor="t" anchorCtr="0" upright="1"/>
                                  </wps:wsp>
                                  <wps:wsp>
                                    <wps:cNvPr id="10" name="__TH_B22141"/>
                                    <wps:cNvSpPr txBox="1"/>
                                    <wps:spPr>
                                      <a:xfrm>
                                        <a:off x="4749" y="2958"/>
                                        <a:ext cx="253" cy="263"/>
                                      </a:xfrm>
                                      <a:prstGeom prst="rect">
                                        <a:avLst/>
                                      </a:prstGeom>
                                      <a:noFill/>
                                      <a:ln>
                                        <a:noFill/>
                                      </a:ln>
                                      <a:effectLst/>
                                    </wps:spPr>
                                    <wps:txbx>
                                      <w:txbxContent>
                                        <w:p w14:paraId="152639ED">
                                          <w:pPr>
                                            <w:snapToGrid w:val="0"/>
                                          </w:pPr>
                                          <w:r>
                                            <w:rPr>
                                              <w:rFonts w:hint="eastAsia"/>
                                            </w:rPr>
                                            <w:t>率</w:t>
                                          </w:r>
                                        </w:p>
                                      </w:txbxContent>
                                    </wps:txbx>
                                    <wps:bodyPr vert="horz" wrap="square" lIns="0" tIns="0" rIns="0" bIns="0" anchor="t" anchorCtr="0" upright="1"/>
                                  </wps:wsp>
                                  <wps:wsp>
                                    <wps:cNvPr id="11" name="__TH_B31142"/>
                                    <wps:cNvSpPr txBox="1"/>
                                    <wps:spPr>
                                      <a:xfrm>
                                        <a:off x="2890" y="2873"/>
                                        <a:ext cx="253" cy="263"/>
                                      </a:xfrm>
                                      <a:prstGeom prst="rect">
                                        <a:avLst/>
                                      </a:prstGeom>
                                      <a:noFill/>
                                      <a:ln>
                                        <a:noFill/>
                                      </a:ln>
                                      <a:effectLst/>
                                    </wps:spPr>
                                    <wps:txbx>
                                      <w:txbxContent>
                                        <w:p w14:paraId="3C52BC3A">
                                          <w:pPr>
                                            <w:snapToGrid w:val="0"/>
                                          </w:pPr>
                                          <w:r>
                                            <w:rPr>
                                              <w:rFonts w:hint="eastAsia"/>
                                            </w:rPr>
                                            <w:t>中</w:t>
                                          </w:r>
                                        </w:p>
                                      </w:txbxContent>
                                    </wps:txbx>
                                    <wps:bodyPr vert="horz" wrap="square" lIns="0" tIns="0" rIns="0" bIns="0" anchor="t" anchorCtr="0" upright="1"/>
                                  </wps:wsp>
                                  <wps:wsp>
                                    <wps:cNvPr id="12" name="__TH_B32143"/>
                                    <wps:cNvSpPr txBox="1"/>
                                    <wps:spPr>
                                      <a:xfrm>
                                        <a:off x="3137" y="2930"/>
                                        <a:ext cx="253" cy="263"/>
                                      </a:xfrm>
                                      <a:prstGeom prst="rect">
                                        <a:avLst/>
                                      </a:prstGeom>
                                      <a:noFill/>
                                      <a:ln>
                                        <a:noFill/>
                                      </a:ln>
                                      <a:effectLst/>
                                    </wps:spPr>
                                    <wps:txbx>
                                      <w:txbxContent>
                                        <w:p w14:paraId="4511EDB4">
                                          <w:pPr>
                                            <w:snapToGrid w:val="0"/>
                                          </w:pPr>
                                          <w:r>
                                            <w:rPr>
                                              <w:rFonts w:hint="eastAsia"/>
                                            </w:rPr>
                                            <w:t>标</w:t>
                                          </w:r>
                                        </w:p>
                                      </w:txbxContent>
                                    </wps:txbx>
                                    <wps:bodyPr vert="horz" wrap="square" lIns="0" tIns="0" rIns="0" bIns="0" anchor="t" anchorCtr="0" upright="1"/>
                                  </wps:wsp>
                                  <wps:wsp>
                                    <wps:cNvPr id="13" name="__TH_B33144"/>
                                    <wps:cNvSpPr txBox="1"/>
                                    <wps:spPr>
                                      <a:xfrm>
                                        <a:off x="3384" y="2987"/>
                                        <a:ext cx="252" cy="263"/>
                                      </a:xfrm>
                                      <a:prstGeom prst="rect">
                                        <a:avLst/>
                                      </a:prstGeom>
                                      <a:noFill/>
                                      <a:ln>
                                        <a:noFill/>
                                      </a:ln>
                                      <a:effectLst/>
                                    </wps:spPr>
                                    <wps:txbx>
                                      <w:txbxContent>
                                        <w:p w14:paraId="7A0597AD">
                                          <w:pPr>
                                            <w:snapToGrid w:val="0"/>
                                          </w:pPr>
                                          <w:r>
                                            <w:rPr>
                                              <w:rFonts w:hint="eastAsia"/>
                                            </w:rPr>
                                            <w:t>金</w:t>
                                          </w:r>
                                        </w:p>
                                      </w:txbxContent>
                                    </wps:txbx>
                                    <wps:bodyPr vert="horz" wrap="square" lIns="0" tIns="0" rIns="0" bIns="0" anchor="t" anchorCtr="0" upright="1"/>
                                  </wps:wsp>
                                  <wps:wsp>
                                    <wps:cNvPr id="14" name="__TH_B34145"/>
                                    <wps:cNvSpPr txBox="1"/>
                                    <wps:spPr>
                                      <a:xfrm>
                                        <a:off x="3631" y="3044"/>
                                        <a:ext cx="252" cy="263"/>
                                      </a:xfrm>
                                      <a:prstGeom prst="rect">
                                        <a:avLst/>
                                      </a:prstGeom>
                                      <a:noFill/>
                                      <a:ln>
                                        <a:noFill/>
                                      </a:ln>
                                      <a:effectLst/>
                                    </wps:spPr>
                                    <wps:txbx>
                                      <w:txbxContent>
                                        <w:p w14:paraId="2AF29C10">
                                          <w:pPr>
                                            <w:snapToGrid w:val="0"/>
                                          </w:pPr>
                                          <w:r>
                                            <w:rPr>
                                              <w:rFonts w:hint="eastAsia"/>
                                            </w:rPr>
                                            <w:t>额</w:t>
                                          </w:r>
                                        </w:p>
                                      </w:txbxContent>
                                    </wps:txbx>
                                    <wps:bodyPr vert="horz" wrap="square" lIns="0" tIns="0" rIns="0" bIns="0" anchor="t" anchorCtr="0" upright="1"/>
                                  </wps:wsp>
                                  <wps:wsp>
                                    <wps:cNvPr id="15" name="__TH_B35146"/>
                                    <wps:cNvSpPr txBox="1"/>
                                    <wps:spPr>
                                      <a:xfrm>
                                        <a:off x="3877" y="3101"/>
                                        <a:ext cx="253" cy="262"/>
                                      </a:xfrm>
                                      <a:prstGeom prst="rect">
                                        <a:avLst/>
                                      </a:prstGeom>
                                      <a:noFill/>
                                      <a:ln>
                                        <a:noFill/>
                                      </a:ln>
                                      <a:effectLst/>
                                    </wps:spPr>
                                    <wps:txbx>
                                      <w:txbxContent>
                                        <w:p w14:paraId="28E4F65A">
                                          <w:pPr>
                                            <w:snapToGrid w:val="0"/>
                                          </w:pPr>
                                          <w:r>
                                            <w:rPr>
                                              <w:rFonts w:hint="eastAsia"/>
                                            </w:rPr>
                                            <w:t>（</w:t>
                                          </w:r>
                                        </w:p>
                                      </w:txbxContent>
                                    </wps:txbx>
                                    <wps:bodyPr vert="horz" wrap="square" lIns="0" tIns="0" rIns="0" bIns="0" anchor="t" anchorCtr="0" upright="1"/>
                                  </wps:wsp>
                                  <wps:wsp>
                                    <wps:cNvPr id="16" name="__TH_B36147"/>
                                    <wps:cNvSpPr txBox="1"/>
                                    <wps:spPr>
                                      <a:xfrm>
                                        <a:off x="4124" y="3158"/>
                                        <a:ext cx="253" cy="262"/>
                                      </a:xfrm>
                                      <a:prstGeom prst="rect">
                                        <a:avLst/>
                                      </a:prstGeom>
                                      <a:noFill/>
                                      <a:ln>
                                        <a:noFill/>
                                      </a:ln>
                                      <a:effectLst/>
                                    </wps:spPr>
                                    <wps:txbx>
                                      <w:txbxContent>
                                        <w:p w14:paraId="3A9CD10E">
                                          <w:pPr>
                                            <w:snapToGrid w:val="0"/>
                                          </w:pPr>
                                          <w:r>
                                            <w:rPr>
                                              <w:rFonts w:hint="eastAsia"/>
                                            </w:rPr>
                                            <w:t>万</w:t>
                                          </w:r>
                                        </w:p>
                                      </w:txbxContent>
                                    </wps:txbx>
                                    <wps:bodyPr vert="horz" wrap="square" lIns="0" tIns="0" rIns="0" bIns="0" anchor="t" anchorCtr="0" upright="1"/>
                                  </wps:wsp>
                                  <wps:wsp>
                                    <wps:cNvPr id="17" name="__TH_B37148"/>
                                    <wps:cNvSpPr txBox="1"/>
                                    <wps:spPr>
                                      <a:xfrm>
                                        <a:off x="4395" y="3215"/>
                                        <a:ext cx="204" cy="262"/>
                                      </a:xfrm>
                                      <a:prstGeom prst="rect">
                                        <a:avLst/>
                                      </a:prstGeom>
                                      <a:noFill/>
                                      <a:ln>
                                        <a:noFill/>
                                      </a:ln>
                                      <a:effectLst/>
                                    </wps:spPr>
                                    <wps:txbx>
                                      <w:txbxContent>
                                        <w:p w14:paraId="1E1E5C0D">
                                          <w:pPr>
                                            <w:snapToGrid w:val="0"/>
                                          </w:pPr>
                                          <w:r>
                                            <w:rPr>
                                              <w:rFonts w:hint="eastAsia"/>
                                            </w:rPr>
                                            <w:t>元</w:t>
                                          </w:r>
                                        </w:p>
                                      </w:txbxContent>
                                    </wps:txbx>
                                    <wps:bodyPr vert="horz" wrap="square" lIns="0" tIns="0" rIns="0" bIns="0" anchor="t" anchorCtr="0" upright="1"/>
                                  </wps:wsp>
                                  <wps:wsp>
                                    <wps:cNvPr id="18" name="__TH_B38149"/>
                                    <wps:cNvSpPr txBox="1"/>
                                    <wps:spPr>
                                      <a:xfrm>
                                        <a:off x="4713" y="3272"/>
                                        <a:ext cx="62" cy="262"/>
                                      </a:xfrm>
                                      <a:prstGeom prst="rect">
                                        <a:avLst/>
                                      </a:prstGeom>
                                      <a:noFill/>
                                      <a:ln>
                                        <a:noFill/>
                                      </a:ln>
                                      <a:effectLst/>
                                    </wps:spPr>
                                    <wps:txbx>
                                      <w:txbxContent>
                                        <w:p w14:paraId="56E13834">
                                          <w:pPr>
                                            <w:snapToGrid w:val="0"/>
                                          </w:pPr>
                                          <w:r>
                                            <w:rPr>
                                              <w:rFonts w:hint="eastAsia"/>
                                            </w:rPr>
                                            <w:t>）</w:t>
                                          </w:r>
                                        </w:p>
                                      </w:txbxContent>
                                    </wps:txbx>
                                    <wps:bodyPr vert="horz" wrap="square" lIns="0" tIns="0" rIns="0" bIns="0" anchor="t" anchorCtr="0" upright="1"/>
                                  </wps:wsp>
                                </wpg:wgp>
                              </a:graphicData>
                            </a:graphic>
                          </wp:anchor>
                        </w:drawing>
                      </mc:Choice>
                      <mc:Fallback>
                        <w:pict>
                          <v:group id="__TH_G32五号150" o:spid="_x0000_s1026" o:spt="203" style="position:absolute;left:0pt;margin-left:-5.15pt;margin-top:0pt;height:79.6pt;width:91.9pt;z-index:251659264;mso-width-relative:page;mso-height-relative:page;" coordorigin="2762,2367" coordsize="2534,1169" o:gfxdata="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">
                            <o:lock v:ext="edit" aspectratio="f"/>
                            <v:line id="__TH_L134" o:spid="_x0000_s1026" o:spt="20" style="position:absolute;left:2762;top:2367;height:585;width:2534;" filled="f" stroked="t" coordsize="21600,21600" o:gfxdata="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JkzkbsAAADa&#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line id="__TH_L135" o:spid="_x0000_s1026" o:spt="20" style="position:absolute;left:2762;top:2367;height:1169;width:2534;" filled="f" stroked="t" coordsize="21600,21600" o:gfxdata="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3Cr5bsAAADa&#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shape id="__TH_B11136" o:spid="_x0000_s1026" o:spt="202" type="#_x0000_t202" style="position:absolute;left:3843;top:2367;height:263;width:253;"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661D5B8">
                                    <w:pPr>
                                      <w:snapToGrid w:val="0"/>
                                    </w:pPr>
                                    <w:r>
                                      <w:rPr>
                                        <w:rFonts w:hint="eastAsia"/>
                                      </w:rPr>
                                      <w:t>招</w:t>
                                    </w:r>
                                  </w:p>
                                </w:txbxContent>
                              </v:textbox>
                            </v:shape>
                            <v:shape id="__TH_B12137" o:spid="_x0000_s1026" o:spt="202" type="#_x0000_t202" style="position:absolute;left:4186;top:2400;height:263;width:253;" filled="f" stroked="f" coordsize="21600,21600" o:gfxdata="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nlsL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B7A3509">
                                    <w:pPr>
                                      <w:snapToGrid w:val="0"/>
                                    </w:pPr>
                                    <w:r>
                                      <w:rPr>
                                        <w:rFonts w:hint="eastAsia"/>
                                      </w:rPr>
                                      <w:t>标</w:t>
                                    </w:r>
                                  </w:p>
                                </w:txbxContent>
                              </v:textbox>
                            </v:shape>
                            <v:shape id="__TH_B13138" o:spid="_x0000_s1026" o:spt="202" type="#_x0000_t202" style="position:absolute;left:4529;top:2440;height:262;width:253;" filled="f" stroked="f" coordsize="21600,21600"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5566CE5">
                                    <w:pPr>
                                      <w:snapToGrid w:val="0"/>
                                    </w:pPr>
                                    <w:r>
                                      <w:rPr>
                                        <w:rFonts w:hint="eastAsia"/>
                                      </w:rPr>
                                      <w:t>类</w:t>
                                    </w:r>
                                  </w:p>
                                </w:txbxContent>
                              </v:textbox>
                            </v:shape>
                            <v:shape id="__TH_B14139" o:spid="_x0000_s1026" o:spt="202" type="#_x0000_t202" style="position:absolute;left:4872;top:2479;height:263;width:253;"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13543C94">
                                    <w:pPr>
                                      <w:snapToGrid w:val="0"/>
                                    </w:pPr>
                                    <w:r>
                                      <w:rPr>
                                        <w:rFonts w:hint="eastAsia"/>
                                      </w:rPr>
                                      <w:t>别</w:t>
                                    </w:r>
                                  </w:p>
                                </w:txbxContent>
                              </v:textbox>
                            </v:shape>
                            <v:shape id="__TH_B21140" o:spid="_x0000_s1026" o:spt="202" type="#_x0000_t202" style="position:absolute;left:4085;top:2722;height:262;width:214;" filled="f" stroked="f" coordsize="21600,21600" o:gfxdata="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Ac95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8194003">
                                    <w:pPr>
                                      <w:snapToGrid w:val="0"/>
                                    </w:pPr>
                                    <w:r>
                                      <w:rPr>
                                        <w:rFonts w:hint="eastAsia"/>
                                      </w:rPr>
                                      <w:t>费</w:t>
                                    </w:r>
                                  </w:p>
                                </w:txbxContent>
                              </v:textbox>
                            </v:shape>
                            <v:shape id="__TH_B22141" o:spid="_x0000_s1026" o:spt="202" type="#_x0000_t202" style="position:absolute;left:4749;top:2958;height:263;width:253;"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52639ED">
                                    <w:pPr>
                                      <w:snapToGrid w:val="0"/>
                                    </w:pPr>
                                    <w:r>
                                      <w:rPr>
                                        <w:rFonts w:hint="eastAsia"/>
                                      </w:rPr>
                                      <w:t>率</w:t>
                                    </w:r>
                                  </w:p>
                                </w:txbxContent>
                              </v:textbox>
                            </v:shape>
                            <v:shape id="__TH_B31142" o:spid="_x0000_s1026" o:spt="202" type="#_x0000_t202" style="position:absolute;left:2890;top:2873;height:263;width:253;" filled="f" stroked="f" coordsize="21600,21600" o:gfxdata="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ZUI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3C52BC3A">
                                    <w:pPr>
                                      <w:snapToGrid w:val="0"/>
                                    </w:pPr>
                                    <w:r>
                                      <w:rPr>
                                        <w:rFonts w:hint="eastAsia"/>
                                      </w:rPr>
                                      <w:t>中</w:t>
                                    </w:r>
                                  </w:p>
                                </w:txbxContent>
                              </v:textbox>
                            </v:shape>
                            <v:shape id="__TH_B32143" o:spid="_x0000_s1026" o:spt="202" type="#_x0000_t202" style="position:absolute;left:3137;top:2930;height:263;width:253;" filled="f" stroked="f" coordsize="21600,21600" o:gfxdata="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WUylS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4511EDB4">
                                    <w:pPr>
                                      <w:snapToGrid w:val="0"/>
                                    </w:pPr>
                                    <w:r>
                                      <w:rPr>
                                        <w:rFonts w:hint="eastAsia"/>
                                      </w:rPr>
                                      <w:t>标</w:t>
                                    </w:r>
                                  </w:p>
                                </w:txbxContent>
                              </v:textbox>
                            </v:shape>
                            <v:shape id="__TH_B33144" o:spid="_x0000_s1026" o:spt="202" type="#_x0000_t202" style="position:absolute;left:3384;top:2987;height:263;width:252;" filled="f" stroked="f" coordsize="21600,21600" o:gfxdata="UEsDBAoAAAAAAIdO4kAAAAAAAAAAAAAAAAAEAAAAZHJzL1BLAwQUAAAACACHTuJA+thvz7wAAADb&#10;AAAADwAAAGRycy9kb3ducmV2LnhtbEVP32vCMBB+F/Y/hBv4pokTRD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rYb8+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A0597AD">
                                    <w:pPr>
                                      <w:snapToGrid w:val="0"/>
                                    </w:pPr>
                                    <w:r>
                                      <w:rPr>
                                        <w:rFonts w:hint="eastAsia"/>
                                      </w:rPr>
                                      <w:t>金</w:t>
                                    </w:r>
                                  </w:p>
                                </w:txbxContent>
                              </v:textbox>
                            </v:shape>
                            <v:shape id="__TH_B34145" o:spid="_x0000_s1026" o:spt="202" type="#_x0000_t202" style="position:absolute;left:3631;top:3044;height:263;width:252;" filled="f" stroked="f" coordsize="21600,21600" o:gfxdata="UEsDBAoAAAAAAIdO4kAAAAAAAAAAAAAAAAAEAAAAZHJzL1BLAwQUAAAACACHTuJAdTH3u7wAAADb&#10;AAAADwAAAGRycy9kb3ducmV2LnhtbEVP32vCMBB+F/Y/hBv4polDRD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Ux97u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2AF29C10">
                                    <w:pPr>
                                      <w:snapToGrid w:val="0"/>
                                    </w:pPr>
                                    <w:r>
                                      <w:rPr>
                                        <w:rFonts w:hint="eastAsia"/>
                                      </w:rPr>
                                      <w:t>额</w:t>
                                    </w:r>
                                  </w:p>
                                </w:txbxContent>
                              </v:textbox>
                            </v:shape>
                            <v:shape id="__TH_B35146" o:spid="_x0000_s1026" o:spt="202" type="#_x0000_t202" style="position:absolute;left:3877;top:3101;height:262;width:253;" filled="f" stroked="f" coordsize="21600,21600" o:gfxdata="UEsDBAoAAAAAAIdO4kAAAAAAAAAAAAAAAAAEAAAAZHJzL1BLAwQUAAAACACHTuJAGn1SILwAAADb&#10;AAAADwAAAGRycy9kb3ducmV2LnhtbEVP32vCMBB+F/Y/hBv4pokDRT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p9UiC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28E4F65A">
                                    <w:pPr>
                                      <w:snapToGrid w:val="0"/>
                                    </w:pPr>
                                    <w:r>
                                      <w:rPr>
                                        <w:rFonts w:hint="eastAsia"/>
                                      </w:rPr>
                                      <w:t>（</w:t>
                                    </w:r>
                                  </w:p>
                                </w:txbxContent>
                              </v:textbox>
                            </v:shape>
                            <v:shape id="__TH_B36147" o:spid="_x0000_s1026" o:spt="202" type="#_x0000_t202" style="position:absolute;left:4124;top:3158;height:262;width:253;" filled="f" stroked="f" coordsize="21600,21600" o:gfxdata="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qvzFe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A9CD10E">
                                    <w:pPr>
                                      <w:snapToGrid w:val="0"/>
                                    </w:pPr>
                                    <w:r>
                                      <w:rPr>
                                        <w:rFonts w:hint="eastAsia"/>
                                      </w:rPr>
                                      <w:t>万</w:t>
                                    </w:r>
                                  </w:p>
                                </w:txbxContent>
                              </v:textbox>
                            </v:shape>
                            <v:shape id="__TH_B37148" o:spid="_x0000_s1026" o:spt="202" type="#_x0000_t202" style="position:absolute;left:4395;top:3215;height:262;width:204;" filled="f" stroked="f" coordsize="21600,21600" o:gfxdata="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Xjacy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1E1E5C0D">
                                    <w:pPr>
                                      <w:snapToGrid w:val="0"/>
                                    </w:pPr>
                                    <w:r>
                                      <w:rPr>
                                        <w:rFonts w:hint="eastAsia"/>
                                      </w:rPr>
                                      <w:t>元</w:t>
                                    </w:r>
                                  </w:p>
                                </w:txbxContent>
                              </v:textbox>
                            </v:shape>
                            <v:shape id="__TH_B38149" o:spid="_x0000_s1026" o:spt="202" type="#_x0000_t202" style="position:absolute;left:4713;top:3272;height:262;width:62;" filled="f" stroked="f" coordsize="21600,21600" o:gfxdata="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Hz9v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6E13834">
                                    <w:pPr>
                                      <w:snapToGrid w:val="0"/>
                                    </w:pPr>
                                    <w:r>
                                      <w:rPr>
                                        <w:rFonts w:hint="eastAsia"/>
                                      </w:rPr>
                                      <w:t>）</w:t>
                                    </w:r>
                                  </w:p>
                                </w:txbxContent>
                              </v:textbox>
                            </v:shape>
                          </v:group>
                        </w:pict>
                      </mc:Fallback>
                    </mc:AlternateContent>
                  </w:r>
                </w:p>
              </w:tc>
              <w:tc>
                <w:tcPr>
                  <w:tcW w:w="1039" w:type="pct"/>
                  <w:tcBorders>
                    <w:top w:val="single" w:color="auto" w:sz="4" w:space="0"/>
                    <w:left w:val="single" w:color="auto" w:sz="4" w:space="0"/>
                    <w:bottom w:val="single" w:color="auto" w:sz="4" w:space="0"/>
                    <w:right w:val="single" w:color="auto" w:sz="4" w:space="0"/>
                  </w:tcBorders>
                  <w:noWrap w:val="0"/>
                  <w:vAlign w:val="center"/>
                </w:tcPr>
                <w:p w14:paraId="619D63D9">
                  <w:pPr>
                    <w:pStyle w:val="46"/>
                    <w:widowControl w:val="0"/>
                    <w:pBdr>
                      <w:left w:val="none" w:color="auto" w:sz="0" w:space="0"/>
                      <w:bottom w:val="none" w:color="auto" w:sz="0" w:space="0"/>
                      <w:right w:val="none" w:color="auto" w:sz="0" w:space="0"/>
                    </w:pBdr>
                    <w:adjustRightInd w:val="0"/>
                    <w:snapToGrid w:val="0"/>
                    <w:spacing w:before="0" w:beforeAutospacing="0" w:after="0" w:afterAutospacing="0"/>
                    <w:rPr>
                      <w:rFonts w:ascii="仿宋_GB2312" w:hAnsi="仿宋_GB2312" w:eastAsia="仿宋_GB2312" w:cs="仿宋_GB2312"/>
                      <w:color w:val="auto"/>
                      <w:kern w:val="2"/>
                      <w:sz w:val="21"/>
                      <w:szCs w:val="21"/>
                      <w:highlight w:val="none"/>
                    </w:rPr>
                  </w:pPr>
                  <w:r>
                    <w:rPr>
                      <w:rFonts w:ascii="仿宋_GB2312" w:hAnsi="仿宋_GB2312" w:eastAsia="仿宋_GB2312" w:cs="仿宋_GB2312"/>
                      <w:color w:val="auto"/>
                      <w:kern w:val="2"/>
                      <w:sz w:val="21"/>
                      <w:szCs w:val="21"/>
                      <w:highlight w:val="none"/>
                    </w:rPr>
                    <w:t>货物招标</w:t>
                  </w:r>
                </w:p>
              </w:tc>
              <w:tc>
                <w:tcPr>
                  <w:tcW w:w="1170" w:type="pct"/>
                  <w:tcBorders>
                    <w:top w:val="single" w:color="auto" w:sz="4" w:space="0"/>
                    <w:left w:val="single" w:color="auto" w:sz="4" w:space="0"/>
                    <w:bottom w:val="single" w:color="auto" w:sz="4" w:space="0"/>
                    <w:right w:val="single" w:color="auto" w:sz="4" w:space="0"/>
                  </w:tcBorders>
                  <w:noWrap w:val="0"/>
                  <w:vAlign w:val="center"/>
                </w:tcPr>
                <w:p w14:paraId="3736823C">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服务招标</w:t>
                  </w:r>
                </w:p>
              </w:tc>
              <w:tc>
                <w:tcPr>
                  <w:tcW w:w="1170" w:type="pct"/>
                  <w:tcBorders>
                    <w:top w:val="single" w:color="auto" w:sz="4" w:space="0"/>
                    <w:left w:val="single" w:color="auto" w:sz="4" w:space="0"/>
                    <w:bottom w:val="single" w:color="auto" w:sz="4" w:space="0"/>
                    <w:right w:val="single" w:color="auto" w:sz="4" w:space="0"/>
                  </w:tcBorders>
                  <w:noWrap w:val="0"/>
                  <w:vAlign w:val="center"/>
                </w:tcPr>
                <w:p w14:paraId="018F3DB0">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工程招标</w:t>
                  </w:r>
                </w:p>
              </w:tc>
            </w:tr>
            <w:tr w14:paraId="197AF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1620" w:type="pct"/>
                  <w:tcBorders>
                    <w:top w:val="single" w:color="auto" w:sz="4" w:space="0"/>
                    <w:left w:val="single" w:color="auto" w:sz="4" w:space="0"/>
                    <w:bottom w:val="single" w:color="auto" w:sz="4" w:space="0"/>
                    <w:right w:val="single" w:color="auto" w:sz="4" w:space="0"/>
                  </w:tcBorders>
                  <w:noWrap w:val="0"/>
                  <w:vAlign w:val="center"/>
                </w:tcPr>
                <w:p w14:paraId="59FB1449">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100以下</w:t>
                  </w:r>
                </w:p>
              </w:tc>
              <w:tc>
                <w:tcPr>
                  <w:tcW w:w="1039" w:type="pct"/>
                  <w:tcBorders>
                    <w:top w:val="single" w:color="auto" w:sz="4" w:space="0"/>
                    <w:left w:val="single" w:color="auto" w:sz="4" w:space="0"/>
                    <w:bottom w:val="single" w:color="auto" w:sz="4" w:space="0"/>
                    <w:right w:val="single" w:color="auto" w:sz="4" w:space="0"/>
                  </w:tcBorders>
                  <w:noWrap w:val="0"/>
                  <w:vAlign w:val="center"/>
                </w:tcPr>
                <w:p w14:paraId="445EDFE7">
                  <w:pPr>
                    <w:pStyle w:val="13"/>
                    <w:pBdr>
                      <w:bottom w:val="none" w:color="auto" w:sz="0" w:space="0"/>
                    </w:pBdr>
                    <w:tabs>
                      <w:tab w:val="left" w:pos="420"/>
                    </w:tabs>
                    <w:adjustRightInd w:val="0"/>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1.5%</w:t>
                  </w:r>
                </w:p>
              </w:tc>
              <w:tc>
                <w:tcPr>
                  <w:tcW w:w="1170" w:type="pct"/>
                  <w:tcBorders>
                    <w:top w:val="single" w:color="auto" w:sz="4" w:space="0"/>
                    <w:left w:val="single" w:color="auto" w:sz="4" w:space="0"/>
                    <w:bottom w:val="single" w:color="auto" w:sz="4" w:space="0"/>
                    <w:right w:val="single" w:color="auto" w:sz="4" w:space="0"/>
                  </w:tcBorders>
                  <w:noWrap w:val="0"/>
                  <w:vAlign w:val="center"/>
                </w:tcPr>
                <w:p w14:paraId="2318DF98">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w:t>
                  </w:r>
                </w:p>
              </w:tc>
              <w:tc>
                <w:tcPr>
                  <w:tcW w:w="1170" w:type="pct"/>
                  <w:tcBorders>
                    <w:top w:val="single" w:color="auto" w:sz="4" w:space="0"/>
                    <w:left w:val="single" w:color="auto" w:sz="4" w:space="0"/>
                    <w:bottom w:val="single" w:color="auto" w:sz="4" w:space="0"/>
                    <w:right w:val="single" w:color="auto" w:sz="4" w:space="0"/>
                  </w:tcBorders>
                  <w:noWrap w:val="0"/>
                  <w:vAlign w:val="center"/>
                </w:tcPr>
                <w:p w14:paraId="1F77B11D">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w:t>
                  </w:r>
                </w:p>
              </w:tc>
            </w:tr>
            <w:tr w14:paraId="13680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trPr>
              <w:tc>
                <w:tcPr>
                  <w:tcW w:w="1620" w:type="pct"/>
                  <w:tcBorders>
                    <w:top w:val="single" w:color="auto" w:sz="4" w:space="0"/>
                    <w:left w:val="single" w:color="auto" w:sz="4" w:space="0"/>
                    <w:bottom w:val="single" w:color="auto" w:sz="4" w:space="0"/>
                    <w:right w:val="single" w:color="auto" w:sz="4" w:space="0"/>
                  </w:tcBorders>
                  <w:noWrap w:val="0"/>
                  <w:vAlign w:val="center"/>
                </w:tcPr>
                <w:p w14:paraId="027602E0">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100--500</w:t>
                  </w:r>
                </w:p>
              </w:tc>
              <w:tc>
                <w:tcPr>
                  <w:tcW w:w="1039" w:type="pct"/>
                  <w:tcBorders>
                    <w:top w:val="single" w:color="auto" w:sz="4" w:space="0"/>
                    <w:left w:val="single" w:color="auto" w:sz="4" w:space="0"/>
                    <w:bottom w:val="single" w:color="auto" w:sz="4" w:space="0"/>
                    <w:right w:val="single" w:color="auto" w:sz="4" w:space="0"/>
                  </w:tcBorders>
                  <w:noWrap w:val="0"/>
                  <w:vAlign w:val="center"/>
                </w:tcPr>
                <w:p w14:paraId="029D0534">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w:t>
                  </w:r>
                </w:p>
              </w:tc>
              <w:tc>
                <w:tcPr>
                  <w:tcW w:w="1170" w:type="pct"/>
                  <w:tcBorders>
                    <w:top w:val="single" w:color="auto" w:sz="4" w:space="0"/>
                    <w:left w:val="single" w:color="auto" w:sz="4" w:space="0"/>
                    <w:bottom w:val="single" w:color="auto" w:sz="4" w:space="0"/>
                    <w:right w:val="single" w:color="auto" w:sz="4" w:space="0"/>
                  </w:tcBorders>
                  <w:noWrap w:val="0"/>
                  <w:vAlign w:val="center"/>
                </w:tcPr>
                <w:p w14:paraId="1E8F1F16">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0.8%</w:t>
                  </w:r>
                </w:p>
              </w:tc>
              <w:tc>
                <w:tcPr>
                  <w:tcW w:w="1170" w:type="pct"/>
                  <w:tcBorders>
                    <w:top w:val="single" w:color="auto" w:sz="4" w:space="0"/>
                    <w:left w:val="single" w:color="auto" w:sz="4" w:space="0"/>
                    <w:bottom w:val="single" w:color="auto" w:sz="4" w:space="0"/>
                    <w:right w:val="single" w:color="auto" w:sz="4" w:space="0"/>
                  </w:tcBorders>
                  <w:noWrap w:val="0"/>
                  <w:vAlign w:val="center"/>
                </w:tcPr>
                <w:p w14:paraId="709F0C33">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0.7%</w:t>
                  </w:r>
                </w:p>
              </w:tc>
            </w:tr>
            <w:tr w14:paraId="65182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1620" w:type="pct"/>
                  <w:tcBorders>
                    <w:top w:val="single" w:color="auto" w:sz="4" w:space="0"/>
                    <w:left w:val="single" w:color="auto" w:sz="4" w:space="0"/>
                    <w:bottom w:val="single" w:color="auto" w:sz="4" w:space="0"/>
                    <w:right w:val="single" w:color="auto" w:sz="4" w:space="0"/>
                  </w:tcBorders>
                  <w:noWrap w:val="0"/>
                  <w:vAlign w:val="center"/>
                </w:tcPr>
                <w:p w14:paraId="48F43319">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500--1000</w:t>
                  </w:r>
                </w:p>
              </w:tc>
              <w:tc>
                <w:tcPr>
                  <w:tcW w:w="1039" w:type="pct"/>
                  <w:tcBorders>
                    <w:top w:val="single" w:color="auto" w:sz="4" w:space="0"/>
                    <w:left w:val="single" w:color="auto" w:sz="4" w:space="0"/>
                    <w:bottom w:val="single" w:color="auto" w:sz="4" w:space="0"/>
                    <w:right w:val="single" w:color="auto" w:sz="4" w:space="0"/>
                  </w:tcBorders>
                  <w:noWrap w:val="0"/>
                  <w:vAlign w:val="center"/>
                </w:tcPr>
                <w:p w14:paraId="560C35F4">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0.8%</w:t>
                  </w:r>
                </w:p>
              </w:tc>
              <w:tc>
                <w:tcPr>
                  <w:tcW w:w="1170" w:type="pct"/>
                  <w:tcBorders>
                    <w:top w:val="single" w:color="auto" w:sz="4" w:space="0"/>
                    <w:left w:val="single" w:color="auto" w:sz="4" w:space="0"/>
                    <w:bottom w:val="single" w:color="auto" w:sz="4" w:space="0"/>
                    <w:right w:val="single" w:color="auto" w:sz="4" w:space="0"/>
                  </w:tcBorders>
                  <w:noWrap w:val="0"/>
                  <w:vAlign w:val="center"/>
                </w:tcPr>
                <w:p w14:paraId="6E788A54">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0.45%</w:t>
                  </w:r>
                </w:p>
              </w:tc>
              <w:tc>
                <w:tcPr>
                  <w:tcW w:w="1170" w:type="pct"/>
                  <w:tcBorders>
                    <w:top w:val="single" w:color="auto" w:sz="4" w:space="0"/>
                    <w:left w:val="single" w:color="auto" w:sz="4" w:space="0"/>
                    <w:bottom w:val="single" w:color="auto" w:sz="4" w:space="0"/>
                    <w:right w:val="single" w:color="auto" w:sz="4" w:space="0"/>
                  </w:tcBorders>
                  <w:noWrap w:val="0"/>
                  <w:vAlign w:val="center"/>
                </w:tcPr>
                <w:p w14:paraId="75DD2A7B">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0.55%</w:t>
                  </w:r>
                </w:p>
              </w:tc>
            </w:tr>
            <w:tr w14:paraId="4A2F9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1620" w:type="pct"/>
                  <w:tcBorders>
                    <w:top w:val="single" w:color="auto" w:sz="4" w:space="0"/>
                    <w:left w:val="single" w:color="auto" w:sz="4" w:space="0"/>
                    <w:bottom w:val="single" w:color="auto" w:sz="4" w:space="0"/>
                    <w:right w:val="single" w:color="auto" w:sz="4" w:space="0"/>
                  </w:tcBorders>
                  <w:noWrap w:val="0"/>
                  <w:vAlign w:val="center"/>
                </w:tcPr>
                <w:p w14:paraId="77F62786">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1000--5000</w:t>
                  </w:r>
                </w:p>
              </w:tc>
              <w:tc>
                <w:tcPr>
                  <w:tcW w:w="1039" w:type="pct"/>
                  <w:tcBorders>
                    <w:top w:val="single" w:color="auto" w:sz="4" w:space="0"/>
                    <w:left w:val="single" w:color="auto" w:sz="4" w:space="0"/>
                    <w:bottom w:val="single" w:color="auto" w:sz="4" w:space="0"/>
                    <w:right w:val="single" w:color="auto" w:sz="4" w:space="0"/>
                  </w:tcBorders>
                  <w:noWrap w:val="0"/>
                  <w:vAlign w:val="center"/>
                </w:tcPr>
                <w:p w14:paraId="580E1A5B">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0.5%</w:t>
                  </w:r>
                </w:p>
              </w:tc>
              <w:tc>
                <w:tcPr>
                  <w:tcW w:w="1170" w:type="pct"/>
                  <w:tcBorders>
                    <w:top w:val="single" w:color="auto" w:sz="4" w:space="0"/>
                    <w:left w:val="single" w:color="auto" w:sz="4" w:space="0"/>
                    <w:bottom w:val="single" w:color="auto" w:sz="4" w:space="0"/>
                    <w:right w:val="single" w:color="auto" w:sz="4" w:space="0"/>
                  </w:tcBorders>
                  <w:noWrap w:val="0"/>
                  <w:vAlign w:val="center"/>
                </w:tcPr>
                <w:p w14:paraId="6F51955E">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0.25%</w:t>
                  </w:r>
                </w:p>
              </w:tc>
              <w:tc>
                <w:tcPr>
                  <w:tcW w:w="1170" w:type="pct"/>
                  <w:tcBorders>
                    <w:top w:val="single" w:color="auto" w:sz="4" w:space="0"/>
                    <w:left w:val="single" w:color="auto" w:sz="4" w:space="0"/>
                    <w:bottom w:val="single" w:color="auto" w:sz="4" w:space="0"/>
                    <w:right w:val="single" w:color="auto" w:sz="4" w:space="0"/>
                  </w:tcBorders>
                  <w:noWrap w:val="0"/>
                  <w:vAlign w:val="center"/>
                </w:tcPr>
                <w:p w14:paraId="27875B5F">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0.35%</w:t>
                  </w:r>
                </w:p>
              </w:tc>
            </w:tr>
            <w:tr w14:paraId="2501C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1620" w:type="pct"/>
                  <w:tcBorders>
                    <w:top w:val="single" w:color="auto" w:sz="4" w:space="0"/>
                    <w:left w:val="single" w:color="auto" w:sz="4" w:space="0"/>
                    <w:bottom w:val="single" w:color="auto" w:sz="4" w:space="0"/>
                    <w:right w:val="single" w:color="auto" w:sz="4" w:space="0"/>
                  </w:tcBorders>
                  <w:noWrap w:val="0"/>
                  <w:vAlign w:val="center"/>
                </w:tcPr>
                <w:p w14:paraId="3385CB9D">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5000--10000</w:t>
                  </w:r>
                </w:p>
              </w:tc>
              <w:tc>
                <w:tcPr>
                  <w:tcW w:w="1039" w:type="pct"/>
                  <w:tcBorders>
                    <w:top w:val="single" w:color="auto" w:sz="4" w:space="0"/>
                    <w:left w:val="single" w:color="auto" w:sz="4" w:space="0"/>
                    <w:bottom w:val="single" w:color="auto" w:sz="4" w:space="0"/>
                    <w:right w:val="single" w:color="auto" w:sz="4" w:space="0"/>
                  </w:tcBorders>
                  <w:noWrap w:val="0"/>
                  <w:vAlign w:val="center"/>
                </w:tcPr>
                <w:p w14:paraId="52C3AF6D">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0.25%</w:t>
                  </w:r>
                </w:p>
              </w:tc>
              <w:tc>
                <w:tcPr>
                  <w:tcW w:w="1170" w:type="pct"/>
                  <w:tcBorders>
                    <w:top w:val="single" w:color="auto" w:sz="4" w:space="0"/>
                    <w:left w:val="single" w:color="auto" w:sz="4" w:space="0"/>
                    <w:bottom w:val="single" w:color="auto" w:sz="4" w:space="0"/>
                    <w:right w:val="single" w:color="auto" w:sz="4" w:space="0"/>
                  </w:tcBorders>
                  <w:noWrap w:val="0"/>
                  <w:vAlign w:val="center"/>
                </w:tcPr>
                <w:p w14:paraId="59D47EC7">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0.1%</w:t>
                  </w:r>
                </w:p>
              </w:tc>
              <w:tc>
                <w:tcPr>
                  <w:tcW w:w="1170" w:type="pct"/>
                  <w:tcBorders>
                    <w:top w:val="single" w:color="auto" w:sz="4" w:space="0"/>
                    <w:left w:val="single" w:color="auto" w:sz="4" w:space="0"/>
                    <w:bottom w:val="single" w:color="auto" w:sz="4" w:space="0"/>
                    <w:right w:val="single" w:color="auto" w:sz="4" w:space="0"/>
                  </w:tcBorders>
                  <w:noWrap w:val="0"/>
                  <w:vAlign w:val="center"/>
                </w:tcPr>
                <w:p w14:paraId="0FEBED3C">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0.2%</w:t>
                  </w:r>
                </w:p>
              </w:tc>
            </w:tr>
            <w:tr w14:paraId="36A40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1620" w:type="pct"/>
                  <w:tcBorders>
                    <w:top w:val="single" w:color="auto" w:sz="4" w:space="0"/>
                    <w:left w:val="single" w:color="auto" w:sz="4" w:space="0"/>
                    <w:bottom w:val="single" w:color="auto" w:sz="4" w:space="0"/>
                    <w:right w:val="single" w:color="auto" w:sz="4" w:space="0"/>
                  </w:tcBorders>
                  <w:noWrap w:val="0"/>
                  <w:vAlign w:val="center"/>
                </w:tcPr>
                <w:p w14:paraId="12B178AF">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10000--100000</w:t>
                  </w:r>
                </w:p>
              </w:tc>
              <w:tc>
                <w:tcPr>
                  <w:tcW w:w="1039" w:type="pct"/>
                  <w:tcBorders>
                    <w:top w:val="single" w:color="auto" w:sz="4" w:space="0"/>
                    <w:left w:val="single" w:color="auto" w:sz="4" w:space="0"/>
                    <w:bottom w:val="single" w:color="auto" w:sz="4" w:space="0"/>
                    <w:right w:val="single" w:color="auto" w:sz="4" w:space="0"/>
                  </w:tcBorders>
                  <w:noWrap w:val="0"/>
                  <w:vAlign w:val="center"/>
                </w:tcPr>
                <w:p w14:paraId="660C6F10">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0.05%</w:t>
                  </w:r>
                </w:p>
              </w:tc>
              <w:tc>
                <w:tcPr>
                  <w:tcW w:w="1170" w:type="pct"/>
                  <w:tcBorders>
                    <w:top w:val="single" w:color="auto" w:sz="4" w:space="0"/>
                    <w:left w:val="single" w:color="auto" w:sz="4" w:space="0"/>
                    <w:bottom w:val="single" w:color="auto" w:sz="4" w:space="0"/>
                    <w:right w:val="single" w:color="auto" w:sz="4" w:space="0"/>
                  </w:tcBorders>
                  <w:noWrap w:val="0"/>
                  <w:vAlign w:val="center"/>
                </w:tcPr>
                <w:p w14:paraId="7AD8DA94">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0.05%</w:t>
                  </w:r>
                </w:p>
              </w:tc>
              <w:tc>
                <w:tcPr>
                  <w:tcW w:w="1170" w:type="pct"/>
                  <w:tcBorders>
                    <w:top w:val="single" w:color="auto" w:sz="4" w:space="0"/>
                    <w:left w:val="single" w:color="auto" w:sz="4" w:space="0"/>
                    <w:bottom w:val="single" w:color="auto" w:sz="4" w:space="0"/>
                    <w:right w:val="single" w:color="auto" w:sz="4" w:space="0"/>
                  </w:tcBorders>
                  <w:noWrap w:val="0"/>
                  <w:vAlign w:val="center"/>
                </w:tcPr>
                <w:p w14:paraId="3BCAB7FA">
                  <w:pPr>
                    <w:adjustRightInd w:val="0"/>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0.05%</w:t>
                  </w:r>
                </w:p>
              </w:tc>
            </w:tr>
          </w:tbl>
          <w:p w14:paraId="5B9A03CB">
            <w:pPr>
              <w:widowControl/>
              <w:ind w:firstLine="210" w:firstLineChars="1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注：招标代理服务收费按差额定率累进法计算。例如：某货物招标代理业务中标金额为100000万元，计算招标代理服务收费额如下：</w:t>
            </w:r>
          </w:p>
          <w:p w14:paraId="0C3F0685">
            <w:pPr>
              <w:widowControl/>
              <w:ind w:firstLine="210" w:firstLineChars="1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100万元×1.5％＝1.5万元</w:t>
            </w:r>
          </w:p>
          <w:p w14:paraId="0F412BD0">
            <w:pPr>
              <w:widowControl/>
              <w:ind w:firstLine="210" w:firstLineChars="1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（500-100）万元×1.1％＝4.4万元</w:t>
            </w:r>
          </w:p>
          <w:p w14:paraId="23AE7EE8">
            <w:pPr>
              <w:widowControl/>
              <w:ind w:firstLine="210" w:firstLineChars="1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（1000-500）万元×0.8％＝4万元</w:t>
            </w:r>
          </w:p>
          <w:p w14:paraId="273924E2">
            <w:pPr>
              <w:widowControl/>
              <w:ind w:firstLine="210" w:firstLineChars="1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（5000-1000）万元×0.5％＝20万元</w:t>
            </w:r>
          </w:p>
          <w:p w14:paraId="7B20E140">
            <w:pPr>
              <w:widowControl/>
              <w:ind w:firstLine="210" w:firstLineChars="1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（10000-5000）万元×0.25％=12.5万元</w:t>
            </w:r>
          </w:p>
          <w:p w14:paraId="70EB213D">
            <w:pPr>
              <w:widowControl/>
              <w:ind w:firstLine="210" w:firstLineChars="1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（100000-10000）万元×0.05％=45万元</w:t>
            </w:r>
          </w:p>
          <w:p w14:paraId="45DB1D67">
            <w:pPr>
              <w:widowControl/>
              <w:ind w:firstLine="210" w:firstLineChars="1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合计收费=1.5+4.4+4+20+12.5+45＝87.4（万元）</w:t>
            </w:r>
          </w:p>
          <w:p w14:paraId="57DB259D">
            <w:pPr>
              <w:widowControl/>
              <w:ind w:firstLine="210" w:firstLineChars="1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支付标准：</w:t>
            </w:r>
            <w:r>
              <w:rPr>
                <w:rFonts w:hint="eastAsia" w:ascii="仿宋_GB2312" w:hAnsi="仿宋_GB2312" w:eastAsia="仿宋_GB2312" w:cs="仿宋_GB2312"/>
                <w:color w:val="auto"/>
                <w:kern w:val="0"/>
                <w:szCs w:val="21"/>
                <w:highlight w:val="none"/>
                <w:u w:val="single"/>
              </w:rPr>
              <w:t>按货物招标标准的70%计取</w:t>
            </w:r>
          </w:p>
          <w:p w14:paraId="39666845">
            <w:pPr>
              <w:widowControl/>
              <w:ind w:firstLine="210" w:firstLineChars="1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支付形式：</w:t>
            </w:r>
            <w:r>
              <w:rPr>
                <w:rFonts w:hint="eastAsia" w:ascii="仿宋_GB2312" w:hAnsi="仿宋_GB2312" w:eastAsia="仿宋_GB2312" w:cs="仿宋_GB2312"/>
                <w:color w:val="auto"/>
                <w:kern w:val="0"/>
                <w:szCs w:val="21"/>
                <w:highlight w:val="none"/>
                <w:u w:val="single"/>
              </w:rPr>
              <w:t>现金、转账、支票均可</w:t>
            </w:r>
          </w:p>
          <w:p w14:paraId="70286F51">
            <w:pPr>
              <w:adjustRightInd w:val="0"/>
              <w:snapToGrid w:val="0"/>
              <w:ind w:firstLine="210" w:firstLineChars="10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auto"/>
                <w:kern w:val="0"/>
                <w:szCs w:val="21"/>
                <w:highlight w:val="none"/>
              </w:rPr>
              <w:t>支付时间：</w:t>
            </w:r>
            <w:r>
              <w:rPr>
                <w:rFonts w:hint="eastAsia" w:ascii="仿宋_GB2312" w:hAnsi="仿宋_GB2312" w:eastAsia="仿宋_GB2312" w:cs="仿宋_GB2312"/>
                <w:color w:val="auto"/>
                <w:kern w:val="0"/>
                <w:szCs w:val="21"/>
                <w:highlight w:val="none"/>
                <w:u w:val="single"/>
              </w:rPr>
              <w:t>领取中标通知书时缴纳</w:t>
            </w:r>
          </w:p>
        </w:tc>
      </w:tr>
      <w:tr w14:paraId="21DD7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noWrap w:val="0"/>
            <w:vAlign w:val="center"/>
          </w:tcPr>
          <w:p w14:paraId="423243CE">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39.3</w:t>
            </w:r>
          </w:p>
        </w:tc>
        <w:tc>
          <w:tcPr>
            <w:tcW w:w="1917" w:type="dxa"/>
            <w:noWrap w:val="0"/>
            <w:vAlign w:val="center"/>
          </w:tcPr>
          <w:p w14:paraId="3EADF362">
            <w:pPr>
              <w:widowControl/>
              <w:adjustRightInd w:val="0"/>
              <w:snapToGrid w:val="0"/>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kern w:val="0"/>
                <w:sz w:val="21"/>
                <w:szCs w:val="21"/>
                <w:highlight w:val="none"/>
              </w:rPr>
              <w:t>质疑</w:t>
            </w:r>
          </w:p>
        </w:tc>
        <w:tc>
          <w:tcPr>
            <w:tcW w:w="5887" w:type="dxa"/>
            <w:noWrap w:val="0"/>
            <w:vAlign w:val="center"/>
          </w:tcPr>
          <w:p w14:paraId="2DF74457">
            <w:pPr>
              <w:widowControl/>
              <w:adjustRightInd w:val="0"/>
              <w:snapToGrid w:val="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一、投标人认为自己的权益受到损害的，可以在知道或者应知其权益受到损害之日起七个工作日内，以书面形式向采购人、采购代理机构提出质疑。</w:t>
            </w:r>
          </w:p>
          <w:p w14:paraId="55C10931">
            <w:pPr>
              <w:widowControl/>
              <w:adjustRightInd w:val="0"/>
              <w:snapToGrid w:val="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1.</w:t>
            </w:r>
            <w:r>
              <w:rPr>
                <w:rFonts w:hint="eastAsia" w:ascii="仿宋_GB2312" w:hAnsi="仿宋_GB2312" w:eastAsia="仿宋_GB2312" w:cs="仿宋_GB2312"/>
                <w:color w:val="000000"/>
                <w:sz w:val="21"/>
                <w:szCs w:val="21"/>
                <w:highlight w:val="none"/>
              </w:rPr>
              <w:t>接收质疑函的方式：线上或书面纸质质疑函</w:t>
            </w:r>
          </w:p>
          <w:p w14:paraId="02F97F15">
            <w:pPr>
              <w:widowControl/>
              <w:ind w:firstLine="420" w:firstLineChars="200"/>
              <w:rPr>
                <w:rFonts w:hint="eastAsia"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szCs w:val="21"/>
                <w:highlight w:val="none"/>
              </w:rPr>
              <w:t>联系单位：</w:t>
            </w:r>
            <w:r>
              <w:rPr>
                <w:rFonts w:hint="eastAsia" w:ascii="仿宋_GB2312" w:hAnsi="仿宋_GB2312" w:eastAsia="仿宋_GB2312" w:cs="仿宋_GB2312"/>
                <w:color w:val="auto"/>
                <w:kern w:val="0"/>
                <w:szCs w:val="21"/>
                <w:highlight w:val="none"/>
                <w:u w:val="single"/>
              </w:rPr>
              <w:t>通利晟信管理咨询有限公司</w:t>
            </w:r>
          </w:p>
          <w:p w14:paraId="0EF68187">
            <w:pPr>
              <w:widowControl/>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联 系 人：</w:t>
            </w:r>
            <w:r>
              <w:rPr>
                <w:rFonts w:hint="eastAsia" w:ascii="仿宋_GB2312" w:hAnsi="仿宋_GB2312" w:eastAsia="仿宋_GB2312" w:cs="仿宋_GB2312"/>
                <w:color w:val="auto"/>
                <w:kern w:val="0"/>
                <w:szCs w:val="21"/>
                <w:highlight w:val="none"/>
                <w:u w:val="single"/>
              </w:rPr>
              <w:t>盛小飞</w:t>
            </w:r>
          </w:p>
          <w:p w14:paraId="6CC97AAC">
            <w:pPr>
              <w:widowControl/>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联系电话：</w:t>
            </w:r>
            <w:r>
              <w:rPr>
                <w:rFonts w:hint="eastAsia" w:ascii="仿宋_GB2312" w:hAnsi="仿宋_GB2312" w:eastAsia="仿宋_GB2312" w:cs="仿宋_GB2312"/>
                <w:color w:val="auto"/>
                <w:kern w:val="0"/>
                <w:szCs w:val="21"/>
                <w:highlight w:val="none"/>
                <w:u w:val="single"/>
              </w:rPr>
              <w:t>0411-84350112</w:t>
            </w:r>
          </w:p>
          <w:p w14:paraId="333A53DB">
            <w:pPr>
              <w:widowControl/>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通讯地址：</w:t>
            </w:r>
            <w:r>
              <w:rPr>
                <w:rFonts w:hint="eastAsia" w:ascii="仿宋_GB2312" w:hAnsi="仿宋_GB2312" w:eastAsia="仿宋_GB2312" w:cs="仿宋_GB2312"/>
                <w:color w:val="auto"/>
                <w:kern w:val="0"/>
                <w:szCs w:val="21"/>
                <w:highlight w:val="none"/>
                <w:u w:val="single"/>
              </w:rPr>
              <w:t>大连市沙河口区万岁街135号</w:t>
            </w:r>
          </w:p>
          <w:p w14:paraId="355E782D">
            <w:pPr>
              <w:widowControl/>
              <w:adjustRightInd w:val="0"/>
              <w:snapToGrid w:val="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2.</w:t>
            </w:r>
            <w:r>
              <w:rPr>
                <w:rFonts w:hint="eastAsia" w:ascii="仿宋_GB2312" w:hAnsi="仿宋_GB2312" w:eastAsia="仿宋_GB2312" w:cs="仿宋_GB2312"/>
                <w:color w:val="000000"/>
                <w:sz w:val="21"/>
                <w:szCs w:val="21"/>
                <w:highlight w:val="none"/>
              </w:rPr>
              <w:t>质疑函的内容、格式：应符合《政府采购质疑和投诉办法》相关规定和财政部门制定的《政府采购质疑函范本》格式。</w:t>
            </w:r>
          </w:p>
          <w:p w14:paraId="154464A7">
            <w:pPr>
              <w:pStyle w:val="7"/>
              <w:adjustRightInd w:val="0"/>
              <w:snapToGrid w:val="0"/>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sz w:val="21"/>
                <w:szCs w:val="21"/>
                <w:highlight w:val="none"/>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color w:val="000000"/>
                <w:kern w:val="0"/>
                <w:sz w:val="21"/>
                <w:szCs w:val="21"/>
                <w:highlight w:val="none"/>
              </w:rPr>
              <w:t>招标</w:t>
            </w:r>
            <w:r>
              <w:rPr>
                <w:rFonts w:hint="eastAsia" w:ascii="仿宋_GB2312" w:hAnsi="仿宋_GB2312" w:eastAsia="仿宋_GB2312" w:cs="仿宋_GB2312"/>
                <w:color w:val="000000"/>
                <w:sz w:val="21"/>
                <w:szCs w:val="21"/>
                <w:highlight w:val="none"/>
              </w:rPr>
              <w:t>公告、招标文件、招标过程、中标结果）</w:t>
            </w:r>
          </w:p>
        </w:tc>
      </w:tr>
    </w:tbl>
    <w:p w14:paraId="0ACFC7BA">
      <w:pP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3注：表格中“</w:t>
      </w:r>
      <w:r>
        <w:rPr>
          <w:rFonts w:hint="eastAsia" w:ascii="仿宋_GB2312" w:hAnsi="仿宋_GB2312" w:eastAsia="仿宋_GB2312" w:cs="仿宋_GB2312"/>
          <w:color w:val="000000"/>
          <w:sz w:val="21"/>
          <w:szCs w:val="21"/>
          <w:highlight w:val="none"/>
        </w:rPr>
        <w:sym w:font="Wingdings 2" w:char="0052"/>
      </w:r>
      <w:r>
        <w:rPr>
          <w:rFonts w:hint="eastAsia" w:ascii="仿宋_GB2312" w:hAnsi="仿宋_GB2312" w:eastAsia="仿宋_GB2312" w:cs="仿宋_GB2312"/>
          <w:color w:val="000000"/>
          <w:sz w:val="21"/>
          <w:szCs w:val="21"/>
          <w:highlight w:val="none"/>
        </w:rPr>
        <w:t>”项或“■”项为被选中项。</w:t>
      </w:r>
    </w:p>
    <w:p w14:paraId="08F04CC9">
      <w:pPr>
        <w:pStyle w:val="4"/>
        <w:adjustRightInd w:val="0"/>
        <w:snapToGrid w:val="0"/>
        <w:spacing w:before="0" w:after="0" w:line="360" w:lineRule="auto"/>
        <w:rPr>
          <w:rFonts w:hint="eastAsia" w:ascii="楷体_GB2312" w:hAnsi="楷体_GB2312" w:eastAsia="楷体_GB2312" w:cs="楷体_GB2312"/>
          <w:b/>
          <w:bCs w:val="0"/>
          <w:color w:val="000000"/>
          <w:sz w:val="32"/>
          <w:szCs w:val="36"/>
          <w:highlight w:val="none"/>
        </w:rPr>
      </w:pPr>
      <w:r>
        <w:rPr>
          <w:rFonts w:hint="eastAsia" w:ascii="仿宋_GB2312" w:hAnsi="仿宋_GB2312" w:eastAsia="仿宋_GB2312" w:cs="仿宋_GB2312"/>
          <w:color w:val="000000"/>
          <w:sz w:val="21"/>
          <w:szCs w:val="21"/>
          <w:highlight w:val="none"/>
        </w:rPr>
        <w:br w:type="page"/>
      </w:r>
      <w:bookmarkStart w:id="40" w:name="_Toc30384_WPSOffice_Level2"/>
      <w:r>
        <w:rPr>
          <w:rFonts w:hint="eastAsia" w:ascii="楷体_GB2312" w:hAnsi="楷体_GB2312" w:eastAsia="楷体_GB2312" w:cs="楷体_GB2312"/>
          <w:b/>
          <w:bCs w:val="0"/>
          <w:color w:val="000000"/>
          <w:sz w:val="32"/>
          <w:szCs w:val="36"/>
          <w:highlight w:val="none"/>
        </w:rPr>
        <w:t>二 总则</w:t>
      </w:r>
      <w:bookmarkEnd w:id="40"/>
    </w:p>
    <w:p w14:paraId="482F19A8">
      <w:pPr>
        <w:adjustRightInd w:val="0"/>
        <w:snapToGrid w:val="0"/>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1.采购人、采购代理机构及投标人</w:t>
      </w:r>
    </w:p>
    <w:p w14:paraId="7D4B060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1.1采购人：是指依法进行政府采购的国家机关、事业单位、团体组织。本项目采购人见投标人须知表1.1款。</w:t>
      </w:r>
    </w:p>
    <w:p w14:paraId="4A544EB1">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1.2采购代理机构：是指集中采购机构或从事采购代理业务的社会中介机构，本项目的采购代理机构见投标人须知表1.2款。</w:t>
      </w:r>
    </w:p>
    <w:p w14:paraId="60058D3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★1.3投标人：是指向采购人提供货物、工程或者服务的法人、非法人组织或者自然人。本项目的投标人及其投标货物须满足以下条件：</w:t>
      </w:r>
    </w:p>
    <w:p w14:paraId="6E0988E2">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1.3.1在中华人民共和国境内注册，能够独立承担民事责任，有生产或供应能力的本国供应商。</w:t>
      </w:r>
    </w:p>
    <w:p w14:paraId="6AE9B151">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1.3.2符合《中华人民共和国政府采购法》第二十二条关于供应商条件的规定，遵守本项目采购人本级和上级财政部门关于政府采购的有关规定。</w:t>
      </w:r>
    </w:p>
    <w:p w14:paraId="19E9525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1.3.3以采购代理机构认可的方式获得了本项目的招标文件。</w:t>
      </w:r>
    </w:p>
    <w:p w14:paraId="24667E36">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1.3.4符合投标人须知表1.3.4款中规定的资格条件。</w:t>
      </w:r>
    </w:p>
    <w:p w14:paraId="3EC3D5A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6C089C94">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若投标人须知表1.3.5款中未写明允许采购进口产品，如投标人所投产品为进口产品，其投标将被认定为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4F25D6A9">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1.3.6若投标人须知表1.3.6款中写明专门面向中小企业采购的，如</w:t>
      </w:r>
      <w:r>
        <w:rPr>
          <w:rFonts w:hint="eastAsia" w:ascii="仿宋_GB2312" w:hAnsi="仿宋_GB2312" w:eastAsia="仿宋_GB2312" w:cs="仿宋_GB2312"/>
          <w:b/>
          <w:bCs/>
          <w:color w:val="000000"/>
          <w:sz w:val="24"/>
          <w:szCs w:val="24"/>
          <w:highlight w:val="none"/>
        </w:rPr>
        <w:t>投标产品为非中小企业制造</w:t>
      </w:r>
      <w:r>
        <w:rPr>
          <w:rFonts w:hint="eastAsia" w:ascii="仿宋_GB2312" w:hAnsi="仿宋_GB2312" w:eastAsia="仿宋_GB2312" w:cs="仿宋_GB2312"/>
          <w:color w:val="000000"/>
          <w:kern w:val="0"/>
          <w:sz w:val="24"/>
          <w:szCs w:val="24"/>
          <w:highlight w:val="none"/>
        </w:rPr>
        <w:t>情形</w:t>
      </w:r>
      <w:r>
        <w:rPr>
          <w:rFonts w:hint="eastAsia" w:ascii="仿宋_GB2312" w:hAnsi="仿宋_GB2312" w:eastAsia="仿宋_GB2312" w:cs="仿宋_GB2312"/>
          <w:color w:val="000000"/>
          <w:sz w:val="24"/>
          <w:szCs w:val="24"/>
          <w:highlight w:val="none"/>
        </w:rPr>
        <w:t>，其投标将被认定为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7169608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1.3.6.1中小企业，是指在中华人民共和国境内依法设立，依据国务院批准的中小企业划分标准确定的中型企业、小型企业和微型企业，但与大企业的负责人为同一人，或者与大企业存在直接控股、管理关系的除外。</w:t>
      </w:r>
    </w:p>
    <w:p w14:paraId="7A0F8F7B">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符合中小企业划分标准的个体工商户，在政府采购活动中视同中小企业。</w:t>
      </w:r>
    </w:p>
    <w:p w14:paraId="43B74F58">
      <w:pPr>
        <w:adjustRightInd w:val="0"/>
        <w:snapToGrid w:val="0"/>
        <w:spacing w:line="360" w:lineRule="auto"/>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sz w:val="24"/>
          <w:szCs w:val="24"/>
          <w:highlight w:val="none"/>
        </w:rPr>
        <w:t>1.3.6.2</w:t>
      </w:r>
      <w:r>
        <w:rPr>
          <w:rFonts w:hint="eastAsia" w:ascii="仿宋_GB2312" w:hAnsi="仿宋_GB2312" w:eastAsia="仿宋_GB2312" w:cs="仿宋_GB2312"/>
          <w:color w:val="000000"/>
          <w:kern w:val="0"/>
          <w:sz w:val="24"/>
          <w:szCs w:val="24"/>
          <w:highlight w:val="none"/>
        </w:rPr>
        <w:t>货物由中小企业制造，即货物由中小企业生产且使用该中小企业商号或者注册商标。</w:t>
      </w:r>
    </w:p>
    <w:p w14:paraId="3CFFF1A8">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1.3.6.3供应商提供的货物既有中小企业制造货物，也有大型企业制造货物的，不享受中小企业扶持政策。</w:t>
      </w:r>
    </w:p>
    <w:p w14:paraId="4EF7CA3D">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1.3.6.4以联合体形式参加政府采购活动，联合体各方均为中小企业的，联合体视同中小企业。其中，联合体各方均为小微企业的，联合体视同小微企业。</w:t>
      </w:r>
    </w:p>
    <w:p w14:paraId="2D0A920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1.3.6.5</w:t>
      </w:r>
      <w:r>
        <w:rPr>
          <w:rFonts w:hint="eastAsia" w:ascii="仿宋_GB2312" w:hAnsi="仿宋_GB2312" w:eastAsia="仿宋_GB2312" w:cs="仿宋_GB2312"/>
          <w:color w:val="000000"/>
          <w:kern w:val="0"/>
          <w:sz w:val="24"/>
          <w:szCs w:val="24"/>
          <w:highlight w:val="none"/>
        </w:rPr>
        <w:t>组成联合体或者接受分包合同的中小企业与联合体内其他企业、分包企业之间不得存在直接控股、管理关系。</w:t>
      </w:r>
    </w:p>
    <w:p w14:paraId="2BF0EBA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投标无效。</w:t>
      </w:r>
    </w:p>
    <w:p w14:paraId="1DCD5E83">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★1.4如投标人须知表1.4款中允许联合体投标，对联合体规定如下：</w:t>
      </w:r>
    </w:p>
    <w:p w14:paraId="44DD84B0">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1.4.1两个以上供应商可以组成一个投标联合体，以一个投标人的身份投标。</w:t>
      </w:r>
    </w:p>
    <w:p w14:paraId="0EBC1DA4">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1.4.2联合体各方均应符合《中华人民共和国政府采购法》第二十二条规定的条件。</w:t>
      </w:r>
    </w:p>
    <w:p w14:paraId="35EDCF50">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1.4.3采购人根据采购项目对投标人的特殊要求，联合体中至少应当有一方符合相关规定。</w:t>
      </w:r>
    </w:p>
    <w:p w14:paraId="72397A1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1.4.4联合体各方应签订共同投标协议，明确约定联合体各方承担的工作和相应的责任。</w:t>
      </w:r>
    </w:p>
    <w:p w14:paraId="6438D051">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1.4.5联合体中有同类资质的供应商按照联合体分工承担相同工作的，按照较低的资质等级确定联合体的资质等级。</w:t>
      </w:r>
    </w:p>
    <w:p w14:paraId="231BF6F4">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1.4.6以联合体形式参加政府采购活动的，联合体各方不得再单独参加或者与其他供应商另外组成联合体参加本项目投标，否则相关投标将被认定为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23988E6E">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（1）两个以上的自然人、法人或者其他组织可以组成一个联合体，以一个投标人的身份共同参加政府采购活动。</w:t>
      </w:r>
    </w:p>
    <w:p w14:paraId="203734F1">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（2）联合体中标的，联合体各方应共同与采购人签订采购合同，就采购合同约定的事项对采购人承担连带责任。</w:t>
      </w:r>
    </w:p>
    <w:p w14:paraId="71E53CA4">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1.4.7对联合体投标的其他资格要求见投标人须知表1.4.7款。</w:t>
      </w:r>
    </w:p>
    <w:p w14:paraId="3E2E21E4">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★1.5单位负责人为同一人或者存在直接控股、管理关系的不同供应商，其相关投标将被认定为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5A0B6A4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739B21A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★1.7投标人在投标过程中不得向采购人提供、给予赠品、回扣或者与采购无关的其他商品、服务。一经发现，其将被认定为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4E4A76D8">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2.资金来源</w:t>
      </w:r>
    </w:p>
    <w:p w14:paraId="381D4F8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2.1本项目的采购人已获得足以支付本次招标后所签订的合同项下的资金（包括财政性资金和本项目采购中无法与财政性资金分割的非财政性资金）。</w:t>
      </w:r>
    </w:p>
    <w:p w14:paraId="6A04F2A4">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bCs/>
          <w:color w:val="000000"/>
          <w:sz w:val="24"/>
          <w:szCs w:val="24"/>
          <w:highlight w:val="none"/>
        </w:rPr>
        <w:t>★</w:t>
      </w:r>
      <w:r>
        <w:rPr>
          <w:rFonts w:hint="eastAsia" w:ascii="仿宋_GB2312" w:hAnsi="仿宋_GB2312" w:eastAsia="仿宋_GB2312" w:cs="仿宋_GB2312"/>
          <w:color w:val="000000"/>
          <w:sz w:val="24"/>
          <w:szCs w:val="24"/>
          <w:highlight w:val="none"/>
        </w:rPr>
        <w:t>2.2项目预算金额和分项或分包最高限价见投标人须知表2.2款。</w:t>
      </w:r>
    </w:p>
    <w:p w14:paraId="14C78AED">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bCs/>
          <w:color w:val="000000"/>
          <w:sz w:val="24"/>
          <w:szCs w:val="24"/>
          <w:highlight w:val="none"/>
        </w:rPr>
        <w:t>★</w:t>
      </w:r>
      <w:r>
        <w:rPr>
          <w:rFonts w:hint="eastAsia" w:ascii="仿宋_GB2312" w:hAnsi="仿宋_GB2312" w:eastAsia="仿宋_GB2312" w:cs="仿宋_GB2312"/>
          <w:color w:val="000000"/>
          <w:sz w:val="24"/>
          <w:szCs w:val="24"/>
          <w:highlight w:val="none"/>
        </w:rPr>
        <w:t>2.3投标人报价超过招标文件规定的预算金额或者分项、分包最高限价的，其投标将被认定为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0AB0BB7D">
      <w:pPr>
        <w:adjustRightInd w:val="0"/>
        <w:snapToGrid w:val="0"/>
        <w:spacing w:line="360" w:lineRule="auto"/>
        <w:rPr>
          <w:rFonts w:hint="eastAsia" w:ascii="仿宋_GB2312" w:hAnsi="仿宋_GB2312" w:eastAsia="仿宋_GB2312" w:cs="仿宋_GB2312"/>
          <w:b/>
          <w:bCs/>
          <w:color w:val="000000"/>
          <w:sz w:val="24"/>
          <w:szCs w:val="24"/>
          <w:highlight w:val="none"/>
        </w:rPr>
      </w:pPr>
      <w:bookmarkStart w:id="41" w:name="_Toc266951048"/>
      <w:r>
        <w:rPr>
          <w:rFonts w:hint="eastAsia" w:ascii="仿宋_GB2312" w:hAnsi="仿宋_GB2312" w:eastAsia="仿宋_GB2312" w:cs="仿宋_GB2312"/>
          <w:b/>
          <w:bCs/>
          <w:color w:val="000000"/>
          <w:sz w:val="24"/>
          <w:szCs w:val="24"/>
          <w:highlight w:val="none"/>
        </w:rPr>
        <w:t>3.语言文字</w:t>
      </w:r>
      <w:bookmarkEnd w:id="41"/>
    </w:p>
    <w:p w14:paraId="7AF53A10">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除专用术语外，与投标有关的语言均使用中文。必要时专用术语应附有中文注释。对不同文字文本投标文件的解释发生异议的，以中文文本为准。</w:t>
      </w:r>
    </w:p>
    <w:p w14:paraId="14C3A4AD">
      <w:pPr>
        <w:adjustRightInd w:val="0"/>
        <w:snapToGrid w:val="0"/>
        <w:spacing w:line="360" w:lineRule="auto"/>
        <w:rPr>
          <w:rFonts w:hint="eastAsia" w:ascii="仿宋_GB2312" w:hAnsi="仿宋_GB2312" w:eastAsia="仿宋_GB2312" w:cs="仿宋_GB2312"/>
          <w:b/>
          <w:bCs/>
          <w:color w:val="000000"/>
          <w:sz w:val="24"/>
          <w:szCs w:val="24"/>
          <w:highlight w:val="none"/>
        </w:rPr>
      </w:pPr>
      <w:bookmarkStart w:id="42" w:name="_1.8_计量单位"/>
      <w:bookmarkEnd w:id="42"/>
      <w:bookmarkStart w:id="43" w:name="_Toc266951049"/>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4.计量单位</w:t>
      </w:r>
      <w:bookmarkEnd w:id="43"/>
    </w:p>
    <w:p w14:paraId="573FD2F4">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除投标人须知表4款中有特殊要求外，投标文件中所使用的计量单位，应采用中华人民共和国法定计量单位。</w:t>
      </w:r>
    </w:p>
    <w:p w14:paraId="0D7812D9">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5.投标费用</w:t>
      </w:r>
    </w:p>
    <w:p w14:paraId="6C728B69">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不论投标的结果如何，投标人应承担所有与投标有关的费用。</w:t>
      </w:r>
    </w:p>
    <w:p w14:paraId="442DE84A">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6.现场考察、开标前答疑会</w:t>
      </w:r>
    </w:p>
    <w:p w14:paraId="0B2C8310">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6.1</w:t>
      </w:r>
      <w:r>
        <w:rPr>
          <w:rFonts w:hint="eastAsia" w:ascii="仿宋_GB2312" w:hAnsi="仿宋_GB2312" w:eastAsia="仿宋_GB2312" w:cs="仿宋_GB2312"/>
          <w:color w:val="000000"/>
          <w:sz w:val="24"/>
          <w:szCs w:val="24"/>
          <w:highlight w:val="none"/>
        </w:rPr>
        <w:fldChar w:fldCharType="begin"/>
      </w:r>
      <w:r>
        <w:rPr>
          <w:rFonts w:hint="eastAsia" w:ascii="仿宋_GB2312" w:hAnsi="仿宋_GB2312" w:eastAsia="仿宋_GB2312" w:cs="仿宋_GB2312"/>
          <w:color w:val="000000"/>
          <w:sz w:val="24"/>
          <w:szCs w:val="24"/>
          <w:highlight w:val="none"/>
        </w:rPr>
        <w:instrText xml:space="preserve"> HYPERLINK \l "_踏勘现场" </w:instrText>
      </w:r>
      <w:r>
        <w:rPr>
          <w:rFonts w:hint="eastAsia" w:ascii="仿宋_GB2312" w:hAnsi="仿宋_GB2312" w:eastAsia="仿宋_GB2312" w:cs="仿宋_GB2312"/>
          <w:color w:val="000000"/>
          <w:sz w:val="24"/>
          <w:szCs w:val="24"/>
          <w:highlight w:val="none"/>
        </w:rPr>
        <w:fldChar w:fldCharType="separate"/>
      </w:r>
      <w:r>
        <w:rPr>
          <w:rFonts w:hint="eastAsia" w:ascii="仿宋_GB2312" w:hAnsi="仿宋_GB2312" w:eastAsia="仿宋_GB2312" w:cs="仿宋_GB2312"/>
          <w:color w:val="000000"/>
          <w:sz w:val="24"/>
          <w:szCs w:val="24"/>
          <w:highlight w:val="none"/>
        </w:rPr>
        <w:t>投标人须知表</w:t>
      </w:r>
      <w:r>
        <w:rPr>
          <w:rFonts w:hint="eastAsia" w:ascii="仿宋_GB2312" w:hAnsi="仿宋_GB2312" w:eastAsia="仿宋_GB2312" w:cs="仿宋_GB2312"/>
          <w:color w:val="000000"/>
          <w:sz w:val="24"/>
          <w:szCs w:val="24"/>
          <w:highlight w:val="none"/>
        </w:rPr>
        <w:fldChar w:fldCharType="end"/>
      </w:r>
      <w:r>
        <w:rPr>
          <w:rFonts w:hint="eastAsia" w:ascii="仿宋_GB2312" w:hAnsi="仿宋_GB2312" w:eastAsia="仿宋_GB2312" w:cs="仿宋_GB2312"/>
          <w:color w:val="000000"/>
          <w:sz w:val="24"/>
          <w:szCs w:val="24"/>
          <w:highlight w:val="none"/>
        </w:rPr>
        <w:t>6.1款规定组织现场考察或开标前答疑会的，采购人按规定的时间、地点组织投标人现场考察或开标前答疑会，或者在领取招标文件期限截止后以书面形式通知所有获取招标文件的潜在投标人。</w:t>
      </w:r>
    </w:p>
    <w:p w14:paraId="23DB128D">
      <w:pPr>
        <w:adjustRightInd w:val="0"/>
        <w:snapToGrid w:val="0"/>
        <w:spacing w:line="360" w:lineRule="auto"/>
        <w:rPr>
          <w:rFonts w:hint="eastAsia" w:ascii="仿宋_GB2312" w:hAnsi="仿宋_GB2312" w:eastAsia="仿宋_GB2312" w:cs="仿宋_GB2312"/>
          <w:b/>
          <w:bCs/>
          <w:color w:val="000000"/>
          <w:sz w:val="24"/>
          <w:szCs w:val="24"/>
          <w:highlight w:val="none"/>
        </w:rPr>
      </w:pPr>
      <w:bookmarkStart w:id="44" w:name="_1.10_投标预备会"/>
      <w:bookmarkEnd w:id="44"/>
      <w:r>
        <w:rPr>
          <w:rFonts w:hint="eastAsia" w:ascii="仿宋_GB2312" w:hAnsi="仿宋_GB2312" w:eastAsia="仿宋_GB2312" w:cs="仿宋_GB2312"/>
          <w:color w:val="000000"/>
          <w:sz w:val="24"/>
          <w:szCs w:val="24"/>
          <w:highlight w:val="none"/>
        </w:rPr>
        <w:t>6.2</w:t>
      </w:r>
      <w:r>
        <w:rPr>
          <w:rFonts w:hint="eastAsia" w:ascii="仿宋_GB2312" w:hAnsi="仿宋_GB2312" w:eastAsia="仿宋_GB2312" w:cs="仿宋_GB2312"/>
          <w:color w:val="000000"/>
          <w:kern w:val="0"/>
          <w:sz w:val="24"/>
          <w:szCs w:val="24"/>
          <w:highlight w:val="none"/>
        </w:rPr>
        <w:t>由于未参加现场考察或标前答疑而导致对项目实际情况不了解，影响技术文件编制、</w:t>
      </w:r>
      <w:r>
        <w:rPr>
          <w:rFonts w:hint="eastAsia" w:ascii="仿宋_GB2312" w:hAnsi="仿宋_GB2312" w:eastAsia="仿宋_GB2312" w:cs="仿宋_GB2312"/>
          <w:color w:val="000000"/>
          <w:sz w:val="24"/>
          <w:szCs w:val="24"/>
          <w:highlight w:val="none"/>
        </w:rPr>
        <w:fldChar w:fldCharType="begin"/>
      </w:r>
      <w:r>
        <w:rPr>
          <w:rFonts w:hint="eastAsia" w:ascii="仿宋_GB2312" w:hAnsi="仿宋_GB2312" w:eastAsia="仿宋_GB2312" w:cs="仿宋_GB2312"/>
          <w:color w:val="000000"/>
          <w:sz w:val="24"/>
          <w:szCs w:val="24"/>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_GB2312" w:hAnsi="仿宋_GB2312" w:eastAsia="仿宋_GB2312" w:cs="仿宋_GB2312"/>
          <w:color w:val="000000"/>
          <w:sz w:val="24"/>
          <w:szCs w:val="24"/>
          <w:highlight w:val="none"/>
        </w:rPr>
        <w:fldChar w:fldCharType="separate"/>
      </w:r>
      <w:r>
        <w:rPr>
          <w:rFonts w:hint="eastAsia" w:ascii="仿宋_GB2312" w:hAnsi="仿宋_GB2312" w:eastAsia="仿宋_GB2312" w:cs="仿宋_GB2312"/>
          <w:color w:val="000000"/>
          <w:kern w:val="0"/>
          <w:sz w:val="24"/>
          <w:szCs w:val="24"/>
          <w:highlight w:val="none"/>
        </w:rPr>
        <w:t>投标报价</w:t>
      </w:r>
      <w:r>
        <w:rPr>
          <w:rFonts w:hint="eastAsia" w:ascii="仿宋_GB2312" w:hAnsi="仿宋_GB2312" w:eastAsia="仿宋_GB2312" w:cs="仿宋_GB2312"/>
          <w:color w:val="000000"/>
          <w:kern w:val="0"/>
          <w:sz w:val="24"/>
          <w:szCs w:val="24"/>
          <w:highlight w:val="none"/>
        </w:rPr>
        <w:fldChar w:fldCharType="end"/>
      </w:r>
      <w:r>
        <w:rPr>
          <w:rFonts w:hint="eastAsia" w:ascii="仿宋_GB2312" w:hAnsi="仿宋_GB2312" w:eastAsia="仿宋_GB2312" w:cs="仿宋_GB2312"/>
          <w:color w:val="000000"/>
          <w:kern w:val="0"/>
          <w:sz w:val="24"/>
          <w:szCs w:val="24"/>
          <w:highlight w:val="none"/>
        </w:rPr>
        <w:t>准确性、综合因素响应不全面等问题的，由投标人自行承担相应后果。</w:t>
      </w:r>
    </w:p>
    <w:p w14:paraId="749E0BB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6.3现场考察及参加标前答疑会所发生的费用及一切责任由投标人自行承担。</w:t>
      </w:r>
    </w:p>
    <w:p w14:paraId="531DBB5B">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7.适用法律</w:t>
      </w:r>
    </w:p>
    <w:p w14:paraId="1CD1DD2D">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60ADE3F6">
      <w:pPr>
        <w:pStyle w:val="4"/>
        <w:rPr>
          <w:rFonts w:hint="eastAsia" w:ascii="楷体_GB2312" w:hAnsi="楷体_GB2312" w:eastAsia="楷体_GB2312" w:cs="楷体_GB2312"/>
          <w:b/>
          <w:bCs w:val="0"/>
          <w:color w:val="000000"/>
          <w:sz w:val="32"/>
          <w:szCs w:val="28"/>
          <w:highlight w:val="none"/>
        </w:rPr>
      </w:pPr>
      <w:bookmarkStart w:id="45" w:name="_Toc10106_WPSOffice_Level2"/>
      <w:r>
        <w:rPr>
          <w:rFonts w:hint="eastAsia" w:ascii="Times New Roman" w:hAnsi="Times New Roman" w:eastAsia="仿宋" w:cs="仿宋"/>
          <w:color w:val="000000"/>
          <w:sz w:val="32"/>
          <w:szCs w:val="28"/>
          <w:highlight w:val="none"/>
        </w:rPr>
        <w:br w:type="page"/>
      </w:r>
      <w:r>
        <w:rPr>
          <w:rFonts w:hint="eastAsia" w:ascii="楷体_GB2312" w:hAnsi="楷体_GB2312" w:eastAsia="楷体_GB2312" w:cs="楷体_GB2312"/>
          <w:b/>
          <w:bCs w:val="0"/>
          <w:color w:val="000000"/>
          <w:sz w:val="32"/>
          <w:szCs w:val="28"/>
          <w:highlight w:val="none"/>
        </w:rPr>
        <w:t>三 招标文件</w:t>
      </w:r>
      <w:bookmarkEnd w:id="45"/>
    </w:p>
    <w:p w14:paraId="52BA9762">
      <w:pPr>
        <w:tabs>
          <w:tab w:val="left" w:pos="312"/>
        </w:tabs>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8.招标文件构成</w:t>
      </w:r>
    </w:p>
    <w:p w14:paraId="6DE484B6">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8.1招标文件内容如下</w:t>
      </w:r>
      <w:r>
        <w:rPr>
          <w:rFonts w:hint="eastAsia" w:ascii="仿宋_GB2312" w:hAnsi="仿宋_GB2312" w:eastAsia="仿宋_GB2312" w:cs="仿宋_GB2312"/>
          <w:color w:val="000000"/>
          <w:sz w:val="24"/>
          <w:szCs w:val="24"/>
          <w:highlight w:val="none"/>
          <w:lang w:eastAsia="zh-CN"/>
        </w:rPr>
        <w:t>：</w:t>
      </w:r>
    </w:p>
    <w:p w14:paraId="5BD621D5">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kern w:val="0"/>
          <w:sz w:val="24"/>
          <w:szCs w:val="24"/>
          <w:highlight w:val="none"/>
        </w:rPr>
        <w:t>招标</w:t>
      </w:r>
      <w:r>
        <w:rPr>
          <w:rFonts w:hint="eastAsia" w:ascii="仿宋_GB2312" w:hAnsi="仿宋_GB2312" w:eastAsia="仿宋_GB2312" w:cs="仿宋_GB2312"/>
          <w:color w:val="000000"/>
          <w:sz w:val="24"/>
          <w:szCs w:val="24"/>
          <w:highlight w:val="none"/>
        </w:rPr>
        <w:t>公告</w:t>
      </w:r>
    </w:p>
    <w:p w14:paraId="5D22F63F">
      <w:pPr>
        <w:numPr>
          <w:ilvl w:val="0"/>
          <w:numId w:val="2"/>
        </w:num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bookmarkStart w:id="46" w:name="_Toc24604_WPSOffice_Level2"/>
      <w:bookmarkStart w:id="47" w:name="_Toc188_WPSOffice_Level2"/>
      <w:bookmarkStart w:id="48" w:name="_Toc4961_WPSOffice_Level2"/>
      <w:bookmarkStart w:id="49" w:name="_Toc25935_WPSOffice_Level2"/>
      <w:r>
        <w:rPr>
          <w:rFonts w:hint="eastAsia" w:ascii="仿宋_GB2312" w:hAnsi="仿宋_GB2312" w:eastAsia="仿宋_GB2312" w:cs="仿宋_GB2312"/>
          <w:color w:val="000000"/>
          <w:sz w:val="24"/>
          <w:szCs w:val="24"/>
          <w:highlight w:val="none"/>
        </w:rPr>
        <w:t>投标人须知</w:t>
      </w:r>
      <w:bookmarkEnd w:id="46"/>
      <w:bookmarkEnd w:id="47"/>
      <w:bookmarkEnd w:id="48"/>
      <w:bookmarkEnd w:id="49"/>
    </w:p>
    <w:p w14:paraId="2D083F6D">
      <w:pPr>
        <w:adjustRightInd w:val="0"/>
        <w:snapToGrid w:val="0"/>
        <w:spacing w:line="360" w:lineRule="auto"/>
        <w:ind w:firstLine="480" w:firstLineChars="200"/>
        <w:outlineLvl w:val="0"/>
        <w:rPr>
          <w:rFonts w:hint="eastAsia" w:ascii="仿宋_GB2312" w:hAnsi="仿宋_GB2312" w:eastAsia="仿宋_GB2312" w:cs="仿宋_GB2312"/>
          <w:color w:val="000000"/>
          <w:sz w:val="24"/>
          <w:szCs w:val="24"/>
          <w:highlight w:val="none"/>
        </w:rPr>
      </w:pPr>
      <w:bookmarkStart w:id="50" w:name="_Toc31424_WPSOffice_Level2"/>
      <w:bookmarkStart w:id="51" w:name="_Toc30817"/>
      <w:bookmarkStart w:id="52" w:name="_Toc32235_WPSOffice_Level2"/>
      <w:bookmarkStart w:id="53" w:name="_Toc2443_WPSOffice_Level2"/>
      <w:bookmarkStart w:id="54" w:name="_Toc13276_WPSOffice_Level2"/>
      <w:r>
        <w:rPr>
          <w:rFonts w:hint="eastAsia" w:ascii="仿宋_GB2312" w:hAnsi="仿宋_GB2312" w:eastAsia="仿宋_GB2312" w:cs="仿宋_GB2312"/>
          <w:color w:val="000000"/>
          <w:sz w:val="24"/>
          <w:szCs w:val="24"/>
          <w:highlight w:val="none"/>
        </w:rPr>
        <w:t>第二章 投标文件内容及格式</w:t>
      </w:r>
      <w:bookmarkEnd w:id="50"/>
      <w:bookmarkEnd w:id="51"/>
      <w:bookmarkEnd w:id="52"/>
      <w:bookmarkEnd w:id="53"/>
      <w:bookmarkEnd w:id="54"/>
    </w:p>
    <w:p w14:paraId="77B7A351">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bookmarkStart w:id="55" w:name="_Toc4416_WPSOffice_Level2"/>
      <w:bookmarkStart w:id="56" w:name="_Toc16269_WPSOffice_Level2"/>
      <w:bookmarkStart w:id="57" w:name="_Toc7005_WPSOffice_Level2"/>
      <w:bookmarkStart w:id="58" w:name="_Toc24836_WPSOffice_Level2"/>
      <w:r>
        <w:rPr>
          <w:rFonts w:hint="eastAsia" w:ascii="仿宋_GB2312" w:hAnsi="仿宋_GB2312" w:eastAsia="仿宋_GB2312" w:cs="仿宋_GB2312"/>
          <w:color w:val="000000"/>
          <w:sz w:val="24"/>
          <w:szCs w:val="24"/>
          <w:highlight w:val="none"/>
        </w:rPr>
        <w:t>第三章 货物需求</w:t>
      </w:r>
      <w:bookmarkEnd w:id="55"/>
      <w:bookmarkEnd w:id="56"/>
      <w:bookmarkEnd w:id="57"/>
      <w:bookmarkEnd w:id="58"/>
    </w:p>
    <w:p w14:paraId="2F61C355">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bookmarkStart w:id="59" w:name="_Toc25382_WPSOffice_Level2"/>
      <w:bookmarkStart w:id="60" w:name="_Toc16119_WPSOffice_Level2"/>
      <w:bookmarkStart w:id="61" w:name="_Toc16294_WPSOffice_Level2"/>
      <w:bookmarkStart w:id="62" w:name="_Toc23459_WPSOffice_Level2"/>
      <w:r>
        <w:rPr>
          <w:rFonts w:hint="eastAsia" w:ascii="仿宋_GB2312" w:hAnsi="仿宋_GB2312" w:eastAsia="仿宋_GB2312" w:cs="仿宋_GB2312"/>
          <w:color w:val="000000"/>
          <w:sz w:val="24"/>
          <w:szCs w:val="24"/>
          <w:highlight w:val="none"/>
        </w:rPr>
        <w:t>第四章 评标方法</w:t>
      </w:r>
      <w:bookmarkEnd w:id="59"/>
      <w:bookmarkEnd w:id="60"/>
      <w:bookmarkEnd w:id="61"/>
      <w:bookmarkEnd w:id="62"/>
    </w:p>
    <w:p w14:paraId="3EF318C8">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bookmarkStart w:id="63" w:name="_Toc17794_WPSOffice_Level2"/>
      <w:bookmarkStart w:id="64" w:name="_Toc16368_WPSOffice_Level2"/>
      <w:bookmarkStart w:id="65" w:name="_Toc9629_WPSOffice_Level2"/>
      <w:bookmarkStart w:id="66" w:name="_Toc28106_WPSOffice_Level2"/>
      <w:r>
        <w:rPr>
          <w:rFonts w:hint="eastAsia" w:ascii="仿宋_GB2312" w:hAnsi="仿宋_GB2312" w:eastAsia="仿宋_GB2312" w:cs="仿宋_GB2312"/>
          <w:color w:val="000000"/>
          <w:sz w:val="24"/>
          <w:szCs w:val="24"/>
          <w:highlight w:val="none"/>
        </w:rPr>
        <w:t>第五章 政府采购合同</w:t>
      </w:r>
      <w:bookmarkEnd w:id="63"/>
      <w:bookmarkEnd w:id="64"/>
      <w:bookmarkEnd w:id="65"/>
      <w:bookmarkEnd w:id="66"/>
      <w:r>
        <w:rPr>
          <w:rFonts w:hint="eastAsia" w:ascii="仿宋_GB2312" w:hAnsi="仿宋_GB2312" w:eastAsia="仿宋_GB2312" w:cs="仿宋_GB2312"/>
          <w:color w:val="000000"/>
          <w:sz w:val="24"/>
          <w:szCs w:val="24"/>
          <w:highlight w:val="none"/>
        </w:rPr>
        <w:t>条款及格式</w:t>
      </w:r>
    </w:p>
    <w:p w14:paraId="0A36F9B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7B95BD05">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9.招标文件的澄清与修改</w:t>
      </w:r>
    </w:p>
    <w:p w14:paraId="5BAF8464">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2E59BA9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9.2澄清或者修改的内容为招标文件的组成部分，对所有招标文件的收受人具有约束力。投标人在收到上述通知后，应及时向采购代理机构回函确认。</w:t>
      </w:r>
    </w:p>
    <w:p w14:paraId="3F37E00E">
      <w:pPr>
        <w:pStyle w:val="4"/>
        <w:rPr>
          <w:rFonts w:hint="eastAsia" w:ascii="楷体_GB2312" w:hAnsi="楷体_GB2312" w:eastAsia="楷体_GB2312" w:cs="楷体_GB2312"/>
          <w:b/>
          <w:bCs w:val="0"/>
          <w:color w:val="000000"/>
          <w:sz w:val="32"/>
          <w:szCs w:val="32"/>
          <w:highlight w:val="none"/>
        </w:rPr>
      </w:pPr>
      <w:bookmarkStart w:id="67" w:name="_Toc7415_WPSOffice_Level2"/>
      <w:r>
        <w:rPr>
          <w:rFonts w:hint="eastAsia" w:ascii="Times New Roman" w:hAnsi="Times New Roman" w:eastAsia="仿宋" w:cs="仿宋"/>
          <w:color w:val="000000"/>
          <w:sz w:val="32"/>
          <w:szCs w:val="32"/>
          <w:highlight w:val="none"/>
        </w:rPr>
        <w:br w:type="page"/>
      </w:r>
      <w:r>
        <w:rPr>
          <w:rFonts w:hint="eastAsia" w:ascii="楷体_GB2312" w:hAnsi="楷体_GB2312" w:eastAsia="楷体_GB2312" w:cs="楷体_GB2312"/>
          <w:b/>
          <w:bCs w:val="0"/>
          <w:color w:val="000000"/>
          <w:sz w:val="32"/>
          <w:szCs w:val="32"/>
          <w:highlight w:val="none"/>
        </w:rPr>
        <w:t>四 投标文件的编制</w:t>
      </w:r>
      <w:bookmarkEnd w:id="67"/>
    </w:p>
    <w:p w14:paraId="54D25E60">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10.投标范围</w:t>
      </w:r>
    </w:p>
    <w:p w14:paraId="627C64EE">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10.1项目有分包的，投标人可对招标文件其中某一个分包或几个分包进行投标。</w:t>
      </w:r>
    </w:p>
    <w:p w14:paraId="7B5E215D">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65B0118D">
      <w:pPr>
        <w:pStyle w:val="7"/>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16755CCC">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★10.4无论招标文件第三章货物需求中是否要求，投标人所投货物均应符合国家强制性标准。</w:t>
      </w:r>
    </w:p>
    <w:p w14:paraId="5F310DE6">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11.投标文件构成</w:t>
      </w:r>
    </w:p>
    <w:p w14:paraId="7013A2F9">
      <w:pPr>
        <w:adjustRightInd w:val="0"/>
        <w:snapToGrid w:val="0"/>
        <w:spacing w:line="360" w:lineRule="auto"/>
        <w:outlineLvl w:val="0"/>
        <w:rPr>
          <w:rFonts w:hint="eastAsia" w:ascii="仿宋_GB2312" w:hAnsi="仿宋_GB2312" w:eastAsia="仿宋_GB2312" w:cs="仿宋_GB2312"/>
          <w:color w:val="000000"/>
          <w:sz w:val="24"/>
          <w:szCs w:val="24"/>
          <w:highlight w:val="none"/>
        </w:rPr>
      </w:pPr>
      <w:bookmarkStart w:id="68" w:name="_Toc5452"/>
      <w:r>
        <w:rPr>
          <w:rFonts w:hint="eastAsia" w:ascii="仿宋_GB2312" w:hAnsi="仿宋_GB2312" w:eastAsia="仿宋_GB2312" w:cs="仿宋_GB2312"/>
          <w:color w:val="000000"/>
          <w:sz w:val="24"/>
          <w:szCs w:val="24"/>
          <w:highlight w:val="none"/>
        </w:rPr>
        <w:t>★11.1投标人应完整地按招标文件提供的投标文件格式及要求编写投标文件。招标文件提供格式的按所给格式填列，未提供格式的可自行拟定。投标文件应包括资格证明文件、符合性证明文件、</w:t>
      </w:r>
      <w:r>
        <w:rPr>
          <w:rFonts w:hint="eastAsia" w:ascii="仿宋_GB2312" w:hAnsi="仿宋_GB2312" w:eastAsia="仿宋_GB2312" w:cs="仿宋_GB2312"/>
          <w:color w:val="000000"/>
          <w:sz w:val="24"/>
          <w:szCs w:val="24"/>
          <w:highlight w:val="none"/>
          <w:lang w:eastAsia="zh-CN"/>
        </w:rPr>
        <w:t>其他</w:t>
      </w:r>
      <w:r>
        <w:rPr>
          <w:rFonts w:hint="eastAsia" w:ascii="仿宋_GB2312" w:hAnsi="仿宋_GB2312" w:eastAsia="仿宋_GB2312" w:cs="仿宋_GB2312"/>
          <w:color w:val="000000"/>
          <w:sz w:val="24"/>
          <w:szCs w:val="24"/>
          <w:highlight w:val="none"/>
        </w:rPr>
        <w:t>材料三部分内容。具体见第二章 投标文件内容及格式。</w:t>
      </w:r>
      <w:bookmarkEnd w:id="68"/>
    </w:p>
    <w:p w14:paraId="0E36B321">
      <w:pPr>
        <w:adjustRightInd w:val="0"/>
        <w:snapToGrid w:val="0"/>
        <w:spacing w:line="360" w:lineRule="auto"/>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★11.2</w:t>
      </w:r>
      <w:r>
        <w:rPr>
          <w:rFonts w:hint="eastAsia" w:ascii="仿宋_GB2312" w:hAnsi="仿宋_GB2312" w:eastAsia="仿宋_GB2312" w:cs="仿宋_GB2312"/>
          <w:color w:val="000000"/>
          <w:spacing w:val="11"/>
          <w:sz w:val="24"/>
          <w:szCs w:val="24"/>
          <w:highlight w:val="none"/>
        </w:rPr>
        <w:t>投标人应将投标文件分为“明标分册”与“暗标分册”</w:t>
      </w:r>
      <w:r>
        <w:rPr>
          <w:rFonts w:hint="eastAsia" w:ascii="仿宋_GB2312" w:hAnsi="仿宋_GB2312" w:eastAsia="仿宋_GB2312" w:cs="仿宋_GB2312"/>
          <w:color w:val="000000"/>
          <w:spacing w:val="-2"/>
          <w:sz w:val="24"/>
          <w:szCs w:val="24"/>
          <w:highlight w:val="none"/>
        </w:rPr>
        <w:t>。其中，“明标分册”主要包含投标函、</w:t>
      </w:r>
      <w:r>
        <w:rPr>
          <w:rFonts w:hint="eastAsia" w:ascii="仿宋_GB2312" w:hAnsi="仿宋_GB2312" w:eastAsia="仿宋_GB2312" w:cs="仿宋_GB2312"/>
          <w:color w:val="000000"/>
          <w:spacing w:val="12"/>
          <w:sz w:val="24"/>
          <w:szCs w:val="24"/>
          <w:highlight w:val="none"/>
        </w:rPr>
        <w:t>投标报价明细表、资质证书、业绩证明材料、项目团队人</w:t>
      </w:r>
      <w:r>
        <w:rPr>
          <w:rFonts w:hint="eastAsia" w:ascii="仿宋_GB2312" w:hAnsi="仿宋_GB2312" w:eastAsia="仿宋_GB2312" w:cs="仿宋_GB2312"/>
          <w:color w:val="000000"/>
          <w:spacing w:val="11"/>
          <w:sz w:val="24"/>
          <w:szCs w:val="24"/>
          <w:highlight w:val="none"/>
        </w:rPr>
        <w:t>员资质</w:t>
      </w:r>
      <w:r>
        <w:rPr>
          <w:rFonts w:hint="eastAsia" w:ascii="仿宋_GB2312" w:hAnsi="仿宋_GB2312" w:eastAsia="仿宋_GB2312" w:cs="仿宋_GB2312"/>
          <w:color w:val="000000"/>
          <w:spacing w:val="12"/>
          <w:sz w:val="24"/>
          <w:szCs w:val="24"/>
          <w:highlight w:val="none"/>
        </w:rPr>
        <w:t>证明等涉及供应商直接标识信息的内容，以及货物采购中</w:t>
      </w:r>
      <w:r>
        <w:rPr>
          <w:rFonts w:hint="eastAsia" w:ascii="仿宋_GB2312" w:hAnsi="仿宋_GB2312" w:eastAsia="仿宋_GB2312" w:cs="仿宋_GB2312"/>
          <w:color w:val="000000"/>
          <w:spacing w:val="11"/>
          <w:sz w:val="24"/>
          <w:szCs w:val="24"/>
          <w:highlight w:val="none"/>
        </w:rPr>
        <w:t>产品规</w:t>
      </w:r>
      <w:r>
        <w:rPr>
          <w:rFonts w:hint="eastAsia" w:ascii="仿宋_GB2312" w:hAnsi="仿宋_GB2312" w:eastAsia="仿宋_GB2312" w:cs="仿宋_GB2312"/>
          <w:color w:val="000000"/>
          <w:spacing w:val="5"/>
          <w:sz w:val="24"/>
          <w:szCs w:val="24"/>
          <w:highlight w:val="none"/>
        </w:rPr>
        <w:t>格性能说明、技术参数偏离表等与产品特性直接相关的技术内容；</w:t>
      </w:r>
      <w:r>
        <w:rPr>
          <w:rFonts w:hint="eastAsia" w:ascii="仿宋_GB2312" w:hAnsi="仿宋_GB2312" w:eastAsia="仿宋_GB2312" w:cs="仿宋_GB2312"/>
          <w:color w:val="000000"/>
          <w:spacing w:val="3"/>
          <w:sz w:val="24"/>
          <w:szCs w:val="24"/>
          <w:highlight w:val="none"/>
        </w:rPr>
        <w:t>“暗标分册”主要包含项目技术实施方案、交货或服</w:t>
      </w:r>
      <w:r>
        <w:rPr>
          <w:rFonts w:hint="eastAsia" w:ascii="仿宋_GB2312" w:hAnsi="仿宋_GB2312" w:eastAsia="仿宋_GB2312" w:cs="仿宋_GB2312"/>
          <w:color w:val="000000"/>
          <w:spacing w:val="2"/>
          <w:sz w:val="24"/>
          <w:szCs w:val="24"/>
          <w:highlight w:val="none"/>
        </w:rPr>
        <w:t>务周期安排、</w:t>
      </w:r>
      <w:r>
        <w:rPr>
          <w:rFonts w:hint="eastAsia" w:ascii="仿宋_GB2312" w:hAnsi="仿宋_GB2312" w:eastAsia="仿宋_GB2312" w:cs="仿宋_GB2312"/>
          <w:color w:val="000000"/>
          <w:spacing w:val="1"/>
          <w:sz w:val="24"/>
          <w:szCs w:val="24"/>
          <w:highlight w:val="none"/>
        </w:rPr>
        <w:t>售后服务方案等内容。</w:t>
      </w:r>
      <w:r>
        <w:rPr>
          <w:rFonts w:hint="eastAsia" w:ascii="仿宋_GB2312" w:hAnsi="仿宋_GB2312" w:eastAsia="仿宋_GB2312" w:cs="仿宋_GB2312"/>
          <w:color w:val="000000"/>
          <w:sz w:val="24"/>
          <w:szCs w:val="24"/>
          <w:highlight w:val="none"/>
        </w:rPr>
        <w:t>具体详见投标人须知前附表11.2款。</w:t>
      </w:r>
    </w:p>
    <w:p w14:paraId="6005C4C6">
      <w:pPr>
        <w:adjustRightInd w:val="0"/>
        <w:snapToGrid w:val="0"/>
        <w:spacing w:line="360" w:lineRule="auto"/>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rPr>
        <w:t>★11.3采用“暗标盲评”评审的，暗标分册投标文件编制应满足下列要求：</w:t>
      </w:r>
      <w:r>
        <w:rPr>
          <w:rFonts w:hint="eastAsia" w:ascii="仿宋_GB2312" w:hAnsi="仿宋_GB2312" w:eastAsia="仿宋_GB2312" w:cs="仿宋_GB2312"/>
          <w:color w:val="000000"/>
          <w:sz w:val="24"/>
          <w:szCs w:val="24"/>
          <w:highlight w:val="none"/>
          <w:lang w:eastAsia="zh-CN"/>
        </w:rPr>
        <w:t>（本项目不采用）</w:t>
      </w:r>
    </w:p>
    <w:p w14:paraId="022B2216">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采用A4规格纸张，纸张方向为纵向，段落采用单倍行距，“文档网格”设置为“无网格”，对齐方式两端对齐，大纲级别正文文本，左侧、右侧缩进0个字符，首行缩进2个字符，段前、段后0行。编辑软件可采用Microsoft Word 2010及以上版本或WPS 2013版本及以上版本。</w:t>
      </w:r>
    </w:p>
    <w:p w14:paraId="2E94D96E">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（2）标题（包括章、节、条、款、项）、正文要求：采用A4规格纸张，文字为黑色小四号宋体，标题可加粗。</w:t>
      </w:r>
    </w:p>
    <w:p w14:paraId="2455EC85">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图表要求：图表应尽可能采用A4规格白色底色，对于比较大的图表可使用A3规格白色底色。图表中的文字采用黑色，字体、字号不限（不包括纯表格，纯表格中文字要求同（2）正文要求且无需首行缩进）。图表（包括框图、流程图、结构图等，不包括纯表格）内容需转换为“图片”格式插入到文件对应位置上。</w:t>
      </w:r>
    </w:p>
    <w:p w14:paraId="52960903">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（4）页眉和页脚（包括页码）设置要求：不允许出现页眉，可以设置页脚且页脚仅可以设置页码，页码格式采用阿拉伯数字格式，字体为五号宋体，设在页脚居中位置，同模块文本页码应当连续。</w:t>
      </w:r>
    </w:p>
    <w:p w14:paraId="067C5F0C">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（5）不允许有目录，不允许涂改或删除痕迹，不允许字体涂色。</w:t>
      </w:r>
    </w:p>
    <w:p w14:paraId="34B4E2F8">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（6）任何情况下，</w:t>
      </w:r>
      <w:bookmarkStart w:id="69" w:name="OLE_LINK11"/>
      <w:r>
        <w:rPr>
          <w:rFonts w:hint="eastAsia" w:ascii="仿宋_GB2312" w:hAnsi="仿宋_GB2312" w:eastAsia="仿宋_GB2312" w:cs="仿宋_GB2312"/>
          <w:color w:val="000000"/>
          <w:sz w:val="24"/>
          <w:szCs w:val="24"/>
          <w:highlight w:val="none"/>
        </w:rPr>
        <w:t>暗标分册</w:t>
      </w:r>
      <w:bookmarkEnd w:id="69"/>
      <w:r>
        <w:rPr>
          <w:rFonts w:hint="eastAsia" w:ascii="仿宋_GB2312" w:hAnsi="仿宋_GB2312" w:eastAsia="仿宋_GB2312" w:cs="仿宋_GB2312"/>
          <w:color w:val="000000"/>
          <w:sz w:val="24"/>
          <w:szCs w:val="24"/>
          <w:highlight w:val="none"/>
        </w:rPr>
        <w:t>中不得出现投标人的名称和</w:t>
      </w:r>
      <w:r>
        <w:rPr>
          <w:rFonts w:hint="eastAsia" w:ascii="仿宋_GB2312" w:hAnsi="仿宋_GB2312" w:eastAsia="仿宋_GB2312" w:cs="仿宋_GB2312"/>
          <w:color w:val="000000"/>
          <w:sz w:val="24"/>
          <w:szCs w:val="24"/>
          <w:highlight w:val="none"/>
          <w:lang w:eastAsia="zh-CN"/>
        </w:rPr>
        <w:t>其他可以</w:t>
      </w:r>
      <w:r>
        <w:rPr>
          <w:rFonts w:hint="eastAsia" w:ascii="仿宋_GB2312" w:hAnsi="仿宋_GB2312" w:eastAsia="仿宋_GB2312" w:cs="仿宋_GB2312"/>
          <w:color w:val="000000"/>
          <w:sz w:val="24"/>
          <w:szCs w:val="24"/>
          <w:highlight w:val="none"/>
        </w:rPr>
        <w:t>识别投标人身份的字符、徽标、人员名称等以及雷同性标记内容。</w:t>
      </w:r>
    </w:p>
    <w:p w14:paraId="181DB06C">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（7）不允许对暗标分册进行电子签章或上传带有签章的扫描页。</w:t>
      </w:r>
    </w:p>
    <w:p w14:paraId="4AC78F2D">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11.4样品或演示要求详见投标人须知表11.4款。</w:t>
      </w:r>
    </w:p>
    <w:p w14:paraId="551F6FD5">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12.投标报价</w:t>
      </w:r>
    </w:p>
    <w:p w14:paraId="7AB2C596">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3DEF12C8">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12.2除招标文件另有约定外，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091D7080">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12.3投标人应按招标文件要求在相关表格中标明投标货物及伴随服务的单价和总价，并由法定代表人（非法人组织的负责人）或其委托代理人签署。</w:t>
      </w:r>
    </w:p>
    <w:p w14:paraId="1FBF42B7">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color w:val="000000"/>
          <w:sz w:val="24"/>
          <w:szCs w:val="24"/>
          <w:highlight w:val="none"/>
        </w:rPr>
        <w:t>投标无效。</w:t>
      </w:r>
    </w:p>
    <w:p w14:paraId="7738BE86">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12.5每种货物只能有一个投标报价。采购人不接受具有附加条件的报价。</w:t>
      </w:r>
    </w:p>
    <w:p w14:paraId="7A62FEF3">
      <w:pPr>
        <w:adjustRightInd w:val="0"/>
        <w:snapToGrid w:val="0"/>
        <w:spacing w:line="360" w:lineRule="auto"/>
        <w:rPr>
          <w:rFonts w:hint="eastAsia" w:ascii="仿宋_GB2312" w:hAnsi="仿宋_GB2312" w:eastAsia="仿宋_GB2312" w:cs="仿宋_GB2312"/>
          <w:color w:val="000000"/>
          <w:sz w:val="24"/>
          <w:szCs w:val="24"/>
          <w:highlight w:val="none"/>
        </w:rPr>
      </w:pPr>
      <w:bookmarkStart w:id="70" w:name="_Toc22507_WPSOffice_Level2"/>
      <w:bookmarkStart w:id="71" w:name="_Toc31973_WPSOffice_Level2"/>
      <w:r>
        <w:rPr>
          <w:rFonts w:hint="eastAsia" w:ascii="仿宋_GB2312" w:hAnsi="仿宋_GB2312" w:eastAsia="仿宋_GB2312" w:cs="仿宋_GB2312"/>
          <w:color w:val="000000"/>
          <w:sz w:val="24"/>
          <w:szCs w:val="24"/>
          <w:highlight w:val="none"/>
        </w:rPr>
        <w:t>12.6除非招标文件另有规定，报价原则上精确到小数点后两位。</w:t>
      </w:r>
      <w:bookmarkEnd w:id="70"/>
      <w:bookmarkEnd w:id="71"/>
    </w:p>
    <w:p w14:paraId="70FE1D71">
      <w:pPr>
        <w:adjustRightInd w:val="0"/>
        <w:snapToGrid w:val="0"/>
        <w:spacing w:line="360" w:lineRule="auto"/>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b/>
          <w:bCs/>
          <w:color w:val="000000"/>
          <w:sz w:val="24"/>
          <w:szCs w:val="24"/>
          <w:highlight w:val="none"/>
        </w:rPr>
        <w:t>★13.投标保证金</w:t>
      </w:r>
      <w:r>
        <w:rPr>
          <w:rFonts w:hint="eastAsia" w:ascii="仿宋_GB2312" w:hAnsi="仿宋_GB2312" w:eastAsia="仿宋_GB2312" w:cs="仿宋_GB2312"/>
          <w:color w:val="000000"/>
          <w:sz w:val="24"/>
          <w:szCs w:val="24"/>
          <w:highlight w:val="none"/>
          <w:lang w:eastAsia="zh-CN"/>
        </w:rPr>
        <w:t>（本项目不采用）</w:t>
      </w:r>
    </w:p>
    <w:p w14:paraId="20D30A3B">
      <w:pPr>
        <w:adjustRightInd w:val="0"/>
        <w:snapToGrid w:val="0"/>
        <w:spacing w:line="360" w:lineRule="auto"/>
        <w:rPr>
          <w:rFonts w:hint="eastAsia" w:ascii="仿宋_GB2312" w:hAnsi="仿宋_GB2312" w:eastAsia="仿宋_GB2312" w:cs="仿宋_GB2312"/>
          <w:b/>
          <w:bCs/>
          <w:color w:val="000000"/>
          <w:sz w:val="24"/>
          <w:szCs w:val="24"/>
          <w:highlight w:val="none"/>
        </w:rPr>
      </w:pPr>
    </w:p>
    <w:p w14:paraId="07E978F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13.1投标人应提交投标人须知表13.1款中规定的投标保证金，并作为其投标的一部分。</w:t>
      </w:r>
    </w:p>
    <w:p w14:paraId="76D735C2">
      <w:pPr>
        <w:adjustRightInd w:val="0"/>
        <w:snapToGrid w:val="0"/>
        <w:spacing w:line="360" w:lineRule="auto"/>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13.2投标保证金缴纳人、招标文件领取人、投标登记人和投标人必须为同一组织机构或联合体内不同成员单位，否则将视同未按招标文件规定交纳投标保证金。</w:t>
      </w:r>
    </w:p>
    <w:p w14:paraId="6266E808">
      <w:pPr>
        <w:adjustRightInd w:val="0"/>
        <w:snapToGrid w:val="0"/>
        <w:spacing w:line="360" w:lineRule="auto"/>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13.3投标人存在下列情形的，投标保证金不予退还：</w:t>
      </w:r>
    </w:p>
    <w:p w14:paraId="1641D83E">
      <w:pPr>
        <w:adjustRightInd w:val="0"/>
        <w:snapToGrid w:val="0"/>
        <w:spacing w:line="360" w:lineRule="auto"/>
        <w:ind w:left="0" w:leftChars="0" w:firstLine="249" w:firstLineChars="104"/>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（1）在投标有效期内，投标人撤销投标的；</w:t>
      </w:r>
    </w:p>
    <w:p w14:paraId="319D712D">
      <w:pPr>
        <w:adjustRightInd w:val="0"/>
        <w:snapToGrid w:val="0"/>
        <w:spacing w:line="360" w:lineRule="auto"/>
        <w:ind w:left="0" w:leftChars="0" w:firstLine="249" w:firstLineChars="104"/>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（2）中标后不按本须知第34款的规定与采购人签订合同的；</w:t>
      </w:r>
    </w:p>
    <w:p w14:paraId="364A17C8">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（3）中标后不按本须知第35款的规定提交履约保证金的；</w:t>
      </w:r>
    </w:p>
    <w:p w14:paraId="237E04D5">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（4）中标后不按本须知第36款的规定缴纳采购代理服务费的；</w:t>
      </w:r>
    </w:p>
    <w:p w14:paraId="660A5C19">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（5）存在其他违法违规行为的。</w:t>
      </w:r>
    </w:p>
    <w:p w14:paraId="149E679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13.4联合体投标的，可以由联合体中的一方或者共同提交投标保证金。以一方名义提交投标保证金的，对联合体各方均具有约束力。</w:t>
      </w:r>
    </w:p>
    <w:p w14:paraId="562CD629">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13.5投标保证金的退还</w:t>
      </w:r>
    </w:p>
    <w:p w14:paraId="572A0718">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13.5.1中标人应在与采购人签订合同之日起5个工作日内，及时联系保证金收受机构办理投标保证金退还手续。</w:t>
      </w:r>
    </w:p>
    <w:p w14:paraId="28213A64">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13.5.2未中标投标人的投标保证金将在中标通知书发出之日暨中标结果公告公布之日起5个工作日内无息退还。投标人应及时联系保证金收受机构办理退还投标保证金手续。</w:t>
      </w:r>
    </w:p>
    <w:p w14:paraId="62E9199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13.5.3投标人在投标截止时间前撤回已提交的投标文件的，投标人应自采购人或者采购代理机构收到投标人书面撤回通知之日起</w:t>
      </w:r>
      <w:r>
        <w:rPr>
          <w:rFonts w:hint="eastAsia" w:ascii="仿宋_GB2312" w:hAnsi="仿宋_GB2312" w:eastAsia="仿宋_GB2312" w:cs="仿宋_GB2312"/>
          <w:color w:val="000000"/>
          <w:sz w:val="24"/>
          <w:szCs w:val="24"/>
          <w:highlight w:val="none"/>
          <w:lang w:val="en-US" w:eastAsia="zh-CN"/>
        </w:rPr>
        <w:t>5</w:t>
      </w:r>
      <w:r>
        <w:rPr>
          <w:rFonts w:hint="eastAsia" w:ascii="仿宋_GB2312" w:hAnsi="仿宋_GB2312" w:eastAsia="仿宋_GB2312" w:cs="仿宋_GB2312"/>
          <w:color w:val="000000"/>
          <w:sz w:val="24"/>
          <w:szCs w:val="24"/>
          <w:highlight w:val="none"/>
        </w:rPr>
        <w:t>个工作日内，及时联系保证金收受机构办理投标保证金退还手续。</w:t>
      </w:r>
    </w:p>
    <w:p w14:paraId="34CB0182">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13.5.4政府采购投标担保函不予退回。</w:t>
      </w:r>
    </w:p>
    <w:p w14:paraId="4A9EAE44">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13.6因投标人自身原因导致无法及时退还的，采购人或采购代理机构将不承担相应责任。</w:t>
      </w:r>
    </w:p>
    <w:p w14:paraId="23BDBFDF">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14.证明投标标的的合格性和符合招标文件规定的技术文件</w:t>
      </w:r>
    </w:p>
    <w:p w14:paraId="61E3D629">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14.1投标人应提交证明文件，证明其投标内容符合招标文件规定。该证明文件是投标文件的一部分。</w:t>
      </w:r>
    </w:p>
    <w:p w14:paraId="12202723">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14.2上款所述的证明文件，可以是文字资料、图纸和数据，它包括：</w:t>
      </w:r>
    </w:p>
    <w:p w14:paraId="27083D0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（1）货物主要技术指标和性能的详细说明；</w:t>
      </w:r>
    </w:p>
    <w:p w14:paraId="2C33C613">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（2）货物从采购人开始使用至招标文件规定的保质期内正常、连续地使用所必须的备件和专用工具清单，包括备件和专用工具的货源及现行价格</w:t>
      </w:r>
      <w:r>
        <w:rPr>
          <w:rFonts w:hint="eastAsia" w:ascii="仿宋_GB2312" w:hAnsi="仿宋_GB2312" w:eastAsia="仿宋_GB2312" w:cs="仿宋_GB2312"/>
          <w:color w:val="000000"/>
          <w:sz w:val="24"/>
          <w:szCs w:val="24"/>
          <w:highlight w:val="none"/>
          <w:lang w:eastAsia="zh-CN"/>
        </w:rPr>
        <w:t>；</w:t>
      </w:r>
    </w:p>
    <w:p w14:paraId="116CD396">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（3）对照招标文件技术规格，逐条说明所提供货物及伴随的工程和服务已对招标文件的技术规格做出了实质性的响应，或申明与技术规格条文的偏差和例外。</w:t>
      </w:r>
    </w:p>
    <w:p w14:paraId="7C78621F">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15.投标有效期</w:t>
      </w:r>
    </w:p>
    <w:p w14:paraId="1838808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15.1投标应在投标人须知表15.1款中规定的投标有效期内保持有效。投标有效期不满足要求的投标，其投标将被认定为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2258F476">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4D6C9001">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16.投标文件的签署</w:t>
      </w:r>
    </w:p>
    <w:p w14:paraId="0715D7DC">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bookmarkStart w:id="72" w:name="_Toc27725_WPSOffice_Level2"/>
      <w:r>
        <w:rPr>
          <w:rFonts w:hint="eastAsia" w:ascii="仿宋_GB2312" w:hAnsi="仿宋_GB2312" w:eastAsia="仿宋_GB2312" w:cs="仿宋_GB2312"/>
          <w:color w:val="000000"/>
          <w:sz w:val="24"/>
          <w:szCs w:val="24"/>
          <w:highlight w:val="none"/>
        </w:rPr>
        <w:t>投标文件需按照招标文件规定的格式内容编制，并按招标文件要求盖章或电子签章。（对于使用电子签章的，供应商应在辽宁政府采购网CA认证平台下载签章工具或向CA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1FF24203">
      <w:pPr>
        <w:pStyle w:val="4"/>
        <w:rPr>
          <w:rFonts w:hint="eastAsia" w:ascii="楷体_GB2312" w:hAnsi="楷体_GB2312" w:eastAsia="楷体_GB2312" w:cs="楷体_GB2312"/>
          <w:b/>
          <w:bCs w:val="0"/>
          <w:color w:val="000000"/>
          <w:sz w:val="32"/>
          <w:szCs w:val="28"/>
          <w:highlight w:val="none"/>
        </w:rPr>
      </w:pPr>
      <w:r>
        <w:rPr>
          <w:rFonts w:hint="eastAsia" w:ascii="Times New Roman" w:hAnsi="Times New Roman" w:eastAsia="仿宋" w:cs="仿宋"/>
          <w:color w:val="000000"/>
          <w:sz w:val="32"/>
          <w:szCs w:val="28"/>
          <w:highlight w:val="none"/>
        </w:rPr>
        <w:br w:type="page"/>
      </w:r>
      <w:r>
        <w:rPr>
          <w:rFonts w:hint="eastAsia" w:ascii="楷体_GB2312" w:hAnsi="楷体_GB2312" w:eastAsia="楷体_GB2312" w:cs="楷体_GB2312"/>
          <w:b/>
          <w:bCs w:val="0"/>
          <w:color w:val="000000"/>
          <w:sz w:val="32"/>
          <w:szCs w:val="28"/>
          <w:highlight w:val="none"/>
        </w:rPr>
        <w:t>五 投标文件的递交</w:t>
      </w:r>
      <w:bookmarkEnd w:id="72"/>
    </w:p>
    <w:p w14:paraId="1AB31D93">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bCs/>
          <w:color w:val="000000"/>
          <w:sz w:val="24"/>
          <w:szCs w:val="24"/>
          <w:highlight w:val="none"/>
        </w:rPr>
        <w:t>17.加密备份投标文件递交要求</w:t>
      </w:r>
      <w:r>
        <w:rPr>
          <w:rFonts w:hint="eastAsia" w:ascii="仿宋_GB2312" w:hAnsi="仿宋_GB2312" w:eastAsia="仿宋_GB2312" w:cs="仿宋_GB2312"/>
          <w:color w:val="000000"/>
          <w:sz w:val="24"/>
          <w:szCs w:val="24"/>
          <w:highlight w:val="none"/>
          <w:lang w:eastAsia="zh-CN"/>
        </w:rPr>
        <w:t>（本项目不采用）</w:t>
      </w:r>
    </w:p>
    <w:p w14:paraId="0DC89381">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17.1投标人应按投标须知表17.1的要求自愿递交加密备份投标文件。如投标人选择现场递交，应将加密备份投标文件密封，并进行包封。前附表11.2款规定采用“暗标盲评”评审的，需将明标分册及暗标分册加密备份投标文件分别单独密封、单独包封。具体如下：</w:t>
      </w:r>
    </w:p>
    <w:p w14:paraId="33A58776">
      <w:pPr>
        <w:adjustRightInd w:val="0"/>
        <w:snapToGrid w:val="0"/>
        <w:spacing w:line="360" w:lineRule="auto"/>
        <w:ind w:firstLine="240" w:firstLineChars="1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明标分册包装封皮：</w:t>
      </w:r>
    </w:p>
    <w:p w14:paraId="46477848">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（1）注明项目名称、项目编号、包组编号、投标人名称。</w:t>
      </w:r>
    </w:p>
    <w:p w14:paraId="55191161">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（2）加盖投标人单位公章。</w:t>
      </w:r>
    </w:p>
    <w:p w14:paraId="5E274720">
      <w:pPr>
        <w:adjustRightInd w:val="0"/>
        <w:snapToGrid w:val="0"/>
        <w:spacing w:line="360" w:lineRule="auto"/>
        <w:ind w:firstLine="240" w:firstLineChars="1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暗标分册包装封皮：</w:t>
      </w:r>
    </w:p>
    <w:p w14:paraId="3566B6B9">
      <w:pPr>
        <w:adjustRightInd w:val="0"/>
        <w:snapToGrid w:val="0"/>
        <w:spacing w:line="360" w:lineRule="auto"/>
        <w:ind w:firstLine="240" w:firstLineChars="1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注明项目名称、项目编号、包组编号。</w:t>
      </w:r>
    </w:p>
    <w:p w14:paraId="33F4E4F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★17.2投标人自愿递交加密备份文件的，应在投标人须知表18.1规定的递交投标文件截止时间前递交。同时递交《投标文件一致性承诺函》，承诺备份文件与电子评审系统中上传的投标文件内容、格式一致。</w:t>
      </w:r>
    </w:p>
    <w:p w14:paraId="40A24409">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如供应商未在规定时间内递交加密备份文件，由此产生的不良后果由投标人自行承担。</w:t>
      </w:r>
    </w:p>
    <w:p w14:paraId="2A72BEF6">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★17.3启用备份文件时，投标人未按投标人须知表17.1款中的规定提交加密备份文件的，其投标将被认定为投标无效。</w:t>
      </w:r>
    </w:p>
    <w:p w14:paraId="23DA8A0C">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18.投标截止</w:t>
      </w:r>
    </w:p>
    <w:p w14:paraId="73F660E4">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18.1投标人应在投标人须知表18.1中规定的递交投标文件截止时间前，将投标文件递交到投标人须知表18.1款中规定的地点。</w:t>
      </w:r>
    </w:p>
    <w:p w14:paraId="4A8AB54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18.2采购人和采购代理机构有权按本须知的规定，延迟投标截止时间。在此情况下，采购人、采购代理机构和投标人受投标截止时间制约的所有权利和义务均应延长至新的截止时间。</w:t>
      </w:r>
    </w:p>
    <w:p w14:paraId="6E721D59">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19.投标文件的接收、修改与撤回</w:t>
      </w:r>
    </w:p>
    <w:p w14:paraId="3F8AD9B1">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19.1在投标截止时间后送达的投标文件，采购人和采购代理机构将拒绝接收。</w:t>
      </w:r>
    </w:p>
    <w:p w14:paraId="3AA49632">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19.2采购人或者采购代理机构收到投标文件后，应当如实记载投标文件的送达时间和密封情况。</w:t>
      </w:r>
    </w:p>
    <w:p w14:paraId="7D1AF85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19.3投标人应当在投标截止时间前完成投标文件的传输递交，并可以补充、修改或者撤回投标文件。投标截止时间前未完成投标文件传输的，视为撤回投标文件。</w:t>
      </w:r>
    </w:p>
    <w:p w14:paraId="3478FE6D">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19.4递交加密备份投标文件以后，如果投标人要进行修改或撤回的，须提出书面申请并在投标截止时间前按照投标人须知表17.1款中的规定进行递交。采购人和采购代理机构将予以接收，并视为投标文件的组成部分。否则，加密备份投标文件的修改或撤回行为无效。</w:t>
      </w:r>
    </w:p>
    <w:p w14:paraId="58E0A2F1">
      <w:pPr>
        <w:pStyle w:val="4"/>
        <w:rPr>
          <w:rFonts w:hint="eastAsia" w:ascii="楷体_GB2312" w:hAnsi="楷体_GB2312" w:eastAsia="楷体_GB2312" w:cs="楷体_GB2312"/>
          <w:b/>
          <w:bCs w:val="0"/>
          <w:color w:val="000000"/>
          <w:sz w:val="32"/>
          <w:szCs w:val="28"/>
          <w:highlight w:val="none"/>
        </w:rPr>
      </w:pPr>
      <w:bookmarkStart w:id="73" w:name="_Toc988_WPSOffice_Level2"/>
      <w:r>
        <w:rPr>
          <w:rFonts w:hint="eastAsia" w:ascii="Times New Roman" w:hAnsi="Times New Roman" w:eastAsia="仿宋" w:cs="仿宋"/>
          <w:color w:val="000000"/>
          <w:sz w:val="32"/>
          <w:szCs w:val="28"/>
          <w:highlight w:val="none"/>
        </w:rPr>
        <w:br w:type="page"/>
      </w:r>
      <w:r>
        <w:rPr>
          <w:rFonts w:hint="eastAsia" w:ascii="楷体_GB2312" w:hAnsi="楷体_GB2312" w:eastAsia="楷体_GB2312" w:cs="楷体_GB2312"/>
          <w:b/>
          <w:bCs w:val="0"/>
          <w:color w:val="000000"/>
          <w:sz w:val="32"/>
          <w:szCs w:val="28"/>
          <w:highlight w:val="none"/>
        </w:rPr>
        <w:t>六 开标及评标</w:t>
      </w:r>
      <w:bookmarkEnd w:id="73"/>
    </w:p>
    <w:p w14:paraId="4F1D08A4">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20.开标</w:t>
      </w:r>
    </w:p>
    <w:p w14:paraId="2999A970">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20.1采购人和采购代理机构将按投标人须知表20.1款中规定的开标时间和地点组织公开开标并邀请所有投标人代表参加。</w:t>
      </w:r>
    </w:p>
    <w:p w14:paraId="29828429">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投标人不足3家的，不得开标。评标委员会成员不得参加开标活动。</w:t>
      </w:r>
    </w:p>
    <w:p w14:paraId="6B387CC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20.2开标时，由投标人对电子投标文件进行解密。本项目的解密时间规定见投标人须知表20.2条。采购人或采购代理机构将通过电子评审系统公布开标结果，公布内容包括投标人名称、投标价格及招标文件规定的内容。</w:t>
      </w:r>
    </w:p>
    <w:p w14:paraId="2D16F5ED">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采购人或采购代理机构将对开标过程进行记录，由参加开标的各投标人代表和相关工作人员签字确认，并存档备查。投标人未参加开标或未签字确认的，视同认可开标结果。</w:t>
      </w:r>
    </w:p>
    <w:p w14:paraId="163DE9F0">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20.3投标人在电子评审活动中出现以下情形的，应按如下规定进行处理：</w:t>
      </w:r>
    </w:p>
    <w:p w14:paraId="1D9CFF95">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（1）因投标人原因造成投标文件未解密的；</w:t>
      </w:r>
    </w:p>
    <w:p w14:paraId="70E66DBC">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（2）因投标人自用设备原因造成的未在规定时间内解密、上传文件或投标报价等问题影响电子评审的；</w:t>
      </w:r>
    </w:p>
    <w:p w14:paraId="2384794E">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（3）因投标人原因未对文件校验造成信息缺失、文件内容或格式不正确以及加密备份投标文件不符合要求等问题影响评审的。</w:t>
      </w:r>
    </w:p>
    <w:p w14:paraId="3EA37529">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出现前款（1）（2）情形的，视为投标人放弃投标；出现前款（3）情形的，由投标人自行承担相应责任。</w:t>
      </w:r>
    </w:p>
    <w:p w14:paraId="783F7A0C">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20.4投标人代表对开标过程和开标记录有疑义，以及认为采购人、采购代理机构相关工作人员有需要回避的情形的，应当场提出询问或者回避申请。</w:t>
      </w:r>
    </w:p>
    <w:p w14:paraId="22B1B7B2">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21.组建评标委员会</w:t>
      </w:r>
    </w:p>
    <w:p w14:paraId="396ECC0B">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按照《中华人民共和国政府采购法》《中华人民共和国政府采购法实施条例》有关规定依法组建评标委员会，负责本项目评标工作。本项目评标委员会组成详见投标人须知表21款。</w:t>
      </w:r>
    </w:p>
    <w:p w14:paraId="2A0615FC">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22.资格审查</w:t>
      </w:r>
    </w:p>
    <w:p w14:paraId="58BDC338">
      <w:pPr>
        <w:adjustRightInd w:val="0"/>
        <w:snapToGrid w:val="0"/>
        <w:spacing w:line="360" w:lineRule="auto"/>
        <w:outlineLvl w:val="0"/>
        <w:rPr>
          <w:rFonts w:hint="eastAsia" w:ascii="仿宋_GB2312" w:hAnsi="仿宋_GB2312" w:eastAsia="仿宋_GB2312" w:cs="仿宋_GB2312"/>
          <w:color w:val="000000"/>
          <w:sz w:val="24"/>
          <w:szCs w:val="24"/>
          <w:highlight w:val="none"/>
        </w:rPr>
      </w:pPr>
      <w:bookmarkStart w:id="74" w:name="_Toc13090"/>
      <w:r>
        <w:rPr>
          <w:rFonts w:hint="eastAsia" w:ascii="仿宋_GB2312" w:hAnsi="仿宋_GB2312" w:eastAsia="仿宋_GB2312" w:cs="仿宋_GB2312"/>
          <w:color w:val="000000"/>
          <w:sz w:val="24"/>
          <w:szCs w:val="24"/>
          <w:highlight w:val="none"/>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；通过资格审查的投标人不足3家的，不得评标。</w:t>
      </w:r>
      <w:bookmarkEnd w:id="74"/>
    </w:p>
    <w:p w14:paraId="27E4767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22.2采购人或采购代理机构将在资格审查环节查询投标人的信用记录。投标人存在不良信用记录的，其投标将被认定为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351B124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22.2.1不良信用记录指：投标人在中国政府采购网（www.ccgp.gov.cn）被列入政府采购严重违法失信行为记录名单，或在“信用中国”网站（www.creditchina.gov.cn）被列入失信被执行人、重大税收违法失信主体名单，以及存在《中华人民共和国政府采购法实施条例》第十九条规定的行政处罚记录。</w:t>
      </w:r>
    </w:p>
    <w:p w14:paraId="5D163C10">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以联合体形式参加投标的，联合体任何成员存在以上不良信用记录的，联合体投标将被认定为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0C15D161">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22.2.2查询及记录方式：采购人或采购代理机构经办人将查询网页</w:t>
      </w:r>
      <w:bookmarkStart w:id="75" w:name="_Hlk211066561"/>
      <w:r>
        <w:rPr>
          <w:rFonts w:hint="eastAsia" w:ascii="仿宋_GB2312" w:hAnsi="仿宋_GB2312" w:eastAsia="仿宋_GB2312" w:cs="仿宋_GB2312"/>
          <w:color w:val="000000"/>
          <w:sz w:val="24"/>
          <w:szCs w:val="24"/>
          <w:highlight w:val="none"/>
        </w:rPr>
        <w:t>打印并存档备查</w:t>
      </w:r>
      <w:bookmarkEnd w:id="75"/>
      <w:r>
        <w:rPr>
          <w:rFonts w:hint="eastAsia" w:ascii="仿宋_GB2312" w:hAnsi="仿宋_GB2312" w:eastAsia="仿宋_GB2312" w:cs="仿宋_GB2312"/>
          <w:color w:val="000000"/>
          <w:sz w:val="24"/>
          <w:szCs w:val="24"/>
          <w:highlight w:val="none"/>
        </w:rPr>
        <w:t>。投标人不良信用记录以采购人或采购代理机构查询结果为准。</w:t>
      </w:r>
    </w:p>
    <w:p w14:paraId="480F27F0">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在本招标文件规定的查询时间之后，网站信息发生的任何变更均不再作为评标依据。</w:t>
      </w:r>
    </w:p>
    <w:p w14:paraId="15D46DA9">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投标人自行提供的与网站信息不一致的其他证明材料亦不作为资格审查依据。</w:t>
      </w:r>
    </w:p>
    <w:p w14:paraId="5D3D0741">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23.符合性审查</w:t>
      </w:r>
    </w:p>
    <w:p w14:paraId="6262D437">
      <w:pPr>
        <w:adjustRightInd w:val="0"/>
        <w:snapToGrid w:val="0"/>
        <w:spacing w:line="360" w:lineRule="auto"/>
        <w:ind w:firstLine="480" w:firstLineChars="200"/>
        <w:outlineLvl w:val="0"/>
        <w:rPr>
          <w:rFonts w:hint="eastAsia" w:ascii="仿宋_GB2312" w:hAnsi="仿宋_GB2312" w:eastAsia="仿宋_GB2312" w:cs="仿宋_GB2312"/>
          <w:color w:val="000000"/>
          <w:sz w:val="24"/>
          <w:szCs w:val="24"/>
          <w:highlight w:val="none"/>
        </w:rPr>
      </w:pPr>
      <w:bookmarkStart w:id="76" w:name="_Toc26829"/>
      <w:r>
        <w:rPr>
          <w:rFonts w:hint="eastAsia" w:ascii="仿宋_GB2312" w:hAnsi="仿宋_GB2312" w:eastAsia="仿宋_GB2312" w:cs="仿宋_GB2312"/>
          <w:color w:val="000000"/>
          <w:sz w:val="24"/>
          <w:szCs w:val="24"/>
          <w:highlight w:val="none"/>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；通过符合性审查的投标人数量不足3家的，不得作进一步的比较和评价。</w:t>
      </w:r>
      <w:bookmarkEnd w:id="76"/>
    </w:p>
    <w:p w14:paraId="7F474904">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24.投标文件的澄清</w:t>
      </w:r>
    </w:p>
    <w:p w14:paraId="1EC5D496">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24.1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243DD642">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24.2投标人的澄清、说明或补正将作为投标文件的一部分。</w:t>
      </w:r>
    </w:p>
    <w:p w14:paraId="5D6C681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24.3投标文件报价出现前后不一致的，按照下列规定修正：</w:t>
      </w:r>
    </w:p>
    <w:p w14:paraId="1E1AA725">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（1）投标文件中开标一览表内容与投标文件中相应内容不一致的，以开标一览表为准；</w:t>
      </w:r>
    </w:p>
    <w:p w14:paraId="513FE4AE">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（2）大写金额和小写金额不一致的，以大写金额为准；</w:t>
      </w:r>
    </w:p>
    <w:p w14:paraId="1F4BDB18">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（3）单价金额小数点或者百分比有明显错位的，以开标一览表的总价为准，并修改单价；</w:t>
      </w:r>
    </w:p>
    <w:p w14:paraId="0123D0A9">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（4）总价金额与按单价汇总金额不一致的，以单价金额计算结果为准。</w:t>
      </w:r>
    </w:p>
    <w:p w14:paraId="296675AF">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613455B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24.4</w:t>
      </w:r>
      <w:r>
        <w:rPr>
          <w:rFonts w:hint="eastAsia" w:ascii="仿宋_GB2312" w:hAnsi="仿宋_GB2312" w:eastAsia="仿宋_GB2312" w:cs="仿宋_GB2312"/>
          <w:color w:val="000000"/>
          <w:sz w:val="24"/>
          <w:szCs w:val="24"/>
          <w:highlight w:val="none"/>
          <w:lang w:val="en-US" w:eastAsia="zh-CN"/>
        </w:rPr>
        <w:t>投标人</w:t>
      </w:r>
      <w:r>
        <w:rPr>
          <w:rFonts w:hint="eastAsia" w:ascii="仿宋_GB2312" w:hAnsi="仿宋_GB2312" w:eastAsia="仿宋_GB2312" w:cs="仿宋_GB2312"/>
          <w:color w:val="000000"/>
          <w:sz w:val="24"/>
          <w:szCs w:val="24"/>
          <w:highlight w:val="none"/>
        </w:rPr>
        <w:t>的</w:t>
      </w:r>
      <w:r>
        <w:rPr>
          <w:rFonts w:hint="eastAsia" w:ascii="仿宋_GB2312" w:hAnsi="仿宋_GB2312" w:eastAsia="仿宋_GB2312" w:cs="仿宋_GB2312"/>
          <w:color w:val="000000"/>
          <w:sz w:val="24"/>
          <w:szCs w:val="24"/>
          <w:highlight w:val="none"/>
          <w:lang w:val="en-US" w:eastAsia="zh-CN"/>
        </w:rPr>
        <w:t>投标</w:t>
      </w:r>
      <w:r>
        <w:rPr>
          <w:rFonts w:hint="eastAsia" w:ascii="仿宋_GB2312" w:hAnsi="仿宋_GB2312" w:eastAsia="仿宋_GB2312" w:cs="仿宋_GB2312"/>
          <w:color w:val="000000"/>
          <w:sz w:val="24"/>
          <w:szCs w:val="24"/>
          <w:highlight w:val="none"/>
        </w:rPr>
        <w:t>报价</w:t>
      </w:r>
      <w:r>
        <w:rPr>
          <w:rFonts w:hint="eastAsia" w:ascii="仿宋_GB2312" w:hAnsi="仿宋_GB2312" w:eastAsia="仿宋_GB2312" w:cs="仿宋_GB2312"/>
          <w:color w:val="000000"/>
          <w:sz w:val="24"/>
          <w:szCs w:val="24"/>
          <w:highlight w:val="none"/>
          <w:lang w:val="en-US" w:eastAsia="zh-CN"/>
        </w:rPr>
        <w:t>属于</w:t>
      </w:r>
      <w:r>
        <w:rPr>
          <w:rFonts w:hint="eastAsia" w:ascii="仿宋_GB2312" w:hAnsi="仿宋_GB2312" w:eastAsia="仿宋_GB2312" w:cs="仿宋_GB2312"/>
          <w:color w:val="000000"/>
          <w:sz w:val="24"/>
          <w:szCs w:val="24"/>
          <w:highlight w:val="none"/>
        </w:rPr>
        <w:t>启动异常低价审查程序情形</w:t>
      </w:r>
      <w:r>
        <w:rPr>
          <w:rFonts w:hint="eastAsia" w:ascii="仿宋_GB2312" w:hAnsi="仿宋_GB2312" w:eastAsia="仿宋_GB2312" w:cs="仿宋_GB2312"/>
          <w:color w:val="000000"/>
          <w:sz w:val="24"/>
          <w:szCs w:val="24"/>
          <w:highlight w:val="none"/>
          <w:lang w:val="en-US" w:eastAsia="zh-CN"/>
        </w:rPr>
        <w:t>的</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val="en-US" w:eastAsia="zh-CN"/>
        </w:rPr>
        <w:t>评标委员会</w:t>
      </w:r>
      <w:r>
        <w:rPr>
          <w:rFonts w:hint="eastAsia" w:ascii="仿宋_GB2312" w:hAnsi="仿宋_GB2312" w:eastAsia="仿宋_GB2312" w:cs="仿宋_GB2312"/>
          <w:color w:val="000000"/>
          <w:sz w:val="24"/>
          <w:szCs w:val="24"/>
          <w:highlight w:val="none"/>
        </w:rPr>
        <w:t>应当启动异常低价审查程序，要求相关</w:t>
      </w:r>
      <w:r>
        <w:rPr>
          <w:rFonts w:hint="eastAsia" w:ascii="仿宋_GB2312" w:hAnsi="仿宋_GB2312" w:eastAsia="仿宋_GB2312" w:cs="仿宋_GB2312"/>
          <w:color w:val="000000"/>
          <w:sz w:val="24"/>
          <w:szCs w:val="24"/>
          <w:highlight w:val="none"/>
          <w:lang w:val="en-US" w:eastAsia="zh-CN"/>
        </w:rPr>
        <w:t>投标人</w:t>
      </w:r>
      <w:r>
        <w:rPr>
          <w:rFonts w:hint="eastAsia" w:ascii="仿宋_GB2312" w:hAnsi="仿宋_GB2312" w:eastAsia="仿宋_GB2312" w:cs="仿宋_GB2312"/>
          <w:color w:val="000000"/>
          <w:sz w:val="24"/>
          <w:szCs w:val="24"/>
          <w:highlight w:val="none"/>
        </w:rPr>
        <w:t>在评审现场合理的时间内对响应价格作出解释</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投标人不能提供书面说明、证明材料，或者提供的书面说明、证明材料不能证明其报价合理性的，评标委员会应当将其作为</w:t>
      </w:r>
      <w:r>
        <w:rPr>
          <w:rFonts w:hint="eastAsia" w:ascii="仿宋_GB2312" w:hAnsi="仿宋_GB2312" w:eastAsia="仿宋_GB2312" w:cs="仿宋_GB2312"/>
          <w:b/>
          <w:bCs/>
          <w:color w:val="000000"/>
          <w:sz w:val="24"/>
          <w:szCs w:val="24"/>
          <w:highlight w:val="none"/>
        </w:rPr>
        <w:t>无效投标</w:t>
      </w:r>
      <w:r>
        <w:rPr>
          <w:rFonts w:hint="eastAsia" w:ascii="仿宋_GB2312" w:hAnsi="仿宋_GB2312" w:eastAsia="仿宋_GB2312" w:cs="仿宋_GB2312"/>
          <w:color w:val="000000"/>
          <w:sz w:val="24"/>
          <w:szCs w:val="24"/>
          <w:highlight w:val="none"/>
        </w:rPr>
        <w:t>处理。启动异常低价投标审查程序及提交证明材料</w:t>
      </w:r>
      <w:r>
        <w:rPr>
          <w:rFonts w:hint="eastAsia" w:ascii="仿宋_GB2312" w:hAnsi="仿宋_GB2312" w:eastAsia="仿宋_GB2312" w:cs="仿宋_GB2312"/>
          <w:color w:val="000000"/>
          <w:sz w:val="24"/>
          <w:szCs w:val="24"/>
          <w:highlight w:val="none"/>
          <w:lang w:val="en-US" w:eastAsia="zh-CN"/>
        </w:rPr>
        <w:t>要求具体详见</w:t>
      </w:r>
      <w:r>
        <w:rPr>
          <w:rFonts w:hint="eastAsia" w:ascii="仿宋_GB2312" w:hAnsi="仿宋_GB2312" w:eastAsia="仿宋_GB2312" w:cs="仿宋_GB2312"/>
          <w:color w:val="000000"/>
          <w:sz w:val="24"/>
          <w:szCs w:val="24"/>
          <w:highlight w:val="none"/>
        </w:rPr>
        <w:t>第四章 评标方法。</w:t>
      </w:r>
    </w:p>
    <w:p w14:paraId="07FB3276">
      <w:pPr>
        <w:adjustRightInd w:val="0"/>
        <w:snapToGrid w:val="0"/>
        <w:spacing w:line="360" w:lineRule="auto"/>
        <w:rPr>
          <w:rFonts w:hint="eastAsia" w:ascii="仿宋_GB2312" w:hAnsi="仿宋_GB2312" w:eastAsia="仿宋_GB2312" w:cs="仿宋_GB2312"/>
          <w:b/>
          <w:bCs/>
          <w:color w:val="000000"/>
          <w:sz w:val="24"/>
          <w:szCs w:val="24"/>
          <w:highlight w:val="none"/>
        </w:rPr>
      </w:pPr>
      <w:bookmarkStart w:id="77" w:name="_Hlk227827200"/>
      <w:r>
        <w:rPr>
          <w:rFonts w:hint="eastAsia" w:ascii="仿宋_GB2312" w:hAnsi="仿宋_GB2312" w:eastAsia="仿宋_GB2312" w:cs="仿宋_GB2312"/>
          <w:b/>
          <w:bCs/>
          <w:color w:val="000000"/>
          <w:sz w:val="24"/>
          <w:szCs w:val="24"/>
          <w:highlight w:val="none"/>
        </w:rPr>
        <w:t>25样品及演示</w:t>
      </w:r>
    </w:p>
    <w:bookmarkEnd w:id="77"/>
    <w:p w14:paraId="4908A26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25.1投标人须知表11.4款中要求投标人提供样品的，按照投标人须知表25.1款中样品的评审方法以及评审标准进行评审。</w:t>
      </w:r>
    </w:p>
    <w:p w14:paraId="05475AF3">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11.4条。</w:t>
      </w:r>
    </w:p>
    <w:p w14:paraId="06B7F8D2">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25.3演示的评审方法以及评审标准具体内容见投标人须知表25.1款。</w:t>
      </w:r>
    </w:p>
    <w:p w14:paraId="1398F135">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26.投标无效</w:t>
      </w:r>
    </w:p>
    <w:p w14:paraId="4C6B832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26.1在比较与评价之前，根据本须知的规定，评标委员会将审查每份投标文件是否实质上响应了招标文件的要求。</w:t>
      </w:r>
    </w:p>
    <w:p w14:paraId="67C54CCC">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实质性要求是指招标文件中带有★号标识内容（包括本级及其下级编号中所有内容）等文字说明的要求。</w:t>
      </w:r>
    </w:p>
    <w:p w14:paraId="36057480">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kern w:val="0"/>
          <w:sz w:val="24"/>
          <w:szCs w:val="24"/>
          <w:highlight w:val="none"/>
        </w:rPr>
        <w:t>对招标文件的实质性要求进行响应是指与招标文件中带有★号标识内容的文字说明、条款、条件和规格等要求相符。</w:t>
      </w:r>
    </w:p>
    <w:p w14:paraId="4F48AE16">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如果投标文件没有对招标文件的实质性要求进行响应，将作为</w:t>
      </w:r>
      <w:r>
        <w:rPr>
          <w:rFonts w:hint="eastAsia" w:ascii="仿宋_GB2312" w:hAnsi="仿宋_GB2312" w:eastAsia="仿宋_GB2312" w:cs="仿宋_GB2312"/>
          <w:b/>
          <w:bCs/>
          <w:color w:val="000000"/>
          <w:sz w:val="24"/>
          <w:szCs w:val="24"/>
          <w:highlight w:val="none"/>
        </w:rPr>
        <w:t>无效投标</w:t>
      </w:r>
      <w:r>
        <w:rPr>
          <w:rFonts w:hint="eastAsia" w:ascii="仿宋_GB2312" w:hAnsi="仿宋_GB2312" w:eastAsia="仿宋_GB2312" w:cs="仿宋_GB2312"/>
          <w:color w:val="000000"/>
          <w:sz w:val="24"/>
          <w:szCs w:val="24"/>
          <w:highlight w:val="none"/>
        </w:rPr>
        <w:t>处理，投标人不得再对投标文件进行任何修正从而使其投标成为实质上响应的投标。</w:t>
      </w:r>
    </w:p>
    <w:p w14:paraId="6AA486CE">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评标委员会决定投标的响应性只根据招标文件要求、投标文件内容及财政主管部门指定媒体发布的相关信息。</w:t>
      </w:r>
    </w:p>
    <w:p w14:paraId="19587D0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26.2如发现下列情况之一的，其投标将被认定为</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46851477">
      <w:pPr>
        <w:adjustRightInd w:val="0"/>
        <w:snapToGrid w:val="0"/>
        <w:spacing w:line="360" w:lineRule="auto"/>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t>（1）未按招标文件的规定提交投标保证金的；</w:t>
      </w:r>
    </w:p>
    <w:p w14:paraId="4EDD1EC3">
      <w:pPr>
        <w:adjustRightInd w:val="0"/>
        <w:snapToGrid w:val="0"/>
        <w:spacing w:line="360" w:lineRule="auto"/>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t>（2）未按照招标文件规定要求签署、盖章的；</w:t>
      </w:r>
    </w:p>
    <w:p w14:paraId="0F530282">
      <w:pPr>
        <w:adjustRightInd w:val="0"/>
        <w:snapToGrid w:val="0"/>
        <w:spacing w:line="360" w:lineRule="auto"/>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t>（3）投标人的报价超过了招标文件中规定的预算金额或者最高限价的；</w:t>
      </w:r>
    </w:p>
    <w:p w14:paraId="5AB2991C">
      <w:pPr>
        <w:adjustRightInd w:val="0"/>
        <w:snapToGrid w:val="0"/>
        <w:spacing w:line="360" w:lineRule="auto"/>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t>（4）不具备招标文件中规定的资格要求的；</w:t>
      </w:r>
    </w:p>
    <w:p w14:paraId="2AABC498">
      <w:pPr>
        <w:adjustRightInd w:val="0"/>
        <w:snapToGrid w:val="0"/>
        <w:spacing w:line="360" w:lineRule="auto"/>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t>（5）不符合法律、法规和招标文件中规定的其他实质性要求的。</w:t>
      </w:r>
    </w:p>
    <w:p w14:paraId="2387135B">
      <w:pPr>
        <w:adjustRightInd w:val="0"/>
        <w:snapToGrid w:val="0"/>
        <w:spacing w:line="360" w:lineRule="auto"/>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t>（6）与其他投标人串通投标，或者与采购人串通投标；</w:t>
      </w:r>
    </w:p>
    <w:p w14:paraId="48E9F53B">
      <w:pPr>
        <w:adjustRightInd w:val="0"/>
        <w:snapToGrid w:val="0"/>
        <w:spacing w:line="360" w:lineRule="auto"/>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t>（7）评标委员会认为投标人的报价明显低于其他通过符合性审查投标人的报价，有可能影响履约的，且投标人未按照规定证明其报价合理性的；</w:t>
      </w:r>
    </w:p>
    <w:p w14:paraId="111796DC">
      <w:pPr>
        <w:adjustRightInd w:val="0"/>
        <w:snapToGrid w:val="0"/>
        <w:spacing w:line="360" w:lineRule="auto"/>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t>（8）投标文件含有采购人不能接受的附加条件的；</w:t>
      </w:r>
    </w:p>
    <w:p w14:paraId="19377D3D">
      <w:pPr>
        <w:adjustRightInd w:val="0"/>
        <w:snapToGrid w:val="0"/>
        <w:spacing w:line="360" w:lineRule="auto"/>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t>（9）属于法律、法规和招标文件规定的其他投标无效情形；</w:t>
      </w:r>
    </w:p>
    <w:p w14:paraId="57F2DD93">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27.比较与评价</w:t>
      </w:r>
    </w:p>
    <w:p w14:paraId="27220A8D">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27.1经符合性审查合格的投标文件，评标委员会将根据招标文件确定的评标方法和标准，对其技术部分和商务部分作进一步的比较和评价。</w:t>
      </w:r>
    </w:p>
    <w:p w14:paraId="17DB4F0C">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27.2评标严格按照招标文件的要求和条件进行。根据实际情况，在投标人须知表27.2款中规定采用下列一种评标方法，详细评标标准见第四章 评标方法。</w:t>
      </w:r>
    </w:p>
    <w:p w14:paraId="71247DC3">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（1）最低评标价法，是指投标文件满足招标文件全部实质性要求，且投标报价最低的投标人为中标候选人的评标方法。</w:t>
      </w:r>
    </w:p>
    <w:p w14:paraId="7D2200A5">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（2）综合评分法，是指投标文件满足招标文件全部实质性要求，且按照评审因素的量化指标评审得分最高的投标人为中标候选人的评标方法。</w:t>
      </w:r>
    </w:p>
    <w:p w14:paraId="1367F5AE">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27.3根据《政府采购促进中小企业发展管理办法》（财库〔2020〕46号）、《财政部 司法部关于政府采购支持监狱企业发展有关问题的通知》（财库〔2014〕68号）、《</w:t>
      </w:r>
      <w:r>
        <w:rPr>
          <w:rFonts w:hint="eastAsia" w:ascii="仿宋_GB2312" w:hAnsi="仿宋_GB2312" w:eastAsia="仿宋_GB2312" w:cs="仿宋_GB2312"/>
          <w:color w:val="000000"/>
          <w:sz w:val="24"/>
          <w:szCs w:val="24"/>
          <w:highlight w:val="none"/>
          <w:lang w:eastAsia="zh-CN"/>
        </w:rPr>
        <w:t>财政部</w:t>
      </w:r>
      <w:r>
        <w:rPr>
          <w:rFonts w:hint="eastAsia" w:ascii="仿宋_GB2312" w:hAnsi="仿宋_GB2312" w:eastAsia="仿宋_GB2312" w:cs="仿宋_GB2312"/>
          <w:color w:val="000000"/>
          <w:sz w:val="24"/>
          <w:szCs w:val="24"/>
          <w:highlight w:val="none"/>
          <w:lang w:val="en-US" w:eastAsia="zh-CN"/>
        </w:rPr>
        <w:t xml:space="preserve"> 民政部 中国残疾人联合会</w:t>
      </w:r>
      <w:r>
        <w:rPr>
          <w:rFonts w:hint="eastAsia" w:ascii="仿宋_GB2312" w:hAnsi="仿宋_GB2312" w:eastAsia="仿宋_GB2312" w:cs="仿宋_GB2312"/>
          <w:color w:val="000000"/>
          <w:sz w:val="24"/>
          <w:szCs w:val="24"/>
          <w:highlight w:val="none"/>
        </w:rPr>
        <w:t>关于促进残疾人就业政府采购政策的通知》（财库〔2017〕141号）、《省财政厅省工业和信息化厅关于做好政府采购促进中小企业发展有关工作的通知》（辽财采〔2021〕153号）和《关于进一步促进政府采购公平竞争支持企业纾困发展的通知》（辽财采〔2022〕119号）的规定，对于非专门面向中小企业的项目，在满足价格扣除条件且在投标文件中提交了《中小企业声明函》，或《残疾人福利性单位声明函》，或省级以上监狱管理局、戒毒管理局（含新疆生产建设兵团）出具的属于监狱企业的证明文件的投标人，其投标报价扣除后参与评审。具体详见第四章 评标方法。</w:t>
      </w:r>
    </w:p>
    <w:p w14:paraId="218C811D">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27.4依据财政部、发展改革委、生态环境部等部门发布的品目清单和国家确定的认证机构出具的、处于有效期之内的节能产品、环境标志产品认证证书实施政府优先采购。具体优先采购办法详见第四章 评标方法。</w:t>
      </w:r>
    </w:p>
    <w:p w14:paraId="268B5F0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27.5根据财政部、辽宁省财政厅相关规定，对列入《创新产品和服务目录》内的产品、服务实施政府优先采购。具体优先采购办法详见第四章 评标方法。</w:t>
      </w:r>
    </w:p>
    <w:p w14:paraId="4BE94A35">
      <w:pPr>
        <w:adjustRightInd w:val="0"/>
        <w:snapToGrid w:val="0"/>
        <w:spacing w:line="360" w:lineRule="auto"/>
        <w:rPr>
          <w:rFonts w:hint="eastAsia" w:ascii="仿宋_GB2312" w:hAnsi="仿宋_GB2312" w:eastAsia="仿宋_GB2312" w:cs="仿宋_GB2312"/>
          <w:color w:val="000000"/>
          <w:sz w:val="24"/>
          <w:szCs w:val="24"/>
          <w:highlight w:val="none"/>
        </w:rPr>
      </w:pPr>
      <w:bookmarkStart w:id="78" w:name="_Hlk211071337"/>
      <w:r>
        <w:rPr>
          <w:rFonts w:hint="eastAsia" w:ascii="仿宋_GB2312" w:hAnsi="仿宋_GB2312" w:eastAsia="仿宋_GB2312" w:cs="仿宋_GB2312"/>
          <w:color w:val="000000"/>
          <w:sz w:val="24"/>
          <w:szCs w:val="24"/>
          <w:highlight w:val="none"/>
        </w:rPr>
        <w:t>27.6根据《关于在政府采购中实施本国产品标准及相关政策的通知》（国办发〔2025〕34号）和</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关于贯彻落实</w:t>
      </w:r>
      <w:r>
        <w:rPr>
          <w:rFonts w:hint="eastAsia" w:ascii="仿宋_GB2312" w:hAnsi="仿宋_GB2312" w:eastAsia="仿宋_GB2312" w:cs="仿宋_GB2312"/>
          <w:color w:val="000000"/>
          <w:sz w:val="24"/>
          <w:szCs w:val="24"/>
          <w:highlight w:val="none"/>
          <w:lang w:val="en-US" w:eastAsia="zh-CN"/>
        </w:rPr>
        <w:t>〈</w:t>
      </w:r>
      <w:r>
        <w:rPr>
          <w:rFonts w:hint="eastAsia" w:ascii="仿宋_GB2312" w:hAnsi="仿宋_GB2312" w:eastAsia="仿宋_GB2312" w:cs="仿宋_GB2312"/>
          <w:color w:val="000000"/>
          <w:sz w:val="24"/>
          <w:szCs w:val="24"/>
          <w:highlight w:val="none"/>
        </w:rPr>
        <w:t>国务院办公厅关于在政府采购中实施本国产品标准及相关政策的通知</w:t>
      </w:r>
      <w:r>
        <w:rPr>
          <w:rFonts w:hint="eastAsia" w:ascii="仿宋_GB2312" w:hAnsi="仿宋_GB2312" w:eastAsia="仿宋_GB2312" w:cs="仿宋_GB2312"/>
          <w:color w:val="000000"/>
          <w:sz w:val="24"/>
          <w:szCs w:val="24"/>
          <w:highlight w:val="none"/>
          <w:lang w:val="en-US" w:eastAsia="zh-CN"/>
        </w:rPr>
        <w:t>〉</w:t>
      </w:r>
      <w:r>
        <w:rPr>
          <w:rFonts w:hint="eastAsia" w:ascii="仿宋_GB2312" w:hAnsi="仿宋_GB2312" w:eastAsia="仿宋_GB2312" w:cs="仿宋_GB2312"/>
          <w:color w:val="000000"/>
          <w:sz w:val="24"/>
          <w:szCs w:val="24"/>
          <w:highlight w:val="none"/>
        </w:rPr>
        <w:t>的意见</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（财库〔2025〕30号）的规定，若投标人须知表27.6款中写明支持本国产品的，政府采购活动中既有本国产品又有非本国产品参与竞争的，依法对本国产品给予价格评审优惠，具体详见第四章 评标方法。</w:t>
      </w:r>
    </w:p>
    <w:p w14:paraId="3D3FD7B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27.7采购需求标准</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为助力打好污染防治攻坚战，推广使用绿色包装，根据财政部</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关于印发〈商品包装政府采购需求标准（试行）〉〈快递包装政府采购需求标准（试行）〉的通知</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（财办库〔2020〕123号），本项目如涉及商品包装和快递包装的，则其具体要求见第三章 货物需求。</w:t>
      </w:r>
    </w:p>
    <w:bookmarkEnd w:id="78"/>
    <w:p w14:paraId="1D4A82E9">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★28.废标</w:t>
      </w:r>
    </w:p>
    <w:p w14:paraId="61B17B16">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出现下列情形之一，将导致项目</w:t>
      </w:r>
      <w:r>
        <w:rPr>
          <w:rFonts w:hint="eastAsia" w:ascii="仿宋_GB2312" w:hAnsi="仿宋_GB2312" w:eastAsia="仿宋_GB2312" w:cs="仿宋_GB2312"/>
          <w:b/>
          <w:bCs/>
          <w:color w:val="000000"/>
          <w:sz w:val="24"/>
          <w:szCs w:val="24"/>
          <w:highlight w:val="none"/>
        </w:rPr>
        <w:t>废标</w:t>
      </w:r>
      <w:r>
        <w:rPr>
          <w:rFonts w:hint="eastAsia" w:ascii="仿宋_GB2312" w:hAnsi="仿宋_GB2312" w:eastAsia="仿宋_GB2312" w:cs="仿宋_GB2312"/>
          <w:color w:val="000000"/>
          <w:sz w:val="24"/>
          <w:szCs w:val="24"/>
          <w:highlight w:val="none"/>
        </w:rPr>
        <w:t>：</w:t>
      </w:r>
    </w:p>
    <w:p w14:paraId="0A45D33D">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（1）符合专业条件的投标人或者对招标文件做实质性响应的投标人不足3家；</w:t>
      </w:r>
    </w:p>
    <w:p w14:paraId="22FB895F">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（2）出现影响采购公正的违法、违规行为的；</w:t>
      </w:r>
    </w:p>
    <w:p w14:paraId="19B9B724">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（3）投标人的报价均超过了采购预算或最高限价，采购人不能支付的；</w:t>
      </w:r>
    </w:p>
    <w:p w14:paraId="21C4C62B">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（4）因重大变故，采购任务取消的。</w:t>
      </w:r>
    </w:p>
    <w:p w14:paraId="6D484BF6">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29.中标候选人的推荐原则及标准</w:t>
      </w:r>
    </w:p>
    <w:p w14:paraId="752324E2">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29.1除第32条规定外，评标委员会将根据评标标准，对实质上响应招标文件的投标人按下列方法进行排序，推荐中标候选人：</w:t>
      </w:r>
    </w:p>
    <w:p w14:paraId="1F170C5A">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54A18B67">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（2）采用综合评分法的，评标结果按评审后得分由高到低顺序排序。得分相同的，按第四章评标办法规定执行。</w:t>
      </w:r>
    </w:p>
    <w:p w14:paraId="6F3B5110">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29.2评标委员会将根据评标标准，按投标人须知表29.2款中规定的数量推荐中标候选人。</w:t>
      </w:r>
    </w:p>
    <w:p w14:paraId="09B2481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29.3因推荐中标候选人名单产生其他问题，由评标委员会集体研究处理。</w:t>
      </w:r>
    </w:p>
    <w:p w14:paraId="1ADDEAC4">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30.保密原则</w:t>
      </w:r>
    </w:p>
    <w:p w14:paraId="25C7A609">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30.1评标将在严格保密的情况下进行。</w:t>
      </w:r>
    </w:p>
    <w:p w14:paraId="41DA57F9">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30.2有关人员应当遵守评标工作纪律，不得泄露评审文件、评标情况和评标过程中获悉的国家秘密、商业秘密。</w:t>
      </w:r>
    </w:p>
    <w:p w14:paraId="42F26CB6">
      <w:pPr>
        <w:pStyle w:val="4"/>
        <w:rPr>
          <w:rFonts w:hint="eastAsia" w:ascii="楷体_GB2312" w:hAnsi="楷体_GB2312" w:eastAsia="楷体_GB2312" w:cs="楷体_GB2312"/>
          <w:b/>
          <w:bCs w:val="0"/>
          <w:color w:val="000000"/>
          <w:sz w:val="32"/>
          <w:szCs w:val="28"/>
          <w:highlight w:val="none"/>
        </w:rPr>
      </w:pPr>
      <w:bookmarkStart w:id="79" w:name="_Toc4544_WPSOffice_Level2"/>
      <w:r>
        <w:rPr>
          <w:rFonts w:hint="eastAsia" w:ascii="Times New Roman" w:hAnsi="Times New Roman" w:eastAsia="仿宋" w:cs="仿宋"/>
          <w:color w:val="000000"/>
          <w:sz w:val="32"/>
          <w:szCs w:val="28"/>
          <w:highlight w:val="none"/>
        </w:rPr>
        <w:br w:type="page"/>
      </w:r>
      <w:r>
        <w:rPr>
          <w:rFonts w:hint="eastAsia" w:ascii="楷体_GB2312" w:hAnsi="楷体_GB2312" w:eastAsia="楷体_GB2312" w:cs="楷体_GB2312"/>
          <w:b/>
          <w:bCs w:val="0"/>
          <w:color w:val="000000"/>
          <w:sz w:val="32"/>
          <w:szCs w:val="28"/>
          <w:highlight w:val="none"/>
        </w:rPr>
        <w:t>七 确定中标</w:t>
      </w:r>
      <w:bookmarkEnd w:id="79"/>
    </w:p>
    <w:p w14:paraId="30B4AFB7">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31.确定中标人</w:t>
      </w:r>
    </w:p>
    <w:p w14:paraId="7344DD2B">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由采购人或者采购人委托评标委员会按照投标人须知表31中规定的方式确定中标人。</w:t>
      </w:r>
    </w:p>
    <w:p w14:paraId="522C0246">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采购人在收到评标报告5个工作日内未按评标报告推荐的中标候选人顺序确定中标人，又不能说明合法理由的，视同按评标报告推荐的顺序确定排名第一的中标候选人为中标人。</w:t>
      </w:r>
    </w:p>
    <w:p w14:paraId="1C194D44">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★32.采购任务取消</w:t>
      </w:r>
    </w:p>
    <w:p w14:paraId="1B7DDED8">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因重大变故采购任务取消时，采购人有权拒绝任何供应商中标，且对受影响的投标人不承担任何责任。</w:t>
      </w:r>
    </w:p>
    <w:p w14:paraId="7A55529E">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33.中标通知书</w:t>
      </w:r>
    </w:p>
    <w:p w14:paraId="2000459E">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33.1采购人或者采购代理机构应当自中标人确定之日起2个工作日内，在辽宁政府采购网公告中标结果。同时向中标人发出中标通知书。</w:t>
      </w:r>
    </w:p>
    <w:p w14:paraId="2391A56D">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33.2中标通知书是合同的组成部分。</w:t>
      </w:r>
    </w:p>
    <w:p w14:paraId="12A27DAF">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34.签订合同</w:t>
      </w:r>
    </w:p>
    <w:p w14:paraId="094E7979">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34.1中标人应当自发出中标通知书之日起30日内，与采购人签订书面合同。</w:t>
      </w:r>
    </w:p>
    <w:p w14:paraId="124D58C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066DC6B4">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34.3中标人拒绝与采购人签订合同的，采购人可以按照评标报告推荐的中标候选人名单排序，确定下一中标候选人为中标人，也可以重新开展政府采购活动。</w:t>
      </w:r>
    </w:p>
    <w:p w14:paraId="6D83EC9B">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35.履约保证金</w:t>
      </w:r>
    </w:p>
    <w:p w14:paraId="6D630EEC">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35.1中标人应按照投标人须知表35.1款规定向采购人缴纳履约保证金。</w:t>
      </w:r>
    </w:p>
    <w:p w14:paraId="5F0EA42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08E07C38">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36.采购代理服务费</w:t>
      </w:r>
    </w:p>
    <w:p w14:paraId="06CE6EC7">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中标人须按照投标须知表36款规定，向采购代理机构支付采购代理服务费。</w:t>
      </w:r>
    </w:p>
    <w:p w14:paraId="2E4A3832">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37.廉洁自律规定</w:t>
      </w:r>
    </w:p>
    <w:p w14:paraId="2CC794D8">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37.1采购代理机构工作人员不得以不正当手段获取政府采购代理业务，不得与采购人、投标人恶意串通操纵政府采购活动。</w:t>
      </w:r>
    </w:p>
    <w:p w14:paraId="26E6B7B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37.2采购代理机构工作人员不得接受采购人或者投标人组织的宴请、旅游、娱乐，不得收受礼品、现金、有价证券等，不得向采购人或者投标人报销应当由个人承担的费用。</w:t>
      </w:r>
    </w:p>
    <w:p w14:paraId="4EA0DB4C">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38.人员回避</w:t>
      </w:r>
    </w:p>
    <w:p w14:paraId="7C4B2F57">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投标人认为采购人及其相关人员有法律法规所列与其他投标人有利害关系的，可以向采购人或采购代理机构书面提出回避申请，并说明理由。</w:t>
      </w:r>
    </w:p>
    <w:p w14:paraId="196B5A84">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39.质疑与接收</w:t>
      </w:r>
    </w:p>
    <w:p w14:paraId="1F8F7EF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4F61588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39.2质疑投标人应按照财政部门制定的《政府采购质疑函范本》格式（详见辽宁政府采购网）和《政府采购质疑和投诉办法》的要求，在法定质疑期内以纸质形式提出质疑，针对同一采购程序环节的质疑应一次性提出，否则针对再次提出质疑将不予接收。</w:t>
      </w:r>
    </w:p>
    <w:p w14:paraId="4C2185E4">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39.3采购代理机构质疑函接收部门、联系电话和通讯地址，</w:t>
      </w:r>
      <w:r>
        <w:rPr>
          <w:rFonts w:hint="eastAsia" w:ascii="仿宋_GB2312" w:hAnsi="仿宋_GB2312" w:eastAsia="仿宋_GB2312" w:cs="仿宋_GB2312"/>
          <w:color w:val="000000"/>
          <w:sz w:val="24"/>
          <w:szCs w:val="24"/>
          <w:highlight w:val="none"/>
          <w:lang w:val="en-US" w:eastAsia="zh-CN"/>
        </w:rPr>
        <w:t>详</w:t>
      </w:r>
      <w:r>
        <w:rPr>
          <w:rFonts w:hint="eastAsia" w:ascii="仿宋_GB2312" w:hAnsi="仿宋_GB2312" w:eastAsia="仿宋_GB2312" w:cs="仿宋_GB2312"/>
          <w:color w:val="000000"/>
          <w:sz w:val="24"/>
          <w:szCs w:val="24"/>
          <w:highlight w:val="none"/>
        </w:rPr>
        <w:t>见投标人须知表39.3款。</w:t>
      </w:r>
    </w:p>
    <w:p w14:paraId="4B30CA50">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40.履约验收</w:t>
      </w:r>
    </w:p>
    <w:p w14:paraId="3B658BB7">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项目采购人及其委托的采购代理机构将严格按照《中华人民共和国政府采购法》《中华人民共和国政府采购法实施条例》《财政部关于进一步加强政府采购需求和履约验收管理的指导意见》（财库〔2016〕205号）、《关于推动解决政府采购异常低价问题的通知》（财库〔2026〕2号）、《辽宁省政府采购履约验收管理办法》（辽财采〔2017〕603号）的要求进行验收。</w:t>
      </w:r>
      <w:bookmarkStart w:id="80" w:name="_Toc17725_WPSOffice_Level1"/>
    </w:p>
    <w:p w14:paraId="50209903">
      <w:pPr>
        <w:pStyle w:val="3"/>
        <w:snapToGrid w:val="0"/>
        <w:spacing w:before="312" w:beforeLines="100" w:after="312" w:afterLines="100" w:line="360" w:lineRule="auto"/>
        <w:outlineLvl w:val="0"/>
        <w:rPr>
          <w:rFonts w:hint="eastAsia" w:ascii="Times New Roman" w:hAnsi="Times New Roman" w:eastAsia="仿宋" w:cs="仿宋"/>
          <w:b/>
          <w:color w:val="000000"/>
          <w:sz w:val="36"/>
          <w:szCs w:val="36"/>
          <w:highlight w:val="none"/>
        </w:rPr>
      </w:pPr>
      <w:r>
        <w:rPr>
          <w:rFonts w:hint="eastAsia" w:ascii="Times New Roman" w:hAnsi="Times New Roman" w:eastAsia="仿宋" w:cs="仿宋"/>
          <w:color w:val="000000"/>
          <w:szCs w:val="21"/>
          <w:highlight w:val="none"/>
        </w:rPr>
        <w:br w:type="page"/>
      </w:r>
      <w:bookmarkStart w:id="81" w:name="_Toc4983"/>
      <w:r>
        <w:rPr>
          <w:rFonts w:hint="eastAsia" w:ascii="黑体" w:hAnsi="黑体" w:eastAsia="黑体" w:cs="黑体"/>
          <w:b w:val="0"/>
          <w:bCs/>
          <w:color w:val="000000"/>
          <w:sz w:val="36"/>
          <w:szCs w:val="36"/>
          <w:highlight w:val="none"/>
        </w:rPr>
        <w:t>第二章 投标文件内容及格式</w:t>
      </w:r>
      <w:bookmarkEnd w:id="80"/>
      <w:bookmarkEnd w:id="81"/>
    </w:p>
    <w:p w14:paraId="6336408C">
      <w:pPr>
        <w:spacing w:before="156" w:beforeLines="50"/>
        <w:rPr>
          <w:rFonts w:hint="eastAsia" w:ascii="仿宋_GB2312" w:hAnsi="仿宋_GB2312" w:eastAsia="仿宋_GB2312" w:cs="仿宋_GB2312"/>
          <w:b/>
          <w:color w:val="000000"/>
          <w:sz w:val="24"/>
          <w:highlight w:val="none"/>
        </w:rPr>
      </w:pPr>
      <w:bookmarkStart w:id="82" w:name="sys_投标文件内容及格式：Block"/>
      <w:bookmarkEnd w:id="82"/>
      <w:bookmarkStart w:id="83" w:name="投标文件内容及格式：Block"/>
      <w:bookmarkEnd w:id="83"/>
      <w:bookmarkStart w:id="84" w:name="_Toc1538_WPSOffice_Level2"/>
      <w:bookmarkStart w:id="85" w:name="_Toc2481_WPSOffice_Level2"/>
      <w:r>
        <w:rPr>
          <w:rFonts w:hint="eastAsia" w:ascii="仿宋_GB2312" w:hAnsi="仿宋_GB2312" w:eastAsia="仿宋_GB2312" w:cs="仿宋_GB2312"/>
          <w:b/>
          <w:color w:val="000000"/>
          <w:sz w:val="24"/>
          <w:highlight w:val="none"/>
        </w:rPr>
        <w:t>一、投标文件封皮及目录</w:t>
      </w:r>
      <w:bookmarkEnd w:id="84"/>
      <w:bookmarkEnd w:id="85"/>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2F695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noWrap w:val="0"/>
            <w:vAlign w:val="center"/>
          </w:tcPr>
          <w:p w14:paraId="33766445">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序号</w:t>
            </w:r>
          </w:p>
        </w:tc>
        <w:tc>
          <w:tcPr>
            <w:tcW w:w="6976" w:type="dxa"/>
            <w:noWrap w:val="0"/>
            <w:vAlign w:val="center"/>
          </w:tcPr>
          <w:p w14:paraId="2E207736">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内容</w:t>
            </w:r>
          </w:p>
        </w:tc>
        <w:tc>
          <w:tcPr>
            <w:tcW w:w="742" w:type="dxa"/>
            <w:noWrap w:val="0"/>
            <w:vAlign w:val="center"/>
          </w:tcPr>
          <w:p w14:paraId="32154CCC">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格式</w:t>
            </w:r>
          </w:p>
        </w:tc>
      </w:tr>
      <w:tr w14:paraId="35B2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noWrap w:val="0"/>
            <w:vAlign w:val="center"/>
          </w:tcPr>
          <w:p w14:paraId="134B45C3">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w:t>
            </w:r>
          </w:p>
        </w:tc>
        <w:tc>
          <w:tcPr>
            <w:tcW w:w="6976" w:type="dxa"/>
            <w:noWrap w:val="0"/>
            <w:vAlign w:val="center"/>
          </w:tcPr>
          <w:p w14:paraId="1CAE5BD2">
            <w:pPr>
              <w:widowControl/>
              <w:adjustRightInd w:val="0"/>
              <w:snapToGrid w:val="0"/>
              <w:jc w:val="left"/>
              <w:rPr>
                <w:rFonts w:hint="eastAsia" w:ascii="仿宋_GB2312" w:hAnsi="仿宋_GB2312" w:eastAsia="仿宋_GB2312" w:cs="仿宋_GB2312"/>
                <w:b/>
                <w:color w:val="000000"/>
                <w:kern w:val="0"/>
                <w:szCs w:val="21"/>
                <w:highlight w:val="none"/>
              </w:rPr>
            </w:pPr>
            <w:r>
              <w:rPr>
                <w:rFonts w:hint="eastAsia" w:ascii="仿宋_GB2312" w:hAnsi="仿宋_GB2312" w:eastAsia="仿宋_GB2312" w:cs="仿宋_GB2312"/>
                <w:color w:val="000000"/>
                <w:kern w:val="0"/>
                <w:szCs w:val="21"/>
                <w:highlight w:val="none"/>
              </w:rPr>
              <w:t>投标文件的封皮</w:t>
            </w:r>
          </w:p>
        </w:tc>
        <w:tc>
          <w:tcPr>
            <w:tcW w:w="742" w:type="dxa"/>
            <w:noWrap w:val="0"/>
            <w:vAlign w:val="center"/>
          </w:tcPr>
          <w:p w14:paraId="6D5BE87C">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w:t>
            </w:r>
          </w:p>
        </w:tc>
      </w:tr>
      <w:tr w14:paraId="3034D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27A4D057">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w:t>
            </w:r>
          </w:p>
        </w:tc>
        <w:tc>
          <w:tcPr>
            <w:tcW w:w="6976" w:type="dxa"/>
            <w:noWrap w:val="0"/>
            <w:vAlign w:val="center"/>
          </w:tcPr>
          <w:p w14:paraId="06780F45">
            <w:pPr>
              <w:widowControl/>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投标文件的目录</w:t>
            </w:r>
          </w:p>
        </w:tc>
        <w:tc>
          <w:tcPr>
            <w:tcW w:w="742" w:type="dxa"/>
            <w:noWrap w:val="0"/>
            <w:vAlign w:val="center"/>
          </w:tcPr>
          <w:p w14:paraId="4291112C">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w:t>
            </w:r>
          </w:p>
        </w:tc>
      </w:tr>
    </w:tbl>
    <w:p w14:paraId="7E81E578">
      <w:pPr>
        <w:snapToGrid w:val="0"/>
        <w:spacing w:before="156" w:beforeLines="50"/>
        <w:rPr>
          <w:rFonts w:hint="eastAsia" w:ascii="仿宋_GB2312" w:hAnsi="仿宋_GB2312" w:eastAsia="仿宋_GB2312" w:cs="仿宋_GB2312"/>
          <w:b/>
          <w:color w:val="000000"/>
          <w:sz w:val="24"/>
          <w:highlight w:val="none"/>
        </w:rPr>
      </w:pPr>
      <w:bookmarkStart w:id="86" w:name="_Toc31052_WPSOffice_Level2"/>
      <w:bookmarkStart w:id="87" w:name="_Toc1266_WPSOffice_Level2"/>
      <w:r>
        <w:rPr>
          <w:rFonts w:hint="eastAsia" w:ascii="仿宋_GB2312" w:hAnsi="仿宋_GB2312" w:eastAsia="仿宋_GB2312" w:cs="仿宋_GB2312"/>
          <w:b/>
          <w:color w:val="000000"/>
          <w:sz w:val="24"/>
          <w:highlight w:val="none"/>
        </w:rPr>
        <w:t>二、资格证明材料</w:t>
      </w:r>
      <w:bookmarkEnd w:id="86"/>
      <w:bookmarkEnd w:id="87"/>
      <w:r>
        <w:rPr>
          <w:rFonts w:hint="eastAsia" w:ascii="仿宋_GB2312" w:hAnsi="仿宋_GB2312" w:eastAsia="仿宋_GB2312" w:cs="仿宋_GB2312"/>
          <w:b/>
          <w:color w:val="000000"/>
          <w:sz w:val="24"/>
          <w:highlight w:val="none"/>
        </w:rPr>
        <w:t>（有一项不符合要求，不能进入下一阶段评审）</w:t>
      </w:r>
    </w:p>
    <w:tbl>
      <w:tblPr>
        <w:tblStyle w:val="19"/>
        <w:tblW w:w="0" w:type="auto"/>
        <w:jc w:val="center"/>
        <w:tblLayout w:type="fixed"/>
        <w:tblCellMar>
          <w:top w:w="0" w:type="dxa"/>
          <w:left w:w="0" w:type="dxa"/>
          <w:bottom w:w="0" w:type="dxa"/>
          <w:right w:w="0" w:type="dxa"/>
        </w:tblCellMar>
      </w:tblPr>
      <w:tblGrid>
        <w:gridCol w:w="671"/>
        <w:gridCol w:w="6992"/>
        <w:gridCol w:w="755"/>
      </w:tblGrid>
      <w:tr w14:paraId="4BE89692">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7EA0EE">
            <w:pPr>
              <w:adjustRightInd w:val="0"/>
              <w:snapToGrid w:val="0"/>
              <w:jc w:val="center"/>
              <w:rPr>
                <w:rFonts w:hint="eastAsia" w:ascii="仿宋_GB2312" w:hAnsi="仿宋_GB2312" w:eastAsia="仿宋_GB2312" w:cs="仿宋_GB2312"/>
                <w:color w:val="000000"/>
                <w:szCs w:val="21"/>
                <w:highlight w:val="none"/>
              </w:rPr>
            </w:pPr>
            <w:bookmarkStart w:id="88" w:name="sys_资格性证明材料：Document"/>
            <w:bookmarkStart w:id="89" w:name="资格性证明材料：Document"/>
            <w:r>
              <w:rPr>
                <w:rFonts w:hint="eastAsia" w:ascii="仿宋_GB2312" w:hAnsi="仿宋_GB2312" w:eastAsia="仿宋_GB2312" w:cs="仿宋_GB2312"/>
                <w:color w:val="000000"/>
                <w:szCs w:val="21"/>
                <w:highlight w:val="none"/>
              </w:rPr>
              <w:t>序号</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4335D3">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B28F52">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格式</w:t>
            </w:r>
          </w:p>
        </w:tc>
      </w:tr>
      <w:tr w14:paraId="15A3A5F9">
        <w:tblPrEx>
          <w:tblCellMar>
            <w:top w:w="0" w:type="dxa"/>
            <w:left w:w="0" w:type="dxa"/>
            <w:bottom w:w="0" w:type="dxa"/>
            <w:right w:w="0" w:type="dxa"/>
          </w:tblCellMar>
        </w:tblPrEx>
        <w:trPr>
          <w:trHeight w:val="87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8FD315C">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94A709">
            <w:pPr>
              <w:adjustRightInd w:val="0"/>
              <w:snapToGrid w:val="0"/>
              <w:jc w:val="left"/>
              <w:rPr>
                <w:rFonts w:hint="eastAsia" w:ascii="仿宋_GB2312" w:hAnsi="仿宋_GB2312" w:eastAsia="仿宋_GB2312" w:cs="仿宋_GB2312"/>
                <w:color w:val="000000"/>
                <w:szCs w:val="21"/>
                <w:highlight w:val="none"/>
                <w:lang w:eastAsia="zh-CN"/>
              </w:rPr>
            </w:pPr>
            <w:r>
              <w:rPr>
                <w:rFonts w:hint="eastAsia" w:ascii="仿宋_GB2312" w:hAnsi="仿宋_GB2312" w:eastAsia="仿宋_GB2312" w:cs="仿宋_GB2312"/>
                <w:color w:val="000000"/>
                <w:szCs w:val="21"/>
                <w:highlight w:val="none"/>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2A7D19">
            <w:pPr>
              <w:adjustRightInd w:val="0"/>
              <w:snapToGrid w:val="0"/>
              <w:jc w:val="center"/>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3</w:t>
            </w:r>
          </w:p>
        </w:tc>
      </w:tr>
      <w:tr w14:paraId="18EEDE0F">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AA3A97">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3BB659">
            <w:pPr>
              <w:widowControl/>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法定代表人（或非法人组织负责人）身份证明书（自然人投标的无需提供）（法定代表人参加投标的须提供，授权委托人参加投标的无须提供）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E58B69">
            <w:pPr>
              <w:adjustRightInd w:val="0"/>
              <w:snapToGrid w:val="0"/>
              <w:jc w:val="center"/>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4</w:t>
            </w:r>
          </w:p>
        </w:tc>
      </w:tr>
      <w:tr w14:paraId="4A50668C">
        <w:tblPrEx>
          <w:tblCellMar>
            <w:top w:w="0" w:type="dxa"/>
            <w:left w:w="0" w:type="dxa"/>
            <w:bottom w:w="0" w:type="dxa"/>
            <w:right w:w="0" w:type="dxa"/>
          </w:tblCellMar>
        </w:tblPrEx>
        <w:trPr>
          <w:trHeight w:val="604"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50BE0E0">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643517">
            <w:pPr>
              <w:widowControl/>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法定代表人（或非法人组织负责人）授权委托书（法定代表人参加投标的无须提供，授权委托人参加投标的须提供）</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CE651C">
            <w:pPr>
              <w:adjustRightInd w:val="0"/>
              <w:snapToGrid w:val="0"/>
              <w:jc w:val="center"/>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5</w:t>
            </w:r>
          </w:p>
        </w:tc>
      </w:tr>
      <w:tr w14:paraId="17BD5BB6">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D880328">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2E8E93">
            <w:pPr>
              <w:widowControl/>
              <w:adjustRightInd w:val="0"/>
              <w:snapToGrid w:val="0"/>
              <w:jc w:val="left"/>
              <w:rPr>
                <w:rFonts w:hint="eastAsia" w:ascii="仿宋_GB2312" w:hAnsi="仿宋_GB2312" w:eastAsia="仿宋_GB2312" w:cs="仿宋_GB2312"/>
                <w:color w:val="000000"/>
                <w:szCs w:val="21"/>
                <w:highlight w:val="none"/>
                <w:lang w:eastAsia="zh-CN"/>
              </w:rPr>
            </w:pPr>
            <w:r>
              <w:rPr>
                <w:rFonts w:hint="eastAsia" w:ascii="仿宋_GB2312" w:hAnsi="仿宋_GB2312" w:eastAsia="仿宋_GB2312" w:cs="仿宋_GB2312"/>
                <w:color w:val="000000"/>
                <w:szCs w:val="21"/>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ACF8F33">
            <w:pPr>
              <w:adjustRightInd w:val="0"/>
              <w:snapToGrid w:val="0"/>
              <w:jc w:val="center"/>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6</w:t>
            </w:r>
          </w:p>
        </w:tc>
      </w:tr>
      <w:tr w14:paraId="000ECEA3">
        <w:tblPrEx>
          <w:tblCellMar>
            <w:top w:w="0" w:type="dxa"/>
            <w:left w:w="0" w:type="dxa"/>
            <w:bottom w:w="0" w:type="dxa"/>
            <w:right w:w="0" w:type="dxa"/>
          </w:tblCellMar>
        </w:tblPrEx>
        <w:trPr>
          <w:trHeight w:val="1187"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21F1E3">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5</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6DADB1">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开标时间前六个月内任一个月的依法缴纳税收的证明材料复印件</w:t>
            </w:r>
          </w:p>
          <w:p w14:paraId="048452FD">
            <w:pPr>
              <w:adjustRightInd w:val="0"/>
              <w:snapToGrid w:val="0"/>
              <w:jc w:val="left"/>
              <w:rPr>
                <w:rFonts w:hint="eastAsia" w:ascii="仿宋_GB2312" w:hAnsi="仿宋_GB2312" w:eastAsia="仿宋_GB2312" w:cs="仿宋_GB2312"/>
                <w:color w:val="000000"/>
                <w:szCs w:val="21"/>
                <w:highlight w:val="none"/>
                <w:lang w:eastAsia="zh-CN"/>
              </w:rPr>
            </w:pPr>
            <w:r>
              <w:rPr>
                <w:rFonts w:hint="eastAsia" w:ascii="仿宋_GB2312" w:hAnsi="仿宋_GB2312" w:eastAsia="仿宋_GB2312" w:cs="仿宋_GB2312"/>
                <w:color w:val="000000"/>
                <w:szCs w:val="21"/>
                <w:highlight w:val="none"/>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66AC3A">
            <w:pPr>
              <w:adjustRightInd w:val="0"/>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7-1</w:t>
            </w:r>
          </w:p>
        </w:tc>
      </w:tr>
      <w:tr w14:paraId="6B3B73F1">
        <w:tblPrEx>
          <w:tblCellMar>
            <w:top w:w="0" w:type="dxa"/>
            <w:left w:w="0" w:type="dxa"/>
            <w:bottom w:w="0" w:type="dxa"/>
            <w:right w:w="0" w:type="dxa"/>
          </w:tblCellMar>
        </w:tblPrEx>
        <w:trPr>
          <w:trHeight w:val="1187"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AD76FA9">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BAE3A0">
            <w:pPr>
              <w:adjustRightInd w:val="0"/>
              <w:snapToGrid w:val="0"/>
              <w:jc w:val="left"/>
              <w:rPr>
                <w:rFonts w:hint="eastAsia" w:ascii="仿宋_GB2312" w:hAnsi="仿宋_GB2312" w:eastAsia="仿宋_GB2312" w:cs="仿宋_GB2312"/>
                <w:color w:val="000000"/>
                <w:szCs w:val="21"/>
                <w:highlight w:val="none"/>
                <w:lang w:eastAsia="zh-CN"/>
              </w:rPr>
            </w:pPr>
            <w:r>
              <w:rPr>
                <w:rFonts w:hint="eastAsia" w:ascii="仿宋_GB2312" w:hAnsi="仿宋_GB2312" w:eastAsia="仿宋_GB2312" w:cs="仿宋_GB2312"/>
                <w:color w:val="000000"/>
                <w:szCs w:val="21"/>
                <w:highlight w:val="none"/>
              </w:rPr>
              <w:t>开标时间前六个月内任一个月的依法缴纳社会保障资金的证明材料复印件（注：依法不需要缴纳社会保障资金的投标人，应提供相关证明材料，包括相关法规要求原文及加盖单位公章的情况说明）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02839C5">
            <w:pPr>
              <w:adjustRightInd w:val="0"/>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7-2</w:t>
            </w:r>
          </w:p>
        </w:tc>
      </w:tr>
      <w:tr w14:paraId="04A77529">
        <w:tblPrEx>
          <w:tblCellMar>
            <w:top w:w="0" w:type="dxa"/>
            <w:left w:w="0" w:type="dxa"/>
            <w:bottom w:w="0" w:type="dxa"/>
            <w:right w:w="0" w:type="dxa"/>
          </w:tblCellMar>
        </w:tblPrEx>
        <w:trPr>
          <w:trHeight w:val="55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F7F1AA3">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7</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C031DB7">
            <w:pPr>
              <w:adjustRightInd w:val="0"/>
              <w:snapToGrid w:val="0"/>
              <w:jc w:val="left"/>
              <w:rPr>
                <w:rFonts w:hint="eastAsia" w:ascii="仿宋_GB2312" w:hAnsi="仿宋_GB2312" w:eastAsia="仿宋_GB2312" w:cs="仿宋_GB2312"/>
                <w:color w:val="000000"/>
                <w:szCs w:val="21"/>
                <w:highlight w:val="none"/>
                <w:lang w:eastAsia="zh-CN"/>
              </w:rPr>
            </w:pPr>
            <w:r>
              <w:rPr>
                <w:rFonts w:hint="eastAsia" w:ascii="仿宋_GB2312" w:hAnsi="仿宋_GB2312" w:eastAsia="仿宋_GB2312" w:cs="仿宋_GB2312"/>
                <w:color w:val="000000"/>
                <w:szCs w:val="21"/>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84E6E2">
            <w:pPr>
              <w:adjustRightInd w:val="0"/>
              <w:snapToGrid w:val="0"/>
              <w:jc w:val="center"/>
              <w:rPr>
                <w:rFonts w:hint="eastAsia" w:ascii="仿宋_GB2312" w:hAnsi="仿宋_GB2312" w:eastAsia="仿宋_GB2312" w:cs="仿宋_GB2312"/>
                <w:color w:val="000000"/>
                <w:szCs w:val="21"/>
                <w:highlight w:val="none"/>
                <w:lang w:eastAsia="zh-CN"/>
              </w:rPr>
            </w:pPr>
            <w:r>
              <w:rPr>
                <w:rFonts w:hint="eastAsia" w:ascii="仿宋_GB2312" w:hAnsi="仿宋_GB2312" w:eastAsia="仿宋_GB2312" w:cs="仿宋_GB2312"/>
                <w:color w:val="000000"/>
                <w:szCs w:val="21"/>
                <w:highlight w:val="none"/>
                <w:lang w:val="en-US" w:eastAsia="zh-CN"/>
              </w:rPr>
              <w:t>8</w:t>
            </w:r>
          </w:p>
        </w:tc>
      </w:tr>
      <w:tr w14:paraId="25F2432C">
        <w:tblPrEx>
          <w:tblCellMar>
            <w:top w:w="0" w:type="dxa"/>
            <w:left w:w="0" w:type="dxa"/>
            <w:bottom w:w="0" w:type="dxa"/>
            <w:right w:w="0" w:type="dxa"/>
          </w:tblCellMar>
        </w:tblPrEx>
        <w:trPr>
          <w:trHeight w:val="72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1C7F32">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8</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8AA413">
            <w:pPr>
              <w:adjustRightInd w:val="0"/>
              <w:snapToGrid w:val="0"/>
              <w:jc w:val="left"/>
              <w:rPr>
                <w:rFonts w:hint="eastAsia" w:ascii="仿宋_GB2312" w:hAnsi="仿宋_GB2312" w:eastAsia="仿宋_GB2312" w:cs="仿宋_GB2312"/>
                <w:color w:val="000000"/>
                <w:szCs w:val="21"/>
                <w:highlight w:val="none"/>
                <w:lang w:eastAsia="zh-CN"/>
              </w:rPr>
            </w:pPr>
            <w:r>
              <w:rPr>
                <w:rFonts w:hint="eastAsia" w:ascii="仿宋_GB2312" w:hAnsi="仿宋_GB2312" w:eastAsia="仿宋_GB2312" w:cs="仿宋_GB2312"/>
                <w:color w:val="000000"/>
                <w:szCs w:val="21"/>
                <w:highlight w:val="none"/>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8B5672">
            <w:pPr>
              <w:adjustRightInd w:val="0"/>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9</w:t>
            </w:r>
          </w:p>
        </w:tc>
      </w:tr>
      <w:tr w14:paraId="7B4A53DA">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441243">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9</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190C42">
            <w:pPr>
              <w:adjustRightInd w:val="0"/>
              <w:snapToGrid w:val="0"/>
              <w:jc w:val="left"/>
              <w:rPr>
                <w:rFonts w:hint="eastAsia" w:ascii="仿宋_GB2312" w:hAnsi="仿宋_GB2312" w:eastAsia="仿宋_GB2312" w:cs="仿宋_GB2312"/>
                <w:color w:val="000000"/>
                <w:szCs w:val="21"/>
                <w:highlight w:val="none"/>
                <w:lang w:eastAsia="zh-CN"/>
              </w:rPr>
            </w:pPr>
            <w:r>
              <w:rPr>
                <w:rFonts w:hint="eastAsia" w:ascii="仿宋_GB2312" w:hAnsi="仿宋_GB2312" w:eastAsia="仿宋_GB2312" w:cs="仿宋_GB2312"/>
                <w:color w:val="000000"/>
                <w:szCs w:val="21"/>
                <w:highlight w:val="none"/>
              </w:rPr>
              <w:t>投标人关联单位说明</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9FF695">
            <w:pPr>
              <w:adjustRightInd w:val="0"/>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10</w:t>
            </w:r>
          </w:p>
        </w:tc>
      </w:tr>
      <w:tr w14:paraId="1B459FA5">
        <w:tblPrEx>
          <w:tblCellMar>
            <w:top w:w="0" w:type="dxa"/>
            <w:left w:w="0" w:type="dxa"/>
            <w:bottom w:w="0" w:type="dxa"/>
            <w:right w:w="0" w:type="dxa"/>
          </w:tblCellMar>
        </w:tblPrEx>
        <w:trPr>
          <w:trHeight w:val="615"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F01674">
            <w:pPr>
              <w:adjustRightInd w:val="0"/>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10</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36C810">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lang w:eastAsia="zh-CN"/>
              </w:rPr>
              <w:t>其他</w:t>
            </w:r>
            <w:r>
              <w:rPr>
                <w:rFonts w:hint="eastAsia" w:ascii="仿宋_GB2312" w:hAnsi="仿宋_GB2312" w:eastAsia="仿宋_GB2312" w:cs="仿宋_GB2312"/>
                <w:color w:val="000000"/>
                <w:szCs w:val="21"/>
                <w:highlight w:val="none"/>
              </w:rPr>
              <w:t>资格证明文件（如适用，按投标人须知表1.3.4要求描述）</w:t>
            </w:r>
          </w:p>
          <w:p w14:paraId="38840D45">
            <w:pPr>
              <w:adjustRightInd w:val="0"/>
              <w:snapToGrid w:val="0"/>
              <w:jc w:val="left"/>
              <w:rPr>
                <w:rFonts w:hint="eastAsia" w:ascii="仿宋_GB2312" w:hAnsi="仿宋_GB2312" w:eastAsia="仿宋_GB2312" w:cs="仿宋_GB2312"/>
                <w:color w:val="000000"/>
                <w:szCs w:val="21"/>
                <w:highlight w:val="none"/>
                <w:lang w:eastAsia="zh-CN"/>
              </w:rPr>
            </w:pP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CCB4EC">
            <w:pPr>
              <w:adjustRightInd w:val="0"/>
              <w:snapToGrid w:val="0"/>
              <w:jc w:val="center"/>
              <w:rPr>
                <w:rFonts w:hint="eastAsia" w:ascii="仿宋_GB2312" w:hAnsi="仿宋_GB2312" w:eastAsia="仿宋_GB2312" w:cs="仿宋_GB2312"/>
                <w:color w:val="000000"/>
                <w:szCs w:val="21"/>
                <w:highlight w:val="none"/>
              </w:rPr>
            </w:pPr>
          </w:p>
        </w:tc>
      </w:tr>
      <w:tr w14:paraId="3DE9FA47">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DFA5BA">
            <w:pPr>
              <w:adjustRightInd w:val="0"/>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11</w:t>
            </w:r>
          </w:p>
        </w:tc>
        <w:tc>
          <w:tcPr>
            <w:tcW w:w="699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46D762">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A18614">
            <w:pPr>
              <w:adjustRightInd w:val="0"/>
              <w:snapToGrid w:val="0"/>
              <w:jc w:val="center"/>
              <w:rPr>
                <w:rFonts w:hint="eastAsia" w:ascii="仿宋_GB2312" w:hAnsi="仿宋_GB2312" w:eastAsia="仿宋_GB2312" w:cs="仿宋_GB2312"/>
                <w:color w:val="000000"/>
                <w:szCs w:val="21"/>
                <w:highlight w:val="none"/>
              </w:rPr>
            </w:pPr>
          </w:p>
        </w:tc>
      </w:tr>
    </w:tbl>
    <w:p w14:paraId="3B139A17">
      <w:pPr>
        <w:snapToGrid w:val="0"/>
        <w:spacing w:before="156" w:beforeLines="50"/>
        <w:rPr>
          <w:rFonts w:hint="eastAsia" w:ascii="仿宋_GB2312" w:hAnsi="仿宋_GB2312" w:eastAsia="仿宋_GB2312" w:cs="仿宋_GB2312"/>
          <w:b/>
          <w:color w:val="000000"/>
          <w:sz w:val="24"/>
          <w:highlight w:val="none"/>
        </w:rPr>
      </w:pPr>
      <w:bookmarkStart w:id="90" w:name="_Toc22359_WPSOffice_Level2"/>
      <w:bookmarkStart w:id="91" w:name="_Toc25206_WPSOffice_Level2"/>
    </w:p>
    <w:p w14:paraId="722771E9">
      <w:pPr>
        <w:snapToGrid w:val="0"/>
        <w:spacing w:before="156" w:beforeLines="50"/>
        <w:rPr>
          <w:rFonts w:hint="eastAsia" w:ascii="仿宋_GB2312" w:hAnsi="仿宋_GB2312" w:eastAsia="仿宋_GB2312" w:cs="仿宋_GB2312"/>
          <w:b/>
          <w:color w:val="000000"/>
          <w:sz w:val="24"/>
          <w:highlight w:val="none"/>
        </w:rPr>
      </w:pPr>
    </w:p>
    <w:p w14:paraId="3CD03EF1">
      <w:pPr>
        <w:snapToGrid w:val="0"/>
        <w:spacing w:before="156" w:beforeLines="50"/>
        <w:rPr>
          <w:rFonts w:hint="eastAsia" w:ascii="仿宋_GB2312" w:hAnsi="仿宋_GB2312" w:eastAsia="仿宋_GB2312" w:cs="仿宋_GB2312"/>
          <w:b/>
          <w:color w:val="000000"/>
          <w:sz w:val="24"/>
          <w:highlight w:val="none"/>
        </w:rPr>
      </w:pPr>
    </w:p>
    <w:p w14:paraId="72464056">
      <w:pPr>
        <w:snapToGrid w:val="0"/>
        <w:spacing w:before="156" w:beforeLines="50"/>
        <w:rPr>
          <w:rFonts w:hint="eastAsia" w:ascii="仿宋_GB2312" w:hAnsi="仿宋_GB2312" w:eastAsia="仿宋_GB2312" w:cs="仿宋_GB2312"/>
          <w:b/>
          <w:color w:val="000000"/>
          <w:sz w:val="24"/>
          <w:highlight w:val="none"/>
        </w:rPr>
      </w:pPr>
      <w:r>
        <w:rPr>
          <w:rFonts w:hint="eastAsia" w:ascii="仿宋_GB2312" w:hAnsi="仿宋_GB2312" w:eastAsia="仿宋_GB2312" w:cs="仿宋_GB2312"/>
          <w:b/>
          <w:color w:val="000000"/>
          <w:sz w:val="24"/>
          <w:highlight w:val="none"/>
        </w:rPr>
        <w:t>三、符合性证明材料</w:t>
      </w:r>
      <w:bookmarkEnd w:id="90"/>
      <w:bookmarkEnd w:id="91"/>
      <w:r>
        <w:rPr>
          <w:rFonts w:hint="eastAsia" w:ascii="仿宋_GB2312" w:hAnsi="仿宋_GB2312" w:eastAsia="仿宋_GB2312" w:cs="仿宋_GB2312"/>
          <w:b/>
          <w:color w:val="000000"/>
          <w:sz w:val="24"/>
          <w:highlight w:val="none"/>
        </w:rPr>
        <w:t>（有一项不符合要求，不能进入下一阶段评审）</w:t>
      </w:r>
    </w:p>
    <w:bookmarkEnd w:id="88"/>
    <w:bookmarkEnd w:id="89"/>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45DF1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noWrap w:val="0"/>
            <w:vAlign w:val="center"/>
          </w:tcPr>
          <w:p w14:paraId="54C3855A">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序号</w:t>
            </w:r>
          </w:p>
        </w:tc>
        <w:tc>
          <w:tcPr>
            <w:tcW w:w="6986" w:type="dxa"/>
            <w:noWrap w:val="0"/>
            <w:vAlign w:val="center"/>
          </w:tcPr>
          <w:p w14:paraId="2E2A6217">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符合性证明材料</w:t>
            </w:r>
          </w:p>
        </w:tc>
        <w:tc>
          <w:tcPr>
            <w:tcW w:w="756" w:type="dxa"/>
            <w:noWrap w:val="0"/>
            <w:vAlign w:val="center"/>
          </w:tcPr>
          <w:p w14:paraId="68E193B5">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格式</w:t>
            </w:r>
          </w:p>
        </w:tc>
      </w:tr>
      <w:tr w14:paraId="7DAE0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488D07DF">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w:t>
            </w:r>
          </w:p>
        </w:tc>
        <w:tc>
          <w:tcPr>
            <w:tcW w:w="6986" w:type="dxa"/>
            <w:noWrap w:val="0"/>
            <w:vAlign w:val="center"/>
          </w:tcPr>
          <w:p w14:paraId="4194CFD4">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投标函</w:t>
            </w:r>
          </w:p>
        </w:tc>
        <w:tc>
          <w:tcPr>
            <w:tcW w:w="756" w:type="dxa"/>
            <w:noWrap w:val="0"/>
            <w:vAlign w:val="center"/>
          </w:tcPr>
          <w:p w14:paraId="69C387A5">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11</w:t>
            </w:r>
          </w:p>
        </w:tc>
      </w:tr>
      <w:tr w14:paraId="20431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5A9B6A8B">
            <w:pPr>
              <w:adjustRightInd w:val="0"/>
              <w:snapToGrid w:val="0"/>
              <w:jc w:val="center"/>
              <w:rPr>
                <w:rFonts w:hint="eastAsia" w:ascii="仿宋_GB2312" w:hAnsi="仿宋_GB2312" w:eastAsia="仿宋_GB2312" w:cs="仿宋_GB2312"/>
                <w:color w:val="000000"/>
                <w:kern w:val="0"/>
                <w:szCs w:val="21"/>
                <w:highlight w:val="none"/>
                <w:lang w:eastAsia="zh-CN"/>
              </w:rPr>
            </w:pPr>
            <w:r>
              <w:rPr>
                <w:rFonts w:hint="eastAsia" w:ascii="仿宋_GB2312" w:hAnsi="仿宋_GB2312" w:eastAsia="仿宋_GB2312" w:cs="仿宋_GB2312"/>
                <w:color w:val="000000"/>
                <w:kern w:val="0"/>
                <w:szCs w:val="21"/>
                <w:highlight w:val="none"/>
                <w:lang w:val="en-US" w:eastAsia="zh-CN"/>
              </w:rPr>
              <w:t>2</w:t>
            </w:r>
          </w:p>
        </w:tc>
        <w:tc>
          <w:tcPr>
            <w:tcW w:w="6986" w:type="dxa"/>
            <w:noWrap w:val="0"/>
            <w:vAlign w:val="center"/>
          </w:tcPr>
          <w:p w14:paraId="1B58C861">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开标一览表</w:t>
            </w:r>
          </w:p>
        </w:tc>
        <w:tc>
          <w:tcPr>
            <w:tcW w:w="756" w:type="dxa"/>
            <w:noWrap w:val="0"/>
            <w:vAlign w:val="center"/>
          </w:tcPr>
          <w:p w14:paraId="0FA3BD6C">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12</w:t>
            </w:r>
          </w:p>
        </w:tc>
      </w:tr>
      <w:tr w14:paraId="6C12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56600D9B">
            <w:pPr>
              <w:adjustRightInd w:val="0"/>
              <w:snapToGrid w:val="0"/>
              <w:jc w:val="center"/>
              <w:rPr>
                <w:rFonts w:hint="eastAsia"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3</w:t>
            </w:r>
          </w:p>
        </w:tc>
        <w:tc>
          <w:tcPr>
            <w:tcW w:w="6986" w:type="dxa"/>
            <w:noWrap w:val="0"/>
            <w:vAlign w:val="center"/>
          </w:tcPr>
          <w:p w14:paraId="3F06EAB7">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分项报价表</w:t>
            </w:r>
          </w:p>
        </w:tc>
        <w:tc>
          <w:tcPr>
            <w:tcW w:w="756" w:type="dxa"/>
            <w:noWrap w:val="0"/>
            <w:vAlign w:val="center"/>
          </w:tcPr>
          <w:p w14:paraId="1A74517C">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13</w:t>
            </w:r>
          </w:p>
        </w:tc>
      </w:tr>
      <w:tr w14:paraId="010FC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5838F8A2">
            <w:pPr>
              <w:adjustRightInd w:val="0"/>
              <w:snapToGrid w:val="0"/>
              <w:jc w:val="center"/>
              <w:rPr>
                <w:rFonts w:hint="eastAsia"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4</w:t>
            </w:r>
          </w:p>
        </w:tc>
        <w:tc>
          <w:tcPr>
            <w:tcW w:w="6986" w:type="dxa"/>
            <w:noWrap w:val="0"/>
            <w:vAlign w:val="center"/>
          </w:tcPr>
          <w:p w14:paraId="7F4EFE9B">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技术规格偏离表</w:t>
            </w:r>
          </w:p>
        </w:tc>
        <w:tc>
          <w:tcPr>
            <w:tcW w:w="756" w:type="dxa"/>
            <w:noWrap w:val="0"/>
            <w:vAlign w:val="center"/>
          </w:tcPr>
          <w:p w14:paraId="624362E7">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14</w:t>
            </w:r>
          </w:p>
        </w:tc>
      </w:tr>
      <w:tr w14:paraId="0CDD8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5AC7EAC7">
            <w:pPr>
              <w:adjustRightInd w:val="0"/>
              <w:snapToGrid w:val="0"/>
              <w:jc w:val="center"/>
              <w:rPr>
                <w:rFonts w:hint="eastAsia"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5</w:t>
            </w:r>
          </w:p>
        </w:tc>
        <w:tc>
          <w:tcPr>
            <w:tcW w:w="6986" w:type="dxa"/>
            <w:noWrap w:val="0"/>
            <w:vAlign w:val="center"/>
          </w:tcPr>
          <w:p w14:paraId="6B9A9F87">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商务条款偏离表</w:t>
            </w:r>
          </w:p>
        </w:tc>
        <w:tc>
          <w:tcPr>
            <w:tcW w:w="756" w:type="dxa"/>
            <w:noWrap w:val="0"/>
            <w:vAlign w:val="center"/>
          </w:tcPr>
          <w:p w14:paraId="7B5A94C8">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15</w:t>
            </w:r>
          </w:p>
        </w:tc>
      </w:tr>
      <w:tr w14:paraId="05C11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667" w:type="dxa"/>
            <w:noWrap w:val="0"/>
            <w:vAlign w:val="center"/>
          </w:tcPr>
          <w:p w14:paraId="6465A331">
            <w:pPr>
              <w:adjustRightInd w:val="0"/>
              <w:snapToGrid w:val="0"/>
              <w:jc w:val="center"/>
              <w:rPr>
                <w:rFonts w:hint="eastAsia"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6</w:t>
            </w:r>
          </w:p>
        </w:tc>
        <w:tc>
          <w:tcPr>
            <w:tcW w:w="6986" w:type="dxa"/>
            <w:noWrap w:val="0"/>
            <w:vAlign w:val="center"/>
          </w:tcPr>
          <w:p w14:paraId="0F468512">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《品目清单》、国家确定的认证机构出具的、处于有效期之内的《节能产品认证证书》</w:t>
            </w:r>
            <w:r>
              <w:rPr>
                <w:rFonts w:hint="eastAsia" w:ascii="仿宋_GB2312" w:hAnsi="仿宋_GB2312" w:eastAsia="仿宋_GB2312" w:cs="仿宋_GB2312"/>
                <w:color w:val="000000"/>
                <w:szCs w:val="21"/>
                <w:highlight w:val="none"/>
              </w:rPr>
              <w:t>（如适用）</w:t>
            </w:r>
            <w:r>
              <w:rPr>
                <w:rFonts w:hint="eastAsia" w:ascii="仿宋_GB2312" w:hAnsi="仿宋_GB2312" w:eastAsia="仿宋_GB2312" w:cs="仿宋_GB2312"/>
                <w:color w:val="000000"/>
                <w:kern w:val="0"/>
                <w:szCs w:val="21"/>
                <w:highlight w:val="none"/>
              </w:rPr>
              <w:t>（政府强制采购的节能产品须提供）</w:t>
            </w:r>
          </w:p>
        </w:tc>
        <w:tc>
          <w:tcPr>
            <w:tcW w:w="756" w:type="dxa"/>
            <w:noWrap w:val="0"/>
            <w:vAlign w:val="center"/>
          </w:tcPr>
          <w:p w14:paraId="6AFFC640">
            <w:pPr>
              <w:adjustRightInd w:val="0"/>
              <w:snapToGrid w:val="0"/>
              <w:jc w:val="center"/>
              <w:rPr>
                <w:rFonts w:hint="eastAsia" w:ascii="仿宋_GB2312" w:hAnsi="仿宋_GB2312" w:eastAsia="仿宋_GB2312" w:cs="仿宋_GB2312"/>
                <w:color w:val="000000"/>
                <w:kern w:val="0"/>
                <w:szCs w:val="21"/>
                <w:highlight w:val="none"/>
              </w:rPr>
            </w:pPr>
          </w:p>
        </w:tc>
      </w:tr>
    </w:tbl>
    <w:p w14:paraId="7C6CF0B9">
      <w:pPr>
        <w:snapToGrid w:val="0"/>
        <w:spacing w:before="156" w:beforeLines="50"/>
        <w:rPr>
          <w:rFonts w:hint="eastAsia" w:ascii="仿宋_GB2312" w:hAnsi="仿宋_GB2312" w:eastAsia="仿宋_GB2312" w:cs="仿宋_GB2312"/>
          <w:b/>
          <w:color w:val="000000"/>
          <w:sz w:val="24"/>
          <w:highlight w:val="none"/>
        </w:rPr>
      </w:pPr>
      <w:bookmarkStart w:id="92" w:name="_Toc24432_WPSOffice_Level2"/>
      <w:bookmarkStart w:id="93" w:name="_Toc27769_WPSOffice_Level2"/>
      <w:r>
        <w:rPr>
          <w:rFonts w:hint="eastAsia" w:ascii="仿宋_GB2312" w:hAnsi="仿宋_GB2312" w:eastAsia="仿宋_GB2312" w:cs="仿宋_GB2312"/>
          <w:b/>
          <w:color w:val="000000"/>
          <w:sz w:val="24"/>
          <w:highlight w:val="none"/>
        </w:rPr>
        <w:t>四、其他材料</w:t>
      </w:r>
      <w:bookmarkEnd w:id="92"/>
      <w:bookmarkEnd w:id="93"/>
      <w:r>
        <w:rPr>
          <w:rFonts w:hint="eastAsia" w:ascii="仿宋_GB2312" w:hAnsi="仿宋_GB2312" w:eastAsia="仿宋_GB2312" w:cs="仿宋_GB2312"/>
          <w:b/>
          <w:color w:val="000000"/>
          <w:sz w:val="24"/>
          <w:highlight w:val="none"/>
        </w:rPr>
        <w:t>（如有，请提供；如未提供，投标文件不作无效处理）</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32573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noWrap w:val="0"/>
            <w:vAlign w:val="center"/>
          </w:tcPr>
          <w:p w14:paraId="64ABFB93">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序号</w:t>
            </w:r>
          </w:p>
        </w:tc>
        <w:tc>
          <w:tcPr>
            <w:tcW w:w="6985" w:type="dxa"/>
            <w:noWrap w:val="0"/>
            <w:vAlign w:val="center"/>
          </w:tcPr>
          <w:p w14:paraId="2A87D14E">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其他材料</w:t>
            </w:r>
          </w:p>
        </w:tc>
        <w:tc>
          <w:tcPr>
            <w:tcW w:w="756" w:type="dxa"/>
            <w:noWrap w:val="0"/>
            <w:vAlign w:val="center"/>
          </w:tcPr>
          <w:p w14:paraId="2B3EAF17">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格式</w:t>
            </w:r>
          </w:p>
        </w:tc>
      </w:tr>
      <w:tr w14:paraId="4BDC0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7D0955CB">
            <w:pPr>
              <w:adjustRightInd w:val="0"/>
              <w:snapToGrid w:val="0"/>
              <w:jc w:val="center"/>
              <w:rPr>
                <w:rFonts w:hint="eastAsia" w:ascii="仿宋_GB2312" w:hAnsi="仿宋_GB2312" w:eastAsia="仿宋_GB2312" w:cs="仿宋_GB2312"/>
                <w:color w:val="000000"/>
                <w:kern w:val="0"/>
                <w:szCs w:val="21"/>
                <w:highlight w:val="none"/>
                <w:lang w:eastAsia="zh-CN"/>
              </w:rPr>
            </w:pPr>
            <w:r>
              <w:rPr>
                <w:rFonts w:hint="eastAsia" w:ascii="仿宋_GB2312" w:hAnsi="仿宋_GB2312" w:eastAsia="仿宋_GB2312" w:cs="仿宋_GB2312"/>
                <w:color w:val="000000"/>
                <w:kern w:val="0"/>
                <w:szCs w:val="21"/>
                <w:highlight w:val="none"/>
                <w:lang w:val="en-US" w:eastAsia="zh-CN"/>
              </w:rPr>
              <w:t>1</w:t>
            </w:r>
          </w:p>
        </w:tc>
        <w:tc>
          <w:tcPr>
            <w:tcW w:w="6985" w:type="dxa"/>
            <w:noWrap w:val="0"/>
            <w:vAlign w:val="center"/>
          </w:tcPr>
          <w:p w14:paraId="03920DF5">
            <w:pPr>
              <w:adjustRightInd w:val="0"/>
              <w:snapToGrid w:val="0"/>
              <w:ind w:left="25" w:leftChars="12"/>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中小企业声明函/</w:t>
            </w:r>
            <w:r>
              <w:rPr>
                <w:rFonts w:hint="eastAsia" w:ascii="仿宋_GB2312" w:hAnsi="仿宋_GB2312" w:eastAsia="仿宋_GB2312" w:cs="仿宋_GB2312"/>
                <w:color w:val="000000"/>
                <w:szCs w:val="21"/>
                <w:highlight w:val="none"/>
              </w:rPr>
              <w:t>残疾人福利性单位声明函</w:t>
            </w:r>
            <w:r>
              <w:rPr>
                <w:rFonts w:hint="eastAsia" w:ascii="仿宋_GB2312" w:hAnsi="仿宋_GB2312" w:eastAsia="仿宋_GB2312" w:cs="仿宋_GB2312"/>
                <w:color w:val="000000"/>
                <w:szCs w:val="21"/>
                <w:highlight w:val="none"/>
                <w:lang w:val="en-US" w:eastAsia="zh-CN"/>
              </w:rPr>
              <w:t>/</w:t>
            </w:r>
            <w:r>
              <w:rPr>
                <w:rFonts w:hint="eastAsia" w:ascii="仿宋_GB2312" w:hAnsi="仿宋_GB2312" w:eastAsia="仿宋_GB2312" w:cs="仿宋_GB2312"/>
                <w:color w:val="000000"/>
                <w:kern w:val="0"/>
                <w:szCs w:val="21"/>
                <w:highlight w:val="none"/>
              </w:rPr>
              <w:t>监狱企业证明文件</w:t>
            </w:r>
            <w:r>
              <w:rPr>
                <w:rFonts w:hint="eastAsia" w:ascii="仿宋_GB2312" w:hAnsi="仿宋_GB2312" w:eastAsia="仿宋_GB2312" w:cs="仿宋_GB2312"/>
                <w:color w:val="000000"/>
                <w:szCs w:val="21"/>
                <w:highlight w:val="none"/>
              </w:rPr>
              <w:t>（如适用）</w:t>
            </w:r>
            <w:r>
              <w:rPr>
                <w:rFonts w:hint="eastAsia" w:ascii="仿宋_GB2312" w:hAnsi="仿宋_GB2312" w:eastAsia="仿宋_GB2312" w:cs="仿宋_GB2312"/>
                <w:color w:val="000000"/>
                <w:kern w:val="0"/>
                <w:szCs w:val="21"/>
                <w:highlight w:val="none"/>
              </w:rPr>
              <w:t>（</w:t>
            </w:r>
            <w:r>
              <w:rPr>
                <w:rFonts w:hint="eastAsia" w:ascii="仿宋_GB2312" w:hAnsi="仿宋_GB2312" w:eastAsia="仿宋_GB2312" w:cs="仿宋_GB2312"/>
                <w:color w:val="000000"/>
                <w:highlight w:val="none"/>
              </w:rPr>
              <w:t>可视具体情况调整至资格证明材料</w:t>
            </w:r>
            <w:r>
              <w:rPr>
                <w:rFonts w:hint="eastAsia" w:ascii="仿宋_GB2312" w:hAnsi="仿宋_GB2312" w:eastAsia="仿宋_GB2312" w:cs="仿宋_GB2312"/>
                <w:color w:val="000000"/>
                <w:kern w:val="0"/>
                <w:szCs w:val="21"/>
                <w:highlight w:val="none"/>
              </w:rPr>
              <w:t>）</w:t>
            </w:r>
          </w:p>
        </w:tc>
        <w:tc>
          <w:tcPr>
            <w:tcW w:w="756" w:type="dxa"/>
            <w:noWrap w:val="0"/>
            <w:vAlign w:val="center"/>
          </w:tcPr>
          <w:p w14:paraId="29ED5754">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16-17</w:t>
            </w:r>
          </w:p>
        </w:tc>
      </w:tr>
      <w:tr w14:paraId="7034D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6A040F9B">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2</w:t>
            </w:r>
          </w:p>
        </w:tc>
        <w:tc>
          <w:tcPr>
            <w:tcW w:w="6985" w:type="dxa"/>
            <w:noWrap w:val="0"/>
            <w:vAlign w:val="center"/>
          </w:tcPr>
          <w:p w14:paraId="3EBCCD2D">
            <w:pPr>
              <w:adjustRightInd w:val="0"/>
              <w:snapToGrid w:val="0"/>
              <w:ind w:left="25" w:leftChars="12"/>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关于符合本国产品标准的声明函/财政部会同有关部门规定的有关证明文件（如适用）</w:t>
            </w:r>
          </w:p>
        </w:tc>
        <w:tc>
          <w:tcPr>
            <w:tcW w:w="756" w:type="dxa"/>
            <w:noWrap w:val="0"/>
            <w:vAlign w:val="center"/>
          </w:tcPr>
          <w:p w14:paraId="2081E9CA">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18</w:t>
            </w:r>
          </w:p>
        </w:tc>
      </w:tr>
      <w:tr w14:paraId="2E6CA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7E5A116B">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3</w:t>
            </w:r>
          </w:p>
        </w:tc>
        <w:tc>
          <w:tcPr>
            <w:tcW w:w="6985" w:type="dxa"/>
            <w:noWrap w:val="0"/>
            <w:vAlign w:val="center"/>
          </w:tcPr>
          <w:p w14:paraId="31D5A7EE">
            <w:pPr>
              <w:adjustRightInd w:val="0"/>
              <w:snapToGrid w:val="0"/>
              <w:ind w:left="25" w:leftChars="12"/>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关于本国产品比例的声明函（如适用）</w:t>
            </w:r>
          </w:p>
        </w:tc>
        <w:tc>
          <w:tcPr>
            <w:tcW w:w="756" w:type="dxa"/>
            <w:noWrap w:val="0"/>
            <w:vAlign w:val="center"/>
          </w:tcPr>
          <w:p w14:paraId="6B0E86A6">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19</w:t>
            </w:r>
          </w:p>
        </w:tc>
      </w:tr>
      <w:tr w14:paraId="62010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5F7F0B38">
            <w:pPr>
              <w:adjustRightInd w:val="0"/>
              <w:snapToGrid w:val="0"/>
              <w:ind w:firstLine="210" w:firstLineChars="100"/>
              <w:jc w:val="both"/>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4</w:t>
            </w:r>
          </w:p>
        </w:tc>
        <w:tc>
          <w:tcPr>
            <w:tcW w:w="6985" w:type="dxa"/>
            <w:noWrap w:val="0"/>
            <w:vAlign w:val="center"/>
          </w:tcPr>
          <w:p w14:paraId="44E135D2">
            <w:pPr>
              <w:adjustRightInd w:val="0"/>
              <w:snapToGrid w:val="0"/>
              <w:rPr>
                <w:rFonts w:hint="default" w:ascii="仿宋_GB2312" w:hAnsi="仿宋_GB2312" w:eastAsia="仿宋_GB2312" w:cs="仿宋_GB2312"/>
                <w:color w:val="000000"/>
                <w:kern w:val="0"/>
                <w:sz w:val="21"/>
                <w:szCs w:val="21"/>
                <w:highlight w:val="none"/>
                <w:lang w:val="en-US" w:eastAsia="zh-CN" w:bidi="ar-SA"/>
              </w:rPr>
            </w:pPr>
            <w:r>
              <w:rPr>
                <w:rFonts w:hint="eastAsia" w:ascii="仿宋_GB2312" w:hAnsi="仿宋_GB2312" w:eastAsia="仿宋_GB2312" w:cs="仿宋_GB2312"/>
                <w:color w:val="000000"/>
                <w:kern w:val="0"/>
                <w:szCs w:val="21"/>
                <w:highlight w:val="none"/>
              </w:rPr>
              <w:t>《品目清单》、国家确定的认证机构出具的、处于有效期之内的《节能产品、环境标志产品认证证书》</w:t>
            </w:r>
            <w:r>
              <w:rPr>
                <w:rFonts w:hint="eastAsia" w:ascii="仿宋_GB2312" w:hAnsi="仿宋_GB2312" w:eastAsia="仿宋_GB2312" w:cs="仿宋_GB2312"/>
                <w:color w:val="000000"/>
                <w:szCs w:val="21"/>
                <w:highlight w:val="none"/>
              </w:rPr>
              <w:t>（如适用）</w:t>
            </w:r>
            <w:r>
              <w:rPr>
                <w:rFonts w:hint="eastAsia" w:ascii="仿宋_GB2312" w:hAnsi="仿宋_GB2312" w:eastAsia="仿宋_GB2312" w:cs="仿宋_GB2312"/>
                <w:color w:val="000000"/>
                <w:kern w:val="0"/>
                <w:szCs w:val="21"/>
                <w:highlight w:val="none"/>
              </w:rPr>
              <w:t>（非政府强制采购的节能产品可以提供）</w:t>
            </w:r>
          </w:p>
        </w:tc>
        <w:tc>
          <w:tcPr>
            <w:tcW w:w="756" w:type="dxa"/>
            <w:noWrap w:val="0"/>
            <w:vAlign w:val="center"/>
          </w:tcPr>
          <w:p w14:paraId="72D3EB97">
            <w:pPr>
              <w:adjustRightInd w:val="0"/>
              <w:snapToGrid w:val="0"/>
              <w:jc w:val="center"/>
              <w:rPr>
                <w:rFonts w:hint="eastAsia" w:ascii="仿宋_GB2312" w:hAnsi="仿宋_GB2312" w:eastAsia="仿宋_GB2312" w:cs="仿宋_GB2312"/>
                <w:color w:val="000000"/>
                <w:kern w:val="0"/>
                <w:sz w:val="21"/>
                <w:szCs w:val="21"/>
                <w:highlight w:val="none"/>
                <w:lang w:val="en-US" w:eastAsia="zh-CN" w:bidi="ar-SA"/>
              </w:rPr>
            </w:pPr>
            <w:r>
              <w:rPr>
                <w:rFonts w:hint="eastAsia" w:ascii="仿宋_GB2312" w:hAnsi="仿宋_GB2312" w:eastAsia="仿宋_GB2312" w:cs="仿宋_GB2312"/>
                <w:color w:val="000000"/>
                <w:kern w:val="0"/>
                <w:szCs w:val="21"/>
                <w:highlight w:val="none"/>
                <w:lang w:val="en-US" w:eastAsia="zh-CN"/>
              </w:rPr>
              <w:t>20</w:t>
            </w:r>
          </w:p>
        </w:tc>
      </w:tr>
      <w:tr w14:paraId="262CE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60C158B2">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5</w:t>
            </w:r>
          </w:p>
        </w:tc>
        <w:tc>
          <w:tcPr>
            <w:tcW w:w="6985" w:type="dxa"/>
            <w:noWrap w:val="0"/>
            <w:vAlign w:val="center"/>
          </w:tcPr>
          <w:p w14:paraId="4DE1EFA3">
            <w:pPr>
              <w:adjustRightInd w:val="0"/>
              <w:snapToGrid w:val="0"/>
              <w:ind w:left="25" w:leftChars="12"/>
              <w:rPr>
                <w:rFonts w:hint="eastAsia" w:ascii="仿宋_GB2312" w:hAnsi="仿宋_GB2312" w:eastAsia="仿宋_GB2312" w:cs="仿宋_GB2312"/>
                <w:color w:val="000000"/>
                <w:kern w:val="0"/>
                <w:sz w:val="21"/>
                <w:szCs w:val="21"/>
                <w:highlight w:val="none"/>
                <w:lang w:val="en-US" w:eastAsia="zh-CN" w:bidi="ar-SA"/>
              </w:rPr>
            </w:pPr>
            <w:r>
              <w:rPr>
                <w:rFonts w:hint="eastAsia" w:ascii="仿宋_GB2312" w:hAnsi="仿宋_GB2312" w:eastAsia="仿宋_GB2312" w:cs="仿宋_GB2312"/>
                <w:color w:val="000000"/>
                <w:szCs w:val="21"/>
                <w:highlight w:val="none"/>
              </w:rPr>
              <w:t>列入《创新产品和服务目录》内的产品、服务的证明材料（如适用）</w:t>
            </w:r>
          </w:p>
        </w:tc>
        <w:tc>
          <w:tcPr>
            <w:tcW w:w="756" w:type="dxa"/>
            <w:noWrap w:val="0"/>
            <w:vAlign w:val="center"/>
          </w:tcPr>
          <w:p w14:paraId="41BD7184">
            <w:pPr>
              <w:adjustRightInd w:val="0"/>
              <w:snapToGrid w:val="0"/>
              <w:jc w:val="center"/>
              <w:rPr>
                <w:rFonts w:hint="eastAsia" w:ascii="仿宋_GB2312" w:hAnsi="仿宋_GB2312" w:eastAsia="仿宋_GB2312" w:cs="仿宋_GB2312"/>
                <w:color w:val="000000"/>
                <w:kern w:val="0"/>
                <w:sz w:val="21"/>
                <w:szCs w:val="21"/>
                <w:highlight w:val="none"/>
                <w:lang w:val="en-US" w:eastAsia="zh-CN" w:bidi="ar-SA"/>
              </w:rPr>
            </w:pPr>
            <w:r>
              <w:rPr>
                <w:rFonts w:hint="eastAsia" w:ascii="仿宋_GB2312" w:hAnsi="仿宋_GB2312" w:eastAsia="仿宋_GB2312" w:cs="仿宋_GB2312"/>
                <w:color w:val="000000"/>
                <w:kern w:val="0"/>
                <w:szCs w:val="21"/>
                <w:highlight w:val="none"/>
                <w:lang w:val="en-US" w:eastAsia="zh-CN"/>
              </w:rPr>
              <w:t>21</w:t>
            </w:r>
          </w:p>
        </w:tc>
      </w:tr>
      <w:tr w14:paraId="16A7B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noWrap w:val="0"/>
            <w:vAlign w:val="center"/>
          </w:tcPr>
          <w:p w14:paraId="6B94CF5B">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lang w:eastAsia="zh-CN"/>
              </w:rPr>
              <w:t>……</w:t>
            </w:r>
          </w:p>
        </w:tc>
        <w:tc>
          <w:tcPr>
            <w:tcW w:w="6985" w:type="dxa"/>
            <w:noWrap w:val="0"/>
            <w:vAlign w:val="center"/>
          </w:tcPr>
          <w:p w14:paraId="0F8DA8EA">
            <w:pPr>
              <w:pStyle w:val="35"/>
              <w:adjustRightInd w:val="0"/>
              <w:snapToGrid w:val="0"/>
              <w:ind w:left="25" w:leftChars="12" w:firstLine="0" w:firstLineChars="0"/>
              <w:rPr>
                <w:rFonts w:hint="eastAsia" w:ascii="仿宋_GB2312" w:hAnsi="仿宋_GB2312" w:eastAsia="仿宋_GB2312" w:cs="仿宋_GB2312"/>
                <w:color w:val="000000"/>
                <w:kern w:val="0"/>
                <w:szCs w:val="21"/>
                <w:highlight w:val="none"/>
                <w:lang w:eastAsia="zh-CN"/>
              </w:rPr>
            </w:pPr>
            <w:r>
              <w:rPr>
                <w:rFonts w:hint="eastAsia" w:ascii="仿宋_GB2312" w:hAnsi="仿宋_GB2312" w:eastAsia="仿宋_GB2312" w:cs="仿宋_GB2312"/>
                <w:color w:val="000000"/>
                <w:kern w:val="0"/>
                <w:szCs w:val="21"/>
                <w:highlight w:val="none"/>
                <w:lang w:eastAsia="zh-CN"/>
              </w:rPr>
              <w:t>……</w:t>
            </w:r>
          </w:p>
        </w:tc>
        <w:tc>
          <w:tcPr>
            <w:tcW w:w="756" w:type="dxa"/>
            <w:noWrap w:val="0"/>
            <w:vAlign w:val="center"/>
          </w:tcPr>
          <w:p w14:paraId="788FC9B5">
            <w:pPr>
              <w:adjustRightInd w:val="0"/>
              <w:snapToGrid w:val="0"/>
              <w:jc w:val="center"/>
              <w:rPr>
                <w:rFonts w:hint="eastAsia" w:ascii="仿宋_GB2312" w:hAnsi="仿宋_GB2312" w:eastAsia="仿宋_GB2312" w:cs="仿宋_GB2312"/>
                <w:color w:val="000000"/>
                <w:kern w:val="0"/>
                <w:szCs w:val="21"/>
                <w:highlight w:val="none"/>
              </w:rPr>
            </w:pPr>
          </w:p>
        </w:tc>
      </w:tr>
    </w:tbl>
    <w:p w14:paraId="75D15913">
      <w:pPr>
        <w:adjustRightInd w:val="0"/>
        <w:snapToGrid w:val="0"/>
        <w:spacing w:line="360" w:lineRule="auto"/>
        <w:ind w:firstLine="480" w:firstLineChars="200"/>
        <w:rPr>
          <w:rFonts w:hint="eastAsia" w:ascii="仿宋_GB2312" w:hAnsi="仿宋_GB2312" w:eastAsia="仿宋_GB2312" w:cs="仿宋_GB2312"/>
          <w:b/>
          <w:color w:val="000000"/>
          <w:sz w:val="24"/>
          <w:highlight w:val="none"/>
        </w:rPr>
      </w:pPr>
      <w:bookmarkStart w:id="94" w:name="_Toc24011_WPSOffice_Level2"/>
      <w:bookmarkStart w:id="95" w:name="_Toc23127_WPSOffice_Level2"/>
      <w:r>
        <w:rPr>
          <w:rFonts w:hint="eastAsia" w:ascii="仿宋_GB2312" w:hAnsi="仿宋_GB2312" w:eastAsia="仿宋_GB2312" w:cs="仿宋_GB2312"/>
          <w:b/>
          <w:color w:val="000000"/>
          <w:sz w:val="24"/>
          <w:highlight w:val="none"/>
        </w:rPr>
        <w:t>重要提示：</w:t>
      </w:r>
      <w:bookmarkEnd w:id="94"/>
      <w:bookmarkEnd w:id="95"/>
    </w:p>
    <w:p w14:paraId="3A1F42FA">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1.</w:t>
      </w:r>
      <w:r>
        <w:rPr>
          <w:rFonts w:hint="eastAsia" w:ascii="仿宋_GB2312" w:hAnsi="仿宋_GB2312" w:eastAsia="仿宋_GB2312" w:cs="仿宋_GB2312"/>
          <w:color w:val="000000"/>
          <w:sz w:val="24"/>
          <w:szCs w:val="24"/>
          <w:highlight w:val="none"/>
        </w:rPr>
        <w:t>投标人提供的证明材料，除需要投标人填报或有特殊说明外，均须按要求提供。</w:t>
      </w:r>
    </w:p>
    <w:p w14:paraId="1210189F">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2.</w:t>
      </w:r>
      <w:r>
        <w:rPr>
          <w:rFonts w:hint="eastAsia" w:ascii="仿宋_GB2312" w:hAnsi="仿宋_GB2312" w:eastAsia="仿宋_GB2312" w:cs="仿宋_GB2312"/>
          <w:color w:val="000000"/>
          <w:sz w:val="24"/>
          <w:szCs w:val="24"/>
          <w:highlight w:val="none"/>
        </w:rPr>
        <w:t>投标人在编制投标文件时，对于给定格式的文件内容，必须按照给定的标准格式进行填报；对于没有给定标准格式的文件内容，可以由投标人自行设计。</w:t>
      </w:r>
    </w:p>
    <w:p w14:paraId="3647BAC8">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3.</w:t>
      </w:r>
      <w:r>
        <w:rPr>
          <w:rFonts w:hint="eastAsia" w:ascii="仿宋_GB2312" w:hAnsi="仿宋_GB2312" w:eastAsia="仿宋_GB2312" w:cs="仿宋_GB2312"/>
          <w:color w:val="000000"/>
          <w:sz w:val="24"/>
          <w:szCs w:val="24"/>
          <w:highlight w:val="none"/>
        </w:rPr>
        <w:t>投标文件应用中文书写。投标文件中所附或所引用的材料不是中文时，应附中文译本，并加盖单位公章（自然人投标的，无需加盖单位公章，需要签字）。</w:t>
      </w:r>
    </w:p>
    <w:p w14:paraId="2892B919">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4.</w:t>
      </w:r>
      <w:r>
        <w:rPr>
          <w:rFonts w:hint="eastAsia" w:ascii="仿宋_GB2312" w:hAnsi="仿宋_GB2312" w:eastAsia="仿宋_GB2312" w:cs="仿宋_GB2312"/>
          <w:b/>
          <w:bCs/>
          <w:color w:val="000000"/>
          <w:sz w:val="24"/>
          <w:szCs w:val="24"/>
          <w:highlight w:val="none"/>
        </w:rPr>
        <w:t>“资格证明材料”</w:t>
      </w:r>
      <w:r>
        <w:rPr>
          <w:rFonts w:hint="eastAsia" w:ascii="仿宋_GB2312" w:hAnsi="仿宋_GB2312" w:eastAsia="仿宋_GB2312" w:cs="仿宋_GB2312"/>
          <w:color w:val="000000"/>
          <w:sz w:val="24"/>
          <w:szCs w:val="24"/>
          <w:highlight w:val="none"/>
        </w:rPr>
        <w:t>所列内容即为采购项目的资格审查条件，有一项不符合要求，不能进入下一阶段评审。</w:t>
      </w:r>
    </w:p>
    <w:p w14:paraId="572D62DE">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5.</w:t>
      </w:r>
      <w:r>
        <w:rPr>
          <w:rFonts w:hint="eastAsia" w:ascii="仿宋_GB2312" w:hAnsi="仿宋_GB2312" w:eastAsia="仿宋_GB2312" w:cs="仿宋_GB2312"/>
          <w:b/>
          <w:bCs/>
          <w:color w:val="000000"/>
          <w:sz w:val="24"/>
          <w:szCs w:val="24"/>
          <w:highlight w:val="none"/>
        </w:rPr>
        <w:t>“符合性证明材料”</w:t>
      </w:r>
      <w:r>
        <w:rPr>
          <w:rFonts w:hint="eastAsia" w:ascii="仿宋_GB2312" w:hAnsi="仿宋_GB2312" w:eastAsia="仿宋_GB2312" w:cs="仿宋_GB2312"/>
          <w:color w:val="000000"/>
          <w:sz w:val="24"/>
          <w:szCs w:val="24"/>
          <w:highlight w:val="none"/>
        </w:rPr>
        <w:t>所列内容即为采购项目的符合性审查条件，有一项不符合要求，不能进入下一阶段评审。</w:t>
      </w:r>
    </w:p>
    <w:p w14:paraId="4CCFEF59">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6.</w:t>
      </w:r>
      <w:r>
        <w:rPr>
          <w:rFonts w:hint="eastAsia" w:ascii="仿宋_GB2312" w:hAnsi="仿宋_GB2312" w:eastAsia="仿宋_GB2312" w:cs="仿宋_GB2312"/>
          <w:color w:val="000000"/>
          <w:sz w:val="24"/>
          <w:szCs w:val="24"/>
          <w:highlight w:val="none"/>
        </w:rPr>
        <w:t>“其他材料”</w:t>
      </w:r>
    </w:p>
    <w:p w14:paraId="5E901700">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sz w:val="24"/>
          <w:szCs w:val="24"/>
          <w:highlight w:val="none"/>
        </w:rPr>
        <w:t>（1）</w:t>
      </w:r>
      <w:r>
        <w:rPr>
          <w:rFonts w:hint="eastAsia" w:ascii="仿宋_GB2312" w:hAnsi="仿宋_GB2312" w:eastAsia="仿宋_GB2312" w:cs="仿宋_GB2312"/>
          <w:color w:val="000000"/>
          <w:kern w:val="0"/>
          <w:sz w:val="24"/>
          <w:szCs w:val="24"/>
          <w:highlight w:val="none"/>
        </w:rPr>
        <w:t>综合评分法：</w:t>
      </w:r>
      <w:r>
        <w:rPr>
          <w:rFonts w:hint="eastAsia" w:ascii="仿宋_GB2312" w:hAnsi="仿宋_GB2312" w:eastAsia="仿宋_GB2312" w:cs="仿宋_GB2312"/>
          <w:color w:val="000000"/>
          <w:sz w:val="24"/>
          <w:szCs w:val="24"/>
          <w:highlight w:val="none"/>
        </w:rPr>
        <w:t>投标人可就</w:t>
      </w:r>
      <w:r>
        <w:rPr>
          <w:rFonts w:hint="eastAsia" w:ascii="仿宋_GB2312" w:hAnsi="仿宋_GB2312" w:eastAsia="仿宋_GB2312" w:cs="仿宋_GB2312"/>
          <w:color w:val="000000"/>
          <w:kern w:val="0"/>
          <w:sz w:val="24"/>
          <w:szCs w:val="24"/>
          <w:highlight w:val="none"/>
        </w:rPr>
        <w:t>招标文件要求以及评分细则中各项要求提供相应材料。</w:t>
      </w:r>
    </w:p>
    <w:p w14:paraId="5D8E8A37">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sz w:val="24"/>
          <w:szCs w:val="24"/>
          <w:highlight w:val="none"/>
        </w:rPr>
        <w:t>（2）</w:t>
      </w:r>
      <w:r>
        <w:rPr>
          <w:rFonts w:hint="eastAsia" w:ascii="仿宋_GB2312" w:hAnsi="仿宋_GB2312" w:eastAsia="仿宋_GB2312" w:cs="仿宋_GB2312"/>
          <w:color w:val="000000"/>
          <w:kern w:val="0"/>
          <w:sz w:val="24"/>
          <w:szCs w:val="24"/>
          <w:highlight w:val="none"/>
        </w:rPr>
        <w:t>最低评标价法：</w:t>
      </w:r>
      <w:r>
        <w:rPr>
          <w:rFonts w:hint="eastAsia" w:ascii="仿宋_GB2312" w:hAnsi="仿宋_GB2312" w:eastAsia="仿宋_GB2312" w:cs="仿宋_GB2312"/>
          <w:color w:val="000000"/>
          <w:sz w:val="24"/>
          <w:szCs w:val="24"/>
          <w:highlight w:val="none"/>
        </w:rPr>
        <w:t>投标人可就</w:t>
      </w:r>
      <w:r>
        <w:rPr>
          <w:rFonts w:hint="eastAsia" w:ascii="仿宋_GB2312" w:hAnsi="仿宋_GB2312" w:eastAsia="仿宋_GB2312" w:cs="仿宋_GB2312"/>
          <w:color w:val="000000"/>
          <w:kern w:val="0"/>
          <w:sz w:val="24"/>
          <w:szCs w:val="24"/>
          <w:highlight w:val="none"/>
        </w:rPr>
        <w:t>招标文件要求提供相应材料。</w:t>
      </w:r>
    </w:p>
    <w:p w14:paraId="55E47918">
      <w:pPr>
        <w:snapToGrid w:val="0"/>
        <w:spacing w:line="276" w:lineRule="auto"/>
        <w:ind w:firstLine="420" w:firstLineChars="200"/>
        <w:jc w:val="left"/>
        <w:rPr>
          <w:rFonts w:hint="eastAsia" w:ascii="Times New Roman" w:hAnsi="Times New Roman" w:eastAsia="仿宋" w:cs="仿宋"/>
          <w:color w:val="000000"/>
          <w:szCs w:val="21"/>
          <w:highlight w:val="none"/>
        </w:rPr>
      </w:pPr>
    </w:p>
    <w:p w14:paraId="6A7326C1">
      <w:pPr>
        <w:pStyle w:val="34"/>
        <w:rPr>
          <w:rFonts w:hint="eastAsia" w:ascii="Times New Roman" w:hAnsi="Times New Roman" w:eastAsia="仿宋" w:cs="仿宋"/>
          <w:color w:val="000000"/>
          <w:highlight w:val="none"/>
        </w:rPr>
      </w:pPr>
    </w:p>
    <w:p w14:paraId="1BDDCF0C">
      <w:pPr>
        <w:pStyle w:val="34"/>
        <w:rPr>
          <w:rFonts w:hint="eastAsia" w:ascii="Times New Roman" w:hAnsi="Times New Roman" w:eastAsia="仿宋" w:cs="仿宋"/>
          <w:color w:val="000000"/>
          <w:highlight w:val="none"/>
        </w:rPr>
      </w:pPr>
    </w:p>
    <w:p w14:paraId="5A08908C">
      <w:pPr>
        <w:pStyle w:val="34"/>
        <w:rPr>
          <w:rFonts w:hint="eastAsia" w:ascii="Times New Roman" w:hAnsi="Times New Roman" w:eastAsia="仿宋" w:cs="仿宋"/>
          <w:color w:val="000000"/>
          <w:highlight w:val="none"/>
        </w:rPr>
      </w:pPr>
    </w:p>
    <w:p w14:paraId="7DF25685">
      <w:pPr>
        <w:pStyle w:val="34"/>
        <w:rPr>
          <w:rFonts w:hint="eastAsia" w:ascii="Times New Roman" w:hAnsi="Times New Roman" w:eastAsia="仿宋" w:cs="仿宋"/>
          <w:color w:val="000000"/>
          <w:highlight w:val="none"/>
        </w:rPr>
      </w:pPr>
    </w:p>
    <w:p w14:paraId="6E8FCD06">
      <w:pPr>
        <w:pStyle w:val="34"/>
        <w:rPr>
          <w:rFonts w:hint="eastAsia" w:ascii="Times New Roman" w:hAnsi="Times New Roman" w:eastAsia="仿宋" w:cs="仿宋"/>
          <w:color w:val="000000"/>
          <w:highlight w:val="none"/>
        </w:rPr>
      </w:pPr>
    </w:p>
    <w:p w14:paraId="5D87B08B">
      <w:pPr>
        <w:pStyle w:val="34"/>
        <w:rPr>
          <w:rFonts w:hint="eastAsia" w:ascii="Times New Roman" w:hAnsi="Times New Roman" w:eastAsia="仿宋" w:cs="仿宋"/>
          <w:color w:val="000000"/>
          <w:highlight w:val="none"/>
        </w:rPr>
      </w:pPr>
    </w:p>
    <w:p w14:paraId="2776E8AC">
      <w:pPr>
        <w:pStyle w:val="34"/>
        <w:rPr>
          <w:rFonts w:hint="eastAsia" w:ascii="Times New Roman" w:hAnsi="Times New Roman" w:eastAsia="仿宋" w:cs="仿宋"/>
          <w:color w:val="000000"/>
          <w:highlight w:val="none"/>
        </w:rPr>
      </w:pPr>
    </w:p>
    <w:p w14:paraId="2CAF9815">
      <w:pPr>
        <w:pStyle w:val="34"/>
        <w:rPr>
          <w:rFonts w:hint="eastAsia" w:ascii="Times New Roman" w:hAnsi="Times New Roman" w:eastAsia="仿宋" w:cs="仿宋"/>
          <w:color w:val="000000"/>
          <w:highlight w:val="none"/>
        </w:rPr>
      </w:pPr>
    </w:p>
    <w:p w14:paraId="67437DED">
      <w:pPr>
        <w:pStyle w:val="34"/>
        <w:rPr>
          <w:rFonts w:hint="eastAsia" w:ascii="Times New Roman" w:hAnsi="Times New Roman" w:eastAsia="仿宋" w:cs="仿宋"/>
          <w:color w:val="000000"/>
          <w:highlight w:val="none"/>
        </w:rPr>
      </w:pPr>
    </w:p>
    <w:p w14:paraId="52301A00">
      <w:pPr>
        <w:pStyle w:val="34"/>
        <w:rPr>
          <w:rFonts w:hint="eastAsia" w:ascii="Times New Roman" w:hAnsi="Times New Roman" w:eastAsia="仿宋" w:cs="仿宋"/>
          <w:color w:val="000000"/>
          <w:highlight w:val="none"/>
        </w:rPr>
      </w:pPr>
    </w:p>
    <w:p w14:paraId="71550365">
      <w:pPr>
        <w:pStyle w:val="34"/>
        <w:rPr>
          <w:rFonts w:hint="eastAsia" w:ascii="Times New Roman" w:hAnsi="Times New Roman" w:eastAsia="仿宋" w:cs="仿宋"/>
          <w:color w:val="000000"/>
          <w:highlight w:val="none"/>
        </w:rPr>
      </w:pPr>
    </w:p>
    <w:p w14:paraId="791717E7">
      <w:pPr>
        <w:pStyle w:val="4"/>
        <w:adjustRightInd w:val="0"/>
        <w:snapToGrid w:val="0"/>
        <w:spacing w:before="0" w:after="0" w:line="240" w:lineRule="auto"/>
        <w:jc w:val="left"/>
        <w:rPr>
          <w:rFonts w:hint="eastAsia" w:ascii="Times New Roman" w:hAnsi="Times New Roman" w:eastAsia="仿宋" w:cs="仿宋"/>
          <w:b w:val="0"/>
          <w:color w:val="000000"/>
          <w:szCs w:val="28"/>
          <w:highlight w:val="none"/>
        </w:rPr>
      </w:pPr>
      <w:r>
        <w:rPr>
          <w:rFonts w:hint="eastAsia" w:ascii="Times New Roman" w:hAnsi="Times New Roman" w:eastAsia="仿宋" w:cs="仿宋"/>
          <w:color w:val="000000"/>
          <w:szCs w:val="28"/>
          <w:highlight w:val="none"/>
        </w:rPr>
        <w:br w:type="page"/>
      </w:r>
      <w:r>
        <w:rPr>
          <w:rFonts w:hint="eastAsia" w:ascii="Times New Roman" w:hAnsi="Times New Roman" w:eastAsia="仿宋" w:cs="仿宋"/>
          <w:color w:val="000000"/>
          <w:szCs w:val="28"/>
          <w:highlight w:val="none"/>
        </w:rPr>
        <w:t>格式1</w:t>
      </w:r>
    </w:p>
    <w:p w14:paraId="749FCD54">
      <w:pPr>
        <w:jc w:val="center"/>
        <w:rPr>
          <w:rFonts w:hint="eastAsia" w:ascii="Times New Roman" w:hAnsi="Times New Roman" w:eastAsia="仿宋" w:cs="仿宋"/>
          <w:b/>
          <w:bCs/>
          <w:color w:val="000000"/>
          <w:sz w:val="32"/>
          <w:szCs w:val="32"/>
          <w:highlight w:val="none"/>
        </w:rPr>
      </w:pPr>
      <w:r>
        <w:rPr>
          <w:rFonts w:hint="eastAsia" w:ascii="Times New Roman" w:hAnsi="Times New Roman" w:cs="仿宋"/>
          <w:b w:val="0"/>
          <w:bCs w:val="0"/>
          <w:color w:val="000000"/>
          <w:sz w:val="32"/>
          <w:szCs w:val="32"/>
          <w:highlight w:val="none"/>
          <w:lang w:eastAsia="zh-CN"/>
        </w:rPr>
        <w:t>（</w:t>
      </w:r>
      <w:r>
        <w:rPr>
          <w:rFonts w:hint="eastAsia" w:ascii="Times New Roman" w:hAnsi="Times New Roman" w:eastAsia="仿宋" w:cs="仿宋"/>
          <w:b w:val="0"/>
          <w:bCs w:val="0"/>
          <w:color w:val="000000"/>
          <w:sz w:val="32"/>
          <w:szCs w:val="32"/>
          <w:highlight w:val="none"/>
        </w:rPr>
        <w:t>投标文件的封皮</w:t>
      </w:r>
      <w:r>
        <w:rPr>
          <w:rFonts w:hint="eastAsia" w:ascii="Times New Roman" w:hAnsi="Times New Roman" w:cs="仿宋"/>
          <w:b w:val="0"/>
          <w:bCs w:val="0"/>
          <w:color w:val="000000"/>
          <w:sz w:val="32"/>
          <w:szCs w:val="32"/>
          <w:highlight w:val="none"/>
          <w:lang w:eastAsia="zh-CN"/>
        </w:rPr>
        <w:t>）</w:t>
      </w:r>
    </w:p>
    <w:p w14:paraId="1DB5EC45">
      <w:pPr>
        <w:rPr>
          <w:rFonts w:hint="eastAsia" w:ascii="Times New Roman" w:hAnsi="Times New Roman" w:eastAsia="仿宋" w:cs="仿宋"/>
          <w:color w:val="000000"/>
          <w:highlight w:val="none"/>
        </w:rPr>
      </w:pPr>
    </w:p>
    <w:p w14:paraId="61961C3F">
      <w:pPr>
        <w:rPr>
          <w:rFonts w:hint="eastAsia" w:ascii="Times New Roman" w:hAnsi="Times New Roman" w:eastAsia="仿宋" w:cs="仿宋"/>
          <w:color w:val="000000"/>
          <w:highlight w:val="none"/>
        </w:rPr>
      </w:pPr>
    </w:p>
    <w:p w14:paraId="738B3655">
      <w:pPr>
        <w:rPr>
          <w:rFonts w:hint="eastAsia" w:ascii="Times New Roman" w:hAnsi="Times New Roman" w:eastAsia="仿宋" w:cs="仿宋"/>
          <w:color w:val="000000"/>
          <w:highlight w:val="none"/>
        </w:rPr>
      </w:pPr>
    </w:p>
    <w:p w14:paraId="09B7E697">
      <w:pPr>
        <w:rPr>
          <w:rFonts w:hint="eastAsia" w:ascii="Times New Roman" w:hAnsi="Times New Roman" w:eastAsia="仿宋" w:cs="仿宋"/>
          <w:color w:val="000000"/>
          <w:highlight w:val="none"/>
        </w:rPr>
      </w:pPr>
    </w:p>
    <w:p w14:paraId="28FD89A6">
      <w:pPr>
        <w:rPr>
          <w:rFonts w:hint="eastAsia" w:ascii="Times New Roman" w:hAnsi="Times New Roman" w:eastAsia="仿宋" w:cs="仿宋"/>
          <w:color w:val="000000"/>
          <w:highlight w:val="none"/>
        </w:rPr>
      </w:pPr>
    </w:p>
    <w:p w14:paraId="46894E97">
      <w:pPr>
        <w:rPr>
          <w:rFonts w:hint="eastAsia" w:ascii="Times New Roman" w:hAnsi="Times New Roman" w:eastAsia="仿宋" w:cs="仿宋"/>
          <w:color w:val="000000"/>
          <w:highlight w:val="none"/>
        </w:rPr>
      </w:pPr>
    </w:p>
    <w:p w14:paraId="0269195C">
      <w:pPr>
        <w:rPr>
          <w:rFonts w:hint="eastAsia" w:ascii="Times New Roman" w:hAnsi="Times New Roman" w:eastAsia="仿宋" w:cs="仿宋"/>
          <w:color w:val="000000"/>
          <w:highlight w:val="none"/>
        </w:rPr>
      </w:pPr>
    </w:p>
    <w:p w14:paraId="6B03A8A2">
      <w:pPr>
        <w:rPr>
          <w:rFonts w:hint="eastAsia" w:ascii="Times New Roman" w:hAnsi="Times New Roman" w:eastAsia="仿宋" w:cs="仿宋"/>
          <w:color w:val="000000"/>
          <w:highlight w:val="none"/>
        </w:rPr>
      </w:pPr>
    </w:p>
    <w:p w14:paraId="08713B90">
      <w:pPr>
        <w:rPr>
          <w:rFonts w:hint="eastAsia" w:ascii="Times New Roman" w:hAnsi="Times New Roman" w:eastAsia="仿宋" w:cs="仿宋"/>
          <w:color w:val="000000"/>
          <w:highlight w:val="none"/>
        </w:rPr>
      </w:pPr>
    </w:p>
    <w:p w14:paraId="24488CCD">
      <w:pPr>
        <w:rPr>
          <w:rFonts w:hint="eastAsia" w:ascii="Times New Roman" w:hAnsi="Times New Roman" w:eastAsia="仿宋" w:cs="仿宋"/>
          <w:color w:val="000000"/>
          <w:highlight w:val="none"/>
        </w:rPr>
      </w:pPr>
    </w:p>
    <w:p w14:paraId="13B51EA6">
      <w:pPr>
        <w:jc w:val="center"/>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t>投  标  文  件</w:t>
      </w:r>
    </w:p>
    <w:p w14:paraId="00787A45">
      <w:pPr>
        <w:rPr>
          <w:rFonts w:hint="eastAsia" w:ascii="Times New Roman" w:hAnsi="Times New Roman" w:eastAsia="仿宋" w:cs="仿宋"/>
          <w:color w:val="000000"/>
          <w:highlight w:val="none"/>
        </w:rPr>
      </w:pPr>
    </w:p>
    <w:p w14:paraId="755A2289">
      <w:pPr>
        <w:rPr>
          <w:rFonts w:hint="eastAsia" w:ascii="Times New Roman" w:hAnsi="Times New Roman" w:eastAsia="仿宋" w:cs="仿宋"/>
          <w:color w:val="000000"/>
          <w:highlight w:val="none"/>
        </w:rPr>
      </w:pPr>
    </w:p>
    <w:p w14:paraId="55B1DA45">
      <w:pPr>
        <w:rPr>
          <w:rFonts w:hint="eastAsia" w:ascii="Times New Roman" w:hAnsi="Times New Roman" w:eastAsia="仿宋" w:cs="仿宋"/>
          <w:color w:val="000000"/>
          <w:highlight w:val="none"/>
        </w:rPr>
      </w:pPr>
    </w:p>
    <w:p w14:paraId="37B43C24">
      <w:pPr>
        <w:rPr>
          <w:rFonts w:hint="eastAsia" w:ascii="Times New Roman" w:hAnsi="Times New Roman" w:eastAsia="仿宋" w:cs="仿宋"/>
          <w:color w:val="000000"/>
          <w:sz w:val="28"/>
          <w:szCs w:val="28"/>
          <w:highlight w:val="none"/>
        </w:rPr>
      </w:pPr>
    </w:p>
    <w:p w14:paraId="439BFCE5">
      <w:pPr>
        <w:rPr>
          <w:rFonts w:hint="eastAsia" w:ascii="Times New Roman" w:hAnsi="Times New Roman" w:eastAsia="仿宋" w:cs="仿宋"/>
          <w:color w:val="000000"/>
          <w:sz w:val="28"/>
          <w:szCs w:val="28"/>
          <w:highlight w:val="none"/>
        </w:rPr>
      </w:pPr>
    </w:p>
    <w:p w14:paraId="085C80FC">
      <w:pPr>
        <w:rPr>
          <w:rFonts w:hint="eastAsia" w:ascii="Times New Roman" w:hAnsi="Times New Roman" w:eastAsia="仿宋" w:cs="仿宋"/>
          <w:color w:val="000000"/>
          <w:sz w:val="28"/>
          <w:szCs w:val="28"/>
          <w:highlight w:val="none"/>
        </w:rPr>
      </w:pPr>
    </w:p>
    <w:p w14:paraId="334E779E">
      <w:pPr>
        <w:rPr>
          <w:rFonts w:hint="eastAsia" w:ascii="Times New Roman" w:hAnsi="Times New Roman" w:eastAsia="仿宋" w:cs="仿宋"/>
          <w:color w:val="000000"/>
          <w:sz w:val="28"/>
          <w:szCs w:val="28"/>
          <w:highlight w:val="none"/>
        </w:rPr>
      </w:pPr>
    </w:p>
    <w:p w14:paraId="0BA9D98C">
      <w:pPr>
        <w:rPr>
          <w:rFonts w:hint="eastAsia" w:ascii="Times New Roman" w:hAnsi="Times New Roman" w:eastAsia="仿宋" w:cs="仿宋"/>
          <w:color w:val="000000"/>
          <w:sz w:val="28"/>
          <w:szCs w:val="28"/>
          <w:highlight w:val="none"/>
        </w:rPr>
      </w:pPr>
    </w:p>
    <w:p w14:paraId="5D45ACBF">
      <w:pPr>
        <w:rPr>
          <w:rFonts w:hint="eastAsia" w:ascii="Times New Roman" w:hAnsi="Times New Roman" w:eastAsia="仿宋" w:cs="仿宋"/>
          <w:color w:val="000000"/>
          <w:sz w:val="28"/>
          <w:szCs w:val="28"/>
          <w:highlight w:val="none"/>
        </w:rPr>
      </w:pPr>
    </w:p>
    <w:p w14:paraId="506FD1A1">
      <w:pPr>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所投包组编号：第  包</w:t>
      </w:r>
    </w:p>
    <w:p w14:paraId="2E2CD12A">
      <w:pPr>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项目名称：</w:t>
      </w:r>
    </w:p>
    <w:p w14:paraId="15398C7E">
      <w:pPr>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项目编号：</w:t>
      </w:r>
    </w:p>
    <w:p w14:paraId="7BC890E5">
      <w:pPr>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投标人名称：</w:t>
      </w:r>
    </w:p>
    <w:p w14:paraId="74A4A7D9">
      <w:pPr>
        <w:rPr>
          <w:rFonts w:hint="eastAsia" w:ascii="Times New Roman" w:hAnsi="Times New Roman" w:eastAsia="仿宋" w:cs="仿宋"/>
          <w:color w:val="000000"/>
          <w:sz w:val="28"/>
          <w:szCs w:val="28"/>
          <w:highlight w:val="none"/>
        </w:rPr>
      </w:pPr>
    </w:p>
    <w:p w14:paraId="6CAE098B">
      <w:pPr>
        <w:pStyle w:val="4"/>
        <w:adjustRightInd w:val="0"/>
        <w:snapToGrid w:val="0"/>
        <w:spacing w:before="0" w:after="0" w:line="240" w:lineRule="auto"/>
        <w:jc w:val="left"/>
        <w:rPr>
          <w:rFonts w:hint="eastAsia" w:ascii="仿宋_GB2312" w:hAnsi="仿宋_GB2312" w:eastAsia="仿宋_GB2312" w:cs="仿宋_GB2312"/>
          <w:color w:val="000000"/>
          <w:szCs w:val="28"/>
          <w:highlight w:val="none"/>
        </w:rPr>
      </w:pPr>
      <w:r>
        <w:rPr>
          <w:rFonts w:hint="eastAsia" w:ascii="仿宋_GB2312" w:hAnsi="仿宋_GB2312" w:eastAsia="仿宋_GB2312" w:cs="仿宋_GB2312"/>
          <w:color w:val="000000"/>
          <w:szCs w:val="28"/>
          <w:highlight w:val="none"/>
        </w:rPr>
        <w:t>格式2</w:t>
      </w:r>
    </w:p>
    <w:p w14:paraId="32252048">
      <w:pPr>
        <w:spacing w:before="319" w:beforeLines="100" w:after="319" w:afterLines="100" w:line="360" w:lineRule="auto"/>
        <w:ind w:right="-21" w:rightChars="-10"/>
        <w:jc w:val="center"/>
        <w:rPr>
          <w:rFonts w:hint="eastAsia" w:ascii="宋体" w:hAnsi="宋体" w:eastAsia="宋体" w:cs="宋体"/>
          <w:b/>
          <w:color w:val="000000"/>
          <w:sz w:val="32"/>
          <w:szCs w:val="32"/>
          <w:highlight w:val="none"/>
        </w:rPr>
      </w:pPr>
      <w:bookmarkStart w:id="96" w:name="_Toc2304_WPSOffice_Level2"/>
      <w:bookmarkStart w:id="97" w:name="_Toc21414_WPSOffice_Level2"/>
      <w:r>
        <w:rPr>
          <w:rFonts w:hint="eastAsia" w:ascii="宋体" w:hAnsi="宋体" w:eastAsia="宋体" w:cs="宋体"/>
          <w:b/>
          <w:color w:val="000000"/>
          <w:sz w:val="32"/>
          <w:szCs w:val="32"/>
          <w:highlight w:val="none"/>
        </w:rPr>
        <w:t>目  录</w:t>
      </w:r>
      <w:bookmarkEnd w:id="96"/>
      <w:bookmarkEnd w:id="97"/>
    </w:p>
    <w:p w14:paraId="69FDF95F">
      <w:pPr>
        <w:rPr>
          <w:rFonts w:hint="eastAsia" w:ascii="仿宋_GB2312" w:hAnsi="仿宋_GB2312" w:eastAsia="仿宋_GB2312" w:cs="仿宋_GB2312"/>
          <w:color w:val="000000"/>
          <w:sz w:val="24"/>
          <w:szCs w:val="24"/>
          <w:highlight w:val="none"/>
        </w:rPr>
      </w:pPr>
      <w:bookmarkStart w:id="98" w:name="_Toc7636_WPSOffice_Level2"/>
      <w:bookmarkStart w:id="99" w:name="_Toc30940_WPSOffice_Level2"/>
      <w:r>
        <w:rPr>
          <w:rFonts w:hint="eastAsia" w:ascii="仿宋_GB2312" w:hAnsi="仿宋_GB2312" w:eastAsia="仿宋_GB2312" w:cs="仿宋_GB2312"/>
          <w:color w:val="000000"/>
          <w:sz w:val="24"/>
          <w:szCs w:val="24"/>
          <w:highlight w:val="none"/>
        </w:rPr>
        <w:t>一、资格证明材料</w:t>
      </w:r>
      <w:bookmarkEnd w:id="98"/>
      <w:bookmarkEnd w:id="99"/>
    </w:p>
    <w:p w14:paraId="2C474DDC">
      <w:pP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w:t>
      </w:r>
    </w:p>
    <w:p w14:paraId="174DFE4B">
      <w:pPr>
        <w:rPr>
          <w:rFonts w:hint="eastAsia" w:ascii="仿宋_GB2312" w:hAnsi="仿宋_GB2312" w:eastAsia="仿宋_GB2312" w:cs="仿宋_GB2312"/>
          <w:color w:val="000000"/>
          <w:sz w:val="24"/>
          <w:szCs w:val="24"/>
          <w:highlight w:val="none"/>
        </w:rPr>
      </w:pPr>
      <w:bookmarkStart w:id="100" w:name="_Toc31702_WPSOffice_Level2"/>
      <w:bookmarkStart w:id="101" w:name="_Toc13950_WPSOffice_Level2"/>
      <w:r>
        <w:rPr>
          <w:rFonts w:hint="eastAsia" w:ascii="仿宋_GB2312" w:hAnsi="仿宋_GB2312" w:eastAsia="仿宋_GB2312" w:cs="仿宋_GB2312"/>
          <w:color w:val="000000"/>
          <w:sz w:val="24"/>
          <w:szCs w:val="24"/>
          <w:highlight w:val="none"/>
        </w:rPr>
        <w:t>二、符合性证明材料</w:t>
      </w:r>
      <w:bookmarkEnd w:id="100"/>
      <w:bookmarkEnd w:id="101"/>
    </w:p>
    <w:p w14:paraId="58BD9508">
      <w:pP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w:t>
      </w:r>
    </w:p>
    <w:p w14:paraId="72F3AD09">
      <w:pPr>
        <w:rPr>
          <w:rFonts w:hint="eastAsia" w:ascii="仿宋_GB2312" w:hAnsi="仿宋_GB2312" w:eastAsia="仿宋_GB2312" w:cs="仿宋_GB2312"/>
          <w:color w:val="000000"/>
          <w:sz w:val="24"/>
          <w:szCs w:val="24"/>
          <w:highlight w:val="none"/>
        </w:rPr>
      </w:pPr>
      <w:bookmarkStart w:id="102" w:name="_Toc9090_WPSOffice_Level2"/>
      <w:bookmarkStart w:id="103" w:name="_Toc14854_WPSOffice_Level2"/>
      <w:r>
        <w:rPr>
          <w:rFonts w:hint="eastAsia" w:ascii="仿宋_GB2312" w:hAnsi="仿宋_GB2312" w:eastAsia="仿宋_GB2312" w:cs="仿宋_GB2312"/>
          <w:color w:val="000000"/>
          <w:sz w:val="24"/>
          <w:szCs w:val="24"/>
          <w:highlight w:val="none"/>
        </w:rPr>
        <w:t>三、</w:t>
      </w:r>
      <w:r>
        <w:rPr>
          <w:rFonts w:hint="eastAsia" w:ascii="仿宋_GB2312" w:hAnsi="仿宋_GB2312" w:eastAsia="仿宋_GB2312" w:cs="仿宋_GB2312"/>
          <w:color w:val="000000"/>
          <w:sz w:val="24"/>
          <w:szCs w:val="24"/>
          <w:highlight w:val="none"/>
          <w:lang w:eastAsia="zh-CN"/>
        </w:rPr>
        <w:t>其他</w:t>
      </w:r>
      <w:r>
        <w:rPr>
          <w:rFonts w:hint="eastAsia" w:ascii="仿宋_GB2312" w:hAnsi="仿宋_GB2312" w:eastAsia="仿宋_GB2312" w:cs="仿宋_GB2312"/>
          <w:color w:val="000000"/>
          <w:sz w:val="24"/>
          <w:szCs w:val="24"/>
          <w:highlight w:val="none"/>
        </w:rPr>
        <w:t>材料</w:t>
      </w:r>
      <w:bookmarkEnd w:id="102"/>
      <w:bookmarkEnd w:id="103"/>
    </w:p>
    <w:p w14:paraId="2BCBF644">
      <w:pP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w:t>
      </w:r>
    </w:p>
    <w:p w14:paraId="70EF27EA">
      <w:pPr>
        <w:rPr>
          <w:rFonts w:hint="eastAsia" w:ascii="仿宋_GB2312" w:hAnsi="仿宋_GB2312" w:eastAsia="仿宋_GB2312" w:cs="仿宋_GB2312"/>
          <w:color w:val="000000"/>
          <w:sz w:val="24"/>
          <w:szCs w:val="24"/>
          <w:highlight w:val="none"/>
        </w:rPr>
      </w:pPr>
    </w:p>
    <w:p w14:paraId="7DC2D3BF">
      <w:pPr>
        <w:rPr>
          <w:rFonts w:hint="eastAsia" w:ascii="仿宋_GB2312" w:hAnsi="仿宋_GB2312" w:eastAsia="仿宋_GB2312" w:cs="仿宋_GB2312"/>
          <w:color w:val="000000"/>
          <w:sz w:val="24"/>
          <w:szCs w:val="24"/>
          <w:highlight w:val="none"/>
        </w:rPr>
      </w:pPr>
    </w:p>
    <w:p w14:paraId="41F73CB6">
      <w:pPr>
        <w:rPr>
          <w:rFonts w:hint="eastAsia" w:ascii="仿宋_GB2312" w:hAnsi="仿宋_GB2312" w:eastAsia="仿宋_GB2312" w:cs="仿宋_GB2312"/>
          <w:color w:val="000000"/>
          <w:sz w:val="24"/>
          <w:szCs w:val="24"/>
          <w:highlight w:val="none"/>
        </w:rPr>
      </w:pPr>
    </w:p>
    <w:p w14:paraId="506BF85F">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我单位的投标文件由资格证明材料、符合性证明材料和</w:t>
      </w:r>
      <w:r>
        <w:rPr>
          <w:rFonts w:hint="eastAsia" w:ascii="仿宋_GB2312" w:hAnsi="仿宋_GB2312" w:eastAsia="仿宋_GB2312" w:cs="仿宋_GB2312"/>
          <w:color w:val="000000"/>
          <w:sz w:val="24"/>
          <w:szCs w:val="24"/>
          <w:highlight w:val="none"/>
          <w:lang w:eastAsia="zh-CN"/>
        </w:rPr>
        <w:t>其他</w:t>
      </w:r>
      <w:r>
        <w:rPr>
          <w:rFonts w:hint="eastAsia" w:ascii="仿宋_GB2312" w:hAnsi="仿宋_GB2312" w:eastAsia="仿宋_GB2312" w:cs="仿宋_GB2312"/>
          <w:color w:val="000000"/>
          <w:sz w:val="24"/>
          <w:szCs w:val="24"/>
          <w:highlight w:val="none"/>
        </w:rPr>
        <w:t>材料三部分组成，在此加盖单位公章并由法定代表人（或非法人组织负责人）或其授权委托人签字，保证投标文件中所有材料真实、有效。</w:t>
      </w:r>
    </w:p>
    <w:p w14:paraId="46CAA168">
      <w:pPr>
        <w:spacing w:line="360" w:lineRule="auto"/>
        <w:rPr>
          <w:rFonts w:hint="eastAsia" w:ascii="仿宋_GB2312" w:hAnsi="仿宋_GB2312" w:eastAsia="仿宋_GB2312" w:cs="仿宋_GB2312"/>
          <w:color w:val="000000"/>
          <w:sz w:val="24"/>
          <w:szCs w:val="24"/>
          <w:highlight w:val="none"/>
        </w:rPr>
      </w:pPr>
    </w:p>
    <w:p w14:paraId="120741DF">
      <w:pPr>
        <w:rPr>
          <w:rFonts w:hint="eastAsia" w:ascii="仿宋_GB2312" w:hAnsi="仿宋_GB2312" w:eastAsia="仿宋_GB2312" w:cs="仿宋_GB2312"/>
          <w:color w:val="000000"/>
          <w:sz w:val="24"/>
          <w:szCs w:val="24"/>
          <w:highlight w:val="none"/>
        </w:rPr>
      </w:pPr>
    </w:p>
    <w:p w14:paraId="1FEB9812">
      <w:pPr>
        <w:rPr>
          <w:rFonts w:hint="eastAsia" w:ascii="仿宋_GB2312" w:hAnsi="仿宋_GB2312" w:eastAsia="仿宋_GB2312" w:cs="仿宋_GB2312"/>
          <w:color w:val="000000"/>
          <w:sz w:val="24"/>
          <w:szCs w:val="24"/>
          <w:highlight w:val="none"/>
        </w:rPr>
      </w:pPr>
    </w:p>
    <w:p w14:paraId="66AE99BC">
      <w:pPr>
        <w:rPr>
          <w:rFonts w:hint="eastAsia" w:ascii="仿宋_GB2312" w:hAnsi="仿宋_GB2312" w:eastAsia="仿宋_GB2312" w:cs="仿宋_GB2312"/>
          <w:color w:val="000000"/>
          <w:sz w:val="24"/>
          <w:szCs w:val="24"/>
          <w:highlight w:val="none"/>
        </w:rPr>
      </w:pPr>
    </w:p>
    <w:p w14:paraId="4DEA2151">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投标人名称（加盖单位公章）：</w:t>
      </w:r>
      <w:r>
        <w:rPr>
          <w:rFonts w:hint="eastAsia" w:ascii="仿宋_GB2312" w:hAnsi="仿宋_GB2312" w:eastAsia="仿宋_GB2312" w:cs="仿宋_GB2312"/>
          <w:color w:val="000000"/>
          <w:sz w:val="24"/>
          <w:szCs w:val="24"/>
          <w:highlight w:val="none"/>
          <w:u w:val="single"/>
        </w:rPr>
        <w:t xml:space="preserve">           </w:t>
      </w:r>
    </w:p>
    <w:p w14:paraId="2F9CD134">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法定代表人（或非法人组织负责人）或其授权委托人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6A9CE62A">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67E14997">
      <w:pPr>
        <w:pStyle w:val="4"/>
        <w:adjustRightInd w:val="0"/>
        <w:snapToGrid w:val="0"/>
        <w:spacing w:before="0" w:after="0" w:line="240" w:lineRule="auto"/>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br w:type="page"/>
      </w:r>
    </w:p>
    <w:p w14:paraId="346496F4">
      <w:pPr>
        <w:pStyle w:val="4"/>
        <w:adjustRightInd w:val="0"/>
        <w:snapToGrid w:val="0"/>
        <w:spacing w:before="0" w:after="0" w:line="240" w:lineRule="auto"/>
        <w:jc w:val="left"/>
        <w:rPr>
          <w:rFonts w:hint="eastAsia" w:ascii="Times New Roman" w:hAnsi="Times New Roman" w:eastAsia="仿宋" w:cs="仿宋"/>
          <w:color w:val="000000"/>
          <w:szCs w:val="28"/>
          <w:highlight w:val="none"/>
        </w:rPr>
      </w:pPr>
      <w:r>
        <w:rPr>
          <w:rFonts w:hint="eastAsia" w:ascii="Times New Roman" w:hAnsi="Times New Roman" w:eastAsia="仿宋" w:cs="仿宋"/>
          <w:color w:val="000000"/>
          <w:szCs w:val="28"/>
          <w:highlight w:val="none"/>
        </w:rPr>
        <w:t>格式3</w:t>
      </w:r>
    </w:p>
    <w:p w14:paraId="2BF76898">
      <w:pPr>
        <w:spacing w:before="312" w:beforeLines="100" w:after="312" w:afterLines="100" w:line="360" w:lineRule="auto"/>
        <w:ind w:right="-21" w:rightChars="-10"/>
        <w:jc w:val="center"/>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营业执照或事业单位法人证书或执业许可证等证明文件复印件或自然人的身份证明复印件（自然人身份证明仅在自然人作为投标主体时适用）</w:t>
      </w:r>
    </w:p>
    <w:p w14:paraId="6F48EA58">
      <w:pPr>
        <w:pStyle w:val="4"/>
        <w:adjustRightInd w:val="0"/>
        <w:snapToGrid w:val="0"/>
        <w:spacing w:before="0" w:after="0" w:line="240" w:lineRule="auto"/>
        <w:jc w:val="left"/>
        <w:rPr>
          <w:rFonts w:hint="eastAsia" w:ascii="Times New Roman" w:hAnsi="Times New Roman" w:eastAsia="仿宋" w:cs="仿宋"/>
          <w:color w:val="000000"/>
          <w:szCs w:val="28"/>
          <w:highlight w:val="none"/>
          <w:lang w:eastAsia="zh-CN"/>
        </w:rPr>
      </w:pPr>
      <w:r>
        <w:rPr>
          <w:rFonts w:hint="eastAsia" w:ascii="Times New Roman" w:hAnsi="Times New Roman" w:eastAsia="仿宋" w:cs="仿宋"/>
          <w:color w:val="000000"/>
          <w:szCs w:val="28"/>
          <w:highlight w:val="none"/>
        </w:rPr>
        <w:br w:type="page"/>
      </w:r>
      <w:r>
        <w:rPr>
          <w:rFonts w:hint="eastAsia" w:ascii="Times New Roman" w:hAnsi="Times New Roman" w:eastAsia="仿宋" w:cs="仿宋"/>
          <w:color w:val="000000"/>
          <w:szCs w:val="28"/>
          <w:highlight w:val="none"/>
        </w:rPr>
        <w:t>格式</w:t>
      </w:r>
      <w:r>
        <w:rPr>
          <w:rFonts w:hint="eastAsia" w:ascii="Times New Roman" w:hAnsi="Times New Roman" w:cs="仿宋"/>
          <w:color w:val="000000"/>
          <w:szCs w:val="28"/>
          <w:highlight w:val="none"/>
          <w:lang w:val="en-US" w:eastAsia="zh-CN"/>
        </w:rPr>
        <w:t>4</w:t>
      </w:r>
    </w:p>
    <w:p w14:paraId="2BB5D435">
      <w:pPr>
        <w:rPr>
          <w:rFonts w:hint="eastAsia"/>
          <w:highlight w:val="none"/>
        </w:rPr>
      </w:pPr>
    </w:p>
    <w:p w14:paraId="5BC04C61">
      <w:pPr>
        <w:spacing w:before="312" w:beforeLines="100" w:after="312" w:afterLines="100" w:line="360" w:lineRule="auto"/>
        <w:ind w:right="-21" w:rightChars="-10"/>
        <w:jc w:val="center"/>
        <w:rPr>
          <w:rFonts w:hint="eastAsia" w:ascii="宋体" w:hAnsi="宋体" w:eastAsia="宋体" w:cs="宋体"/>
          <w:b/>
          <w:color w:val="000000"/>
          <w:sz w:val="32"/>
          <w:szCs w:val="32"/>
          <w:highlight w:val="none"/>
        </w:rPr>
      </w:pPr>
      <w:bookmarkStart w:id="104" w:name="_Toc16924_WPSOffice_Level2"/>
      <w:bookmarkStart w:id="105" w:name="_Toc3401_WPSOffice_Level2"/>
      <w:r>
        <w:rPr>
          <w:rFonts w:hint="eastAsia" w:ascii="宋体" w:hAnsi="宋体" w:eastAsia="宋体" w:cs="宋体"/>
          <w:b/>
          <w:color w:val="000000"/>
          <w:sz w:val="32"/>
          <w:szCs w:val="32"/>
          <w:highlight w:val="none"/>
        </w:rPr>
        <w:t>法定代表人（或非法人组织负责人）身份证明书</w:t>
      </w:r>
      <w:bookmarkEnd w:id="104"/>
      <w:bookmarkEnd w:id="105"/>
    </w:p>
    <w:p w14:paraId="3D607519">
      <w:pPr>
        <w:spacing w:line="360" w:lineRule="auto"/>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姓名：</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，性别：</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，出生日期：</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，现任职务：</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，系</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（投标人名称）的法定代表人（或非法人组织负责人）。</w:t>
      </w:r>
    </w:p>
    <w:p w14:paraId="032BD9C8">
      <w:pPr>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特此证明。</w:t>
      </w:r>
    </w:p>
    <w:p w14:paraId="28499421">
      <w:pPr>
        <w:rPr>
          <w:rFonts w:hint="eastAsia" w:ascii="仿宋_GB2312" w:hAnsi="仿宋_GB2312" w:eastAsia="仿宋_GB2312" w:cs="仿宋_GB2312"/>
          <w:color w:val="000000"/>
          <w:sz w:val="24"/>
          <w:szCs w:val="24"/>
          <w:highlight w:val="none"/>
        </w:rPr>
      </w:pPr>
    </w:p>
    <w:p w14:paraId="3C628874">
      <w:pPr>
        <w:rPr>
          <w:rFonts w:hint="eastAsia" w:ascii="Times New Roman" w:hAnsi="Times New Roman" w:eastAsia="仿宋" w:cs="仿宋"/>
          <w:color w:val="000000"/>
          <w:szCs w:val="21"/>
          <w:highlight w:val="none"/>
        </w:rPr>
      </w:pPr>
    </w:p>
    <w:p w14:paraId="136AD08A">
      <w:pPr>
        <w:rPr>
          <w:rFonts w:hint="eastAsia" w:ascii="Times New Roman" w:hAnsi="Times New Roman" w:eastAsia="仿宋" w:cs="仿宋"/>
          <w:color w:val="000000"/>
          <w:szCs w:val="21"/>
          <w:highlight w:val="none"/>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6CD6F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1F543E6E">
            <w:pPr>
              <w:jc w:val="center"/>
              <w:rPr>
                <w:rFonts w:hint="eastAsia" w:ascii="Times New Roman" w:hAnsi="Times New Roman" w:eastAsia="仿宋" w:cs="仿宋"/>
                <w:color w:val="000000"/>
                <w:szCs w:val="21"/>
                <w:highlight w:val="none"/>
              </w:rPr>
            </w:pPr>
            <w:r>
              <w:rPr>
                <w:rFonts w:hint="eastAsia" w:ascii="仿宋_GB2312" w:hAnsi="仿宋_GB2312" w:eastAsia="仿宋_GB2312" w:cs="仿宋_GB2312"/>
                <w:color w:val="000000"/>
                <w:szCs w:val="21"/>
                <w:highlight w:val="none"/>
              </w:rPr>
              <w:t>※法定代表人（或非法人组织负责人）身份证正、反面复印件※</w:t>
            </w:r>
          </w:p>
        </w:tc>
      </w:tr>
    </w:tbl>
    <w:p w14:paraId="18E4611D">
      <w:pPr>
        <w:rPr>
          <w:rFonts w:hint="eastAsia" w:ascii="Times New Roman" w:hAnsi="Times New Roman" w:eastAsia="仿宋" w:cs="仿宋"/>
          <w:color w:val="000000"/>
          <w:szCs w:val="21"/>
          <w:highlight w:val="none"/>
        </w:rPr>
      </w:pPr>
    </w:p>
    <w:p w14:paraId="531CB29F">
      <w:pPr>
        <w:rPr>
          <w:rFonts w:hint="eastAsia" w:ascii="Times New Roman" w:hAnsi="Times New Roman" w:eastAsia="仿宋" w:cs="仿宋"/>
          <w:color w:val="000000"/>
          <w:szCs w:val="21"/>
          <w:highlight w:val="none"/>
        </w:rPr>
      </w:pPr>
    </w:p>
    <w:p w14:paraId="16C78E9F">
      <w:pPr>
        <w:rPr>
          <w:rFonts w:hint="eastAsia" w:ascii="Times New Roman" w:hAnsi="Times New Roman" w:eastAsia="仿宋" w:cs="仿宋"/>
          <w:color w:val="000000"/>
          <w:szCs w:val="21"/>
          <w:highlight w:val="none"/>
        </w:rPr>
      </w:pPr>
    </w:p>
    <w:p w14:paraId="378286B1">
      <w:pPr>
        <w:rPr>
          <w:rFonts w:hint="eastAsia" w:ascii="Times New Roman" w:hAnsi="Times New Roman" w:eastAsia="仿宋" w:cs="仿宋"/>
          <w:color w:val="000000"/>
          <w:szCs w:val="21"/>
          <w:highlight w:val="none"/>
        </w:rPr>
      </w:pPr>
    </w:p>
    <w:p w14:paraId="0373DF6C">
      <w:pPr>
        <w:rPr>
          <w:rFonts w:hint="eastAsia" w:ascii="Times New Roman" w:hAnsi="Times New Roman" w:eastAsia="仿宋" w:cs="仿宋"/>
          <w:color w:val="000000"/>
          <w:szCs w:val="21"/>
          <w:highlight w:val="none"/>
        </w:rPr>
      </w:pPr>
    </w:p>
    <w:p w14:paraId="4FD7C61F">
      <w:pPr>
        <w:rPr>
          <w:rFonts w:hint="eastAsia" w:ascii="Times New Roman" w:hAnsi="Times New Roman" w:eastAsia="仿宋" w:cs="仿宋"/>
          <w:color w:val="000000"/>
          <w:szCs w:val="21"/>
          <w:highlight w:val="none"/>
        </w:rPr>
      </w:pPr>
    </w:p>
    <w:p w14:paraId="582C4B55">
      <w:pPr>
        <w:spacing w:line="480" w:lineRule="auto"/>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投标人名称（加盖单位公章）：</w:t>
      </w:r>
      <w:r>
        <w:rPr>
          <w:rFonts w:hint="eastAsia" w:ascii="仿宋_GB2312" w:hAnsi="仿宋_GB2312" w:eastAsia="仿宋_GB2312" w:cs="仿宋_GB2312"/>
          <w:color w:val="000000"/>
          <w:sz w:val="24"/>
          <w:szCs w:val="24"/>
          <w:highlight w:val="none"/>
          <w:u w:val="single"/>
        </w:rPr>
        <w:t xml:space="preserve">           </w:t>
      </w:r>
    </w:p>
    <w:p w14:paraId="2BA43B10">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3BF43C73">
      <w:pPr>
        <w:rPr>
          <w:rFonts w:hint="eastAsia" w:ascii="Times New Roman" w:hAnsi="Times New Roman" w:eastAsia="仿宋" w:cs="仿宋"/>
          <w:color w:val="000000"/>
          <w:highlight w:val="none"/>
        </w:rPr>
      </w:pPr>
    </w:p>
    <w:p w14:paraId="7D45EC87">
      <w:pPr>
        <w:rPr>
          <w:rFonts w:hint="eastAsia" w:ascii="Times New Roman" w:hAnsi="Times New Roman" w:eastAsia="仿宋" w:cs="仿宋"/>
          <w:color w:val="000000"/>
          <w:szCs w:val="21"/>
          <w:highlight w:val="none"/>
        </w:rPr>
      </w:pPr>
    </w:p>
    <w:p w14:paraId="2FF0E224">
      <w:pPr>
        <w:rPr>
          <w:rFonts w:hint="eastAsia" w:ascii="Times New Roman" w:hAnsi="Times New Roman" w:eastAsia="仿宋" w:cs="仿宋"/>
          <w:color w:val="000000"/>
          <w:szCs w:val="21"/>
          <w:highlight w:val="none"/>
        </w:rPr>
      </w:pPr>
    </w:p>
    <w:p w14:paraId="576A73BB">
      <w:pPr>
        <w:rPr>
          <w:rFonts w:hint="eastAsia" w:ascii="Times New Roman" w:hAnsi="Times New Roman" w:eastAsia="仿宋" w:cs="仿宋"/>
          <w:color w:val="000000"/>
          <w:szCs w:val="21"/>
          <w:highlight w:val="none"/>
        </w:rPr>
      </w:pPr>
    </w:p>
    <w:p w14:paraId="7FEC7344">
      <w:pPr>
        <w:rPr>
          <w:rFonts w:hint="eastAsia" w:ascii="Times New Roman" w:hAnsi="Times New Roman" w:eastAsia="仿宋" w:cs="仿宋"/>
          <w:color w:val="000000"/>
          <w:szCs w:val="21"/>
          <w:highlight w:val="none"/>
        </w:rPr>
      </w:pPr>
    </w:p>
    <w:p w14:paraId="3D5B9F9A">
      <w:pPr>
        <w:rPr>
          <w:rFonts w:hint="eastAsia" w:ascii="Times New Roman" w:hAnsi="Times New Roman" w:eastAsia="仿宋" w:cs="仿宋"/>
          <w:color w:val="000000"/>
          <w:szCs w:val="21"/>
          <w:highlight w:val="none"/>
        </w:rPr>
      </w:pPr>
    </w:p>
    <w:p w14:paraId="3F116ED2">
      <w:pPr>
        <w:rPr>
          <w:rFonts w:hint="eastAsia" w:ascii="Times New Roman" w:hAnsi="Times New Roman" w:eastAsia="仿宋" w:cs="仿宋"/>
          <w:color w:val="000000"/>
          <w:szCs w:val="21"/>
          <w:highlight w:val="none"/>
        </w:rPr>
      </w:pPr>
    </w:p>
    <w:p w14:paraId="23DB5730">
      <w:pPr>
        <w:pStyle w:val="4"/>
        <w:adjustRightInd w:val="0"/>
        <w:snapToGrid w:val="0"/>
        <w:spacing w:before="0" w:after="0" w:line="240" w:lineRule="auto"/>
        <w:jc w:val="left"/>
        <w:rPr>
          <w:rFonts w:hint="eastAsia" w:ascii="Times New Roman" w:hAnsi="Times New Roman" w:eastAsia="仿宋" w:cs="仿宋"/>
          <w:b/>
          <w:color w:val="000000"/>
          <w:szCs w:val="28"/>
          <w:highlight w:val="none"/>
          <w:lang w:val="en-US" w:eastAsia="zh-CN"/>
        </w:rPr>
      </w:pPr>
      <w:r>
        <w:rPr>
          <w:rFonts w:hint="eastAsia" w:ascii="Times New Roman" w:hAnsi="Times New Roman" w:eastAsia="仿宋" w:cs="仿宋"/>
          <w:b/>
          <w:color w:val="000000"/>
          <w:szCs w:val="28"/>
          <w:highlight w:val="none"/>
        </w:rPr>
        <w:t>格式</w:t>
      </w:r>
      <w:bookmarkStart w:id="106" w:name="_Toc21833_WPSOffice_Level2"/>
      <w:bookmarkStart w:id="107" w:name="_Toc122_WPSOffice_Level2"/>
      <w:r>
        <w:rPr>
          <w:rFonts w:hint="eastAsia" w:ascii="Times New Roman" w:hAnsi="Times New Roman" w:eastAsia="仿宋" w:cs="仿宋"/>
          <w:b/>
          <w:color w:val="000000"/>
          <w:szCs w:val="28"/>
          <w:highlight w:val="none"/>
          <w:lang w:val="en-US" w:eastAsia="zh-CN"/>
        </w:rPr>
        <w:t>5</w:t>
      </w:r>
    </w:p>
    <w:p w14:paraId="77FD4EF1">
      <w:pPr>
        <w:spacing w:before="312" w:beforeLines="100" w:after="312" w:afterLines="100" w:line="360" w:lineRule="auto"/>
        <w:ind w:right="-21" w:rightChars="-1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法定代表人（或非法人组织负责人）授权委托书</w:t>
      </w:r>
      <w:bookmarkEnd w:id="106"/>
      <w:bookmarkEnd w:id="107"/>
    </w:p>
    <w:p w14:paraId="4F539C9A">
      <w:pPr>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单位名称：</w:t>
      </w:r>
      <w:r>
        <w:rPr>
          <w:rFonts w:hint="eastAsia" w:ascii="仿宋_GB2312" w:hAnsi="仿宋_GB2312" w:eastAsia="仿宋_GB2312" w:cs="仿宋_GB2312"/>
          <w:color w:val="000000"/>
          <w:sz w:val="24"/>
          <w:szCs w:val="24"/>
          <w:highlight w:val="none"/>
          <w:u w:val="single"/>
        </w:rPr>
        <w:t xml:space="preserve">                </w:t>
      </w:r>
    </w:p>
    <w:p w14:paraId="031CC7ED">
      <w:pPr>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法定代表人（或非法人组织负责人）姓名：</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身份证号码：</w:t>
      </w:r>
      <w:r>
        <w:rPr>
          <w:rFonts w:hint="eastAsia" w:ascii="仿宋_GB2312" w:hAnsi="仿宋_GB2312" w:eastAsia="仿宋_GB2312" w:cs="仿宋_GB2312"/>
          <w:color w:val="000000"/>
          <w:sz w:val="24"/>
          <w:szCs w:val="24"/>
          <w:highlight w:val="none"/>
          <w:u w:val="single"/>
        </w:rPr>
        <w:t xml:space="preserve">         </w:t>
      </w:r>
    </w:p>
    <w:p w14:paraId="72B3656A">
      <w:pPr>
        <w:tabs>
          <w:tab w:val="left" w:pos="5205"/>
        </w:tabs>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住所地：</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rPr>
        <w:tab/>
      </w:r>
    </w:p>
    <w:p w14:paraId="2FB81562">
      <w:pPr>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授权委托人姓名：</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身份证号码：</w:t>
      </w:r>
      <w:r>
        <w:rPr>
          <w:rFonts w:hint="eastAsia" w:ascii="仿宋_GB2312" w:hAnsi="仿宋_GB2312" w:eastAsia="仿宋_GB2312" w:cs="仿宋_GB2312"/>
          <w:color w:val="000000"/>
          <w:sz w:val="24"/>
          <w:szCs w:val="24"/>
          <w:highlight w:val="none"/>
          <w:u w:val="single"/>
        </w:rPr>
        <w:t xml:space="preserve">         </w:t>
      </w:r>
    </w:p>
    <w:p w14:paraId="1D043A89">
      <w:pPr>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工作单位：</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val="en-US" w:eastAsia="zh-CN"/>
        </w:rPr>
        <w:t xml:space="preserve">    </w:t>
      </w:r>
      <w:r>
        <w:rPr>
          <w:rFonts w:hint="eastAsia" w:ascii="仿宋_GB2312" w:hAnsi="仿宋_GB2312" w:eastAsia="仿宋_GB2312" w:cs="仿宋_GB2312"/>
          <w:color w:val="000000"/>
          <w:sz w:val="24"/>
          <w:szCs w:val="24"/>
          <w:highlight w:val="none"/>
          <w:u w:val="single"/>
        </w:rPr>
        <w:t xml:space="preserve"> </w:t>
      </w:r>
    </w:p>
    <w:p w14:paraId="5A096B0B">
      <w:pPr>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住址：</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val="en-US" w:eastAsia="zh-CN"/>
        </w:rPr>
        <w:t xml:space="preserve">    </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电话：</w:t>
      </w:r>
      <w:r>
        <w:rPr>
          <w:rFonts w:hint="eastAsia" w:ascii="仿宋_GB2312" w:hAnsi="仿宋_GB2312" w:eastAsia="仿宋_GB2312" w:cs="仿宋_GB2312"/>
          <w:color w:val="000000"/>
          <w:sz w:val="24"/>
          <w:szCs w:val="24"/>
          <w:highlight w:val="none"/>
          <w:u w:val="single"/>
        </w:rPr>
        <w:t xml:space="preserve">               </w:t>
      </w:r>
    </w:p>
    <w:p w14:paraId="24667AEA">
      <w:pPr>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现委托</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就</w:t>
      </w:r>
      <w:r>
        <w:rPr>
          <w:rFonts w:hint="eastAsia" w:ascii="仿宋_GB2312" w:hAnsi="仿宋_GB2312" w:eastAsia="仿宋_GB2312" w:cs="仿宋_GB2312"/>
          <w:color w:val="000000"/>
          <w:sz w:val="24"/>
          <w:szCs w:val="24"/>
          <w:highlight w:val="none"/>
          <w:u w:val="single"/>
        </w:rPr>
        <w:t>（项目编号、项目名称、包组编号）</w:t>
      </w:r>
      <w:r>
        <w:rPr>
          <w:rFonts w:hint="eastAsia" w:ascii="仿宋_GB2312" w:hAnsi="仿宋_GB2312" w:eastAsia="仿宋_GB2312" w:cs="仿宋_GB2312"/>
          <w:color w:val="000000"/>
          <w:sz w:val="24"/>
          <w:szCs w:val="24"/>
          <w:highlight w:val="none"/>
        </w:rPr>
        <w:t>投标中，以我单位名义处理一切与之有关的事务。</w:t>
      </w:r>
    </w:p>
    <w:p w14:paraId="54344D99">
      <w:pPr>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本授权书于</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年</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月</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日签字或盖章生效，无转委托，特此声明。</w:t>
      </w:r>
    </w:p>
    <w:p w14:paraId="34EEDB86">
      <w:pPr>
        <w:spacing w:line="360" w:lineRule="auto"/>
        <w:rPr>
          <w:rFonts w:hint="eastAsia" w:ascii="Times New Roman" w:hAnsi="Times New Roman" w:eastAsia="仿宋" w:cs="仿宋"/>
          <w:color w:val="000000"/>
          <w:szCs w:val="21"/>
          <w:highlight w:val="none"/>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7E4E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7F0F4C74">
            <w:pPr>
              <w:jc w:val="center"/>
              <w:rPr>
                <w:rFonts w:hint="eastAsia" w:ascii="Times New Roman" w:hAnsi="Times New Roman" w:eastAsia="仿宋" w:cs="仿宋"/>
                <w:color w:val="000000"/>
                <w:szCs w:val="21"/>
                <w:highlight w:val="none"/>
              </w:rPr>
            </w:pPr>
            <w:r>
              <w:rPr>
                <w:rFonts w:hint="eastAsia" w:ascii="仿宋_GB2312" w:hAnsi="仿宋_GB2312" w:eastAsia="仿宋_GB2312" w:cs="仿宋_GB2312"/>
                <w:color w:val="000000"/>
                <w:szCs w:val="21"/>
                <w:highlight w:val="none"/>
              </w:rPr>
              <w:t>（※授权</w:t>
            </w:r>
            <w:r>
              <w:rPr>
                <w:rFonts w:hint="eastAsia" w:ascii="仿宋_GB2312" w:hAnsi="仿宋_GB2312" w:eastAsia="仿宋_GB2312" w:cs="仿宋_GB2312"/>
                <w:color w:val="000000"/>
                <w:highlight w:val="none"/>
              </w:rPr>
              <w:t>委托</w:t>
            </w:r>
            <w:r>
              <w:rPr>
                <w:rFonts w:hint="eastAsia" w:ascii="仿宋_GB2312" w:hAnsi="仿宋_GB2312" w:eastAsia="仿宋_GB2312" w:cs="仿宋_GB2312"/>
                <w:color w:val="000000"/>
                <w:szCs w:val="21"/>
                <w:highlight w:val="none"/>
              </w:rPr>
              <w:t>人身份证正、反面复印件※）</w:t>
            </w:r>
          </w:p>
        </w:tc>
      </w:tr>
    </w:tbl>
    <w:p w14:paraId="6B6D9CBE">
      <w:pPr>
        <w:spacing w:line="360" w:lineRule="auto"/>
        <w:rPr>
          <w:rFonts w:hint="eastAsia" w:ascii="Times New Roman" w:hAnsi="Times New Roman" w:eastAsia="仿宋" w:cs="仿宋"/>
          <w:color w:val="000000"/>
          <w:szCs w:val="21"/>
          <w:highlight w:val="none"/>
        </w:rPr>
      </w:pPr>
    </w:p>
    <w:p w14:paraId="702B77C9">
      <w:pPr>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委托人（加盖单位公章）：</w:t>
      </w:r>
      <w:r>
        <w:rPr>
          <w:rFonts w:hint="eastAsia" w:ascii="仿宋_GB2312" w:hAnsi="仿宋_GB2312" w:eastAsia="仿宋_GB2312" w:cs="仿宋_GB2312"/>
          <w:color w:val="000000"/>
          <w:sz w:val="24"/>
          <w:szCs w:val="24"/>
          <w:highlight w:val="none"/>
          <w:u w:val="single"/>
        </w:rPr>
        <w:t xml:space="preserve">              </w:t>
      </w:r>
    </w:p>
    <w:p w14:paraId="07A8C1C6">
      <w:pPr>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法定代表人（或非法人组织负责人）（签字或盖章）：</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w:t>
      </w:r>
    </w:p>
    <w:p w14:paraId="35382F78">
      <w:pPr>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授权委托人（签字或盖章）：</w:t>
      </w:r>
      <w:r>
        <w:rPr>
          <w:rFonts w:hint="eastAsia" w:ascii="仿宋_GB2312" w:hAnsi="仿宋_GB2312" w:eastAsia="仿宋_GB2312" w:cs="仿宋_GB2312"/>
          <w:color w:val="000000"/>
          <w:sz w:val="24"/>
          <w:szCs w:val="24"/>
          <w:highlight w:val="none"/>
          <w:u w:val="single"/>
        </w:rPr>
        <w:t xml:space="preserve">              </w:t>
      </w:r>
    </w:p>
    <w:p w14:paraId="3B09995A">
      <w:pPr>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详细通讯地址：</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邮政编码 ：</w:t>
      </w:r>
      <w:r>
        <w:rPr>
          <w:rFonts w:hint="eastAsia" w:ascii="仿宋_GB2312" w:hAnsi="仿宋_GB2312" w:eastAsia="仿宋_GB2312" w:cs="仿宋_GB2312"/>
          <w:color w:val="000000"/>
          <w:sz w:val="24"/>
          <w:szCs w:val="24"/>
          <w:highlight w:val="none"/>
          <w:u w:val="single"/>
        </w:rPr>
        <w:t xml:space="preserve">              </w:t>
      </w:r>
    </w:p>
    <w:p w14:paraId="17457DD0">
      <w:pPr>
        <w:spacing w:line="360" w:lineRule="auto"/>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传真：</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val="en-US" w:eastAsia="zh-CN"/>
        </w:rPr>
        <w:t xml:space="preserve"> </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电话：</w:t>
      </w:r>
      <w:r>
        <w:rPr>
          <w:rFonts w:hint="eastAsia" w:ascii="仿宋_GB2312" w:hAnsi="仿宋_GB2312" w:eastAsia="仿宋_GB2312" w:cs="仿宋_GB2312"/>
          <w:color w:val="000000"/>
          <w:sz w:val="24"/>
          <w:szCs w:val="24"/>
          <w:highlight w:val="none"/>
          <w:u w:val="single"/>
        </w:rPr>
        <w:t xml:space="preserve">              </w:t>
      </w:r>
    </w:p>
    <w:p w14:paraId="08392A25">
      <w:pPr>
        <w:spacing w:line="360" w:lineRule="auto"/>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u w:val="single"/>
        </w:rPr>
        <w:t xml:space="preserve">                       </w:t>
      </w:r>
    </w:p>
    <w:p w14:paraId="51C35396">
      <w:pPr>
        <w:pStyle w:val="4"/>
        <w:adjustRightInd w:val="0"/>
        <w:snapToGrid w:val="0"/>
        <w:spacing w:before="0" w:after="0" w:line="240" w:lineRule="auto"/>
        <w:jc w:val="left"/>
        <w:rPr>
          <w:rFonts w:hint="eastAsia" w:ascii="Times New Roman" w:hAnsi="Times New Roman" w:eastAsia="仿宋" w:cs="仿宋"/>
          <w:color w:val="000000"/>
          <w:szCs w:val="28"/>
          <w:highlight w:val="none"/>
          <w:lang w:eastAsia="zh-CN"/>
        </w:rPr>
      </w:pPr>
      <w:r>
        <w:rPr>
          <w:rFonts w:hint="eastAsia" w:ascii="Times New Roman" w:hAnsi="Times New Roman" w:eastAsia="仿宋" w:cs="仿宋"/>
          <w:color w:val="000000"/>
          <w:szCs w:val="28"/>
          <w:highlight w:val="none"/>
        </w:rPr>
        <w:t>格式</w:t>
      </w:r>
      <w:r>
        <w:rPr>
          <w:rFonts w:hint="eastAsia" w:ascii="Times New Roman" w:hAnsi="Times New Roman" w:cs="仿宋"/>
          <w:color w:val="000000"/>
          <w:szCs w:val="28"/>
          <w:highlight w:val="none"/>
          <w:lang w:val="en-US" w:eastAsia="zh-CN"/>
        </w:rPr>
        <w:t>6</w:t>
      </w:r>
    </w:p>
    <w:p w14:paraId="12BE2759">
      <w:pPr>
        <w:spacing w:before="312" w:beforeLines="100" w:after="312" w:afterLines="100" w:line="360" w:lineRule="auto"/>
        <w:ind w:right="-21" w:rightChars="-1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具有良好的商业信誉和健全的财务会计制度的承诺函</w:t>
      </w:r>
    </w:p>
    <w:p w14:paraId="7D3DD288">
      <w:pPr>
        <w:spacing w:before="312" w:beforeLines="100" w:after="312" w:afterLines="100" w:line="480" w:lineRule="exact"/>
        <w:ind w:right="630" w:rightChars="300"/>
        <w:jc w:val="center"/>
        <w:rPr>
          <w:rFonts w:hint="eastAsia" w:ascii="Times New Roman" w:hAnsi="Times New Roman" w:eastAsia="仿宋" w:cs="仿宋"/>
          <w:color w:val="000000"/>
          <w:sz w:val="28"/>
          <w:szCs w:val="28"/>
          <w:highlight w:val="none"/>
        </w:rPr>
      </w:pPr>
      <w:r>
        <w:rPr>
          <w:rFonts w:hint="eastAsia" w:ascii="Times New Roman" w:hAnsi="Times New Roman" w:eastAsia="仿宋" w:cs="仿宋"/>
          <w:color w:val="000000"/>
          <w:sz w:val="28"/>
          <w:szCs w:val="28"/>
          <w:highlight w:val="none"/>
        </w:rPr>
        <w:t>（格式自拟）</w:t>
      </w:r>
    </w:p>
    <w:p w14:paraId="5C4708DE">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5E0CFEF2">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410084A5">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13F539A8">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676A85A0">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70E0355A">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5124E30D">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27CCFF81">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617DF3C8">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p>
    <w:p w14:paraId="62FFD172">
      <w:pPr>
        <w:snapToGrid w:val="0"/>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投标人名称（加盖单位公章）：</w:t>
      </w:r>
      <w:r>
        <w:rPr>
          <w:rFonts w:hint="eastAsia" w:ascii="仿宋_GB2312" w:hAnsi="仿宋_GB2312" w:eastAsia="仿宋_GB2312" w:cs="仿宋_GB2312"/>
          <w:color w:val="000000"/>
          <w:sz w:val="24"/>
          <w:szCs w:val="24"/>
          <w:highlight w:val="none"/>
          <w:u w:val="single"/>
        </w:rPr>
        <w:t xml:space="preserve">           </w:t>
      </w:r>
    </w:p>
    <w:p w14:paraId="656D75B9">
      <w:pPr>
        <w:snapToGrid w:val="0"/>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法定代表人（或非法人组织负责人）或其授权委托人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6920128F">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1D05C135">
      <w:pPr>
        <w:adjustRightInd w:val="0"/>
        <w:snapToGrid w:val="0"/>
        <w:spacing w:line="360" w:lineRule="auto"/>
        <w:ind w:right="105" w:rightChars="50"/>
        <w:jc w:val="left"/>
        <w:rPr>
          <w:rFonts w:hint="eastAsia" w:ascii="Times New Roman" w:hAnsi="Times New Roman" w:eastAsia="仿宋" w:cs="仿宋"/>
          <w:color w:val="000000"/>
          <w:highlight w:val="none"/>
          <w:u w:val="single"/>
        </w:rPr>
      </w:pPr>
    </w:p>
    <w:p w14:paraId="73F493A6">
      <w:pPr>
        <w:rPr>
          <w:rFonts w:hint="eastAsia" w:ascii="Times New Roman" w:hAnsi="Times New Roman" w:eastAsia="仿宋" w:cs="仿宋"/>
          <w:color w:val="000000"/>
          <w:szCs w:val="28"/>
          <w:highlight w:val="none"/>
        </w:rPr>
      </w:pPr>
    </w:p>
    <w:p w14:paraId="2774C216">
      <w:pPr>
        <w:rPr>
          <w:rFonts w:hint="eastAsia" w:ascii="Times New Roman" w:hAnsi="Times New Roman" w:eastAsia="仿宋" w:cs="仿宋"/>
          <w:color w:val="000000"/>
          <w:szCs w:val="28"/>
          <w:highlight w:val="none"/>
        </w:rPr>
      </w:pPr>
    </w:p>
    <w:p w14:paraId="587753F7">
      <w:pPr>
        <w:rPr>
          <w:rFonts w:hint="eastAsia" w:ascii="Times New Roman" w:hAnsi="Times New Roman" w:eastAsia="仿宋" w:cs="仿宋"/>
          <w:color w:val="000000"/>
          <w:szCs w:val="28"/>
          <w:highlight w:val="none"/>
        </w:rPr>
      </w:pPr>
    </w:p>
    <w:p w14:paraId="5695780A">
      <w:pPr>
        <w:rPr>
          <w:rFonts w:hint="eastAsia" w:ascii="Times New Roman" w:hAnsi="Times New Roman" w:eastAsia="仿宋" w:cs="仿宋"/>
          <w:color w:val="000000"/>
          <w:szCs w:val="28"/>
          <w:highlight w:val="none"/>
        </w:rPr>
      </w:pPr>
    </w:p>
    <w:p w14:paraId="4E4E4EBD">
      <w:pPr>
        <w:rPr>
          <w:rFonts w:hint="eastAsia" w:ascii="Times New Roman" w:hAnsi="Times New Roman" w:eastAsia="仿宋" w:cs="仿宋"/>
          <w:color w:val="000000"/>
          <w:szCs w:val="28"/>
          <w:highlight w:val="none"/>
        </w:rPr>
      </w:pPr>
    </w:p>
    <w:p w14:paraId="4F32F4A0">
      <w:pPr>
        <w:rPr>
          <w:rFonts w:hint="eastAsia" w:ascii="Times New Roman" w:hAnsi="Times New Roman" w:eastAsia="仿宋" w:cs="仿宋"/>
          <w:color w:val="000000"/>
          <w:szCs w:val="28"/>
          <w:highlight w:val="none"/>
        </w:rPr>
      </w:pPr>
    </w:p>
    <w:p w14:paraId="65BE94B2">
      <w:pPr>
        <w:rPr>
          <w:rFonts w:hint="eastAsia" w:ascii="Times New Roman" w:hAnsi="Times New Roman" w:eastAsia="仿宋" w:cs="仿宋"/>
          <w:color w:val="000000"/>
          <w:szCs w:val="28"/>
          <w:highlight w:val="none"/>
        </w:rPr>
      </w:pPr>
    </w:p>
    <w:p w14:paraId="19405BAB">
      <w:pPr>
        <w:rPr>
          <w:rFonts w:hint="eastAsia" w:ascii="Times New Roman" w:hAnsi="Times New Roman" w:eastAsia="仿宋" w:cs="仿宋"/>
          <w:color w:val="000000"/>
          <w:szCs w:val="28"/>
          <w:highlight w:val="none"/>
        </w:rPr>
      </w:pPr>
    </w:p>
    <w:p w14:paraId="1A619C7F">
      <w:pPr>
        <w:rPr>
          <w:rFonts w:hint="eastAsia" w:ascii="Times New Roman" w:hAnsi="Times New Roman" w:eastAsia="仿宋" w:cs="仿宋"/>
          <w:color w:val="000000"/>
          <w:szCs w:val="28"/>
          <w:highlight w:val="none"/>
        </w:rPr>
      </w:pPr>
    </w:p>
    <w:p w14:paraId="468E3BA8">
      <w:pPr>
        <w:rPr>
          <w:rFonts w:hint="eastAsia" w:ascii="Times New Roman" w:hAnsi="Times New Roman" w:eastAsia="仿宋" w:cs="仿宋"/>
          <w:color w:val="000000"/>
          <w:szCs w:val="28"/>
          <w:highlight w:val="none"/>
        </w:rPr>
      </w:pPr>
    </w:p>
    <w:p w14:paraId="1B2430D2">
      <w:pPr>
        <w:rPr>
          <w:rFonts w:hint="eastAsia" w:ascii="Times New Roman" w:hAnsi="Times New Roman" w:eastAsia="仿宋" w:cs="仿宋"/>
          <w:color w:val="000000"/>
          <w:szCs w:val="28"/>
          <w:highlight w:val="none"/>
        </w:rPr>
      </w:pPr>
    </w:p>
    <w:p w14:paraId="1FEF7296">
      <w:pPr>
        <w:rPr>
          <w:rFonts w:hint="eastAsia" w:ascii="Times New Roman" w:hAnsi="Times New Roman" w:eastAsia="仿宋" w:cs="仿宋"/>
          <w:color w:val="000000"/>
          <w:szCs w:val="28"/>
          <w:highlight w:val="none"/>
        </w:rPr>
      </w:pPr>
    </w:p>
    <w:p w14:paraId="3883A7D1">
      <w:pPr>
        <w:rPr>
          <w:rFonts w:hint="eastAsia" w:ascii="Times New Roman" w:hAnsi="Times New Roman" w:eastAsia="仿宋" w:cs="仿宋"/>
          <w:color w:val="000000"/>
          <w:szCs w:val="28"/>
          <w:highlight w:val="none"/>
        </w:rPr>
      </w:pPr>
    </w:p>
    <w:p w14:paraId="2DDF5A6C">
      <w:pPr>
        <w:rPr>
          <w:rFonts w:hint="eastAsia" w:ascii="Times New Roman" w:hAnsi="Times New Roman" w:eastAsia="仿宋" w:cs="仿宋"/>
          <w:color w:val="000000"/>
          <w:szCs w:val="28"/>
          <w:highlight w:val="none"/>
        </w:rPr>
      </w:pPr>
    </w:p>
    <w:p w14:paraId="01DFCB60">
      <w:pPr>
        <w:rPr>
          <w:rFonts w:hint="eastAsia" w:ascii="Times New Roman" w:hAnsi="Times New Roman" w:eastAsia="仿宋" w:cs="仿宋"/>
          <w:color w:val="000000"/>
          <w:szCs w:val="28"/>
          <w:highlight w:val="none"/>
        </w:rPr>
      </w:pPr>
    </w:p>
    <w:p w14:paraId="0394F5D0">
      <w:pPr>
        <w:rPr>
          <w:rFonts w:hint="eastAsia" w:ascii="Times New Roman" w:hAnsi="Times New Roman" w:eastAsia="仿宋" w:cs="仿宋"/>
          <w:color w:val="000000"/>
          <w:szCs w:val="28"/>
          <w:highlight w:val="none"/>
        </w:rPr>
      </w:pPr>
    </w:p>
    <w:p w14:paraId="7C877A2C">
      <w:pPr>
        <w:pStyle w:val="4"/>
        <w:adjustRightInd w:val="0"/>
        <w:snapToGrid w:val="0"/>
        <w:spacing w:before="0" w:after="0" w:line="240" w:lineRule="auto"/>
        <w:jc w:val="left"/>
        <w:rPr>
          <w:rFonts w:hint="default" w:ascii="Times New Roman" w:hAnsi="Times New Roman" w:cs="仿宋"/>
          <w:color w:val="000000"/>
          <w:szCs w:val="28"/>
          <w:highlight w:val="none"/>
          <w:lang w:val="en-US" w:eastAsia="zh-CN"/>
        </w:rPr>
      </w:pPr>
      <w:r>
        <w:rPr>
          <w:rFonts w:hint="eastAsia" w:ascii="Times New Roman" w:hAnsi="Times New Roman" w:eastAsia="仿宋" w:cs="仿宋"/>
          <w:color w:val="000000"/>
          <w:szCs w:val="28"/>
          <w:highlight w:val="none"/>
        </w:rPr>
        <w:br w:type="page"/>
      </w:r>
      <w:r>
        <w:rPr>
          <w:rFonts w:hint="eastAsia" w:ascii="Times New Roman" w:hAnsi="Times New Roman" w:eastAsia="仿宋" w:cs="仿宋"/>
          <w:color w:val="000000"/>
          <w:szCs w:val="28"/>
          <w:highlight w:val="none"/>
        </w:rPr>
        <w:t>格式</w:t>
      </w:r>
      <w:r>
        <w:rPr>
          <w:rFonts w:hint="eastAsia" w:ascii="Times New Roman" w:hAnsi="Times New Roman" w:cs="仿宋"/>
          <w:color w:val="000000"/>
          <w:szCs w:val="28"/>
          <w:highlight w:val="none"/>
          <w:lang w:val="en-US" w:eastAsia="zh-CN"/>
        </w:rPr>
        <w:t>7-1</w:t>
      </w:r>
    </w:p>
    <w:p w14:paraId="7FF885E3">
      <w:pPr>
        <w:spacing w:before="312" w:beforeLines="100" w:after="312" w:afterLines="100"/>
        <w:ind w:right="-21" w:rightChars="-10"/>
        <w:jc w:val="center"/>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开标时间前六个月内任一个月的依法缴纳税收的缴款凭据复印件</w:t>
      </w:r>
    </w:p>
    <w:p w14:paraId="326E13F2">
      <w:pPr>
        <w:adjustRightInd w:val="0"/>
        <w:snapToGrid w:val="0"/>
        <w:spacing w:line="360" w:lineRule="auto"/>
        <w:ind w:right="105" w:rightChars="50" w:firstLine="544" w:firstLineChars="227"/>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 w:val="24"/>
          <w:highlight w:val="none"/>
        </w:rPr>
        <w:t>（注：依法免税的投标人，应提供相关证明材料，包括相关法规要求原文及加盖单位公章的情况说明）</w:t>
      </w:r>
    </w:p>
    <w:p w14:paraId="26EA3087">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p>
    <w:p w14:paraId="677B8510">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p>
    <w:p w14:paraId="4A5BCF27">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p>
    <w:p w14:paraId="2739FD98">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p>
    <w:p w14:paraId="596E5F8D">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p>
    <w:p w14:paraId="65DDA690">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p>
    <w:p w14:paraId="7FE61F34">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p>
    <w:p w14:paraId="55A44487">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p>
    <w:p w14:paraId="284EDF51">
      <w:pPr>
        <w:snapToGrid w:val="0"/>
        <w:spacing w:line="48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投标人名称（加盖单位公章）：</w:t>
      </w:r>
      <w:r>
        <w:rPr>
          <w:rFonts w:hint="eastAsia" w:ascii="仿宋_GB2312" w:hAnsi="仿宋_GB2312" w:eastAsia="仿宋_GB2312" w:cs="仿宋_GB2312"/>
          <w:color w:val="auto"/>
          <w:highlight w:val="none"/>
          <w:u w:val="single"/>
        </w:rPr>
        <w:t xml:space="preserve">           </w:t>
      </w:r>
    </w:p>
    <w:p w14:paraId="52139296">
      <w:pPr>
        <w:snapToGrid w:val="0"/>
        <w:spacing w:line="48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highlight w:val="none"/>
        </w:rPr>
        <w:t>其</w:t>
      </w:r>
      <w:r>
        <w:rPr>
          <w:rFonts w:hint="eastAsia" w:ascii="仿宋_GB2312" w:hAnsi="仿宋_GB2312" w:eastAsia="仿宋_GB2312" w:cs="仿宋_GB2312"/>
          <w:color w:val="auto"/>
          <w:szCs w:val="21"/>
          <w:highlight w:val="none"/>
        </w:rPr>
        <w:t>授权</w:t>
      </w:r>
      <w:r>
        <w:rPr>
          <w:rFonts w:hint="eastAsia" w:ascii="仿宋_GB2312" w:hAnsi="仿宋_GB2312" w:eastAsia="仿宋_GB2312" w:cs="仿宋_GB2312"/>
          <w:color w:val="auto"/>
          <w:highlight w:val="none"/>
        </w:rPr>
        <w:t>委托</w:t>
      </w:r>
      <w:r>
        <w:rPr>
          <w:rFonts w:hint="eastAsia" w:ascii="仿宋_GB2312" w:hAnsi="仿宋_GB2312" w:eastAsia="仿宋_GB2312" w:cs="仿宋_GB2312"/>
          <w:color w:val="auto"/>
          <w:szCs w:val="21"/>
          <w:highlight w:val="none"/>
        </w:rPr>
        <w:t>人</w:t>
      </w:r>
      <w:r>
        <w:rPr>
          <w:rFonts w:hint="eastAsia" w:ascii="仿宋_GB2312" w:hAnsi="仿宋_GB2312" w:eastAsia="仿宋_GB2312" w:cs="仿宋_GB2312"/>
          <w:color w:val="auto"/>
          <w:highlight w:val="none"/>
        </w:rPr>
        <w:t>(签字或盖章)：</w:t>
      </w:r>
      <w:r>
        <w:rPr>
          <w:rFonts w:hint="eastAsia" w:ascii="仿宋_GB2312" w:hAnsi="仿宋_GB2312" w:eastAsia="仿宋_GB2312" w:cs="仿宋_GB2312"/>
          <w:color w:val="auto"/>
          <w:highlight w:val="none"/>
          <w:u w:val="single"/>
        </w:rPr>
        <w:t xml:space="preserve">           </w:t>
      </w:r>
    </w:p>
    <w:p w14:paraId="6FE55FE6">
      <w:pPr>
        <w:adjustRightInd w:val="0"/>
        <w:snapToGrid w:val="0"/>
        <w:spacing w:line="360" w:lineRule="auto"/>
        <w:ind w:right="105" w:rightChars="50"/>
        <w:jc w:val="left"/>
        <w:rPr>
          <w:rFonts w:hint="eastAsia" w:ascii="仿宋_GB2312" w:hAnsi="仿宋_GB2312" w:eastAsia="仿宋_GB2312" w:cs="仿宋_GB2312"/>
          <w:color w:val="auto"/>
          <w:highlight w:val="none"/>
          <w:u w:val="singl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p>
    <w:p w14:paraId="2B885DED">
      <w:pPr>
        <w:adjustRightInd w:val="0"/>
        <w:snapToGrid w:val="0"/>
        <w:spacing w:line="360" w:lineRule="auto"/>
        <w:ind w:right="105" w:rightChars="50"/>
        <w:jc w:val="left"/>
        <w:rPr>
          <w:rFonts w:hint="eastAsia" w:ascii="仿宋_GB2312" w:hAnsi="仿宋_GB2312" w:eastAsia="仿宋_GB2312" w:cs="仿宋_GB2312"/>
          <w:color w:val="auto"/>
          <w:highlight w:val="none"/>
          <w:u w:val="single"/>
        </w:rPr>
      </w:pPr>
    </w:p>
    <w:p w14:paraId="3E1E3FC2">
      <w:pPr>
        <w:rPr>
          <w:rFonts w:hint="eastAsia"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br w:type="page"/>
      </w:r>
    </w:p>
    <w:p w14:paraId="094BAC29">
      <w:pPr>
        <w:pStyle w:val="4"/>
        <w:adjustRightInd w:val="0"/>
        <w:snapToGrid w:val="0"/>
        <w:spacing w:before="0" w:after="0" w:line="240" w:lineRule="auto"/>
        <w:jc w:val="left"/>
        <w:rPr>
          <w:rFonts w:hint="eastAsia"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t>格式</w:t>
      </w:r>
      <w:r>
        <w:rPr>
          <w:rFonts w:hint="eastAsia" w:ascii="仿宋_GB2312" w:hAnsi="仿宋_GB2312" w:eastAsia="仿宋_GB2312" w:cs="仿宋_GB2312"/>
          <w:color w:val="auto"/>
          <w:szCs w:val="28"/>
          <w:highlight w:val="none"/>
          <w:lang w:val="en-US" w:eastAsia="zh-CN"/>
        </w:rPr>
        <w:t>7</w:t>
      </w:r>
      <w:r>
        <w:rPr>
          <w:rFonts w:hint="eastAsia" w:ascii="仿宋_GB2312" w:hAnsi="仿宋_GB2312" w:eastAsia="仿宋_GB2312" w:cs="仿宋_GB2312"/>
          <w:color w:val="auto"/>
          <w:szCs w:val="28"/>
          <w:highlight w:val="none"/>
        </w:rPr>
        <w:t>-2</w:t>
      </w:r>
    </w:p>
    <w:p w14:paraId="5A9FB346">
      <w:pPr>
        <w:spacing w:before="312" w:beforeLines="100" w:after="312" w:afterLines="100"/>
        <w:ind w:right="-21" w:rightChars="-10"/>
        <w:jc w:val="center"/>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开标时间前六个月内任一个月的依法缴纳社会保障资金的缴款凭据复印件</w:t>
      </w:r>
    </w:p>
    <w:p w14:paraId="3F2C65CE">
      <w:pPr>
        <w:jc w:val="left"/>
        <w:rPr>
          <w:rFonts w:hint="eastAsia"/>
          <w:highlight w:val="none"/>
          <w:lang w:eastAsia="zh-CN"/>
        </w:rPr>
      </w:pPr>
      <w:r>
        <w:rPr>
          <w:rFonts w:hint="eastAsia" w:ascii="仿宋_GB2312" w:hAnsi="仿宋_GB2312" w:eastAsia="仿宋_GB2312" w:cs="仿宋_GB2312"/>
          <w:b w:val="0"/>
          <w:color w:val="auto"/>
          <w:sz w:val="24"/>
          <w:highlight w:val="none"/>
        </w:rPr>
        <w:t>（注：依法不需要缴纳社会保障资金的投标人，应提供相关证明材料，包括相关法规要求原文及加盖单位公章的情况说明）</w:t>
      </w:r>
      <w:r>
        <w:rPr>
          <w:rFonts w:hint="eastAsia" w:ascii="仿宋_GB2312" w:hAnsi="仿宋_GB2312" w:eastAsia="仿宋_GB2312" w:cs="仿宋_GB2312"/>
          <w:color w:val="auto"/>
          <w:szCs w:val="28"/>
          <w:highlight w:val="none"/>
        </w:rPr>
        <w:br w:type="page"/>
      </w:r>
      <w:r>
        <w:rPr>
          <w:rFonts w:hint="eastAsia" w:ascii="仿宋_GB2312" w:hAnsi="仿宋_GB2312" w:eastAsia="仿宋_GB2312" w:cs="仿宋_GB2312"/>
          <w:b/>
          <w:color w:val="auto"/>
          <w:kern w:val="2"/>
          <w:sz w:val="28"/>
          <w:szCs w:val="28"/>
          <w:highlight w:val="none"/>
          <w:lang w:val="en-US" w:eastAsia="zh-CN" w:bidi="ar-SA"/>
        </w:rPr>
        <w:t>格式8</w:t>
      </w:r>
    </w:p>
    <w:p w14:paraId="4F015441">
      <w:pPr>
        <w:spacing w:before="312" w:beforeLines="100" w:after="312" w:afterLines="100" w:line="360" w:lineRule="auto"/>
        <w:ind w:right="-21" w:rightChars="-10"/>
        <w:jc w:val="center"/>
        <w:rPr>
          <w:rFonts w:hint="eastAsia" w:ascii="宋体" w:hAnsi="宋体" w:eastAsia="宋体" w:cs="宋体"/>
          <w:b/>
          <w:color w:val="000000"/>
          <w:sz w:val="32"/>
          <w:szCs w:val="32"/>
          <w:highlight w:val="none"/>
        </w:rPr>
      </w:pPr>
      <w:bookmarkStart w:id="108" w:name="_Toc12037_WPSOffice_Level2"/>
      <w:bookmarkStart w:id="109" w:name="_Toc23728_WPSOffice_Level2"/>
      <w:r>
        <w:rPr>
          <w:rFonts w:hint="eastAsia" w:ascii="宋体" w:hAnsi="宋体" w:eastAsia="宋体" w:cs="宋体"/>
          <w:b/>
          <w:color w:val="000000"/>
          <w:sz w:val="32"/>
          <w:szCs w:val="32"/>
          <w:highlight w:val="none"/>
        </w:rPr>
        <w:t>具备履行合同所必需的设备和专业技术能力声明函</w:t>
      </w:r>
      <w:bookmarkEnd w:id="108"/>
      <w:bookmarkEnd w:id="109"/>
    </w:p>
    <w:p w14:paraId="00DC594E">
      <w:pPr>
        <w:spacing w:before="312" w:beforeLines="100" w:after="312" w:afterLines="100" w:line="480" w:lineRule="exact"/>
        <w:ind w:right="630" w:rightChars="300"/>
        <w:jc w:val="center"/>
        <w:rPr>
          <w:rFonts w:hint="eastAsia" w:ascii="Times New Roman" w:hAnsi="Times New Roman" w:eastAsia="仿宋" w:cs="仿宋"/>
          <w:color w:val="000000"/>
          <w:sz w:val="28"/>
          <w:szCs w:val="28"/>
          <w:highlight w:val="none"/>
        </w:rPr>
      </w:pPr>
      <w:bookmarkStart w:id="110" w:name="_Toc28831_WPSOffice_Level2"/>
      <w:bookmarkStart w:id="111" w:name="_Toc1917_WPSOffice_Level2"/>
      <w:r>
        <w:rPr>
          <w:rFonts w:hint="eastAsia" w:ascii="Times New Roman" w:hAnsi="Times New Roman" w:eastAsia="仿宋" w:cs="仿宋"/>
          <w:color w:val="000000"/>
          <w:sz w:val="28"/>
          <w:szCs w:val="28"/>
          <w:highlight w:val="none"/>
        </w:rPr>
        <w:t>（格式自拟）</w:t>
      </w:r>
      <w:bookmarkEnd w:id="110"/>
      <w:bookmarkEnd w:id="111"/>
    </w:p>
    <w:p w14:paraId="2F19DF7F">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75E1F544">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0F999DCA">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41F76502">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605A37B5">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2514F6FA">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51B1BAE3">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370DC841">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54F2E05E">
      <w:pPr>
        <w:adjustRightInd w:val="0"/>
        <w:snapToGrid w:val="0"/>
        <w:spacing w:line="360" w:lineRule="auto"/>
        <w:ind w:right="105" w:rightChars="50" w:firstLine="476" w:firstLineChars="227"/>
        <w:jc w:val="left"/>
        <w:rPr>
          <w:rFonts w:hint="eastAsia" w:ascii="仿宋_GB2312" w:hAnsi="仿宋_GB2312" w:eastAsia="仿宋_GB2312" w:cs="仿宋_GB2312"/>
          <w:color w:val="000000"/>
          <w:szCs w:val="21"/>
          <w:highlight w:val="none"/>
        </w:rPr>
      </w:pPr>
    </w:p>
    <w:p w14:paraId="5BE2944B">
      <w:pPr>
        <w:snapToGrid w:val="0"/>
        <w:spacing w:line="480" w:lineRule="auto"/>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投标人名称（加盖单位公章）：</w:t>
      </w:r>
      <w:r>
        <w:rPr>
          <w:rFonts w:hint="eastAsia" w:ascii="仿宋_GB2312" w:hAnsi="仿宋_GB2312" w:eastAsia="仿宋_GB2312" w:cs="仿宋_GB2312"/>
          <w:color w:val="000000"/>
          <w:highlight w:val="none"/>
          <w:u w:val="single"/>
        </w:rPr>
        <w:t xml:space="preserve">           </w:t>
      </w:r>
    </w:p>
    <w:p w14:paraId="59F7D416">
      <w:pPr>
        <w:snapToGrid w:val="0"/>
        <w:spacing w:line="480" w:lineRule="auto"/>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法定代表人（或</w:t>
      </w:r>
      <w:r>
        <w:rPr>
          <w:rFonts w:hint="eastAsia" w:ascii="仿宋_GB2312" w:hAnsi="仿宋_GB2312" w:eastAsia="仿宋_GB2312" w:cs="仿宋_GB2312"/>
          <w:color w:val="000000"/>
          <w:szCs w:val="21"/>
          <w:highlight w:val="none"/>
        </w:rPr>
        <w:t>非法人组织负责人）或</w:t>
      </w:r>
      <w:r>
        <w:rPr>
          <w:rFonts w:hint="eastAsia" w:ascii="仿宋_GB2312" w:hAnsi="仿宋_GB2312" w:eastAsia="仿宋_GB2312" w:cs="仿宋_GB2312"/>
          <w:color w:val="000000"/>
          <w:highlight w:val="none"/>
        </w:rPr>
        <w:t>其</w:t>
      </w:r>
      <w:r>
        <w:rPr>
          <w:rFonts w:hint="eastAsia" w:ascii="仿宋_GB2312" w:hAnsi="仿宋_GB2312" w:eastAsia="仿宋_GB2312" w:cs="仿宋_GB2312"/>
          <w:color w:val="000000"/>
          <w:szCs w:val="21"/>
          <w:highlight w:val="none"/>
        </w:rPr>
        <w:t>授权</w:t>
      </w:r>
      <w:r>
        <w:rPr>
          <w:rFonts w:hint="eastAsia" w:ascii="仿宋_GB2312" w:hAnsi="仿宋_GB2312" w:eastAsia="仿宋_GB2312" w:cs="仿宋_GB2312"/>
          <w:color w:val="000000"/>
          <w:highlight w:val="none"/>
        </w:rPr>
        <w:t>委托</w:t>
      </w:r>
      <w:r>
        <w:rPr>
          <w:rFonts w:hint="eastAsia" w:ascii="仿宋_GB2312" w:hAnsi="仿宋_GB2312" w:eastAsia="仿宋_GB2312" w:cs="仿宋_GB2312"/>
          <w:color w:val="000000"/>
          <w:szCs w:val="21"/>
          <w:highlight w:val="none"/>
        </w:rPr>
        <w:t>人</w:t>
      </w:r>
      <w:r>
        <w:rPr>
          <w:rFonts w:hint="eastAsia" w:ascii="仿宋_GB2312" w:hAnsi="仿宋_GB2312" w:eastAsia="仿宋_GB2312" w:cs="仿宋_GB2312"/>
          <w:color w:val="000000"/>
          <w:szCs w:val="21"/>
          <w:highlight w:val="none"/>
          <w:lang w:eastAsia="zh-CN"/>
        </w:rPr>
        <w:t>（</w:t>
      </w:r>
      <w:r>
        <w:rPr>
          <w:rFonts w:hint="eastAsia" w:ascii="仿宋_GB2312" w:hAnsi="仿宋_GB2312" w:eastAsia="仿宋_GB2312" w:cs="仿宋_GB2312"/>
          <w:color w:val="000000"/>
          <w:highlight w:val="none"/>
        </w:rPr>
        <w:t>签字或盖章</w:t>
      </w:r>
      <w:r>
        <w:rPr>
          <w:rFonts w:hint="eastAsia" w:ascii="仿宋_GB2312" w:hAnsi="仿宋_GB2312" w:eastAsia="仿宋_GB2312" w:cs="仿宋_GB2312"/>
          <w:color w:val="000000"/>
          <w:highlight w:val="none"/>
          <w:lang w:eastAsia="zh-CN"/>
        </w:rPr>
        <w:t>）</w:t>
      </w:r>
      <w:r>
        <w:rPr>
          <w:rFonts w:hint="eastAsia" w:ascii="仿宋_GB2312" w:hAnsi="仿宋_GB2312" w:eastAsia="仿宋_GB2312" w:cs="仿宋_GB2312"/>
          <w:color w:val="000000"/>
          <w:highlight w:val="none"/>
        </w:rPr>
        <w:t>：</w:t>
      </w:r>
      <w:r>
        <w:rPr>
          <w:rFonts w:hint="eastAsia" w:ascii="仿宋_GB2312" w:hAnsi="仿宋_GB2312" w:eastAsia="仿宋_GB2312" w:cs="仿宋_GB2312"/>
          <w:color w:val="000000"/>
          <w:highlight w:val="none"/>
          <w:u w:val="single"/>
        </w:rPr>
        <w:t xml:space="preserve">           </w:t>
      </w:r>
    </w:p>
    <w:p w14:paraId="31383ADC">
      <w:pPr>
        <w:adjustRightInd w:val="0"/>
        <w:snapToGrid w:val="0"/>
        <w:spacing w:line="360" w:lineRule="auto"/>
        <w:ind w:right="105" w:rightChars="50"/>
        <w:jc w:val="left"/>
        <w:rPr>
          <w:rFonts w:hint="eastAsia" w:ascii="仿宋_GB2312" w:hAnsi="仿宋_GB2312" w:eastAsia="仿宋_GB2312" w:cs="仿宋_GB2312"/>
          <w:color w:val="000000"/>
          <w:highlight w:val="none"/>
          <w:u w:val="single"/>
        </w:rPr>
      </w:pPr>
      <w:r>
        <w:rPr>
          <w:rFonts w:hint="eastAsia" w:ascii="仿宋_GB2312" w:hAnsi="仿宋_GB2312" w:eastAsia="仿宋_GB2312" w:cs="仿宋_GB2312"/>
          <w:color w:val="000000"/>
          <w:highlight w:val="none"/>
        </w:rPr>
        <w:t>日期：</w:t>
      </w:r>
      <w:r>
        <w:rPr>
          <w:rFonts w:hint="eastAsia" w:ascii="仿宋_GB2312" w:hAnsi="仿宋_GB2312" w:eastAsia="仿宋_GB2312" w:cs="仿宋_GB2312"/>
          <w:color w:val="000000"/>
          <w:highlight w:val="none"/>
          <w:u w:val="single"/>
        </w:rPr>
        <w:t xml:space="preserve">                </w:t>
      </w:r>
    </w:p>
    <w:p w14:paraId="157BC56C">
      <w:pPr>
        <w:adjustRightInd w:val="0"/>
        <w:snapToGrid w:val="0"/>
        <w:spacing w:line="360" w:lineRule="auto"/>
        <w:ind w:right="105" w:rightChars="50"/>
        <w:jc w:val="left"/>
        <w:rPr>
          <w:rFonts w:hint="eastAsia" w:ascii="Times New Roman" w:hAnsi="Times New Roman" w:eastAsia="仿宋" w:cs="仿宋"/>
          <w:color w:val="000000"/>
          <w:highlight w:val="none"/>
          <w:u w:val="single"/>
        </w:rPr>
      </w:pPr>
    </w:p>
    <w:p w14:paraId="0C81E8B8">
      <w:pPr>
        <w:adjustRightInd w:val="0"/>
        <w:snapToGrid w:val="0"/>
        <w:spacing w:line="360" w:lineRule="auto"/>
        <w:ind w:right="105" w:rightChars="50"/>
        <w:jc w:val="left"/>
        <w:rPr>
          <w:rFonts w:hint="eastAsia" w:ascii="Times New Roman" w:hAnsi="Times New Roman" w:eastAsia="仿宋" w:cs="仿宋"/>
          <w:b/>
          <w:color w:val="000000"/>
          <w:sz w:val="28"/>
          <w:szCs w:val="28"/>
          <w:highlight w:val="none"/>
        </w:rPr>
      </w:pPr>
    </w:p>
    <w:p w14:paraId="2564FEB1">
      <w:pPr>
        <w:widowControl/>
        <w:jc w:val="left"/>
        <w:rPr>
          <w:rFonts w:hint="eastAsia" w:ascii="Times New Roman" w:hAnsi="Times New Roman" w:eastAsia="仿宋" w:cs="仿宋"/>
          <w:color w:val="000000"/>
          <w:szCs w:val="28"/>
          <w:highlight w:val="none"/>
        </w:rPr>
      </w:pPr>
    </w:p>
    <w:p w14:paraId="0E5678C9">
      <w:pPr>
        <w:widowControl/>
        <w:jc w:val="left"/>
        <w:rPr>
          <w:rFonts w:hint="eastAsia" w:ascii="Times New Roman" w:hAnsi="Times New Roman" w:eastAsia="仿宋" w:cs="仿宋"/>
          <w:b/>
          <w:color w:val="000000"/>
          <w:sz w:val="28"/>
          <w:szCs w:val="28"/>
          <w:highlight w:val="none"/>
        </w:rPr>
      </w:pPr>
    </w:p>
    <w:p w14:paraId="04593577">
      <w:pPr>
        <w:widowControl/>
        <w:jc w:val="left"/>
        <w:rPr>
          <w:rFonts w:hint="eastAsia" w:ascii="Times New Roman" w:hAnsi="Times New Roman" w:eastAsia="仿宋" w:cs="仿宋"/>
          <w:b/>
          <w:color w:val="000000"/>
          <w:sz w:val="28"/>
          <w:szCs w:val="28"/>
          <w:highlight w:val="none"/>
        </w:rPr>
      </w:pPr>
    </w:p>
    <w:p w14:paraId="79E53762">
      <w:pPr>
        <w:widowControl/>
        <w:jc w:val="left"/>
        <w:rPr>
          <w:rFonts w:hint="eastAsia" w:ascii="Times New Roman" w:hAnsi="Times New Roman" w:eastAsia="仿宋" w:cs="仿宋"/>
          <w:b/>
          <w:color w:val="000000"/>
          <w:sz w:val="28"/>
          <w:szCs w:val="28"/>
          <w:highlight w:val="none"/>
        </w:rPr>
      </w:pPr>
    </w:p>
    <w:p w14:paraId="0F50D057">
      <w:pPr>
        <w:widowControl/>
        <w:jc w:val="left"/>
        <w:rPr>
          <w:rFonts w:hint="eastAsia" w:ascii="Times New Roman" w:hAnsi="Times New Roman" w:eastAsia="仿宋" w:cs="仿宋"/>
          <w:b/>
          <w:color w:val="000000"/>
          <w:sz w:val="28"/>
          <w:szCs w:val="28"/>
          <w:highlight w:val="none"/>
        </w:rPr>
      </w:pPr>
    </w:p>
    <w:p w14:paraId="2D2FC088">
      <w:pPr>
        <w:widowControl/>
        <w:jc w:val="left"/>
        <w:rPr>
          <w:rFonts w:hint="eastAsia" w:ascii="Times New Roman" w:hAnsi="Times New Roman" w:eastAsia="仿宋" w:cs="仿宋"/>
          <w:b/>
          <w:color w:val="000000"/>
          <w:sz w:val="28"/>
          <w:szCs w:val="28"/>
          <w:highlight w:val="none"/>
        </w:rPr>
      </w:pPr>
    </w:p>
    <w:p w14:paraId="292B8EE5">
      <w:pPr>
        <w:widowControl/>
        <w:jc w:val="left"/>
        <w:rPr>
          <w:rFonts w:hint="eastAsia" w:ascii="Times New Roman" w:hAnsi="Times New Roman" w:eastAsia="仿宋" w:cs="仿宋"/>
          <w:b/>
          <w:color w:val="000000"/>
          <w:sz w:val="28"/>
          <w:szCs w:val="28"/>
          <w:highlight w:val="none"/>
        </w:rPr>
      </w:pPr>
    </w:p>
    <w:p w14:paraId="4DFE4AA2">
      <w:pPr>
        <w:widowControl/>
        <w:jc w:val="left"/>
        <w:rPr>
          <w:rFonts w:hint="eastAsia" w:ascii="Times New Roman" w:hAnsi="Times New Roman" w:eastAsia="仿宋" w:cs="仿宋"/>
          <w:b/>
          <w:color w:val="000000"/>
          <w:sz w:val="28"/>
          <w:szCs w:val="28"/>
          <w:highlight w:val="none"/>
        </w:rPr>
      </w:pPr>
    </w:p>
    <w:p w14:paraId="4E802A55">
      <w:pPr>
        <w:pStyle w:val="4"/>
        <w:adjustRightInd w:val="0"/>
        <w:snapToGrid w:val="0"/>
        <w:spacing w:before="0" w:after="0" w:line="240" w:lineRule="auto"/>
        <w:jc w:val="left"/>
        <w:rPr>
          <w:rFonts w:hint="default" w:ascii="Times New Roman" w:hAnsi="Times New Roman" w:eastAsia="仿宋" w:cs="仿宋"/>
          <w:color w:val="000000"/>
          <w:highlight w:val="none"/>
          <w:lang w:val="en-US" w:eastAsia="zh-CN"/>
        </w:rPr>
      </w:pPr>
      <w:r>
        <w:rPr>
          <w:rFonts w:hint="eastAsia" w:ascii="Times New Roman" w:hAnsi="Times New Roman" w:eastAsia="仿宋" w:cs="仿宋"/>
          <w:color w:val="000000"/>
          <w:szCs w:val="28"/>
          <w:highlight w:val="none"/>
        </w:rPr>
        <w:t>格式</w:t>
      </w:r>
      <w:r>
        <w:rPr>
          <w:rFonts w:hint="eastAsia" w:ascii="Times New Roman" w:hAnsi="Times New Roman" w:cs="仿宋"/>
          <w:color w:val="000000"/>
          <w:szCs w:val="28"/>
          <w:highlight w:val="none"/>
          <w:lang w:val="en-US" w:eastAsia="zh-CN"/>
        </w:rPr>
        <w:t>9</w:t>
      </w:r>
    </w:p>
    <w:p w14:paraId="16D66F41">
      <w:pPr>
        <w:spacing w:before="312" w:beforeLines="100" w:after="312" w:afterLines="100" w:line="360" w:lineRule="auto"/>
        <w:ind w:right="-21" w:rightChars="-10"/>
        <w:jc w:val="center"/>
        <w:rPr>
          <w:rFonts w:hint="eastAsia" w:ascii="宋体" w:hAnsi="宋体" w:eastAsia="宋体" w:cs="宋体"/>
          <w:b/>
          <w:color w:val="000000"/>
          <w:sz w:val="32"/>
          <w:szCs w:val="32"/>
          <w:highlight w:val="none"/>
        </w:rPr>
      </w:pPr>
      <w:r>
        <w:rPr>
          <w:rFonts w:hint="eastAsia" w:ascii="Times New Roman" w:hAnsi="Times New Roman" w:eastAsia="仿宋" w:cs="仿宋"/>
          <w:b/>
          <w:color w:val="000000"/>
          <w:sz w:val="32"/>
          <w:szCs w:val="32"/>
          <w:highlight w:val="none"/>
        </w:rPr>
        <w:t xml:space="preserve">   </w:t>
      </w:r>
      <w:bookmarkStart w:id="112" w:name="_Toc11967_WPSOffice_Level2"/>
      <w:bookmarkStart w:id="113" w:name="_Toc7498_WPSOffice_Level2"/>
      <w:r>
        <w:rPr>
          <w:rFonts w:hint="eastAsia" w:ascii="宋体" w:hAnsi="宋体" w:eastAsia="宋体" w:cs="宋体"/>
          <w:b/>
          <w:color w:val="000000"/>
          <w:sz w:val="32"/>
          <w:szCs w:val="32"/>
          <w:highlight w:val="none"/>
        </w:rPr>
        <w:t>参加政府采购活动前3年内在经营活动中没有重大违法记录的书面声明</w:t>
      </w:r>
      <w:bookmarkEnd w:id="112"/>
      <w:bookmarkEnd w:id="113"/>
    </w:p>
    <w:p w14:paraId="02F07901">
      <w:pPr>
        <w:spacing w:line="360" w:lineRule="auto"/>
        <w:ind w:right="630" w:rightChars="3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u w:val="single"/>
        </w:rPr>
        <w:t>（采购人或采购代理机构名称）</w:t>
      </w:r>
      <w:r>
        <w:rPr>
          <w:rFonts w:hint="eastAsia" w:ascii="仿宋_GB2312" w:hAnsi="仿宋_GB2312" w:eastAsia="仿宋_GB2312" w:cs="仿宋_GB2312"/>
          <w:b/>
          <w:color w:val="000000"/>
          <w:sz w:val="24"/>
          <w:szCs w:val="24"/>
          <w:highlight w:val="none"/>
        </w:rPr>
        <w:t>：</w:t>
      </w:r>
    </w:p>
    <w:p w14:paraId="2852FEC2">
      <w:pPr>
        <w:spacing w:line="360" w:lineRule="auto"/>
        <w:ind w:right="-21" w:rightChars="-10" w:firstLine="564" w:firstLineChars="235"/>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网站：www.creditchina.gov.cn/)、“中国政府采购网”（网站www.ccgp.gov.cn）等渠道查询，我单位未被列入失信被执行人、重大税收违法失信主体名单、政府采购严重违法失信行为记录名单。</w:t>
      </w:r>
    </w:p>
    <w:p w14:paraId="358B4818">
      <w:pPr>
        <w:tabs>
          <w:tab w:val="left" w:pos="10065"/>
        </w:tabs>
        <w:spacing w:line="360" w:lineRule="auto"/>
        <w:ind w:right="-21" w:rightChars="-10" w:firstLine="424" w:firstLineChars="177"/>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如发现我单位提供的声明函不实时，我单位将按照</w:t>
      </w:r>
      <w:r>
        <w:rPr>
          <w:rFonts w:hint="eastAsia" w:ascii="仿宋_GB2312" w:hAnsi="仿宋_GB2312" w:eastAsia="仿宋_GB2312" w:cs="仿宋_GB2312"/>
          <w:color w:val="000000"/>
          <w:sz w:val="24"/>
          <w:szCs w:val="24"/>
          <w:highlight w:val="none"/>
          <w:lang w:eastAsia="zh-CN"/>
        </w:rPr>
        <w:t>《中华人民共和国政府采购法》</w:t>
      </w:r>
      <w:r>
        <w:rPr>
          <w:rFonts w:hint="eastAsia" w:ascii="仿宋_GB2312" w:hAnsi="仿宋_GB2312" w:eastAsia="仿宋_GB2312" w:cs="仿宋_GB2312"/>
          <w:color w:val="000000"/>
          <w:sz w:val="24"/>
          <w:szCs w:val="24"/>
          <w:highlight w:val="none"/>
        </w:rPr>
        <w:t>有关提供虚假材料的规定，接受处罚。</w:t>
      </w:r>
    </w:p>
    <w:p w14:paraId="276F0B59">
      <w:pPr>
        <w:spacing w:line="360" w:lineRule="auto"/>
        <w:ind w:right="1050" w:rightChars="50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特此声明。</w:t>
      </w:r>
    </w:p>
    <w:p w14:paraId="489ED242">
      <w:pPr>
        <w:spacing w:line="500" w:lineRule="exact"/>
        <w:ind w:right="1050" w:rightChars="500"/>
        <w:rPr>
          <w:rFonts w:hint="eastAsia" w:ascii="仿宋_GB2312" w:hAnsi="仿宋_GB2312" w:eastAsia="仿宋_GB2312" w:cs="仿宋_GB2312"/>
          <w:color w:val="000000"/>
          <w:sz w:val="24"/>
          <w:szCs w:val="24"/>
          <w:highlight w:val="none"/>
        </w:rPr>
      </w:pPr>
    </w:p>
    <w:p w14:paraId="78EF3F5D">
      <w:pPr>
        <w:spacing w:before="156" w:beforeLines="50" w:after="156" w:afterLines="50" w:line="400" w:lineRule="exact"/>
        <w:ind w:right="1050" w:rightChars="500"/>
        <w:rPr>
          <w:rFonts w:hint="eastAsia" w:ascii="仿宋_GB2312" w:hAnsi="仿宋_GB2312" w:eastAsia="仿宋_GB2312" w:cs="仿宋_GB2312"/>
          <w:color w:val="000000"/>
          <w:sz w:val="24"/>
          <w:szCs w:val="24"/>
          <w:highlight w:val="none"/>
        </w:rPr>
      </w:pPr>
    </w:p>
    <w:p w14:paraId="20E0D1E9">
      <w:pPr>
        <w:spacing w:before="156" w:beforeLines="50" w:after="156" w:afterLines="50" w:line="400" w:lineRule="exact"/>
        <w:ind w:right="1050" w:rightChars="500"/>
        <w:rPr>
          <w:rFonts w:hint="eastAsia" w:ascii="仿宋_GB2312" w:hAnsi="仿宋_GB2312" w:eastAsia="仿宋_GB2312" w:cs="仿宋_GB2312"/>
          <w:color w:val="000000"/>
          <w:sz w:val="24"/>
          <w:szCs w:val="24"/>
          <w:highlight w:val="none"/>
        </w:rPr>
      </w:pPr>
    </w:p>
    <w:p w14:paraId="42092F15">
      <w:pPr>
        <w:spacing w:before="156" w:beforeLines="50" w:after="156" w:afterLines="50" w:line="400" w:lineRule="exact"/>
        <w:ind w:right="1050" w:rightChars="500"/>
        <w:rPr>
          <w:rFonts w:hint="eastAsia" w:ascii="仿宋_GB2312" w:hAnsi="仿宋_GB2312" w:eastAsia="仿宋_GB2312" w:cs="仿宋_GB2312"/>
          <w:color w:val="000000"/>
          <w:sz w:val="24"/>
          <w:szCs w:val="24"/>
          <w:highlight w:val="none"/>
        </w:rPr>
      </w:pPr>
    </w:p>
    <w:p w14:paraId="3AF621DE">
      <w:pPr>
        <w:spacing w:line="360" w:lineRule="exact"/>
        <w:ind w:right="1050" w:rightChars="500"/>
        <w:rPr>
          <w:rFonts w:hint="eastAsia" w:ascii="仿宋_GB2312" w:hAnsi="仿宋_GB2312" w:eastAsia="仿宋_GB2312" w:cs="仿宋_GB2312"/>
          <w:color w:val="000000"/>
          <w:sz w:val="24"/>
          <w:szCs w:val="24"/>
          <w:highlight w:val="none"/>
        </w:rPr>
      </w:pPr>
    </w:p>
    <w:p w14:paraId="05178F25">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投标人名称（加盖单位公章）：</w:t>
      </w:r>
      <w:r>
        <w:rPr>
          <w:rFonts w:hint="eastAsia" w:ascii="仿宋_GB2312" w:hAnsi="仿宋_GB2312" w:eastAsia="仿宋_GB2312" w:cs="仿宋_GB2312"/>
          <w:color w:val="000000"/>
          <w:sz w:val="24"/>
          <w:szCs w:val="24"/>
          <w:highlight w:val="none"/>
          <w:u w:val="single"/>
        </w:rPr>
        <w:t xml:space="preserve">           </w:t>
      </w:r>
    </w:p>
    <w:p w14:paraId="37FBBF90">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法定代表人（或非法人组织负责人）或其授权委托人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061D9596">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2D51928D">
      <w:pPr>
        <w:pStyle w:val="4"/>
        <w:adjustRightInd w:val="0"/>
        <w:snapToGrid w:val="0"/>
        <w:spacing w:before="0" w:after="0" w:line="240" w:lineRule="auto"/>
        <w:jc w:val="left"/>
        <w:rPr>
          <w:rFonts w:hint="default" w:ascii="Times New Roman" w:hAnsi="Times New Roman" w:eastAsia="仿宋" w:cs="仿宋"/>
          <w:color w:val="000000"/>
          <w:szCs w:val="28"/>
          <w:highlight w:val="none"/>
          <w:lang w:val="en-US" w:eastAsia="zh-CN"/>
        </w:rPr>
      </w:pPr>
      <w:r>
        <w:rPr>
          <w:rFonts w:hint="eastAsia" w:ascii="仿宋_GB2312" w:hAnsi="仿宋_GB2312" w:eastAsia="仿宋_GB2312" w:cs="仿宋_GB2312"/>
          <w:color w:val="000000"/>
          <w:sz w:val="24"/>
          <w:szCs w:val="24"/>
          <w:highlight w:val="none"/>
        </w:rPr>
        <w:br w:type="page"/>
      </w:r>
      <w:r>
        <w:rPr>
          <w:rFonts w:hint="eastAsia" w:ascii="Times New Roman" w:hAnsi="Times New Roman" w:eastAsia="仿宋" w:cs="仿宋"/>
          <w:color w:val="000000"/>
          <w:szCs w:val="28"/>
          <w:highlight w:val="none"/>
        </w:rPr>
        <w:t>格式</w:t>
      </w:r>
      <w:r>
        <w:rPr>
          <w:rFonts w:hint="eastAsia" w:ascii="Times New Roman" w:hAnsi="Times New Roman" w:cs="仿宋"/>
          <w:color w:val="000000"/>
          <w:szCs w:val="28"/>
          <w:highlight w:val="none"/>
          <w:lang w:val="en-US" w:eastAsia="zh-CN"/>
        </w:rPr>
        <w:t>10</w:t>
      </w:r>
    </w:p>
    <w:p w14:paraId="72979DCE">
      <w:pPr>
        <w:adjustRightInd w:val="0"/>
        <w:snapToGrid w:val="0"/>
        <w:spacing w:before="312" w:beforeLines="100" w:after="312" w:afterLines="100" w:line="360" w:lineRule="auto"/>
        <w:ind w:right="105" w:rightChars="50"/>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投标人关联单位说明</w:t>
      </w:r>
    </w:p>
    <w:p w14:paraId="20AD52FC">
      <w:pPr>
        <w:pStyle w:val="34"/>
        <w:ind w:firstLine="0" w:firstLineChars="0"/>
        <w:jc w:val="center"/>
        <w:rPr>
          <w:rFonts w:hint="eastAsia" w:ascii="Times New Roman" w:hAnsi="Times New Roman" w:eastAsia="仿宋" w:cs="仿宋"/>
          <w:b/>
          <w:bCs/>
          <w:color w:val="000000"/>
          <w:kern w:val="2"/>
          <w:sz w:val="28"/>
          <w:szCs w:val="28"/>
          <w:highlight w:val="none"/>
        </w:rPr>
      </w:pPr>
      <w:r>
        <w:rPr>
          <w:rFonts w:hint="eastAsia" w:ascii="Times New Roman" w:hAnsi="Times New Roman" w:eastAsia="仿宋" w:cs="仿宋"/>
          <w:b/>
          <w:bCs/>
          <w:color w:val="000000"/>
          <w:kern w:val="2"/>
          <w:sz w:val="28"/>
          <w:szCs w:val="28"/>
          <w:highlight w:val="none"/>
        </w:rPr>
        <w:t>（格式自拟）</w:t>
      </w:r>
    </w:p>
    <w:p w14:paraId="1A9C829F">
      <w:pPr>
        <w:pStyle w:val="34"/>
        <w:rPr>
          <w:rFonts w:hint="eastAsia" w:ascii="Times New Roman" w:hAnsi="Times New Roman" w:eastAsia="仿宋" w:cs="仿宋"/>
          <w:color w:val="000000"/>
          <w:highlight w:val="none"/>
        </w:rPr>
      </w:pPr>
    </w:p>
    <w:p w14:paraId="30BD3D0F">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37E56D26">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267F6CEB">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700DD5CC">
      <w:pPr>
        <w:pStyle w:val="34"/>
        <w:rPr>
          <w:rFonts w:hint="eastAsia" w:ascii="Times New Roman" w:hAnsi="Times New Roman" w:eastAsia="仿宋" w:cs="仿宋"/>
          <w:color w:val="000000"/>
          <w:highlight w:val="none"/>
        </w:rPr>
      </w:pPr>
    </w:p>
    <w:p w14:paraId="1A3D8DC2">
      <w:pPr>
        <w:pStyle w:val="34"/>
        <w:rPr>
          <w:rFonts w:hint="eastAsia" w:ascii="Times New Roman" w:hAnsi="Times New Roman" w:eastAsia="仿宋" w:cs="仿宋"/>
          <w:color w:val="000000"/>
          <w:highlight w:val="none"/>
        </w:rPr>
      </w:pPr>
    </w:p>
    <w:p w14:paraId="7A0CE0DE">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3F289494">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6DEBB225">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投标人名称（加盖单位公章）：</w:t>
      </w:r>
      <w:r>
        <w:rPr>
          <w:rFonts w:hint="eastAsia" w:ascii="仿宋_GB2312" w:hAnsi="仿宋_GB2312" w:eastAsia="仿宋_GB2312" w:cs="仿宋_GB2312"/>
          <w:color w:val="000000"/>
          <w:sz w:val="24"/>
          <w:szCs w:val="24"/>
          <w:highlight w:val="none"/>
          <w:u w:val="single"/>
        </w:rPr>
        <w:t xml:space="preserve">           </w:t>
      </w:r>
    </w:p>
    <w:p w14:paraId="0E7ACFA4">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法定代表人（或非法人组织负责人）或其授权委托人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4A902C54">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38269691">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p>
    <w:p w14:paraId="29A79D30">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p>
    <w:p w14:paraId="27A662BE">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bCs/>
          <w:color w:val="000000"/>
          <w:sz w:val="24"/>
          <w:szCs w:val="24"/>
          <w:highlight w:val="none"/>
        </w:rPr>
        <w:t>说明</w:t>
      </w:r>
      <w:r>
        <w:rPr>
          <w:rFonts w:hint="eastAsia" w:ascii="仿宋_GB2312" w:hAnsi="仿宋_GB2312" w:eastAsia="仿宋_GB2312" w:cs="仿宋_GB2312"/>
          <w:color w:val="000000"/>
          <w:sz w:val="24"/>
          <w:szCs w:val="24"/>
          <w:highlight w:val="none"/>
        </w:rPr>
        <w:t>：投标人应当如实披露与本单位存在下列关联关系的单位名称：</w:t>
      </w:r>
    </w:p>
    <w:p w14:paraId="56682A9C">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（1）与投标人单位法定代表人（或非法人组织负责人）为同一人的其他单位；</w:t>
      </w:r>
    </w:p>
    <w:p w14:paraId="4DE186E8">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（2）与投标人存在直接控股、管理关系的其他单位。</w:t>
      </w:r>
    </w:p>
    <w:p w14:paraId="19846B0E">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rPr>
        <w:t>注：若无此情形，写“无”即可</w:t>
      </w:r>
      <w:r>
        <w:rPr>
          <w:rFonts w:hint="eastAsia" w:ascii="仿宋_GB2312" w:hAnsi="仿宋_GB2312" w:eastAsia="仿宋_GB2312" w:cs="仿宋_GB2312"/>
          <w:color w:val="000000"/>
          <w:sz w:val="24"/>
          <w:szCs w:val="24"/>
          <w:highlight w:val="none"/>
          <w:lang w:eastAsia="zh-CN"/>
        </w:rPr>
        <w:t>。</w:t>
      </w:r>
    </w:p>
    <w:p w14:paraId="11BC4CEC">
      <w:pPr>
        <w:pStyle w:val="34"/>
        <w:rPr>
          <w:rFonts w:hint="eastAsia" w:ascii="仿宋_GB2312" w:hAnsi="仿宋_GB2312" w:eastAsia="仿宋_GB2312" w:cs="仿宋_GB2312"/>
          <w:color w:val="000000"/>
          <w:sz w:val="24"/>
          <w:szCs w:val="24"/>
          <w:highlight w:val="none"/>
        </w:rPr>
      </w:pPr>
    </w:p>
    <w:p w14:paraId="48DD2195">
      <w:pPr>
        <w:pStyle w:val="34"/>
        <w:rPr>
          <w:rFonts w:hint="eastAsia" w:ascii="Times New Roman" w:hAnsi="Times New Roman" w:eastAsia="仿宋" w:cs="仿宋"/>
          <w:color w:val="000000"/>
          <w:highlight w:val="none"/>
        </w:rPr>
      </w:pPr>
    </w:p>
    <w:p w14:paraId="04206E5C">
      <w:pPr>
        <w:pStyle w:val="34"/>
        <w:rPr>
          <w:rFonts w:hint="eastAsia" w:ascii="Times New Roman" w:hAnsi="Times New Roman" w:eastAsia="仿宋" w:cs="仿宋"/>
          <w:color w:val="000000"/>
          <w:highlight w:val="none"/>
        </w:rPr>
      </w:pPr>
    </w:p>
    <w:p w14:paraId="67A7165A">
      <w:pPr>
        <w:pStyle w:val="34"/>
        <w:rPr>
          <w:rFonts w:hint="eastAsia" w:ascii="Times New Roman" w:hAnsi="Times New Roman" w:eastAsia="仿宋" w:cs="仿宋"/>
          <w:color w:val="000000"/>
          <w:highlight w:val="none"/>
        </w:rPr>
      </w:pPr>
    </w:p>
    <w:p w14:paraId="21A9765B">
      <w:pPr>
        <w:pStyle w:val="34"/>
        <w:rPr>
          <w:rFonts w:hint="eastAsia" w:ascii="Times New Roman" w:hAnsi="Times New Roman" w:eastAsia="仿宋" w:cs="仿宋"/>
          <w:color w:val="000000"/>
          <w:highlight w:val="none"/>
        </w:rPr>
      </w:pPr>
    </w:p>
    <w:p w14:paraId="65BDAD49">
      <w:pPr>
        <w:pStyle w:val="34"/>
        <w:rPr>
          <w:rFonts w:hint="eastAsia" w:ascii="Times New Roman" w:hAnsi="Times New Roman" w:eastAsia="仿宋" w:cs="仿宋"/>
          <w:color w:val="000000"/>
          <w:highlight w:val="none"/>
        </w:rPr>
      </w:pPr>
    </w:p>
    <w:p w14:paraId="4143ECFD">
      <w:pPr>
        <w:pStyle w:val="34"/>
        <w:rPr>
          <w:rFonts w:hint="eastAsia" w:ascii="Times New Roman" w:hAnsi="Times New Roman" w:eastAsia="仿宋" w:cs="仿宋"/>
          <w:color w:val="000000"/>
          <w:highlight w:val="none"/>
        </w:rPr>
      </w:pPr>
    </w:p>
    <w:p w14:paraId="2D3F0D71">
      <w:pPr>
        <w:pStyle w:val="34"/>
        <w:rPr>
          <w:rFonts w:hint="eastAsia" w:ascii="Times New Roman" w:hAnsi="Times New Roman" w:eastAsia="仿宋" w:cs="仿宋"/>
          <w:color w:val="000000"/>
          <w:highlight w:val="none"/>
        </w:rPr>
      </w:pPr>
    </w:p>
    <w:p w14:paraId="3381E5B8">
      <w:pPr>
        <w:pStyle w:val="34"/>
        <w:rPr>
          <w:rFonts w:hint="eastAsia" w:ascii="Times New Roman" w:hAnsi="Times New Roman" w:eastAsia="仿宋" w:cs="仿宋"/>
          <w:color w:val="000000"/>
          <w:highlight w:val="none"/>
        </w:rPr>
      </w:pPr>
    </w:p>
    <w:p w14:paraId="22E8C336">
      <w:pPr>
        <w:pStyle w:val="4"/>
        <w:adjustRightInd w:val="0"/>
        <w:snapToGrid w:val="0"/>
        <w:spacing w:before="0" w:after="0" w:line="240" w:lineRule="auto"/>
        <w:jc w:val="left"/>
        <w:rPr>
          <w:rFonts w:hint="default" w:ascii="Times New Roman" w:hAnsi="Times New Roman" w:eastAsia="仿宋" w:cs="仿宋"/>
          <w:color w:val="000000"/>
          <w:szCs w:val="28"/>
          <w:highlight w:val="none"/>
          <w:lang w:val="en-US" w:eastAsia="zh-CN"/>
        </w:rPr>
      </w:pPr>
      <w:r>
        <w:rPr>
          <w:rFonts w:hint="eastAsia" w:ascii="Times New Roman" w:hAnsi="Times New Roman" w:eastAsia="仿宋" w:cs="仿宋"/>
          <w:color w:val="000000"/>
          <w:szCs w:val="28"/>
          <w:highlight w:val="none"/>
        </w:rPr>
        <w:t>格式</w:t>
      </w:r>
      <w:r>
        <w:rPr>
          <w:rFonts w:hint="eastAsia" w:ascii="Times New Roman" w:hAnsi="Times New Roman" w:cs="仿宋"/>
          <w:color w:val="000000"/>
          <w:szCs w:val="28"/>
          <w:highlight w:val="none"/>
          <w:lang w:val="en-US" w:eastAsia="zh-CN"/>
        </w:rPr>
        <w:t>11</w:t>
      </w:r>
    </w:p>
    <w:p w14:paraId="1C6729CF">
      <w:pPr>
        <w:spacing w:before="312" w:beforeLines="100" w:after="312" w:afterLines="100" w:line="360" w:lineRule="auto"/>
        <w:ind w:right="-21" w:rightChars="-10"/>
        <w:jc w:val="center"/>
        <w:rPr>
          <w:rFonts w:hint="eastAsia" w:ascii="宋体" w:hAnsi="宋体" w:eastAsia="宋体" w:cs="宋体"/>
          <w:b/>
          <w:color w:val="000000"/>
          <w:sz w:val="32"/>
          <w:szCs w:val="32"/>
          <w:highlight w:val="none"/>
        </w:rPr>
      </w:pPr>
      <w:bookmarkStart w:id="114" w:name="_Toc24841_WPSOffice_Level2"/>
      <w:bookmarkStart w:id="115" w:name="_Toc14782_WPSOffice_Level2"/>
      <w:r>
        <w:rPr>
          <w:rFonts w:hint="eastAsia" w:ascii="宋体" w:hAnsi="宋体" w:eastAsia="宋体" w:cs="宋体"/>
          <w:b/>
          <w:color w:val="000000"/>
          <w:sz w:val="32"/>
          <w:szCs w:val="32"/>
          <w:highlight w:val="none"/>
        </w:rPr>
        <w:t>投标函</w:t>
      </w:r>
      <w:bookmarkEnd w:id="114"/>
      <w:bookmarkEnd w:id="115"/>
    </w:p>
    <w:p w14:paraId="51ACA4B1">
      <w:pPr>
        <w:spacing w:line="360" w:lineRule="auto"/>
        <w:ind w:right="630" w:rightChars="3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u w:val="single"/>
        </w:rPr>
        <w:t>（采购人或采购代理机构名称）</w:t>
      </w:r>
      <w:r>
        <w:rPr>
          <w:rFonts w:hint="eastAsia" w:ascii="仿宋_GB2312" w:hAnsi="仿宋_GB2312" w:eastAsia="仿宋_GB2312" w:cs="仿宋_GB2312"/>
          <w:b/>
          <w:color w:val="000000"/>
          <w:sz w:val="24"/>
          <w:szCs w:val="24"/>
          <w:highlight w:val="none"/>
        </w:rPr>
        <w:t>：</w:t>
      </w:r>
    </w:p>
    <w:p w14:paraId="394AA484">
      <w:pPr>
        <w:adjustRightInd w:val="0"/>
        <w:snapToGrid w:val="0"/>
        <w:spacing w:line="360" w:lineRule="auto"/>
        <w:ind w:right="-21" w:rightChars="-10" w:firstLine="42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根据贵方</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u w:val="single"/>
        </w:rPr>
        <w:t>项目名称</w:t>
      </w:r>
      <w:r>
        <w:rPr>
          <w:rFonts w:hint="eastAsia" w:ascii="仿宋_GB2312" w:hAnsi="仿宋_GB2312" w:eastAsia="仿宋_GB2312" w:cs="仿宋_GB2312"/>
          <w:color w:val="000000"/>
          <w:sz w:val="24"/>
          <w:szCs w:val="24"/>
          <w:highlight w:val="none"/>
          <w:u w:val="single"/>
          <w:lang w:eastAsia="zh-CN"/>
        </w:rPr>
        <w:t>）</w:t>
      </w:r>
      <w:r>
        <w:rPr>
          <w:rFonts w:hint="eastAsia" w:ascii="仿宋_GB2312" w:hAnsi="仿宋_GB2312" w:eastAsia="仿宋_GB2312" w:cs="仿宋_GB2312"/>
          <w:color w:val="000000"/>
          <w:sz w:val="24"/>
          <w:szCs w:val="24"/>
          <w:highlight w:val="none"/>
        </w:rPr>
        <w:t>项目的招标公告</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u w:val="single"/>
        </w:rPr>
        <w:t>招标编号</w:t>
      </w:r>
      <w:r>
        <w:rPr>
          <w:rFonts w:hint="eastAsia" w:ascii="仿宋_GB2312" w:hAnsi="仿宋_GB2312" w:eastAsia="仿宋_GB2312" w:cs="仿宋_GB2312"/>
          <w:color w:val="000000"/>
          <w:sz w:val="24"/>
          <w:szCs w:val="24"/>
          <w:highlight w:val="none"/>
          <w:u w:val="single"/>
          <w:lang w:eastAsia="zh-CN"/>
        </w:rPr>
        <w:t>），</w:t>
      </w:r>
      <w:r>
        <w:rPr>
          <w:rFonts w:hint="eastAsia" w:ascii="仿宋_GB2312" w:hAnsi="仿宋_GB2312" w:eastAsia="仿宋_GB2312" w:cs="仿宋_GB2312"/>
          <w:color w:val="000000"/>
          <w:sz w:val="24"/>
          <w:szCs w:val="24"/>
          <w:highlight w:val="none"/>
        </w:rPr>
        <w:t>签字代表</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u w:val="single"/>
        </w:rPr>
        <w:t>姓名、职务</w:t>
      </w:r>
      <w:r>
        <w:rPr>
          <w:rFonts w:hint="eastAsia" w:ascii="仿宋_GB2312" w:hAnsi="仿宋_GB2312" w:eastAsia="仿宋_GB2312" w:cs="仿宋_GB2312"/>
          <w:color w:val="000000"/>
          <w:sz w:val="24"/>
          <w:szCs w:val="24"/>
          <w:highlight w:val="none"/>
          <w:u w:val="single"/>
          <w:lang w:eastAsia="zh-CN"/>
        </w:rPr>
        <w:t>）</w:t>
      </w:r>
      <w:r>
        <w:rPr>
          <w:rFonts w:hint="eastAsia" w:ascii="仿宋_GB2312" w:hAnsi="仿宋_GB2312" w:eastAsia="仿宋_GB2312" w:cs="仿宋_GB2312"/>
          <w:color w:val="000000"/>
          <w:sz w:val="24"/>
          <w:szCs w:val="24"/>
          <w:highlight w:val="none"/>
        </w:rPr>
        <w:t>经正式授权并代表投标人</w:t>
      </w:r>
      <w:r>
        <w:rPr>
          <w:rFonts w:hint="eastAsia" w:ascii="仿宋_GB2312" w:hAnsi="仿宋_GB2312" w:eastAsia="仿宋_GB2312" w:cs="仿宋_GB2312"/>
          <w:color w:val="000000"/>
          <w:sz w:val="24"/>
          <w:szCs w:val="24"/>
          <w:highlight w:val="none"/>
          <w:u w:val="single"/>
        </w:rPr>
        <w:t>（名称、地址）</w:t>
      </w:r>
      <w:r>
        <w:rPr>
          <w:rFonts w:hint="eastAsia" w:ascii="仿宋_GB2312" w:hAnsi="仿宋_GB2312" w:eastAsia="仿宋_GB2312" w:cs="仿宋_GB2312"/>
          <w:color w:val="000000"/>
          <w:sz w:val="24"/>
          <w:szCs w:val="24"/>
          <w:highlight w:val="none"/>
        </w:rPr>
        <w:t>提交电子投标文件，以</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形式自愿递交电子加密备份文件（</w:t>
      </w:r>
      <w:r>
        <w:rPr>
          <w:rFonts w:hint="eastAsia" w:ascii="仿宋_GB2312" w:hAnsi="仿宋_GB2312" w:eastAsia="仿宋_GB2312" w:cs="仿宋_GB2312"/>
          <w:color w:val="000000"/>
          <w:kern w:val="0"/>
          <w:sz w:val="24"/>
          <w:szCs w:val="24"/>
          <w:highlight w:val="none"/>
        </w:rPr>
        <w:sym w:font="Wingdings 2" w:char="00A3"/>
      </w:r>
      <w:r>
        <w:rPr>
          <w:rFonts w:hint="eastAsia" w:ascii="仿宋_GB2312" w:hAnsi="仿宋_GB2312" w:eastAsia="仿宋_GB2312" w:cs="仿宋_GB2312"/>
          <w:color w:val="000000"/>
          <w:kern w:val="0"/>
          <w:sz w:val="24"/>
          <w:szCs w:val="24"/>
          <w:highlight w:val="none"/>
        </w:rPr>
        <w:t>是/</w:t>
      </w:r>
      <w:r>
        <w:rPr>
          <w:rFonts w:hint="eastAsia" w:ascii="仿宋_GB2312" w:hAnsi="仿宋_GB2312" w:eastAsia="仿宋_GB2312" w:cs="仿宋_GB2312"/>
          <w:color w:val="000000"/>
          <w:kern w:val="0"/>
          <w:sz w:val="24"/>
          <w:szCs w:val="24"/>
          <w:highlight w:val="none"/>
        </w:rPr>
        <w:sym w:font="Wingdings 2" w:char="00A3"/>
      </w:r>
      <w:r>
        <w:rPr>
          <w:rFonts w:hint="eastAsia" w:ascii="仿宋_GB2312" w:hAnsi="仿宋_GB2312" w:eastAsia="仿宋_GB2312" w:cs="仿宋_GB2312"/>
          <w:color w:val="000000"/>
          <w:kern w:val="0"/>
          <w:sz w:val="24"/>
          <w:szCs w:val="24"/>
          <w:highlight w:val="none"/>
        </w:rPr>
        <w:t>否</w:t>
      </w:r>
      <w:r>
        <w:rPr>
          <w:rFonts w:hint="eastAsia" w:ascii="仿宋_GB2312" w:hAnsi="仿宋_GB2312" w:eastAsia="仿宋_GB2312" w:cs="仿宋_GB2312"/>
          <w:color w:val="000000"/>
          <w:sz w:val="24"/>
          <w:szCs w:val="24"/>
          <w:highlight w:val="none"/>
        </w:rPr>
        <w:t>），以</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形式出具金额为人民币</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元的投标保证金。</w:t>
      </w:r>
    </w:p>
    <w:p w14:paraId="66B61EBE">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据此，签字代表宣布同意如下：</w:t>
      </w:r>
    </w:p>
    <w:p w14:paraId="73016672">
      <w:pPr>
        <w:numPr>
          <w:ilvl w:val="0"/>
          <w:numId w:val="3"/>
        </w:num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本项目投标总价详见开标一览表。</w:t>
      </w:r>
    </w:p>
    <w:p w14:paraId="166DC294">
      <w:pPr>
        <w:numPr>
          <w:ilvl w:val="0"/>
          <w:numId w:val="3"/>
        </w:num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本投标有效期为自递交投标文件截止之日起</w:t>
      </w:r>
      <w:r>
        <w:rPr>
          <w:rFonts w:hint="eastAsia" w:ascii="仿宋_GB2312" w:hAnsi="仿宋_GB2312" w:eastAsia="仿宋_GB2312" w:cs="仿宋_GB2312"/>
          <w:color w:val="000000"/>
          <w:sz w:val="24"/>
          <w:szCs w:val="24"/>
          <w:highlight w:val="none"/>
          <w:u w:val="single"/>
        </w:rPr>
        <w:t>90</w:t>
      </w:r>
      <w:r>
        <w:rPr>
          <w:rFonts w:hint="eastAsia" w:ascii="仿宋_GB2312" w:hAnsi="仿宋_GB2312" w:eastAsia="仿宋_GB2312" w:cs="仿宋_GB2312"/>
          <w:color w:val="000000"/>
          <w:sz w:val="24"/>
          <w:szCs w:val="24"/>
          <w:highlight w:val="none"/>
        </w:rPr>
        <w:t>日历日。</w:t>
      </w:r>
    </w:p>
    <w:p w14:paraId="31ED524C">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（3）已详细审查全部招标文件，包括所有补充通知（如果有的话）。</w:t>
      </w:r>
    </w:p>
    <w:p w14:paraId="57259A0D">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（4）在规定的开标时间后，遵守招标文件中有关保证金的规定。</w:t>
      </w:r>
    </w:p>
    <w:p w14:paraId="33003E9B">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（5）我方不是为本项目提供整体设计、规范编制或者项目管理、监理、检测等服务的供应商，我方不是采购代理机构的附属机构。</w:t>
      </w:r>
    </w:p>
    <w:p w14:paraId="16E50D05">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（6）在领取中标通知书的同时按招标文件规定的形式，向采购代理机构一次性支付采购代理服务费（适用于中标人支付采购代理服务费情形）。</w:t>
      </w:r>
    </w:p>
    <w:p w14:paraId="54E05689">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（7）按照贵方可能要求，提供与其投标有关的一切数据或资料，完全理解贵方不一定接受最低价的投标或收到的任何投标。</w:t>
      </w:r>
    </w:p>
    <w:p w14:paraId="11414F6D">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（8）按照招标文件的规定履行合同责任和义务。</w:t>
      </w:r>
    </w:p>
    <w:p w14:paraId="1DB3FCF0">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（9）我方承诺投标文件中的证明材料真实、合法、有效。</w:t>
      </w:r>
    </w:p>
    <w:p w14:paraId="5A7662E6">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（10）我方承诺无串通投标行为。</w:t>
      </w:r>
    </w:p>
    <w:p w14:paraId="3D2D0BF1">
      <w:pPr>
        <w:adjustRightInd w:val="0"/>
        <w:snapToGrid w:val="0"/>
        <w:spacing w:line="360" w:lineRule="auto"/>
        <w:ind w:right="-21" w:rightChars="-1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其他事项：</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w:t>
      </w:r>
    </w:p>
    <w:p w14:paraId="2E534F59">
      <w:pPr>
        <w:adjustRightInd w:val="0"/>
        <w:snapToGrid w:val="0"/>
        <w:spacing w:line="360" w:lineRule="auto"/>
        <w:ind w:right="-21" w:rightChars="-10"/>
        <w:rPr>
          <w:rFonts w:hint="eastAsia" w:ascii="仿宋_GB2312" w:hAnsi="仿宋_GB2312" w:eastAsia="仿宋_GB2312" w:cs="仿宋_GB2312"/>
          <w:color w:val="000000"/>
          <w:sz w:val="24"/>
          <w:szCs w:val="24"/>
          <w:highlight w:val="none"/>
        </w:rPr>
      </w:pPr>
    </w:p>
    <w:p w14:paraId="7F167AF4">
      <w:pPr>
        <w:adjustRightInd w:val="0"/>
        <w:snapToGrid w:val="0"/>
        <w:spacing w:line="360" w:lineRule="auto"/>
        <w:ind w:right="-21" w:rightChars="-10"/>
        <w:rPr>
          <w:rFonts w:hint="eastAsia" w:ascii="仿宋_GB2312" w:hAnsi="仿宋_GB2312" w:eastAsia="仿宋_GB2312" w:cs="仿宋_GB2312"/>
          <w:color w:val="000000"/>
          <w:sz w:val="24"/>
          <w:szCs w:val="24"/>
          <w:highlight w:val="none"/>
        </w:rPr>
      </w:pPr>
    </w:p>
    <w:p w14:paraId="609B12C5">
      <w:pPr>
        <w:adjustRightInd w:val="0"/>
        <w:snapToGrid w:val="0"/>
        <w:spacing w:line="360" w:lineRule="auto"/>
        <w:ind w:right="-21" w:rightChars="-10"/>
        <w:rPr>
          <w:rFonts w:hint="eastAsia" w:ascii="仿宋_GB2312" w:hAnsi="仿宋_GB2312" w:eastAsia="仿宋_GB2312" w:cs="仿宋_GB2312"/>
          <w:color w:val="000000"/>
          <w:sz w:val="24"/>
          <w:szCs w:val="24"/>
          <w:highlight w:val="none"/>
        </w:rPr>
      </w:pPr>
    </w:p>
    <w:p w14:paraId="112C70AC">
      <w:pPr>
        <w:adjustRightInd w:val="0"/>
        <w:snapToGrid w:val="0"/>
        <w:spacing w:line="360" w:lineRule="auto"/>
        <w:ind w:right="-21" w:rightChars="-1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与本项目有关的一切往来通讯请寄</w:t>
      </w:r>
    </w:p>
    <w:p w14:paraId="24B34812">
      <w:pPr>
        <w:adjustRightInd w:val="0"/>
        <w:snapToGrid w:val="0"/>
        <w:spacing w:line="360" w:lineRule="auto"/>
        <w:ind w:right="-21" w:rightChars="-1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地址：</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传真：</w:t>
      </w:r>
      <w:r>
        <w:rPr>
          <w:rFonts w:hint="eastAsia" w:ascii="仿宋_GB2312" w:hAnsi="仿宋_GB2312" w:eastAsia="仿宋_GB2312" w:cs="仿宋_GB2312"/>
          <w:color w:val="000000"/>
          <w:sz w:val="24"/>
          <w:szCs w:val="24"/>
          <w:highlight w:val="none"/>
          <w:u w:val="single"/>
        </w:rPr>
        <w:t xml:space="preserve">                         </w:t>
      </w:r>
    </w:p>
    <w:p w14:paraId="22867F25">
      <w:pPr>
        <w:adjustRightInd w:val="0"/>
        <w:snapToGrid w:val="0"/>
        <w:spacing w:line="360" w:lineRule="auto"/>
        <w:ind w:right="-21" w:rightChars="-1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电话：</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电子邮件：</w:t>
      </w:r>
      <w:r>
        <w:rPr>
          <w:rFonts w:hint="eastAsia" w:ascii="仿宋_GB2312" w:hAnsi="仿宋_GB2312" w:eastAsia="仿宋_GB2312" w:cs="仿宋_GB2312"/>
          <w:color w:val="000000"/>
          <w:sz w:val="24"/>
          <w:szCs w:val="24"/>
          <w:highlight w:val="none"/>
          <w:u w:val="single"/>
        </w:rPr>
        <w:t xml:space="preserve">                     </w:t>
      </w:r>
    </w:p>
    <w:p w14:paraId="3E50C932">
      <w:pPr>
        <w:adjustRightInd w:val="0"/>
        <w:snapToGrid w:val="0"/>
        <w:spacing w:line="360" w:lineRule="auto"/>
        <w:ind w:right="-21" w:rightChars="-1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法定代表人（非法人组织负责人）或其授权委托人（签字或盖章）：</w:t>
      </w:r>
      <w:r>
        <w:rPr>
          <w:rFonts w:hint="eastAsia" w:ascii="仿宋_GB2312" w:hAnsi="仿宋_GB2312" w:eastAsia="仿宋_GB2312" w:cs="仿宋_GB2312"/>
          <w:color w:val="000000"/>
          <w:sz w:val="24"/>
          <w:szCs w:val="24"/>
          <w:highlight w:val="none"/>
          <w:u w:val="single"/>
        </w:rPr>
        <w:t xml:space="preserve">       </w:t>
      </w:r>
    </w:p>
    <w:p w14:paraId="1EEABE7A">
      <w:pPr>
        <w:adjustRightInd w:val="0"/>
        <w:snapToGrid w:val="0"/>
        <w:spacing w:line="360" w:lineRule="auto"/>
        <w:ind w:right="-21" w:rightChars="-1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投标人名称（加盖单位公章）：</w:t>
      </w:r>
      <w:r>
        <w:rPr>
          <w:rFonts w:hint="eastAsia" w:ascii="仿宋_GB2312" w:hAnsi="仿宋_GB2312" w:eastAsia="仿宋_GB2312" w:cs="仿宋_GB2312"/>
          <w:color w:val="000000"/>
          <w:sz w:val="24"/>
          <w:szCs w:val="24"/>
          <w:highlight w:val="none"/>
          <w:u w:val="single"/>
        </w:rPr>
        <w:t xml:space="preserve">         </w:t>
      </w:r>
    </w:p>
    <w:p w14:paraId="26ACA70C">
      <w:pPr>
        <w:adjustRightInd w:val="0"/>
        <w:snapToGrid w:val="0"/>
        <w:spacing w:line="360" w:lineRule="auto"/>
        <w:ind w:right="-21" w:rightChars="-1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投标人开户银行（全称）：</w:t>
      </w:r>
      <w:r>
        <w:rPr>
          <w:rFonts w:hint="eastAsia" w:ascii="仿宋_GB2312" w:hAnsi="仿宋_GB2312" w:eastAsia="仿宋_GB2312" w:cs="仿宋_GB2312"/>
          <w:color w:val="000000"/>
          <w:sz w:val="24"/>
          <w:szCs w:val="24"/>
          <w:highlight w:val="none"/>
          <w:u w:val="single"/>
        </w:rPr>
        <w:t xml:space="preserve">             </w:t>
      </w:r>
    </w:p>
    <w:p w14:paraId="333226AF">
      <w:pPr>
        <w:adjustRightInd w:val="0"/>
        <w:snapToGrid w:val="0"/>
        <w:spacing w:line="360" w:lineRule="auto"/>
        <w:ind w:right="-21" w:rightChars="-1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投标人银行账号：</w:t>
      </w:r>
      <w:r>
        <w:rPr>
          <w:rFonts w:hint="eastAsia" w:ascii="仿宋_GB2312" w:hAnsi="仿宋_GB2312" w:eastAsia="仿宋_GB2312" w:cs="仿宋_GB2312"/>
          <w:color w:val="000000"/>
          <w:sz w:val="24"/>
          <w:szCs w:val="24"/>
          <w:highlight w:val="none"/>
          <w:u w:val="single"/>
        </w:rPr>
        <w:t xml:space="preserve">                     </w:t>
      </w:r>
    </w:p>
    <w:p w14:paraId="52F22D8B">
      <w:pPr>
        <w:adjustRightInd w:val="0"/>
        <w:snapToGrid w:val="0"/>
        <w:spacing w:line="360" w:lineRule="auto"/>
        <w:ind w:right="1050" w:rightChars="500"/>
        <w:jc w:val="left"/>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val="en-US" w:eastAsia="zh-CN"/>
        </w:rPr>
        <w:t xml:space="preserve">    </w:t>
      </w:r>
      <w:r>
        <w:rPr>
          <w:rFonts w:hint="eastAsia" w:ascii="仿宋_GB2312" w:hAnsi="仿宋_GB2312" w:eastAsia="仿宋_GB2312" w:cs="仿宋_GB2312"/>
          <w:color w:val="000000"/>
          <w:sz w:val="24"/>
          <w:szCs w:val="24"/>
          <w:highlight w:val="none"/>
          <w:u w:val="single"/>
        </w:rPr>
        <w:t xml:space="preserve">      </w:t>
      </w:r>
    </w:p>
    <w:p w14:paraId="4AC949BD">
      <w:pPr>
        <w:pStyle w:val="4"/>
        <w:adjustRightInd w:val="0"/>
        <w:snapToGrid w:val="0"/>
        <w:spacing w:before="0" w:after="0" w:line="240" w:lineRule="auto"/>
        <w:jc w:val="left"/>
        <w:rPr>
          <w:rFonts w:hint="default" w:ascii="Times New Roman" w:hAnsi="Times New Roman" w:eastAsia="仿宋" w:cs="仿宋"/>
          <w:color w:val="000000"/>
          <w:szCs w:val="28"/>
          <w:highlight w:val="none"/>
          <w:lang w:val="en-US" w:eastAsia="zh-CN"/>
        </w:rPr>
      </w:pPr>
      <w:r>
        <w:rPr>
          <w:rFonts w:hint="eastAsia" w:ascii="仿宋_GB2312" w:hAnsi="仿宋_GB2312" w:eastAsia="仿宋_GB2312" w:cs="仿宋_GB2312"/>
          <w:color w:val="000000"/>
          <w:sz w:val="24"/>
          <w:szCs w:val="24"/>
          <w:highlight w:val="none"/>
        </w:rPr>
        <w:br w:type="page"/>
      </w:r>
      <w:r>
        <w:rPr>
          <w:rFonts w:hint="eastAsia" w:ascii="Times New Roman" w:hAnsi="Times New Roman" w:eastAsia="仿宋" w:cs="仿宋"/>
          <w:color w:val="000000"/>
          <w:szCs w:val="28"/>
          <w:highlight w:val="none"/>
        </w:rPr>
        <w:t>格式</w:t>
      </w:r>
      <w:r>
        <w:rPr>
          <w:rFonts w:hint="eastAsia" w:ascii="Times New Roman" w:hAnsi="Times New Roman" w:cs="仿宋"/>
          <w:color w:val="000000"/>
          <w:szCs w:val="28"/>
          <w:highlight w:val="none"/>
          <w:lang w:val="en-US" w:eastAsia="zh-CN"/>
        </w:rPr>
        <w:t>12</w:t>
      </w:r>
    </w:p>
    <w:p w14:paraId="1A887571">
      <w:pPr>
        <w:adjustRightInd w:val="0"/>
        <w:snapToGrid w:val="0"/>
        <w:spacing w:before="312" w:beforeLines="100" w:after="312" w:afterLines="100" w:line="360" w:lineRule="auto"/>
        <w:ind w:right="105" w:rightChars="50"/>
        <w:jc w:val="center"/>
        <w:rPr>
          <w:rFonts w:hint="eastAsia" w:ascii="宋体" w:hAnsi="宋体" w:eastAsia="宋体" w:cs="宋体"/>
          <w:b/>
          <w:bCs/>
          <w:color w:val="000000"/>
          <w:sz w:val="32"/>
          <w:szCs w:val="32"/>
          <w:highlight w:val="none"/>
        </w:rPr>
      </w:pPr>
      <w:bookmarkStart w:id="116" w:name="_Toc2673_WPSOffice_Level2"/>
      <w:bookmarkStart w:id="117" w:name="_Toc11267_WPSOffice_Level2"/>
      <w:r>
        <w:rPr>
          <w:rFonts w:hint="eastAsia" w:ascii="宋体" w:hAnsi="宋体" w:eastAsia="宋体" w:cs="宋体"/>
          <w:b/>
          <w:bCs/>
          <w:color w:val="000000"/>
          <w:sz w:val="32"/>
          <w:szCs w:val="32"/>
          <w:highlight w:val="none"/>
        </w:rPr>
        <w:t>开标一览表</w:t>
      </w:r>
      <w:bookmarkEnd w:id="116"/>
      <w:bookmarkEnd w:id="117"/>
    </w:p>
    <w:p w14:paraId="1EFFD3F9">
      <w:pPr>
        <w:adjustRightInd w:val="0"/>
        <w:snapToGrid w:val="0"/>
        <w:spacing w:line="360" w:lineRule="auto"/>
        <w:ind w:right="105" w:rightChars="50"/>
        <w:jc w:val="left"/>
        <w:rPr>
          <w:rFonts w:hint="eastAsia" w:ascii="Times New Roman" w:hAnsi="Times New Roman" w:eastAsia="仿宋" w:cs="仿宋"/>
          <w:b/>
          <w:bCs/>
          <w:color w:val="000000"/>
          <w:szCs w:val="21"/>
          <w:highlight w:val="none"/>
        </w:rPr>
      </w:pPr>
      <w:r>
        <w:rPr>
          <w:rFonts w:hint="eastAsia" w:ascii="仿宋_GB2312" w:hAnsi="仿宋_GB2312" w:eastAsia="仿宋_GB2312" w:cs="仿宋_GB2312"/>
          <w:b/>
          <w:bCs/>
          <w:color w:val="000000"/>
          <w:sz w:val="24"/>
          <w:szCs w:val="24"/>
          <w:highlight w:val="none"/>
        </w:rPr>
        <w:t xml:space="preserve">包组编号：   </w:t>
      </w:r>
      <w:r>
        <w:rPr>
          <w:rFonts w:hint="eastAsia" w:ascii="Times New Roman" w:hAnsi="Times New Roman" w:eastAsia="仿宋" w:cs="仿宋"/>
          <w:b/>
          <w:bCs/>
          <w:color w:val="000000"/>
          <w:szCs w:val="21"/>
          <w:highlight w:val="none"/>
        </w:rPr>
        <w:t xml:space="preserve">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8"/>
        <w:gridCol w:w="5096"/>
        <w:gridCol w:w="983"/>
      </w:tblGrid>
      <w:tr w14:paraId="5121F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888" w:type="dxa"/>
            <w:noWrap w:val="0"/>
            <w:vAlign w:val="center"/>
          </w:tcPr>
          <w:p w14:paraId="6B714B54">
            <w:pPr>
              <w:adjustRightInd w:val="0"/>
              <w:snapToGrid w:val="0"/>
              <w:ind w:left="-54" w:leftChars="-26" w:right="-46" w:rightChars="-22"/>
              <w:jc w:val="cente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包组名称</w:t>
            </w:r>
          </w:p>
        </w:tc>
        <w:tc>
          <w:tcPr>
            <w:tcW w:w="5096" w:type="dxa"/>
            <w:noWrap w:val="0"/>
            <w:vAlign w:val="center"/>
          </w:tcPr>
          <w:p w14:paraId="26D13900">
            <w:pPr>
              <w:adjustRightInd w:val="0"/>
              <w:snapToGrid w:val="0"/>
              <w:ind w:left="-54" w:leftChars="-26" w:right="-46" w:rightChars="-22"/>
              <w:jc w:val="cente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投标总价</w:t>
            </w:r>
          </w:p>
          <w:p w14:paraId="0639A62C">
            <w:pPr>
              <w:adjustRightInd w:val="0"/>
              <w:snapToGrid w:val="0"/>
              <w:ind w:left="-54" w:leftChars="-26" w:right="-46" w:rightChars="-22"/>
              <w:jc w:val="cente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Cs/>
                <w:color w:val="000000"/>
                <w:sz w:val="24"/>
                <w:szCs w:val="24"/>
                <w:highlight w:val="none"/>
              </w:rPr>
              <w:t>（元）</w:t>
            </w:r>
          </w:p>
        </w:tc>
        <w:tc>
          <w:tcPr>
            <w:tcW w:w="983" w:type="dxa"/>
            <w:noWrap w:val="0"/>
            <w:vAlign w:val="center"/>
          </w:tcPr>
          <w:p w14:paraId="2C7B8271">
            <w:pPr>
              <w:adjustRightInd w:val="0"/>
              <w:snapToGrid w:val="0"/>
              <w:ind w:left="-54" w:leftChars="-26" w:right="-46" w:rightChars="-22"/>
              <w:jc w:val="cente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备注</w:t>
            </w:r>
          </w:p>
        </w:tc>
      </w:tr>
      <w:tr w14:paraId="6BA95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888" w:type="dxa"/>
            <w:noWrap w:val="0"/>
            <w:vAlign w:val="center"/>
          </w:tcPr>
          <w:p w14:paraId="6E98B706">
            <w:pPr>
              <w:adjustRightInd w:val="0"/>
              <w:snapToGrid w:val="0"/>
              <w:ind w:left="-54" w:leftChars="-26" w:right="-46" w:rightChars="-22"/>
              <w:jc w:val="center"/>
              <w:rPr>
                <w:rFonts w:hint="eastAsia" w:ascii="仿宋_GB2312" w:hAnsi="仿宋_GB2312" w:eastAsia="仿宋_GB2312" w:cs="仿宋_GB2312"/>
                <w:color w:val="000000"/>
                <w:sz w:val="24"/>
                <w:szCs w:val="24"/>
                <w:highlight w:val="none"/>
              </w:rPr>
            </w:pPr>
          </w:p>
        </w:tc>
        <w:tc>
          <w:tcPr>
            <w:tcW w:w="5096" w:type="dxa"/>
            <w:noWrap w:val="0"/>
            <w:vAlign w:val="center"/>
          </w:tcPr>
          <w:p w14:paraId="1CC744D9">
            <w:pPr>
              <w:adjustRightInd w:val="0"/>
              <w:snapToGrid w:val="0"/>
              <w:ind w:left="-54" w:leftChars="-26" w:right="-46" w:rightChars="-22"/>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小写：</w:t>
            </w:r>
          </w:p>
          <w:p w14:paraId="2774FFCE">
            <w:pPr>
              <w:adjustRightInd w:val="0"/>
              <w:snapToGrid w:val="0"/>
              <w:ind w:left="-54" w:leftChars="-26" w:right="-46" w:rightChars="-22"/>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大写：</w:t>
            </w:r>
          </w:p>
        </w:tc>
        <w:tc>
          <w:tcPr>
            <w:tcW w:w="983" w:type="dxa"/>
            <w:noWrap w:val="0"/>
            <w:vAlign w:val="center"/>
          </w:tcPr>
          <w:p w14:paraId="195477F8">
            <w:pPr>
              <w:adjustRightInd w:val="0"/>
              <w:snapToGrid w:val="0"/>
              <w:ind w:left="-54" w:leftChars="-26" w:right="-46" w:rightChars="-22"/>
              <w:jc w:val="center"/>
              <w:rPr>
                <w:rFonts w:hint="eastAsia" w:ascii="仿宋_GB2312" w:hAnsi="仿宋_GB2312" w:eastAsia="仿宋_GB2312" w:cs="仿宋_GB2312"/>
                <w:color w:val="000000"/>
                <w:sz w:val="24"/>
                <w:szCs w:val="24"/>
                <w:highlight w:val="none"/>
              </w:rPr>
            </w:pPr>
          </w:p>
        </w:tc>
      </w:tr>
    </w:tbl>
    <w:p w14:paraId="68EDA871">
      <w:pPr>
        <w:adjustRightInd w:val="0"/>
        <w:snapToGrid w:val="0"/>
        <w:spacing w:line="360" w:lineRule="auto"/>
        <w:ind w:right="105" w:rightChars="50" w:firstLine="420" w:firstLineChars="200"/>
        <w:jc w:val="left"/>
        <w:rPr>
          <w:rFonts w:hint="eastAsia" w:ascii="Times New Roman" w:hAnsi="Times New Roman" w:eastAsia="仿宋" w:cs="仿宋"/>
          <w:color w:val="000000"/>
          <w:szCs w:val="21"/>
          <w:highlight w:val="none"/>
        </w:rPr>
      </w:pPr>
    </w:p>
    <w:p w14:paraId="4A42C10E">
      <w:pPr>
        <w:adjustRightInd w:val="0"/>
        <w:snapToGrid w:val="0"/>
        <w:spacing w:line="360" w:lineRule="auto"/>
        <w:ind w:right="105" w:rightChars="50"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注：此表中，投标总价应和分项报价表的总价相一致。</w:t>
      </w:r>
    </w:p>
    <w:p w14:paraId="078D3E1E">
      <w:pPr>
        <w:adjustRightInd w:val="0"/>
        <w:snapToGrid w:val="0"/>
        <w:spacing w:line="360" w:lineRule="auto"/>
        <w:ind w:right="105" w:rightChars="50" w:firstLine="544" w:firstLineChars="227"/>
        <w:jc w:val="left"/>
        <w:rPr>
          <w:rFonts w:hint="eastAsia" w:ascii="Times New Roman" w:hAnsi="Times New Roman" w:eastAsia="仿宋" w:cs="仿宋"/>
          <w:color w:val="000000"/>
          <w:sz w:val="24"/>
          <w:szCs w:val="24"/>
          <w:highlight w:val="none"/>
        </w:rPr>
      </w:pPr>
    </w:p>
    <w:p w14:paraId="0FE4D37E">
      <w:pPr>
        <w:adjustRightInd w:val="0"/>
        <w:snapToGrid w:val="0"/>
        <w:spacing w:line="360" w:lineRule="auto"/>
        <w:ind w:right="105" w:rightChars="50" w:firstLine="544" w:firstLineChars="227"/>
        <w:jc w:val="left"/>
        <w:rPr>
          <w:rFonts w:hint="eastAsia" w:ascii="Times New Roman" w:hAnsi="Times New Roman" w:eastAsia="仿宋" w:cs="仿宋"/>
          <w:color w:val="000000"/>
          <w:sz w:val="24"/>
          <w:szCs w:val="24"/>
          <w:highlight w:val="none"/>
        </w:rPr>
      </w:pPr>
    </w:p>
    <w:p w14:paraId="56E6E612">
      <w:pPr>
        <w:adjustRightInd w:val="0"/>
        <w:snapToGrid w:val="0"/>
        <w:spacing w:line="360" w:lineRule="auto"/>
        <w:ind w:right="105" w:rightChars="50" w:firstLine="544" w:firstLineChars="227"/>
        <w:jc w:val="left"/>
        <w:rPr>
          <w:rFonts w:hint="eastAsia" w:ascii="Times New Roman" w:hAnsi="Times New Roman" w:eastAsia="仿宋" w:cs="仿宋"/>
          <w:color w:val="000000"/>
          <w:sz w:val="24"/>
          <w:szCs w:val="24"/>
          <w:highlight w:val="none"/>
        </w:rPr>
      </w:pPr>
    </w:p>
    <w:p w14:paraId="120657E0">
      <w:pPr>
        <w:adjustRightInd w:val="0"/>
        <w:snapToGrid w:val="0"/>
        <w:spacing w:line="360" w:lineRule="auto"/>
        <w:ind w:right="105" w:rightChars="50" w:firstLine="544" w:firstLineChars="227"/>
        <w:jc w:val="left"/>
        <w:rPr>
          <w:rFonts w:hint="eastAsia" w:ascii="Times New Roman" w:hAnsi="Times New Roman" w:eastAsia="仿宋" w:cs="仿宋"/>
          <w:color w:val="000000"/>
          <w:sz w:val="24"/>
          <w:szCs w:val="24"/>
          <w:highlight w:val="none"/>
        </w:rPr>
      </w:pPr>
    </w:p>
    <w:p w14:paraId="44B128A4">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p>
    <w:p w14:paraId="43F2F343">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投标人名称（加盖单位公章）：</w:t>
      </w:r>
      <w:r>
        <w:rPr>
          <w:rFonts w:hint="eastAsia" w:ascii="仿宋_GB2312" w:hAnsi="仿宋_GB2312" w:eastAsia="仿宋_GB2312" w:cs="仿宋_GB2312"/>
          <w:color w:val="000000"/>
          <w:sz w:val="24"/>
          <w:szCs w:val="24"/>
          <w:highlight w:val="none"/>
          <w:u w:val="single"/>
        </w:rPr>
        <w:t xml:space="preserve">           </w:t>
      </w:r>
    </w:p>
    <w:p w14:paraId="0A38CFD0">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法定代表人（或非法人组织负责人）或其授权委托人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1774C2A7">
      <w:pPr>
        <w:spacing w:line="480" w:lineRule="auto"/>
        <w:ind w:right="1050" w:rightChars="500"/>
        <w:jc w:val="left"/>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w:t>
      </w:r>
    </w:p>
    <w:p w14:paraId="28AE65D4">
      <w:pPr>
        <w:adjustRightInd w:val="0"/>
        <w:snapToGrid w:val="0"/>
        <w:spacing w:line="360" w:lineRule="auto"/>
        <w:ind w:right="105" w:rightChars="50"/>
        <w:jc w:val="left"/>
        <w:rPr>
          <w:rFonts w:hint="eastAsia" w:ascii="Times New Roman" w:hAnsi="Times New Roman" w:eastAsia="仿宋" w:cs="仿宋"/>
          <w:color w:val="000000"/>
          <w:szCs w:val="21"/>
          <w:highlight w:val="none"/>
        </w:rPr>
      </w:pPr>
    </w:p>
    <w:p w14:paraId="738EA291">
      <w:pPr>
        <w:adjustRightInd w:val="0"/>
        <w:snapToGrid w:val="0"/>
        <w:spacing w:line="360" w:lineRule="auto"/>
        <w:ind w:right="105" w:rightChars="50"/>
        <w:jc w:val="left"/>
        <w:rPr>
          <w:rFonts w:hint="eastAsia" w:ascii="Times New Roman" w:hAnsi="Times New Roman" w:eastAsia="仿宋" w:cs="仿宋"/>
          <w:color w:val="000000"/>
          <w:szCs w:val="21"/>
          <w:highlight w:val="none"/>
        </w:rPr>
      </w:pPr>
    </w:p>
    <w:p w14:paraId="16049F47">
      <w:pPr>
        <w:adjustRightInd w:val="0"/>
        <w:snapToGrid w:val="0"/>
        <w:spacing w:line="360" w:lineRule="auto"/>
        <w:ind w:right="105" w:rightChars="50"/>
        <w:jc w:val="left"/>
        <w:rPr>
          <w:rFonts w:hint="eastAsia" w:ascii="Times New Roman" w:hAnsi="Times New Roman" w:eastAsia="仿宋" w:cs="仿宋"/>
          <w:color w:val="000000"/>
          <w:szCs w:val="21"/>
          <w:highlight w:val="none"/>
        </w:rPr>
      </w:pPr>
    </w:p>
    <w:p w14:paraId="3F4D8806">
      <w:pPr>
        <w:adjustRightInd w:val="0"/>
        <w:snapToGrid w:val="0"/>
        <w:spacing w:line="360" w:lineRule="auto"/>
        <w:ind w:right="105" w:rightChars="50"/>
        <w:jc w:val="left"/>
        <w:rPr>
          <w:rFonts w:hint="eastAsia" w:ascii="Times New Roman" w:hAnsi="Times New Roman" w:eastAsia="仿宋" w:cs="仿宋"/>
          <w:color w:val="000000"/>
          <w:szCs w:val="21"/>
          <w:highlight w:val="none"/>
        </w:rPr>
      </w:pPr>
    </w:p>
    <w:p w14:paraId="16872089">
      <w:pPr>
        <w:pStyle w:val="4"/>
        <w:adjustRightInd w:val="0"/>
        <w:snapToGrid w:val="0"/>
        <w:spacing w:before="0" w:after="0" w:line="240" w:lineRule="auto"/>
        <w:jc w:val="left"/>
        <w:rPr>
          <w:rFonts w:hint="default" w:ascii="Times New Roman" w:hAnsi="Times New Roman" w:eastAsia="仿宋" w:cs="仿宋"/>
          <w:color w:val="000000"/>
          <w:szCs w:val="28"/>
          <w:highlight w:val="none"/>
          <w:lang w:val="en-US" w:eastAsia="zh-CN"/>
        </w:rPr>
      </w:pPr>
      <w:r>
        <w:rPr>
          <w:rFonts w:hint="eastAsia" w:ascii="Times New Roman" w:hAnsi="Times New Roman" w:eastAsia="仿宋" w:cs="仿宋"/>
          <w:color w:val="000000"/>
          <w:szCs w:val="28"/>
          <w:highlight w:val="none"/>
        </w:rPr>
        <w:br w:type="page"/>
      </w:r>
      <w:r>
        <w:rPr>
          <w:rFonts w:hint="eastAsia" w:ascii="Times New Roman" w:hAnsi="Times New Roman" w:eastAsia="仿宋" w:cs="仿宋"/>
          <w:color w:val="000000"/>
          <w:szCs w:val="28"/>
          <w:highlight w:val="none"/>
        </w:rPr>
        <w:t>格式</w:t>
      </w:r>
      <w:r>
        <w:rPr>
          <w:rFonts w:hint="eastAsia" w:ascii="Times New Roman" w:hAnsi="Times New Roman" w:cs="仿宋"/>
          <w:color w:val="000000"/>
          <w:szCs w:val="28"/>
          <w:highlight w:val="none"/>
          <w:lang w:val="en-US" w:eastAsia="zh-CN"/>
        </w:rPr>
        <w:t>13</w:t>
      </w:r>
    </w:p>
    <w:p w14:paraId="334AB8AD">
      <w:pPr>
        <w:adjustRightInd w:val="0"/>
        <w:snapToGrid w:val="0"/>
        <w:spacing w:before="312" w:beforeLines="100" w:after="312" w:afterLines="100" w:line="360" w:lineRule="auto"/>
        <w:ind w:right="105" w:rightChars="50"/>
        <w:jc w:val="center"/>
        <w:rPr>
          <w:rFonts w:hint="eastAsia" w:ascii="宋体" w:hAnsi="宋体" w:eastAsia="宋体" w:cs="宋体"/>
          <w:b/>
          <w:bCs/>
          <w:color w:val="000000"/>
          <w:sz w:val="32"/>
          <w:szCs w:val="32"/>
          <w:highlight w:val="none"/>
        </w:rPr>
      </w:pPr>
      <w:bookmarkStart w:id="118" w:name="_Toc28271_WPSOffice_Level2"/>
      <w:bookmarkStart w:id="119" w:name="_Toc16044_WPSOffice_Level2"/>
      <w:r>
        <w:rPr>
          <w:rFonts w:hint="eastAsia" w:ascii="宋体" w:hAnsi="宋体" w:eastAsia="宋体" w:cs="宋体"/>
          <w:b/>
          <w:bCs/>
          <w:color w:val="000000"/>
          <w:sz w:val="32"/>
          <w:szCs w:val="32"/>
          <w:highlight w:val="none"/>
        </w:rPr>
        <w:t>分项报价表</w:t>
      </w:r>
      <w:bookmarkEnd w:id="118"/>
      <w:bookmarkEnd w:id="119"/>
    </w:p>
    <w:p w14:paraId="1B638749">
      <w:pPr>
        <w:adjustRightInd w:val="0"/>
        <w:snapToGrid w:val="0"/>
        <w:spacing w:line="360" w:lineRule="auto"/>
        <w:ind w:right="105" w:rightChars="50"/>
        <w:jc w:val="left"/>
        <w:rPr>
          <w:rFonts w:hint="eastAsia" w:ascii="仿宋_GB2312" w:hAnsi="仿宋_GB2312" w:eastAsia="仿宋_GB2312" w:cs="仿宋_GB2312"/>
          <w:b/>
          <w:bCs/>
          <w:color w:val="000000"/>
          <w:sz w:val="24"/>
          <w:szCs w:val="24"/>
          <w:highlight w:val="none"/>
          <w:lang w:eastAsia="zh-CN"/>
        </w:rPr>
      </w:pPr>
      <w:r>
        <w:rPr>
          <w:rFonts w:hint="eastAsia" w:ascii="仿宋_GB2312" w:hAnsi="仿宋_GB2312" w:eastAsia="仿宋_GB2312" w:cs="仿宋_GB2312"/>
          <w:b/>
          <w:bCs/>
          <w:color w:val="000000"/>
          <w:sz w:val="24"/>
          <w:szCs w:val="24"/>
          <w:highlight w:val="none"/>
        </w:rPr>
        <w:t>包组编号：                                       报价单位：</w:t>
      </w:r>
      <w:r>
        <w:rPr>
          <w:rFonts w:hint="eastAsia" w:ascii="仿宋_GB2312" w:hAnsi="仿宋_GB2312" w:eastAsia="仿宋_GB2312" w:cs="仿宋_GB2312"/>
          <w:bCs/>
          <w:color w:val="000000"/>
          <w:sz w:val="24"/>
          <w:szCs w:val="24"/>
          <w:highlight w:val="none"/>
          <w:lang w:eastAsia="zh-CN"/>
        </w:rPr>
        <w:t>（元）</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4BDC0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noWrap w:val="0"/>
            <w:vAlign w:val="center"/>
          </w:tcPr>
          <w:p w14:paraId="63F004BA">
            <w:pPr>
              <w:adjustRightInd w:val="0"/>
              <w:snapToGrid w:val="0"/>
              <w:ind w:left="-96" w:leftChars="-46" w:right="-63" w:rightChars="-3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序号</w:t>
            </w:r>
          </w:p>
        </w:tc>
        <w:tc>
          <w:tcPr>
            <w:tcW w:w="1347" w:type="dxa"/>
            <w:noWrap w:val="0"/>
            <w:vAlign w:val="center"/>
          </w:tcPr>
          <w:p w14:paraId="63C805AD">
            <w:pPr>
              <w:adjustRightInd w:val="0"/>
              <w:snapToGrid w:val="0"/>
              <w:ind w:left="-96" w:leftChars="-46" w:right="-63" w:rightChars="-3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品目名称</w:t>
            </w:r>
          </w:p>
        </w:tc>
        <w:tc>
          <w:tcPr>
            <w:tcW w:w="1033" w:type="dxa"/>
            <w:noWrap w:val="0"/>
            <w:vAlign w:val="center"/>
          </w:tcPr>
          <w:p w14:paraId="0B1754B7">
            <w:pPr>
              <w:adjustRightInd w:val="0"/>
              <w:snapToGrid w:val="0"/>
              <w:ind w:left="-96" w:leftChars="-46" w:right="-63" w:rightChars="-3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品牌</w:t>
            </w:r>
          </w:p>
        </w:tc>
        <w:tc>
          <w:tcPr>
            <w:tcW w:w="1033" w:type="dxa"/>
            <w:noWrap w:val="0"/>
            <w:vAlign w:val="center"/>
          </w:tcPr>
          <w:p w14:paraId="4A47271E">
            <w:pPr>
              <w:adjustRightInd w:val="0"/>
              <w:snapToGrid w:val="0"/>
              <w:ind w:left="-96" w:leftChars="-46" w:right="-63" w:rightChars="-3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型号</w:t>
            </w:r>
          </w:p>
          <w:p w14:paraId="213DFC41">
            <w:pPr>
              <w:adjustRightInd w:val="0"/>
              <w:snapToGrid w:val="0"/>
              <w:ind w:left="-96" w:leftChars="-46" w:right="-63" w:rightChars="-3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规格</w:t>
            </w:r>
          </w:p>
        </w:tc>
        <w:tc>
          <w:tcPr>
            <w:tcW w:w="721" w:type="dxa"/>
            <w:noWrap w:val="0"/>
            <w:vAlign w:val="center"/>
          </w:tcPr>
          <w:p w14:paraId="7083BDE9">
            <w:pPr>
              <w:adjustRightInd w:val="0"/>
              <w:snapToGrid w:val="0"/>
              <w:ind w:left="-96" w:leftChars="-46" w:right="-63" w:rightChars="-3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数量</w:t>
            </w:r>
          </w:p>
        </w:tc>
        <w:tc>
          <w:tcPr>
            <w:tcW w:w="802" w:type="dxa"/>
            <w:noWrap w:val="0"/>
            <w:vAlign w:val="center"/>
          </w:tcPr>
          <w:p w14:paraId="7D7F9F54">
            <w:pPr>
              <w:adjustRightInd w:val="0"/>
              <w:snapToGrid w:val="0"/>
              <w:ind w:left="-96" w:leftChars="-46" w:right="-63" w:rightChars="-3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原产地</w:t>
            </w:r>
          </w:p>
        </w:tc>
        <w:tc>
          <w:tcPr>
            <w:tcW w:w="802" w:type="dxa"/>
            <w:noWrap w:val="0"/>
            <w:vAlign w:val="center"/>
          </w:tcPr>
          <w:p w14:paraId="3B8783F1">
            <w:pPr>
              <w:adjustRightInd w:val="0"/>
              <w:snapToGrid w:val="0"/>
              <w:ind w:left="-96" w:leftChars="-46" w:right="-63" w:rightChars="-3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制造商名称</w:t>
            </w:r>
          </w:p>
        </w:tc>
        <w:tc>
          <w:tcPr>
            <w:tcW w:w="675" w:type="dxa"/>
            <w:noWrap w:val="0"/>
            <w:vAlign w:val="center"/>
          </w:tcPr>
          <w:p w14:paraId="75AFD4A5">
            <w:pPr>
              <w:adjustRightInd w:val="0"/>
              <w:snapToGrid w:val="0"/>
              <w:ind w:left="-96" w:leftChars="-46" w:right="-63" w:rightChars="-3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单价</w:t>
            </w:r>
          </w:p>
        </w:tc>
        <w:tc>
          <w:tcPr>
            <w:tcW w:w="682" w:type="dxa"/>
            <w:noWrap w:val="0"/>
            <w:vAlign w:val="center"/>
          </w:tcPr>
          <w:p w14:paraId="5C99E7C8">
            <w:pPr>
              <w:adjustRightInd w:val="0"/>
              <w:snapToGrid w:val="0"/>
              <w:ind w:left="-96" w:leftChars="-46" w:right="-63" w:rightChars="-3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总价</w:t>
            </w:r>
          </w:p>
        </w:tc>
        <w:tc>
          <w:tcPr>
            <w:tcW w:w="802" w:type="dxa"/>
            <w:noWrap w:val="0"/>
            <w:vAlign w:val="center"/>
          </w:tcPr>
          <w:p w14:paraId="3CD6DDF1">
            <w:pPr>
              <w:adjustRightInd w:val="0"/>
              <w:snapToGrid w:val="0"/>
              <w:ind w:left="-96" w:leftChars="-46" w:right="-63" w:rightChars="-3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备注</w:t>
            </w:r>
          </w:p>
        </w:tc>
      </w:tr>
      <w:tr w14:paraId="6C5DA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1FAA86C4">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347" w:type="dxa"/>
            <w:noWrap w:val="0"/>
            <w:vAlign w:val="center"/>
          </w:tcPr>
          <w:p w14:paraId="2A47EA6F">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033" w:type="dxa"/>
            <w:noWrap w:val="0"/>
            <w:vAlign w:val="center"/>
          </w:tcPr>
          <w:p w14:paraId="101B92F7">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033" w:type="dxa"/>
            <w:noWrap w:val="0"/>
            <w:vAlign w:val="center"/>
          </w:tcPr>
          <w:p w14:paraId="1C6FF9DE">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721" w:type="dxa"/>
            <w:noWrap w:val="0"/>
            <w:vAlign w:val="center"/>
          </w:tcPr>
          <w:p w14:paraId="0CB002CC">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04CF05E3">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309C4AE7">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675" w:type="dxa"/>
            <w:noWrap w:val="0"/>
            <w:vAlign w:val="center"/>
          </w:tcPr>
          <w:p w14:paraId="5830E3B8">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682" w:type="dxa"/>
            <w:noWrap w:val="0"/>
            <w:vAlign w:val="center"/>
          </w:tcPr>
          <w:p w14:paraId="1790ED72">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6AE3FCCC">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r>
      <w:tr w14:paraId="42DF1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0870BC35">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347" w:type="dxa"/>
            <w:noWrap w:val="0"/>
            <w:vAlign w:val="center"/>
          </w:tcPr>
          <w:p w14:paraId="3952CDAA">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033" w:type="dxa"/>
            <w:noWrap w:val="0"/>
            <w:vAlign w:val="center"/>
          </w:tcPr>
          <w:p w14:paraId="4569517E">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033" w:type="dxa"/>
            <w:noWrap w:val="0"/>
            <w:vAlign w:val="center"/>
          </w:tcPr>
          <w:p w14:paraId="52AC814D">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721" w:type="dxa"/>
            <w:noWrap w:val="0"/>
            <w:vAlign w:val="center"/>
          </w:tcPr>
          <w:p w14:paraId="32F68AA2">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02D1E1CC">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40A3F80F">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675" w:type="dxa"/>
            <w:noWrap w:val="0"/>
            <w:vAlign w:val="center"/>
          </w:tcPr>
          <w:p w14:paraId="7CF1BE6E">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682" w:type="dxa"/>
            <w:noWrap w:val="0"/>
            <w:vAlign w:val="center"/>
          </w:tcPr>
          <w:p w14:paraId="6967B3A9">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36A0D311">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r>
      <w:tr w14:paraId="71303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17F05CC5">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347" w:type="dxa"/>
            <w:noWrap w:val="0"/>
            <w:vAlign w:val="center"/>
          </w:tcPr>
          <w:p w14:paraId="1AB2EFA3">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033" w:type="dxa"/>
            <w:noWrap w:val="0"/>
            <w:vAlign w:val="center"/>
          </w:tcPr>
          <w:p w14:paraId="06FA9364">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033" w:type="dxa"/>
            <w:noWrap w:val="0"/>
            <w:vAlign w:val="center"/>
          </w:tcPr>
          <w:p w14:paraId="4727AEB1">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721" w:type="dxa"/>
            <w:noWrap w:val="0"/>
            <w:vAlign w:val="center"/>
          </w:tcPr>
          <w:p w14:paraId="43D8E969">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4711D4BF">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089525E5">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675" w:type="dxa"/>
            <w:noWrap w:val="0"/>
            <w:vAlign w:val="center"/>
          </w:tcPr>
          <w:p w14:paraId="5A199A18">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682" w:type="dxa"/>
            <w:noWrap w:val="0"/>
            <w:vAlign w:val="center"/>
          </w:tcPr>
          <w:p w14:paraId="4CC76D63">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34BD8203">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r>
      <w:tr w14:paraId="4E11B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7B57D1E7">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347" w:type="dxa"/>
            <w:noWrap w:val="0"/>
            <w:vAlign w:val="center"/>
          </w:tcPr>
          <w:p w14:paraId="1314C779">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033" w:type="dxa"/>
            <w:noWrap w:val="0"/>
            <w:vAlign w:val="center"/>
          </w:tcPr>
          <w:p w14:paraId="79EE9258">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033" w:type="dxa"/>
            <w:noWrap w:val="0"/>
            <w:vAlign w:val="center"/>
          </w:tcPr>
          <w:p w14:paraId="14426205">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721" w:type="dxa"/>
            <w:noWrap w:val="0"/>
            <w:vAlign w:val="center"/>
          </w:tcPr>
          <w:p w14:paraId="4EA2561F">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7B3D2333">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2EFF2DBC">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675" w:type="dxa"/>
            <w:noWrap w:val="0"/>
            <w:vAlign w:val="center"/>
          </w:tcPr>
          <w:p w14:paraId="7755B894">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682" w:type="dxa"/>
            <w:noWrap w:val="0"/>
            <w:vAlign w:val="center"/>
          </w:tcPr>
          <w:p w14:paraId="28400E82">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032F7D32">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r>
      <w:tr w14:paraId="46305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52D1ED07">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347" w:type="dxa"/>
            <w:noWrap w:val="0"/>
            <w:vAlign w:val="center"/>
          </w:tcPr>
          <w:p w14:paraId="71CF786D">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033" w:type="dxa"/>
            <w:noWrap w:val="0"/>
            <w:vAlign w:val="center"/>
          </w:tcPr>
          <w:p w14:paraId="69B1D263">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033" w:type="dxa"/>
            <w:noWrap w:val="0"/>
            <w:vAlign w:val="center"/>
          </w:tcPr>
          <w:p w14:paraId="63453015">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721" w:type="dxa"/>
            <w:noWrap w:val="0"/>
            <w:vAlign w:val="center"/>
          </w:tcPr>
          <w:p w14:paraId="4BF01895">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0A818AE2">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77CECB83">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675" w:type="dxa"/>
            <w:noWrap w:val="0"/>
            <w:vAlign w:val="center"/>
          </w:tcPr>
          <w:p w14:paraId="3456E3D9">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682" w:type="dxa"/>
            <w:noWrap w:val="0"/>
            <w:vAlign w:val="center"/>
          </w:tcPr>
          <w:p w14:paraId="647CA06D">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397F6C95">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r>
      <w:tr w14:paraId="1670F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1D7273B0">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347" w:type="dxa"/>
            <w:noWrap w:val="0"/>
            <w:vAlign w:val="center"/>
          </w:tcPr>
          <w:p w14:paraId="5A09E232">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033" w:type="dxa"/>
            <w:noWrap w:val="0"/>
            <w:vAlign w:val="center"/>
          </w:tcPr>
          <w:p w14:paraId="7BFA7CB6">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1033" w:type="dxa"/>
            <w:noWrap w:val="0"/>
            <w:vAlign w:val="center"/>
          </w:tcPr>
          <w:p w14:paraId="149AB8B5">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721" w:type="dxa"/>
            <w:noWrap w:val="0"/>
            <w:vAlign w:val="center"/>
          </w:tcPr>
          <w:p w14:paraId="543B8427">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56B4BBC2">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6AB50CDD">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675" w:type="dxa"/>
            <w:noWrap w:val="0"/>
            <w:vAlign w:val="center"/>
          </w:tcPr>
          <w:p w14:paraId="3C5042F7">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682" w:type="dxa"/>
            <w:noWrap w:val="0"/>
            <w:vAlign w:val="center"/>
          </w:tcPr>
          <w:p w14:paraId="76F981B0">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c>
          <w:tcPr>
            <w:tcW w:w="802" w:type="dxa"/>
            <w:noWrap w:val="0"/>
            <w:vAlign w:val="center"/>
          </w:tcPr>
          <w:p w14:paraId="32826349">
            <w:pPr>
              <w:adjustRightInd w:val="0"/>
              <w:snapToGrid w:val="0"/>
              <w:ind w:left="-96" w:leftChars="-46" w:right="-63" w:rightChars="-30"/>
              <w:jc w:val="center"/>
              <w:rPr>
                <w:rFonts w:hint="eastAsia" w:ascii="仿宋_GB2312" w:hAnsi="仿宋_GB2312" w:eastAsia="仿宋_GB2312" w:cs="仿宋_GB2312"/>
                <w:color w:val="000000"/>
                <w:szCs w:val="21"/>
                <w:highlight w:val="none"/>
              </w:rPr>
            </w:pPr>
          </w:p>
        </w:tc>
      </w:tr>
      <w:tr w14:paraId="78995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noWrap w:val="0"/>
            <w:vAlign w:val="center"/>
          </w:tcPr>
          <w:p w14:paraId="21352E22">
            <w:pPr>
              <w:adjustRightInd w:val="0"/>
              <w:snapToGrid w:val="0"/>
              <w:ind w:right="105" w:rightChars="5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总价</w:t>
            </w:r>
          </w:p>
        </w:tc>
        <w:tc>
          <w:tcPr>
            <w:tcW w:w="1033" w:type="dxa"/>
            <w:noWrap w:val="0"/>
            <w:vAlign w:val="center"/>
          </w:tcPr>
          <w:p w14:paraId="42502212">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1033" w:type="dxa"/>
            <w:noWrap w:val="0"/>
            <w:vAlign w:val="center"/>
          </w:tcPr>
          <w:p w14:paraId="2A8B07DD">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721" w:type="dxa"/>
            <w:noWrap w:val="0"/>
            <w:vAlign w:val="center"/>
          </w:tcPr>
          <w:p w14:paraId="10BEB435">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802" w:type="dxa"/>
            <w:noWrap w:val="0"/>
            <w:vAlign w:val="center"/>
          </w:tcPr>
          <w:p w14:paraId="05CEBD16">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802" w:type="dxa"/>
            <w:noWrap w:val="0"/>
            <w:vAlign w:val="center"/>
          </w:tcPr>
          <w:p w14:paraId="38FAB810">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675" w:type="dxa"/>
            <w:noWrap w:val="0"/>
            <w:vAlign w:val="center"/>
          </w:tcPr>
          <w:p w14:paraId="17E81A5C">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682" w:type="dxa"/>
            <w:noWrap w:val="0"/>
            <w:vAlign w:val="center"/>
          </w:tcPr>
          <w:p w14:paraId="73FEE39B">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802" w:type="dxa"/>
            <w:noWrap w:val="0"/>
            <w:vAlign w:val="center"/>
          </w:tcPr>
          <w:p w14:paraId="31355138">
            <w:pPr>
              <w:adjustRightInd w:val="0"/>
              <w:snapToGrid w:val="0"/>
              <w:ind w:right="105" w:rightChars="50"/>
              <w:jc w:val="center"/>
              <w:rPr>
                <w:rFonts w:hint="eastAsia" w:ascii="仿宋_GB2312" w:hAnsi="仿宋_GB2312" w:eastAsia="仿宋_GB2312" w:cs="仿宋_GB2312"/>
                <w:color w:val="000000"/>
                <w:szCs w:val="21"/>
                <w:highlight w:val="none"/>
              </w:rPr>
            </w:pPr>
          </w:p>
        </w:tc>
      </w:tr>
    </w:tbl>
    <w:p w14:paraId="0E12BDEA">
      <w:pPr>
        <w:adjustRightInd w:val="0"/>
        <w:snapToGrid w:val="0"/>
        <w:spacing w:line="360" w:lineRule="auto"/>
        <w:ind w:right="105" w:rightChars="50"/>
        <w:jc w:val="left"/>
        <w:rPr>
          <w:rFonts w:hint="eastAsia" w:ascii="Times New Roman" w:hAnsi="Times New Roman" w:eastAsia="仿宋" w:cs="仿宋"/>
          <w:color w:val="000000"/>
          <w:szCs w:val="21"/>
          <w:highlight w:val="none"/>
        </w:rPr>
      </w:pPr>
    </w:p>
    <w:p w14:paraId="1B0D6E3B">
      <w:pPr>
        <w:adjustRightInd w:val="0"/>
        <w:snapToGrid w:val="0"/>
        <w:spacing w:line="360" w:lineRule="auto"/>
        <w:ind w:right="105" w:rightChars="50"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注：此表中，总价应和开标一览表的投标总价相一致。</w:t>
      </w:r>
    </w:p>
    <w:p w14:paraId="4C7E772A">
      <w:pPr>
        <w:adjustRightInd w:val="0"/>
        <w:snapToGrid w:val="0"/>
        <w:spacing w:line="360" w:lineRule="auto"/>
        <w:ind w:right="105" w:rightChars="50" w:firstLine="480" w:firstLineChars="200"/>
        <w:jc w:val="left"/>
        <w:rPr>
          <w:rFonts w:hint="eastAsia" w:ascii="仿宋_GB2312" w:hAnsi="仿宋_GB2312" w:eastAsia="仿宋_GB2312" w:cs="仿宋_GB2312"/>
          <w:color w:val="000000"/>
          <w:sz w:val="24"/>
          <w:szCs w:val="24"/>
          <w:highlight w:val="none"/>
        </w:rPr>
      </w:pPr>
    </w:p>
    <w:p w14:paraId="736C9B28">
      <w:pPr>
        <w:adjustRightInd w:val="0"/>
        <w:snapToGrid w:val="0"/>
        <w:spacing w:line="360" w:lineRule="auto"/>
        <w:ind w:right="105" w:rightChars="50" w:firstLine="480" w:firstLineChars="200"/>
        <w:jc w:val="left"/>
        <w:rPr>
          <w:rFonts w:hint="eastAsia" w:ascii="仿宋_GB2312" w:hAnsi="仿宋_GB2312" w:eastAsia="仿宋_GB2312" w:cs="仿宋_GB2312"/>
          <w:color w:val="000000"/>
          <w:sz w:val="24"/>
          <w:szCs w:val="24"/>
          <w:highlight w:val="none"/>
        </w:rPr>
      </w:pPr>
    </w:p>
    <w:p w14:paraId="09139546">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p>
    <w:p w14:paraId="3A8C7E16">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p>
    <w:p w14:paraId="0DF776DA">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p>
    <w:p w14:paraId="7C1C460E">
      <w:pPr>
        <w:adjustRightInd w:val="0"/>
        <w:snapToGrid w:val="0"/>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投标人名称（加盖单位公章）：</w:t>
      </w:r>
      <w:r>
        <w:rPr>
          <w:rFonts w:hint="eastAsia" w:ascii="仿宋_GB2312" w:hAnsi="仿宋_GB2312" w:eastAsia="仿宋_GB2312" w:cs="仿宋_GB2312"/>
          <w:color w:val="000000"/>
          <w:sz w:val="24"/>
          <w:szCs w:val="24"/>
          <w:highlight w:val="none"/>
          <w:u w:val="single"/>
        </w:rPr>
        <w:t xml:space="preserve">           </w:t>
      </w:r>
    </w:p>
    <w:p w14:paraId="73E7B8B3">
      <w:pPr>
        <w:adjustRightInd w:val="0"/>
        <w:snapToGrid w:val="0"/>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法定代表人（或非法人组织负责人）或其授权委托人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643D4DE1">
      <w:pPr>
        <w:adjustRightInd w:val="0"/>
        <w:snapToGrid w:val="0"/>
        <w:spacing w:line="480" w:lineRule="auto"/>
        <w:ind w:right="105" w:rightChars="5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709E84C4">
      <w:pPr>
        <w:pStyle w:val="4"/>
        <w:adjustRightInd w:val="0"/>
        <w:snapToGrid w:val="0"/>
        <w:spacing w:before="0" w:after="0" w:line="240" w:lineRule="auto"/>
        <w:jc w:val="left"/>
        <w:rPr>
          <w:rFonts w:hint="default" w:ascii="Times New Roman" w:hAnsi="Times New Roman" w:eastAsia="仿宋" w:cs="仿宋"/>
          <w:color w:val="000000"/>
          <w:szCs w:val="28"/>
          <w:highlight w:val="none"/>
          <w:lang w:val="en-US" w:eastAsia="zh-CN"/>
        </w:rPr>
      </w:pPr>
      <w:r>
        <w:rPr>
          <w:rFonts w:hint="eastAsia" w:ascii="仿宋_GB2312" w:hAnsi="仿宋_GB2312" w:eastAsia="仿宋_GB2312" w:cs="仿宋_GB2312"/>
          <w:color w:val="000000"/>
          <w:sz w:val="24"/>
          <w:szCs w:val="24"/>
          <w:highlight w:val="none"/>
        </w:rPr>
        <w:br w:type="page"/>
      </w:r>
      <w:r>
        <w:rPr>
          <w:rFonts w:hint="eastAsia" w:ascii="Times New Roman" w:hAnsi="Times New Roman" w:eastAsia="仿宋" w:cs="仿宋"/>
          <w:color w:val="000000"/>
          <w:szCs w:val="28"/>
          <w:highlight w:val="none"/>
        </w:rPr>
        <w:t>格式</w:t>
      </w:r>
      <w:r>
        <w:rPr>
          <w:rFonts w:hint="eastAsia" w:ascii="Times New Roman" w:hAnsi="Times New Roman" w:cs="仿宋"/>
          <w:color w:val="000000"/>
          <w:szCs w:val="28"/>
          <w:highlight w:val="none"/>
          <w:lang w:val="en-US" w:eastAsia="zh-CN"/>
        </w:rPr>
        <w:t>14</w:t>
      </w:r>
    </w:p>
    <w:p w14:paraId="5DF62454">
      <w:pPr>
        <w:adjustRightInd w:val="0"/>
        <w:snapToGrid w:val="0"/>
        <w:spacing w:before="312" w:beforeLines="100" w:line="360" w:lineRule="auto"/>
        <w:ind w:right="105" w:rightChars="50"/>
        <w:jc w:val="center"/>
        <w:rPr>
          <w:rFonts w:hint="eastAsia" w:ascii="宋体" w:hAnsi="宋体" w:eastAsia="宋体" w:cs="宋体"/>
          <w:b/>
          <w:bCs/>
          <w:color w:val="000000"/>
          <w:sz w:val="32"/>
          <w:szCs w:val="32"/>
          <w:highlight w:val="none"/>
        </w:rPr>
      </w:pPr>
      <w:bookmarkStart w:id="120" w:name="_Toc31555_WPSOffice_Level2"/>
      <w:bookmarkStart w:id="121" w:name="_Toc9235_WPSOffice_Level2"/>
      <w:r>
        <w:rPr>
          <w:rFonts w:hint="eastAsia" w:ascii="宋体" w:hAnsi="宋体" w:eastAsia="宋体" w:cs="宋体"/>
          <w:b/>
          <w:bCs/>
          <w:color w:val="000000"/>
          <w:sz w:val="32"/>
          <w:szCs w:val="32"/>
          <w:highlight w:val="none"/>
        </w:rPr>
        <w:t>技术规格偏离表</w:t>
      </w:r>
      <w:bookmarkEnd w:id="120"/>
      <w:bookmarkEnd w:id="121"/>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60F09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noWrap w:val="0"/>
            <w:vAlign w:val="center"/>
          </w:tcPr>
          <w:p w14:paraId="0ABD7CE6">
            <w:pPr>
              <w:adjustRightInd w:val="0"/>
              <w:snapToGrid w:val="0"/>
              <w:ind w:right="105" w:rightChars="50"/>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包组编号/品目号：</w:t>
            </w:r>
          </w:p>
          <w:p w14:paraId="08E5062D">
            <w:pPr>
              <w:pStyle w:val="15"/>
              <w:widowControl w:val="0"/>
              <w:adjustRightInd w:val="0"/>
              <w:snapToGrid w:val="0"/>
              <w:spacing w:before="0" w:beforeAutospacing="0" w:after="0" w:afterAutospacing="0"/>
              <w:jc w:val="both"/>
              <w:rPr>
                <w:rFonts w:hint="eastAsia"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品目名称：</w:t>
            </w:r>
          </w:p>
          <w:p w14:paraId="64912110">
            <w:pPr>
              <w:pStyle w:val="15"/>
              <w:widowControl w:val="0"/>
              <w:adjustRightInd w:val="0"/>
              <w:snapToGrid w:val="0"/>
              <w:spacing w:before="0" w:beforeAutospacing="0" w:after="0" w:afterAutospacing="0"/>
              <w:jc w:val="both"/>
              <w:rPr>
                <w:rFonts w:hint="eastAsia"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数量：</w:t>
            </w:r>
          </w:p>
          <w:p w14:paraId="1D7B1D13">
            <w:pPr>
              <w:tabs>
                <w:tab w:val="left" w:pos="0"/>
              </w:tabs>
              <w:adjustRightInd w:val="0"/>
              <w:snapToGrid w:val="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是否经过审批允许采购进口产品：</w:t>
            </w:r>
          </w:p>
          <w:p w14:paraId="1F39A9E4">
            <w:pPr>
              <w:tabs>
                <w:tab w:val="left" w:pos="0"/>
              </w:tabs>
              <w:adjustRightInd w:val="0"/>
              <w:snapToGrid w:val="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是否为核心产品（非单一产品采购项目时适用）：</w:t>
            </w:r>
          </w:p>
        </w:tc>
      </w:tr>
      <w:tr w14:paraId="47837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17FCA146">
            <w:pPr>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招标文件要求</w:t>
            </w:r>
          </w:p>
          <w:p w14:paraId="5E876F7C">
            <w:pPr>
              <w:ind w:hanging="1"/>
              <w:rPr>
                <w:rFonts w:hint="eastAsia" w:ascii="仿宋_GB2312" w:hAnsi="仿宋_GB2312" w:eastAsia="仿宋_GB2312" w:cs="仿宋_GB2312"/>
                <w:b/>
                <w:color w:val="000000"/>
                <w:sz w:val="21"/>
                <w:szCs w:val="21"/>
                <w:highlight w:val="none"/>
              </w:rPr>
            </w:pPr>
            <w:r>
              <w:rPr>
                <w:rFonts w:hint="eastAsia" w:ascii="仿宋_GB2312" w:hAnsi="仿宋_GB2312" w:eastAsia="仿宋_GB2312" w:cs="仿宋_GB2312"/>
                <w:b/>
                <w:color w:val="000000"/>
                <w:sz w:val="21"/>
                <w:szCs w:val="21"/>
                <w:highlight w:val="none"/>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5A8AADA3">
            <w:pPr>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投标文件</w:t>
            </w:r>
          </w:p>
          <w:p w14:paraId="565D5815">
            <w:pPr>
              <w:tabs>
                <w:tab w:val="left" w:pos="0"/>
              </w:tabs>
              <w:spacing w:line="240" w:lineRule="exact"/>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sz w:val="21"/>
                <w:szCs w:val="21"/>
                <w:highlight w:val="none"/>
              </w:rPr>
              <w:t>响应内容</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6D3FEC2D">
            <w:pPr>
              <w:tabs>
                <w:tab w:val="left" w:pos="0"/>
              </w:tabs>
              <w:spacing w:line="240" w:lineRule="exact"/>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sz w:val="21"/>
                <w:szCs w:val="21"/>
                <w:highlight w:val="none"/>
              </w:rPr>
              <w:t>偏离程度</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4993D009">
            <w:pPr>
              <w:tabs>
                <w:tab w:val="left" w:pos="0"/>
              </w:tabs>
              <w:spacing w:line="240" w:lineRule="exact"/>
              <w:jc w:val="center"/>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sz w:val="21"/>
                <w:szCs w:val="21"/>
                <w:highlight w:val="none"/>
              </w:rPr>
              <w:t>偏离说明</w:t>
            </w:r>
          </w:p>
        </w:tc>
        <w:tc>
          <w:tcPr>
            <w:tcW w:w="1091" w:type="dxa"/>
            <w:tcBorders>
              <w:top w:val="single" w:color="auto" w:sz="4" w:space="0"/>
              <w:left w:val="single" w:color="auto" w:sz="4" w:space="0"/>
              <w:bottom w:val="single" w:color="auto" w:sz="4" w:space="0"/>
              <w:right w:val="single" w:color="auto" w:sz="4" w:space="0"/>
            </w:tcBorders>
            <w:noWrap w:val="0"/>
            <w:vAlign w:val="center"/>
          </w:tcPr>
          <w:p w14:paraId="73148E8A">
            <w:pPr>
              <w:tabs>
                <w:tab w:val="left" w:pos="0"/>
              </w:tabs>
              <w:spacing w:line="240" w:lineRule="exact"/>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证明材料</w:t>
            </w:r>
          </w:p>
        </w:tc>
      </w:tr>
      <w:tr w14:paraId="681BC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658681A8">
            <w:pPr>
              <w:jc w:val="left"/>
              <w:rPr>
                <w:rFonts w:hint="eastAsia" w:ascii="仿宋_GB2312" w:hAnsi="仿宋_GB2312" w:eastAsia="仿宋_GB2312" w:cs="仿宋_GB2312"/>
                <w:b/>
                <w:bCs/>
                <w:color w:val="000000"/>
                <w:sz w:val="21"/>
                <w:szCs w:val="21"/>
                <w:highlight w:val="none"/>
              </w:rPr>
            </w:pPr>
            <w:r>
              <w:rPr>
                <w:rFonts w:hint="eastAsia" w:ascii="仿宋_GB2312" w:hAnsi="仿宋_GB2312" w:eastAsia="仿宋_GB2312" w:cs="仿宋_GB2312"/>
                <w:b/>
                <w:bCs/>
                <w:color w:val="000000"/>
                <w:sz w:val="21"/>
                <w:szCs w:val="21"/>
                <w:highlight w:val="none"/>
              </w:rPr>
              <w:t>1.双人IVF工作站</w:t>
            </w:r>
          </w:p>
          <w:p w14:paraId="16BB7A33">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1.1.双人工作台，可安装一套倒置显微镜与一套体视显微镜，工作站提供光源，满足配子/胚胎的操作需求。</w:t>
            </w:r>
          </w:p>
          <w:p w14:paraId="4AEF4C0A">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1.2.垂直层流，风速控制范围：0.2-0.5m/s，精度≤±0.02m/s；风速可调，可设置为高档风速（≥0.32m/s）和低档风速（≤0.25m/s）；能够提供均匀的风速，气流速不均匀度 ≤10%，无涡流、无向上气流，无死点。双层过滤系统，达到国家标准的百级洁净度。</w:t>
            </w:r>
          </w:p>
          <w:p w14:paraId="6B76A025">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1.3.采用VOC预过滤与HEPA高效过滤的双层过滤系统，对于0.3μm以上（不含0.3μm）的尘埃粒子过滤效率可达到不低于99.995%，达到国家标准的百级洁净度。</w:t>
            </w:r>
          </w:p>
          <w:p w14:paraId="0B556360">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1.4.工作台操作空间尺寸：≥1800mmx</w:t>
            </w:r>
            <w:r>
              <w:rPr>
                <w:rFonts w:hint="eastAsia" w:ascii="仿宋_GB2312" w:hAnsi="仿宋_GB2312" w:eastAsia="仿宋_GB2312" w:cs="仿宋_GB2312"/>
                <w:color w:val="000000"/>
                <w:sz w:val="21"/>
                <w:szCs w:val="21"/>
                <w:highlight w:val="none"/>
                <w:lang w:val="en-US" w:eastAsia="zh-CN"/>
              </w:rPr>
              <w:t>500</w:t>
            </w:r>
            <w:r>
              <w:rPr>
                <w:rFonts w:hint="eastAsia" w:ascii="仿宋_GB2312" w:hAnsi="仿宋_GB2312" w:eastAsia="仿宋_GB2312" w:cs="仿宋_GB2312"/>
                <w:color w:val="000000"/>
                <w:sz w:val="21"/>
                <w:szCs w:val="21"/>
                <w:highlight w:val="none"/>
              </w:rPr>
              <w:t>mmx</w:t>
            </w:r>
            <w:r>
              <w:rPr>
                <w:rFonts w:hint="eastAsia" w:ascii="仿宋_GB2312" w:hAnsi="仿宋_GB2312" w:eastAsia="仿宋_GB2312" w:cs="仿宋_GB2312"/>
                <w:color w:val="000000"/>
                <w:sz w:val="21"/>
                <w:szCs w:val="21"/>
                <w:highlight w:val="none"/>
                <w:lang w:val="en-US" w:eastAsia="zh-CN"/>
              </w:rPr>
              <w:t>710</w:t>
            </w:r>
            <w:r>
              <w:rPr>
                <w:rFonts w:hint="eastAsia" w:ascii="仿宋_GB2312" w:hAnsi="仿宋_GB2312" w:eastAsia="仿宋_GB2312" w:cs="仿宋_GB2312"/>
                <w:color w:val="000000"/>
                <w:sz w:val="21"/>
                <w:szCs w:val="21"/>
                <w:highlight w:val="none"/>
              </w:rPr>
              <w:t>mm（长x宽x高）。</w:t>
            </w:r>
          </w:p>
          <w:p w14:paraId="35AD9454">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1.5.工作台照明为LED灯管，色温≥3500K，平均照度不小于600lux。</w:t>
            </w:r>
          </w:p>
          <w:p w14:paraId="44D894C2">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★1.6.采用不锈钢桌面，配置一个超大加热台面，尺寸≥800x500mm（W×D），温度精度≤±0.</w:t>
            </w:r>
            <w:r>
              <w:rPr>
                <w:rFonts w:hint="eastAsia" w:ascii="仿宋_GB2312" w:hAnsi="仿宋_GB2312" w:eastAsia="仿宋_GB2312" w:cs="仿宋_GB2312"/>
                <w:color w:val="000000"/>
                <w:sz w:val="21"/>
                <w:szCs w:val="21"/>
                <w:highlight w:val="none"/>
                <w:lang w:val="en-US" w:eastAsia="zh-CN"/>
              </w:rPr>
              <w:t>2</w:t>
            </w:r>
            <w:r>
              <w:rPr>
                <w:rFonts w:hint="eastAsia" w:ascii="仿宋_GB2312" w:hAnsi="仿宋_GB2312" w:eastAsia="仿宋_GB2312" w:cs="仿宋_GB2312"/>
                <w:color w:val="000000"/>
                <w:sz w:val="21"/>
                <w:szCs w:val="21"/>
                <w:highlight w:val="none"/>
              </w:rPr>
              <w:t>℃，温度均一性≤±0.2℃。</w:t>
            </w:r>
          </w:p>
          <w:p w14:paraId="340F18F0">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★1.7.</w:t>
            </w:r>
            <w:r>
              <w:rPr>
                <w:rFonts w:hint="eastAsia" w:ascii="仿宋_GB2312" w:hAnsi="仿宋_GB2312" w:eastAsia="仿宋_GB2312" w:cs="仿宋_GB2312"/>
                <w:color w:val="000000"/>
                <w:sz w:val="21"/>
                <w:szCs w:val="21"/>
                <w:highlight w:val="none"/>
                <w:lang w:val="en-US" w:eastAsia="zh-CN"/>
              </w:rPr>
              <w:t>采用自发热恒温玻璃</w:t>
            </w:r>
            <w:r>
              <w:rPr>
                <w:rFonts w:hint="eastAsia" w:ascii="仿宋_GB2312" w:hAnsi="仿宋_GB2312" w:eastAsia="仿宋_GB2312" w:cs="仿宋_GB2312"/>
                <w:color w:val="000000"/>
                <w:sz w:val="21"/>
                <w:szCs w:val="21"/>
                <w:highlight w:val="none"/>
              </w:rPr>
              <w:t>，直径≥90mm，温度独立控制，温度控制范围为室温+5℃～45℃，精度≤±0.1℃,稳定性≤±0.2℃。</w:t>
            </w:r>
          </w:p>
          <w:p w14:paraId="24AA9CA5">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1.8.采用LED灯为体视显微镜提供光源照明，亮度连续可调，照度范围0-2000Lux，色温：3000-3500K。</w:t>
            </w:r>
          </w:p>
          <w:p w14:paraId="5C4EAD71">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1.9.配备独立静压箱及吸声降噪设计，高风速运行时噪音≤54dB，低风速噪音≤48dB，高风速条件下振动幅度≤5μm。</w:t>
            </w:r>
          </w:p>
          <w:p w14:paraId="77B8FAA0">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★1.10.配置≥23.8寸电脑显示屏。</w:t>
            </w:r>
          </w:p>
          <w:p w14:paraId="07E70E6A">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★1.11.配置地面支撑结构的机械防震支架，与操作台面隔离，多级减震结构满足多重防震，同时减少来自地面、风机以及人为碰撞产生的振动。</w:t>
            </w:r>
          </w:p>
          <w:p w14:paraId="775AA348">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1.12.工作站下方内嵌一体式电脑主机层架，专用理线通道。</w:t>
            </w:r>
          </w:p>
          <w:p w14:paraId="45412C26">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1.13.在台面右侧设置便捷功能按键。</w:t>
            </w:r>
          </w:p>
          <w:p w14:paraId="77F76CAE">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1.14.配置≥7寸触控显示屏，实时监测仪器的各项参数，并可预约开关机时间、设置风速、滤膜耗材预警等，提供声光报警，并记录详细的报警信息。</w:t>
            </w:r>
          </w:p>
          <w:p w14:paraId="69BB2EF3">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1.15.工作站进风口和预滤膜设置在工作站后侧或顶侧。</w:t>
            </w:r>
          </w:p>
          <w:p w14:paraId="7BABA7D8">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1.16.可选配键盘支架及体视显微镜原厂光源支架。</w:t>
            </w:r>
          </w:p>
          <w:p w14:paraId="5FF5C12B">
            <w:pPr>
              <w:jc w:val="left"/>
              <w:rPr>
                <w:rFonts w:hint="eastAsia" w:ascii="仿宋_GB2312" w:hAnsi="仿宋_GB2312" w:eastAsia="仿宋_GB2312" w:cs="仿宋_GB2312"/>
                <w:b/>
                <w:bCs/>
                <w:color w:val="000000"/>
                <w:sz w:val="21"/>
                <w:szCs w:val="21"/>
                <w:highlight w:val="none"/>
              </w:rPr>
            </w:pPr>
            <w:r>
              <w:rPr>
                <w:rFonts w:hint="eastAsia" w:ascii="仿宋_GB2312" w:hAnsi="仿宋_GB2312" w:eastAsia="仿宋_GB2312" w:cs="仿宋_GB2312"/>
                <w:b/>
                <w:bCs/>
                <w:color w:val="000000"/>
                <w:sz w:val="21"/>
                <w:szCs w:val="21"/>
                <w:highlight w:val="none"/>
              </w:rPr>
              <w:t>2.体视显微镜</w:t>
            </w:r>
          </w:p>
          <w:p w14:paraId="23EBB328">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2.1.主机镜体：整机复消色差设计，主机和物镜均采用复消色差设计。</w:t>
            </w:r>
          </w:p>
          <w:p w14:paraId="1232FB00">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★2.2.光学系统：采用复消色差校正光学系统，彻底消除杂散光等干扰因素，提供最佳图象效果；</w:t>
            </w:r>
          </w:p>
          <w:p w14:paraId="06188489">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▲2.3.光学变倍比：光学变倍比≥9:1；</w:t>
            </w:r>
          </w:p>
          <w:p w14:paraId="642C9D03">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2.4.放大倍数：标准倍数≥6.1×-55×；</w:t>
            </w:r>
          </w:p>
          <w:p w14:paraId="6360199C">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2.5.目镜：≥10倍宽视野目镜，视场数≥23mm；</w:t>
            </w:r>
          </w:p>
          <w:p w14:paraId="7774134E">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2.6.目镜筒≤35度观察角，目镜筒瞳距可调，瞳距为50-76mm；</w:t>
            </w:r>
          </w:p>
          <w:p w14:paraId="344B8A34">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2.7.最大分辨率≥500线对/毫米；</w:t>
            </w:r>
          </w:p>
          <w:p w14:paraId="50C6C4DB">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★2.8.工作距离（1×物镜）≥80mm；</w:t>
            </w:r>
          </w:p>
          <w:p w14:paraId="4BD260BD">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2.9.视野直径（1×物镜）≥37.6mm；</w:t>
            </w:r>
          </w:p>
          <w:p w14:paraId="305F1213">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▲2.10.具备≥200lp/mm光学分辨能力，NA≥0.1或同等及以上高分辨率成像，能够实现大景深立体观察。</w:t>
            </w:r>
          </w:p>
          <w:p w14:paraId="05C9FB92">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2.11.防静电ESD防护，表面阻抗：≥2x103欧姆/平方，放电时间≤2秒，从1000V至100V。</w:t>
            </w:r>
          </w:p>
          <w:p w14:paraId="77A26287">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 xml:space="preserve">2.12.底座及照明：专业透反射光底座，具有环形光、斜照明和透射光功能。 </w:t>
            </w:r>
          </w:p>
          <w:p w14:paraId="161C7747">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2.13.数码采集装置：一体化内置高性能不低于1200万像素彩色数码采集装置。</w:t>
            </w:r>
          </w:p>
          <w:p w14:paraId="68A15EF6">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2.14.分辨率≥1200万真实物理像素，具备静态图像采集和视频录制功能。</w:t>
            </w:r>
          </w:p>
          <w:p w14:paraId="0C4EB91E">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2.15.全分辨率实时速度≥30 幅/秒（不低于1920×1080）。</w:t>
            </w:r>
          </w:p>
          <w:p w14:paraId="7B0E7F13">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2.16.曝光时不低于0.5ms到500ms。</w:t>
            </w:r>
          </w:p>
          <w:p w14:paraId="4EC6F1B1">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2.17.摄像头集成在主机内部，可有效减少占地空间，方便携带；同时内置式设计，克服外界环境的干扰，不易损坏。</w:t>
            </w:r>
          </w:p>
          <w:p w14:paraId="0B2C47CC">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2.18.无需连接电脑即可进行图像采集和视频录制，所有操作通过无线遥控器实现。所采集的数据高速存储在可取出的SD卡上。无线遥控器可设定所有摄像头参数，只需一个按键即可捕捉和查看图像或影像片段。</w:t>
            </w:r>
          </w:p>
          <w:p w14:paraId="2C44BDA9">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2.19.采集模式：具备USB模式、以太网模式和HDMI模式三种采集模式。以太网模式下，可通过以太网电缆将摄像头连接到局域网络上。HDMI模式下，可将摄像头连接到高清显示器上，实现脱离计算机的独立操作，有效减少台面的占用空间。</w:t>
            </w:r>
          </w:p>
          <w:p w14:paraId="2AFB7200">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2.20.具有快速USB3.0数据传输+同步快速实时图像传输能力：可实现每秒高于35帧的高分辨率（不低于1024 x768）高速动态实时图像传输观察，最大限度减少拖尾现象。</w:t>
            </w:r>
          </w:p>
          <w:p w14:paraId="74DB320D">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2.21.软件系统：配置显微镜原厂软件，可实现图像采集，采集时可对爆光时间，亮度，对比度，白平衡，补偿等调节；图像处理功能，可实现锐化，增强，对比度，背景处理等；可实时添加比例尺，可实时测量任意两点间距离，可任意添加目标标注等；全面的图像浏览器，包括注释，图像叠加，图像画廊和图像比较；对实验条件直观的进行快速设置和收集；优化数据处理的快速采集和大型数据集显示；可对存储的图像进行基本手动测量，可存储多种图像格式，如jpg，bmp，tiff等格式。</w:t>
            </w:r>
          </w:p>
          <w:p w14:paraId="21290133">
            <w:pPr>
              <w:jc w:val="left"/>
              <w:rPr>
                <w:rFonts w:hint="eastAsia" w:ascii="仿宋_GB2312" w:hAnsi="仿宋_GB2312" w:eastAsia="仿宋_GB2312" w:cs="仿宋_GB2312"/>
                <w:b/>
                <w:bCs/>
                <w:color w:val="000000"/>
                <w:sz w:val="21"/>
                <w:szCs w:val="21"/>
                <w:highlight w:val="none"/>
              </w:rPr>
            </w:pPr>
            <w:r>
              <w:rPr>
                <w:rFonts w:hint="eastAsia" w:ascii="仿宋_GB2312" w:hAnsi="仿宋_GB2312" w:eastAsia="仿宋_GB2312" w:cs="仿宋_GB2312"/>
                <w:b/>
                <w:bCs/>
                <w:color w:val="000000"/>
                <w:sz w:val="21"/>
                <w:szCs w:val="21"/>
                <w:highlight w:val="none"/>
              </w:rPr>
              <w:t>3.多仓桌面胚胎培养箱</w:t>
            </w:r>
          </w:p>
          <w:p w14:paraId="55F1E3FB">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★3.1.培养箱具备独立的培养仓室≥4个，每个仓室温度独立控制。</w:t>
            </w:r>
          </w:p>
          <w:p w14:paraId="4B714D37">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3.2.每个培养仓室常规可至少放置4个φ35mm培养皿，或2个φ60mm培养皿，或2个66mmx66mm培养皿。</w:t>
            </w:r>
          </w:p>
          <w:p w14:paraId="56D76EFD">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★3.3.培养仓室低顶或六面加热，仓盖温度可控，每个培养仓室温度控制精度≤±0.</w:t>
            </w:r>
            <w:r>
              <w:rPr>
                <w:rFonts w:hint="eastAsia" w:ascii="仿宋_GB2312" w:hAnsi="仿宋_GB2312" w:eastAsia="仿宋_GB2312" w:cs="仿宋_GB2312"/>
                <w:color w:val="000000"/>
                <w:sz w:val="21"/>
                <w:szCs w:val="21"/>
                <w:highlight w:val="none"/>
                <w:lang w:val="en-US" w:eastAsia="zh-CN"/>
              </w:rPr>
              <w:t>2</w:t>
            </w:r>
            <w:r>
              <w:rPr>
                <w:rFonts w:hint="eastAsia" w:ascii="仿宋_GB2312" w:hAnsi="仿宋_GB2312" w:eastAsia="仿宋_GB2312" w:cs="仿宋_GB2312"/>
                <w:color w:val="000000"/>
                <w:sz w:val="21"/>
                <w:szCs w:val="21"/>
                <w:highlight w:val="none"/>
              </w:rPr>
              <w:t>℃，温度均一性偏差≤±0.1℃。</w:t>
            </w:r>
          </w:p>
          <w:p w14:paraId="214F7543">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3.4.仓室内温度可在≤1分钟内恢复至设定值。内置气体混合机，接纯CO2和N2气体。配备在线HEPA/VOC气体过滤器。</w:t>
            </w:r>
          </w:p>
          <w:p w14:paraId="48BC377E">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★3.5.CO2浓度控制范围：2.0%-10.0%，CO2浓度控制精度≤±0.3%，稳定状态下气体浓度波动度≤±0.3%。</w:t>
            </w:r>
          </w:p>
          <w:p w14:paraId="3F8AB3D8">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★3.6.O2浓度控制范围：2.0%-15.0%，O2浓度控制精度≤±0.</w:t>
            </w:r>
            <w:r>
              <w:rPr>
                <w:rFonts w:hint="eastAsia" w:ascii="仿宋_GB2312" w:hAnsi="仿宋_GB2312" w:eastAsia="仿宋_GB2312" w:cs="仿宋_GB2312"/>
                <w:color w:val="000000"/>
                <w:sz w:val="21"/>
                <w:szCs w:val="21"/>
                <w:highlight w:val="none"/>
                <w:lang w:val="en-US" w:eastAsia="zh-CN"/>
              </w:rPr>
              <w:t>5</w:t>
            </w:r>
            <w:r>
              <w:rPr>
                <w:rFonts w:hint="eastAsia" w:ascii="仿宋_GB2312" w:hAnsi="仿宋_GB2312" w:eastAsia="仿宋_GB2312" w:cs="仿宋_GB2312"/>
                <w:color w:val="000000"/>
                <w:sz w:val="21"/>
                <w:szCs w:val="21"/>
                <w:highlight w:val="none"/>
              </w:rPr>
              <w:t>%，稳定状态下O2浓度波动度≤±0.</w:t>
            </w:r>
            <w:r>
              <w:rPr>
                <w:rFonts w:hint="eastAsia" w:ascii="仿宋_GB2312" w:hAnsi="仿宋_GB2312" w:eastAsia="仿宋_GB2312" w:cs="仿宋_GB2312"/>
                <w:color w:val="000000"/>
                <w:sz w:val="21"/>
                <w:szCs w:val="21"/>
                <w:highlight w:val="none"/>
                <w:lang w:val="en-US" w:eastAsia="zh-CN"/>
              </w:rPr>
              <w:t>5</w:t>
            </w:r>
            <w:r>
              <w:rPr>
                <w:rFonts w:hint="eastAsia" w:ascii="仿宋_GB2312" w:hAnsi="仿宋_GB2312" w:eastAsia="仿宋_GB2312" w:cs="仿宋_GB2312"/>
                <w:color w:val="000000"/>
                <w:sz w:val="21"/>
                <w:szCs w:val="21"/>
                <w:highlight w:val="none"/>
              </w:rPr>
              <w:t>%。</w:t>
            </w:r>
          </w:p>
          <w:p w14:paraId="20675B54">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★3.7.采用低耗气或气体循环设计；CO2及N2稳态耗气量应满足长期胚胎培养需要.</w:t>
            </w:r>
          </w:p>
          <w:p w14:paraId="1B1F5FA3">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▲3.8.可实时显⽰仓室内样本信息及温度信息。</w:t>
            </w:r>
          </w:p>
          <w:p w14:paraId="3C5F5BFA">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3.9.舱盖具有阻尼或等同安全结构，如锁扣，防滑等，可有效避免仓盖意外滑落或开启。</w:t>
            </w:r>
          </w:p>
          <w:p w14:paraId="0AE30547">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3.10.可选配仓扩容模块，容量加倍培养箱内嵌≤7"的触控屏，显示样品信息及培养条件关键信息。</w:t>
            </w:r>
          </w:p>
          <w:p w14:paraId="1D9C16A8">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3.11.触控屏可设置培养箱的参数、报警，编辑、更改、温度和气体浓度的校准、开关仓时间等信息。</w:t>
            </w:r>
          </w:p>
          <w:p w14:paraId="73A8CB1D">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3.12.触控屏可以实时查看温度、气体浓度和气体流量的变化曲线，滤器寿命预警等。</w:t>
            </w:r>
          </w:p>
          <w:p w14:paraId="2CF32752">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3.13.具备开仓盖超时报警功能，且报警时间可在10-60秒之间调整。</w:t>
            </w:r>
          </w:p>
          <w:p w14:paraId="1627FC49">
            <w:pPr>
              <w:jc w:val="left"/>
              <w:rPr>
                <w:rFonts w:hint="eastAsia" w:ascii="仿宋_GB2312" w:hAnsi="仿宋_GB2312" w:eastAsia="仿宋_GB2312" w:cs="仿宋_GB2312"/>
                <w:b/>
                <w:bCs/>
                <w:color w:val="000000"/>
                <w:sz w:val="21"/>
                <w:szCs w:val="21"/>
                <w:highlight w:val="none"/>
              </w:rPr>
            </w:pPr>
            <w:r>
              <w:rPr>
                <w:rFonts w:hint="eastAsia" w:ascii="仿宋_GB2312" w:hAnsi="仿宋_GB2312" w:eastAsia="仿宋_GB2312" w:cs="仿宋_GB2312"/>
                <w:b/>
                <w:bCs/>
                <w:color w:val="000000"/>
                <w:sz w:val="21"/>
                <w:szCs w:val="21"/>
                <w:highlight w:val="none"/>
              </w:rPr>
              <w:t>4.精子分析仪</w:t>
            </w:r>
          </w:p>
          <w:p w14:paraId="251A2BF2">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4.1硬件配置</w:t>
            </w:r>
          </w:p>
          <w:p w14:paraId="756FEA13">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4.1.1.自动平台: 三轴联动自动扫描平台，X、Y轴移动精度≤0.2μm，Z轴移动精度不高于0.1μm，自动调焦、自动扫描；配备至少4片装玻片夹，可同时放置至少4片载玻片；标配大面积恒温玻璃板，尺寸≥130x75mm，温度精度±0.1℃。</w:t>
            </w:r>
          </w:p>
          <w:p w14:paraId="1C5DB141">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4.1.2.配置一次性承载片不低于1盒，规格不少于50片/盒，无需配备辅助装置，平台的平整性不受影响。</w:t>
            </w:r>
          </w:p>
          <w:p w14:paraId="50A00D96">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★4.1.3.计算机：CPU≥四核、显示器≥23.8寸（分辨率≥1920×1080）、内存≥16G、固态硬盘≥1T，网口≥2个。</w:t>
            </w:r>
          </w:p>
          <w:p w14:paraId="2099183E">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产品参数要求不详尽之处，须严格参考《财政部、工业和信息化部关于印发&lt;台式计算机政府采购需求标准（2023版）&gt;的通知》要求执行，</w:t>
            </w:r>
            <w:r>
              <w:rPr>
                <w:rFonts w:hint="eastAsia" w:ascii="仿宋_GB2312" w:hAnsi="仿宋_GB2312" w:eastAsia="仿宋_GB2312" w:cs="仿宋_GB2312"/>
                <w:b/>
                <w:bCs/>
                <w:color w:val="000000"/>
                <w:sz w:val="21"/>
                <w:szCs w:val="21"/>
                <w:highlight w:val="none"/>
              </w:rPr>
              <w:t>达到招标人实际使用需求。提供承诺函</w:t>
            </w:r>
            <w:r>
              <w:rPr>
                <w:rFonts w:hint="eastAsia" w:ascii="仿宋_GB2312" w:hAnsi="仿宋_GB2312" w:eastAsia="仿宋_GB2312" w:cs="仿宋_GB2312"/>
                <w:color w:val="000000"/>
                <w:sz w:val="21"/>
                <w:szCs w:val="21"/>
                <w:highlight w:val="none"/>
              </w:rPr>
              <w:t>，承诺所投产品参数严格参考《财政部、工业和信息化部关于印发&lt;台式计算机政府采购需求标准（2023版）&gt;的通知》要求，达到招标人实际使用需求。”。</w:t>
            </w:r>
          </w:p>
          <w:p w14:paraId="1C3D08E4">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4.1.4.相差显微镜：配备相差显微镜，LED光源，10X（9.5X-10X）负相差、19X-21X平场物镜、100X油镜，相差聚光镜。</w:t>
            </w:r>
          </w:p>
          <w:p w14:paraId="01D0F478">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4.1.5.彩色专业相机：采用彩色相机，最大帧率99fps，分辨率≥500万像素。</w:t>
            </w:r>
          </w:p>
          <w:p w14:paraId="5C868C0D">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4.2软件性能</w:t>
            </w:r>
          </w:p>
          <w:p w14:paraId="5CD9434E">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4.2.1.精子浓度和活力分析软件：</w:t>
            </w:r>
          </w:p>
          <w:p w14:paraId="21BA0238">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★4.2.1.1.采用负相差图像分析，软件可识别动物精子，可过滤精液中的杂质、凝集区域及大片气泡等，精子抓捕率≥95%。</w:t>
            </w:r>
          </w:p>
          <w:p w14:paraId="3C084E24">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4.2.1.2.准确分析各级活力精子，快速运动精子符合率≥90%，慢速运动精子符合率≥90%，能动精子符合率≥90%，不动精子符合率≥90%。</w:t>
            </w:r>
          </w:p>
          <w:p w14:paraId="64FBB10D">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4.2.1.3.实时显示摄像机真实频率下的精子运动轨迹。</w:t>
            </w:r>
          </w:p>
          <w:p w14:paraId="6882EE64">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4.2.1.4.具有测量精子运动参数，显示≥9个运动参数值：曲线速率（VCL）（μm/s）、直线速率（VSL）（μm/s）、平均路径速率（VAP）（μm/s）、精子头部侧摆幅度（ALH）（μm）、直线性（LIN）（%）、摆动性（WOB）（%）、前向性（SRT）（%）、平均角位移（MAD）（度）、鞭打频率（BCF）（HZ）。</w:t>
            </w:r>
          </w:p>
          <w:p w14:paraId="50FC22B6">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4.2.1.5.自动汇总统计视野精子数分布趋势图、统计精子密度与精子总数；自动分类统计各级活力精子的个数、精子密度、精子总数、百分率，精子运动参数的单精子值与平均值等多项检测项目。</w:t>
            </w:r>
          </w:p>
          <w:p w14:paraId="040EFFBE">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4.2.1.6.软件支持精子浓度活力视频录制，并进行保存。</w:t>
            </w:r>
          </w:p>
          <w:p w14:paraId="372E42E1">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4.2.2.形态学分析软件：</w:t>
            </w:r>
          </w:p>
          <w:p w14:paraId="4C4AFA36">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4.2.2.1.采用高像素图像分析，软件可识别精子，可过滤精液中的杂质、碎片、细胞等，精子抓捕率≥95%。</w:t>
            </w:r>
          </w:p>
          <w:p w14:paraId="2E5E22C4">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★4.2.2.2.采用AI技术，识别正常形态精子及异常形态精子,识别符合率≥90%。</w:t>
            </w:r>
          </w:p>
          <w:p w14:paraId="1337CB1E">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4.2.2.3.采用Diff-Quik、姬姆萨、巴氏等多种染色的精子形态抓捕模式。</w:t>
            </w:r>
          </w:p>
          <w:p w14:paraId="6A6D70C2">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4.2.2.4.准确分割精子的头部和中段，自动识别并分析头部缺陷、顶体、颈部和中段缺陷、主段缺陷、原生质滴形状分类等多项检测项目。</w:t>
            </w:r>
          </w:p>
          <w:p w14:paraId="6A803DEE">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4.2.2.5.能识别头部异常分类，可根据不同物种划分头部分类，例如小鼠异常头部分类包括大头、小头、尖头、双头、香蕉头、无钩、不规则等。</w:t>
            </w:r>
          </w:p>
          <w:p w14:paraId="68AB72FB">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4.2.2.6.每张精子形态图谱上都标有9.7μm-10.3μm的比例尺。</w:t>
            </w:r>
          </w:p>
          <w:p w14:paraId="573EAA1F">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4.2.2.7.能进行精子形态逐个分析的图像回放，并可以对精子头部、顶体、中段、主段、原生质滴的分析结果进行核对。</w:t>
            </w:r>
          </w:p>
          <w:p w14:paraId="72773C3F">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4.2.2.8.能独立显示任意单个染色精子的测量数据，根据不同物种划分参数。</w:t>
            </w:r>
          </w:p>
          <w:p w14:paraId="3C8A87ED">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4.2.3.数据管理：</w:t>
            </w:r>
          </w:p>
          <w:p w14:paraId="15596AF2">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4.2.3.1.测量结果导出功能：可自动导出每条精子浓度与活力检测、形态学分析的测量结果，数据导出形式包含但不限于EXCEL表格，适合研究需求。</w:t>
            </w:r>
          </w:p>
          <w:p w14:paraId="75467F1B">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4.2.3.2.统计功能：自动统计某一时间、年龄段、同一名称多次检测的数据，支持多参数查询统计，数据经过统计学处理可导出Excel文件。</w:t>
            </w:r>
          </w:p>
          <w:p w14:paraId="28C70FE1">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4.2.4.采集要求</w:t>
            </w:r>
          </w:p>
          <w:p w14:paraId="4E315A72">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4.2.4.1.采集系统、分析软件独立运行，审核分析结果时，可同时进行下一个标本的检测。</w:t>
            </w:r>
          </w:p>
          <w:p w14:paraId="3CECCE90">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4.2.4.2.自动对焦、自动扫描，有人工辅助手动采集功能。</w:t>
            </w:r>
          </w:p>
          <w:p w14:paraId="167E84FE">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4.2.5.其他功能：</w:t>
            </w:r>
          </w:p>
          <w:p w14:paraId="29DC87FD">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4.2.5.1.具有两次差异性检测功能。</w:t>
            </w:r>
          </w:p>
          <w:p w14:paraId="13F507AC">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4.2.5.2.可自动采集精子，也可人工辅助手动采集。</w:t>
            </w:r>
          </w:p>
          <w:p w14:paraId="013FE1E3">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4.2.5.3.具有视野审核、报告图片选择功能。</w:t>
            </w:r>
          </w:p>
          <w:p w14:paraId="662754CA">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4.2.5.4.具有浓度与活力图片、视频，形态学图片导入功能，软件可自动分析结果。</w:t>
            </w:r>
          </w:p>
          <w:p w14:paraId="67BF6B99">
            <w:pPr>
              <w:jc w:val="left"/>
              <w:rPr>
                <w:rFonts w:hint="eastAsia" w:ascii="仿宋_GB2312" w:hAnsi="仿宋_GB2312" w:eastAsia="仿宋_GB2312" w:cs="仿宋_GB2312"/>
                <w:b/>
                <w:bCs/>
                <w:color w:val="000000"/>
                <w:sz w:val="21"/>
                <w:szCs w:val="21"/>
                <w:highlight w:val="none"/>
              </w:rPr>
            </w:pPr>
            <w:r>
              <w:rPr>
                <w:rFonts w:hint="eastAsia" w:ascii="仿宋_GB2312" w:hAnsi="仿宋_GB2312" w:eastAsia="仿宋_GB2312" w:cs="仿宋_GB2312"/>
                <w:b/>
                <w:bCs/>
                <w:color w:val="000000"/>
                <w:sz w:val="21"/>
                <w:szCs w:val="21"/>
                <w:highlight w:val="none"/>
              </w:rPr>
              <w:t>5.CO2培养箱</w:t>
            </w:r>
          </w:p>
          <w:p w14:paraId="4346BF44">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5.1、气套式加热系统，六面加热，内腔容积≥170L；</w:t>
            </w:r>
          </w:p>
          <w:p w14:paraId="4A31DBC0">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温度范围：室温以上6℃至50℃；37℃时温度偏差：±0.3℃；</w:t>
            </w:r>
          </w:p>
          <w:p w14:paraId="50776616">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温度波动度：±0.1℃；37℃时打开门30秒的恢复时间≤8分钟；CO2控制范围：0～20%，设定精度：≤0.1%；5%CO2浓度时开门20-30秒的恢复时间≤5分钟；湿度范围：90-95%RH。</w:t>
            </w:r>
          </w:p>
          <w:p w14:paraId="167AE140">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5.2.LCD彩色液晶显示屏，微处理控制器。</w:t>
            </w:r>
          </w:p>
          <w:p w14:paraId="33A1B011">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5.3.可实现≥180℃自动干热灭菌。</w:t>
            </w:r>
          </w:p>
          <w:p w14:paraId="1E1061EF">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5.4.防冷凝加湿系统，可直接杜绝高湿度情况下的内腔无附着冷凝水。</w:t>
            </w:r>
          </w:p>
          <w:p w14:paraId="2D481610">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5.5.采用IR红外CO2浓度探头，零漂移，精准度比TC热导传感器更高。</w:t>
            </w:r>
          </w:p>
          <w:p w14:paraId="7083FAA3">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5.6.采用气体预混，主动循环或其它同等以上气体均匀化技术，提前混合气体，保证箱体内部CO2浓度高度均匀，长期稳定，无漂移。</w:t>
            </w:r>
          </w:p>
          <w:p w14:paraId="7EEBDFD4">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5.7.内部气流设计应降低污染风险，并便于清洁消毒。</w:t>
            </w:r>
          </w:p>
          <w:p w14:paraId="53864A38">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5.8.具备红外感应技术的湿度传感器。</w:t>
            </w:r>
          </w:p>
          <w:p w14:paraId="18464C3A">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5.9.符合人体工程学的外门门把手设计；内门采用高强度安全钢化玻璃。</w:t>
            </w:r>
          </w:p>
          <w:p w14:paraId="6D0ED2A9">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5.10.内腔为高品质不锈钢一体成型压制而成，无焊缝，所有角落保证可以直接触碰；穿孔设计的隔板采用不锈钢材质，与内腔紧密结合，外露2/3也可保证隔板支撑物体不滑落。</w:t>
            </w:r>
          </w:p>
          <w:p w14:paraId="556D9923">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5.11.具备声光报警系统，显示屏具备问题提示信息。</w:t>
            </w:r>
          </w:p>
          <w:p w14:paraId="3AED217C">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具备0电压报警系统。</w:t>
            </w:r>
          </w:p>
          <w:p w14:paraId="6104E650">
            <w:pPr>
              <w:jc w:val="left"/>
              <w:rPr>
                <w:rFonts w:hint="eastAsia" w:ascii="仿宋_GB2312" w:hAnsi="仿宋_GB2312" w:eastAsia="仿宋_GB2312" w:cs="仿宋_GB2312"/>
                <w:b/>
                <w:bCs/>
                <w:color w:val="000000"/>
                <w:sz w:val="21"/>
                <w:szCs w:val="21"/>
                <w:highlight w:val="none"/>
              </w:rPr>
            </w:pPr>
            <w:r>
              <w:rPr>
                <w:rFonts w:hint="eastAsia" w:ascii="仿宋_GB2312" w:hAnsi="仿宋_GB2312" w:eastAsia="仿宋_GB2312" w:cs="仿宋_GB2312"/>
                <w:b/>
                <w:bCs/>
                <w:color w:val="000000"/>
                <w:sz w:val="21"/>
                <w:szCs w:val="21"/>
                <w:highlight w:val="none"/>
              </w:rPr>
              <w:t>6.恒温加热板</w:t>
            </w:r>
          </w:p>
          <w:p w14:paraId="43797986">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6.1.专为动物胚胎技术实验室设计，用于维持配子和胚胎的温度。</w:t>
            </w:r>
          </w:p>
          <w:p w14:paraId="4D503002">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6.2.内置控制器，液晶显示屏；采用耐用且平整的玻璃，金属或其它高导热材料面板，适用于培养皿，孔板及金属试管架。</w:t>
            </w:r>
          </w:p>
          <w:p w14:paraId="66E4ACA3">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6.3.温度稳定性：±0.1℃，温度均一性：±0.2℃</w:t>
            </w:r>
          </w:p>
          <w:p w14:paraId="48F90C19">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非常平坦且节省空间，超薄厚度：≤</w:t>
            </w:r>
            <w:r>
              <w:rPr>
                <w:rFonts w:hint="eastAsia" w:ascii="仿宋_GB2312" w:hAnsi="仿宋_GB2312" w:eastAsia="仿宋_GB2312" w:cs="仿宋_GB2312"/>
                <w:color w:val="000000"/>
                <w:sz w:val="21"/>
                <w:szCs w:val="21"/>
                <w:highlight w:val="none"/>
                <w:lang w:val="en-US" w:eastAsia="zh-CN"/>
              </w:rPr>
              <w:t>20</w:t>
            </w:r>
            <w:r>
              <w:rPr>
                <w:rFonts w:hint="eastAsia" w:ascii="仿宋_GB2312" w:hAnsi="仿宋_GB2312" w:eastAsia="仿宋_GB2312" w:cs="仿宋_GB2312"/>
                <w:color w:val="000000"/>
                <w:sz w:val="21"/>
                <w:szCs w:val="21"/>
                <w:highlight w:val="none"/>
              </w:rPr>
              <w:t>mm。</w:t>
            </w:r>
          </w:p>
          <w:p w14:paraId="760FEA67">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6.4.具备温度数据记录，存储及导出功能，实现温度数据追溯。</w:t>
            </w:r>
          </w:p>
          <w:p w14:paraId="3055396A">
            <w:pPr>
              <w:jc w:val="left"/>
              <w:rPr>
                <w:rFonts w:hint="eastAsia" w:ascii="仿宋_GB2312" w:hAnsi="仿宋_GB2312" w:eastAsia="仿宋_GB2312" w:cs="仿宋_GB2312"/>
                <w:color w:val="000000"/>
                <w:sz w:val="21"/>
                <w:szCs w:val="21"/>
                <w:highlight w:val="none"/>
                <w:lang w:eastAsia="zh-CN"/>
              </w:rPr>
            </w:pPr>
            <w:r>
              <w:rPr>
                <w:rFonts w:hint="eastAsia" w:ascii="仿宋_GB2312" w:hAnsi="仿宋_GB2312" w:eastAsia="仿宋_GB2312" w:cs="仿宋_GB2312"/>
                <w:color w:val="000000"/>
                <w:sz w:val="21"/>
                <w:szCs w:val="21"/>
                <w:highlight w:val="none"/>
              </w:rPr>
              <w:t>6.5.支持外接电源供电，可选配移动电源，备用电源或具有同等断电保障能力的供电方案</w:t>
            </w:r>
            <w:r>
              <w:rPr>
                <w:rFonts w:hint="eastAsia" w:ascii="仿宋_GB2312" w:hAnsi="仿宋_GB2312" w:eastAsia="仿宋_GB2312" w:cs="仿宋_GB2312"/>
                <w:color w:val="000000"/>
                <w:sz w:val="21"/>
                <w:szCs w:val="21"/>
                <w:highlight w:val="none"/>
                <w:lang w:eastAsia="zh-CN"/>
              </w:rPr>
              <w:t>。</w:t>
            </w:r>
          </w:p>
          <w:p w14:paraId="4C8E7F7D">
            <w:pPr>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6.6.便捷设置和校准温度；可查看温度曲线。</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11D005F4">
            <w:pPr>
              <w:tabs>
                <w:tab w:val="left" w:pos="0"/>
              </w:tabs>
              <w:adjustRightInd w:val="0"/>
              <w:snapToGrid w:val="0"/>
              <w:jc w:val="center"/>
              <w:rPr>
                <w:rFonts w:hint="eastAsia" w:ascii="仿宋_GB2312" w:hAnsi="仿宋_GB2312" w:eastAsia="仿宋_GB2312" w:cs="仿宋_GB2312"/>
                <w:color w:val="000000"/>
                <w:kern w:val="0"/>
                <w:sz w:val="21"/>
                <w:szCs w:val="21"/>
                <w:highlight w:val="none"/>
              </w:rPr>
            </w:pPr>
          </w:p>
        </w:tc>
        <w:tc>
          <w:tcPr>
            <w:tcW w:w="1186" w:type="dxa"/>
            <w:tcBorders>
              <w:top w:val="single" w:color="auto" w:sz="4" w:space="0"/>
              <w:left w:val="single" w:color="auto" w:sz="4" w:space="0"/>
              <w:bottom w:val="single" w:color="auto" w:sz="4" w:space="0"/>
              <w:right w:val="single" w:color="auto" w:sz="4" w:space="0"/>
            </w:tcBorders>
            <w:noWrap w:val="0"/>
            <w:vAlign w:val="center"/>
          </w:tcPr>
          <w:p w14:paraId="48B68F4D">
            <w:pPr>
              <w:tabs>
                <w:tab w:val="left" w:pos="0"/>
              </w:tabs>
              <w:spacing w:line="240" w:lineRule="exact"/>
              <w:jc w:val="center"/>
              <w:rPr>
                <w:rFonts w:hint="eastAsia" w:ascii="仿宋_GB2312" w:hAnsi="仿宋_GB2312" w:eastAsia="仿宋_GB2312" w:cs="仿宋_GB2312"/>
                <w:color w:val="000000"/>
                <w:kern w:val="0"/>
                <w:sz w:val="21"/>
                <w:szCs w:val="21"/>
                <w:highlight w:val="none"/>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62501A2">
            <w:pPr>
              <w:tabs>
                <w:tab w:val="left" w:pos="0"/>
              </w:tabs>
              <w:spacing w:line="240" w:lineRule="exact"/>
              <w:jc w:val="center"/>
              <w:rPr>
                <w:rFonts w:hint="eastAsia" w:ascii="仿宋_GB2312" w:hAnsi="仿宋_GB2312" w:eastAsia="仿宋_GB2312" w:cs="仿宋_GB2312"/>
                <w:color w:val="000000"/>
                <w:kern w:val="0"/>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3B80B810">
            <w:pPr>
              <w:tabs>
                <w:tab w:val="left" w:pos="0"/>
              </w:tabs>
              <w:spacing w:line="240" w:lineRule="exact"/>
              <w:jc w:val="center"/>
              <w:rPr>
                <w:rFonts w:hint="eastAsia" w:ascii="仿宋_GB2312" w:hAnsi="仿宋_GB2312" w:eastAsia="仿宋_GB2312" w:cs="仿宋_GB2312"/>
                <w:color w:val="000000"/>
                <w:kern w:val="0"/>
                <w:sz w:val="21"/>
                <w:szCs w:val="21"/>
                <w:highlight w:val="none"/>
              </w:rPr>
            </w:pPr>
          </w:p>
        </w:tc>
      </w:tr>
      <w:tr w14:paraId="78580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4BF9BCCF">
            <w:pPr>
              <w:adjustRightInd w:val="0"/>
              <w:snapToGrid w:val="0"/>
              <w:ind w:hanging="1"/>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其他</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303C224B">
            <w:pPr>
              <w:tabs>
                <w:tab w:val="left" w:pos="-61"/>
              </w:tabs>
              <w:adjustRightInd w:val="0"/>
              <w:snapToGrid w:val="0"/>
              <w:ind w:right="-54" w:rightChars="-26"/>
              <w:jc w:val="left"/>
              <w:rPr>
                <w:rFonts w:hint="eastAsia" w:ascii="仿宋_GB2312" w:hAnsi="仿宋_GB2312" w:eastAsia="仿宋_GB2312" w:cs="仿宋_GB2312"/>
                <w:color w:val="000000"/>
                <w:kern w:val="0"/>
                <w:sz w:val="21"/>
                <w:szCs w:val="21"/>
                <w:highlight w:val="none"/>
              </w:rPr>
            </w:pPr>
            <w:r>
              <w:rPr>
                <w:rFonts w:hint="eastAsia" w:ascii="仿宋_GB2312" w:hAnsi="仿宋_GB2312" w:eastAsia="仿宋_GB2312" w:cs="仿宋_GB2312"/>
                <w:color w:val="000000"/>
                <w:sz w:val="21"/>
                <w:szCs w:val="21"/>
                <w:highlight w:val="none"/>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6E6B9AF8">
            <w:pPr>
              <w:tabs>
                <w:tab w:val="left" w:pos="0"/>
              </w:tabs>
              <w:spacing w:line="240" w:lineRule="exact"/>
              <w:jc w:val="center"/>
              <w:rPr>
                <w:rFonts w:hint="eastAsia" w:ascii="仿宋_GB2312" w:hAnsi="仿宋_GB2312" w:eastAsia="仿宋_GB2312" w:cs="仿宋_GB2312"/>
                <w:color w:val="000000"/>
                <w:kern w:val="0"/>
                <w:sz w:val="21"/>
                <w:szCs w:val="21"/>
                <w:highlight w:val="none"/>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3C215AB1">
            <w:pPr>
              <w:tabs>
                <w:tab w:val="left" w:pos="0"/>
              </w:tabs>
              <w:spacing w:line="240" w:lineRule="exact"/>
              <w:jc w:val="center"/>
              <w:rPr>
                <w:rFonts w:hint="eastAsia" w:ascii="仿宋_GB2312" w:hAnsi="仿宋_GB2312" w:eastAsia="仿宋_GB2312" w:cs="仿宋_GB2312"/>
                <w:color w:val="000000"/>
                <w:kern w:val="0"/>
                <w:sz w:val="21"/>
                <w:szCs w:val="21"/>
                <w:highlight w:val="none"/>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372E26AC">
            <w:pPr>
              <w:tabs>
                <w:tab w:val="left" w:pos="0"/>
              </w:tabs>
              <w:spacing w:line="240" w:lineRule="exact"/>
              <w:jc w:val="center"/>
              <w:rPr>
                <w:rFonts w:hint="eastAsia" w:ascii="仿宋_GB2312" w:hAnsi="仿宋_GB2312" w:eastAsia="仿宋_GB2312" w:cs="仿宋_GB2312"/>
                <w:color w:val="000000"/>
                <w:kern w:val="0"/>
                <w:sz w:val="21"/>
                <w:szCs w:val="21"/>
                <w:highlight w:val="none"/>
              </w:rPr>
            </w:pPr>
          </w:p>
        </w:tc>
      </w:tr>
    </w:tbl>
    <w:p w14:paraId="18A7F4F3">
      <w:pPr>
        <w:adjustRightInd w:val="0"/>
        <w:snapToGrid w:val="0"/>
        <w:spacing w:line="360" w:lineRule="auto"/>
        <w:ind w:right="105" w:rightChars="50"/>
        <w:jc w:val="left"/>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填表要求：</w:t>
      </w:r>
    </w:p>
    <w:p w14:paraId="66BEFC02">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1.</w:t>
      </w:r>
      <w:r>
        <w:rPr>
          <w:rFonts w:hint="eastAsia" w:ascii="仿宋_GB2312" w:hAnsi="仿宋_GB2312" w:eastAsia="仿宋_GB2312" w:cs="仿宋_GB2312"/>
          <w:color w:val="000000"/>
          <w:sz w:val="24"/>
          <w:szCs w:val="24"/>
          <w:highlight w:val="none"/>
        </w:rPr>
        <w:t>“投标文件响应内容”一栏由投标人按照招标文件要求逐项填写，并进行逐项响应。</w:t>
      </w:r>
    </w:p>
    <w:p w14:paraId="73647FD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2.</w:t>
      </w:r>
      <w:r>
        <w:rPr>
          <w:rFonts w:hint="eastAsia" w:ascii="仿宋_GB2312" w:hAnsi="仿宋_GB2312" w:eastAsia="仿宋_GB2312" w:cs="仿宋_GB2312"/>
          <w:color w:val="000000"/>
          <w:sz w:val="24"/>
          <w:szCs w:val="24"/>
          <w:highlight w:val="none"/>
        </w:rPr>
        <w:t>“偏离程度”一栏根据“投标文件响应内容”与招标文件逐项对照的结果填写。偏离必须用 “正偏离、负偏离或无偏离”三个名称中的一种进行标注。</w:t>
      </w:r>
    </w:p>
    <w:p w14:paraId="23D49F2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3.</w:t>
      </w:r>
      <w:r>
        <w:rPr>
          <w:rFonts w:hint="eastAsia" w:ascii="仿宋_GB2312" w:hAnsi="仿宋_GB2312" w:eastAsia="仿宋_GB2312" w:cs="仿宋_GB2312"/>
          <w:color w:val="000000"/>
          <w:sz w:val="24"/>
          <w:szCs w:val="24"/>
          <w:highlight w:val="none"/>
        </w:rPr>
        <w:t>“偏离说明”一栏由投标人对偏离的情况做详细说明。</w:t>
      </w:r>
    </w:p>
    <w:p w14:paraId="63DAD6EE">
      <w:pPr>
        <w:adjustRightInd w:val="0"/>
        <w:snapToGrid w:val="0"/>
        <w:spacing w:line="360" w:lineRule="auto"/>
        <w:rPr>
          <w:rFonts w:hint="eastAsia" w:ascii="仿宋_GB2312" w:hAnsi="仿宋_GB2312" w:eastAsia="仿宋_GB2312" w:cs="仿宋_GB2312"/>
          <w:color w:val="000000"/>
          <w:sz w:val="24"/>
          <w:szCs w:val="24"/>
          <w:highlight w:val="none"/>
        </w:rPr>
      </w:pPr>
    </w:p>
    <w:p w14:paraId="3D7C3130">
      <w:pPr>
        <w:adjustRightInd w:val="0"/>
        <w:snapToGrid w:val="0"/>
        <w:spacing w:line="360" w:lineRule="auto"/>
        <w:rPr>
          <w:rFonts w:hint="eastAsia" w:ascii="仿宋_GB2312" w:hAnsi="仿宋_GB2312" w:eastAsia="仿宋_GB2312" w:cs="仿宋_GB2312"/>
          <w:color w:val="000000"/>
          <w:sz w:val="24"/>
          <w:szCs w:val="24"/>
          <w:highlight w:val="none"/>
        </w:rPr>
      </w:pPr>
    </w:p>
    <w:p w14:paraId="7909AA73">
      <w:pPr>
        <w:snapToGrid w:val="0"/>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投标人名称（加盖单位公章）：</w:t>
      </w:r>
      <w:r>
        <w:rPr>
          <w:rFonts w:hint="eastAsia" w:ascii="仿宋_GB2312" w:hAnsi="仿宋_GB2312" w:eastAsia="仿宋_GB2312" w:cs="仿宋_GB2312"/>
          <w:color w:val="000000"/>
          <w:sz w:val="24"/>
          <w:szCs w:val="24"/>
          <w:highlight w:val="none"/>
          <w:u w:val="single"/>
        </w:rPr>
        <w:t xml:space="preserve">           </w:t>
      </w:r>
    </w:p>
    <w:p w14:paraId="4467A955">
      <w:pPr>
        <w:snapToGrid w:val="0"/>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法定代表人（或非法人组织负责人）或其授权委托人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54CB0DCE">
      <w:pPr>
        <w:adjustRightInd w:val="0"/>
        <w:snapToGrid w:val="0"/>
        <w:spacing w:line="480" w:lineRule="auto"/>
        <w:ind w:right="105" w:rightChars="50"/>
        <w:jc w:val="left"/>
        <w:rPr>
          <w:rFonts w:hint="default" w:ascii="Times New Roman" w:hAnsi="Times New Roman" w:eastAsia="仿宋" w:cs="仿宋"/>
          <w:color w:val="000000"/>
          <w:szCs w:val="28"/>
          <w:highlight w:val="none"/>
          <w:lang w:val="en-US" w:eastAsia="zh-CN"/>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r>
        <w:rPr>
          <w:rFonts w:hint="eastAsia" w:ascii="Times New Roman" w:hAnsi="Times New Roman" w:eastAsia="仿宋" w:cs="仿宋"/>
          <w:color w:val="000000"/>
          <w:szCs w:val="28"/>
          <w:highlight w:val="none"/>
        </w:rPr>
        <w:br w:type="page"/>
      </w:r>
      <w:r>
        <w:rPr>
          <w:rFonts w:hint="eastAsia" w:ascii="Times New Roman" w:hAnsi="Times New Roman" w:eastAsia="仿宋" w:cs="仿宋"/>
          <w:b/>
          <w:color w:val="000000"/>
          <w:kern w:val="2"/>
          <w:sz w:val="28"/>
          <w:szCs w:val="28"/>
          <w:highlight w:val="none"/>
          <w:lang w:val="en-US" w:eastAsia="zh-CN" w:bidi="ar-SA"/>
        </w:rPr>
        <w:t>格式1</w:t>
      </w:r>
      <w:r>
        <w:rPr>
          <w:rFonts w:hint="eastAsia" w:ascii="Times New Roman" w:hAnsi="Times New Roman" w:cs="仿宋"/>
          <w:b/>
          <w:color w:val="000000"/>
          <w:kern w:val="2"/>
          <w:sz w:val="28"/>
          <w:szCs w:val="28"/>
          <w:highlight w:val="none"/>
          <w:lang w:val="en-US" w:eastAsia="zh-CN" w:bidi="ar-SA"/>
        </w:rPr>
        <w:t>5</w:t>
      </w:r>
    </w:p>
    <w:p w14:paraId="340810F7">
      <w:pPr>
        <w:adjustRightInd w:val="0"/>
        <w:snapToGrid w:val="0"/>
        <w:ind w:right="105" w:rightChars="50"/>
        <w:jc w:val="center"/>
        <w:rPr>
          <w:rFonts w:hint="eastAsia" w:ascii="宋体" w:hAnsi="宋体" w:eastAsia="宋体" w:cs="宋体"/>
          <w:b/>
          <w:bCs/>
          <w:color w:val="000000"/>
          <w:sz w:val="32"/>
          <w:szCs w:val="32"/>
          <w:highlight w:val="none"/>
        </w:rPr>
      </w:pPr>
      <w:bookmarkStart w:id="122" w:name="_Toc4431_WPSOffice_Level2"/>
      <w:bookmarkStart w:id="123" w:name="_Toc8488_WPSOffice_Level2"/>
      <w:r>
        <w:rPr>
          <w:rFonts w:hint="eastAsia" w:ascii="宋体" w:hAnsi="宋体" w:eastAsia="宋体" w:cs="宋体"/>
          <w:b/>
          <w:bCs/>
          <w:color w:val="000000"/>
          <w:sz w:val="32"/>
          <w:szCs w:val="32"/>
          <w:highlight w:val="none"/>
        </w:rPr>
        <w:t>商务条款偏离表</w:t>
      </w:r>
      <w:bookmarkEnd w:id="122"/>
      <w:bookmarkEnd w:id="123"/>
    </w:p>
    <w:p w14:paraId="6F742B8C">
      <w:pPr>
        <w:adjustRightInd w:val="0"/>
        <w:snapToGrid w:val="0"/>
        <w:spacing w:line="360" w:lineRule="auto"/>
        <w:ind w:right="105" w:rightChars="50"/>
        <w:jc w:val="left"/>
        <w:rPr>
          <w:rFonts w:hint="eastAsia" w:ascii="Times New Roman" w:hAnsi="Times New Roman" w:eastAsia="仿宋" w:cs="仿宋"/>
          <w:b/>
          <w:bCs/>
          <w:color w:val="000000"/>
          <w:szCs w:val="21"/>
          <w:highlight w:val="none"/>
        </w:rPr>
      </w:pPr>
      <w:r>
        <w:rPr>
          <w:rFonts w:hint="eastAsia" w:ascii="仿宋_GB2312" w:hAnsi="仿宋_GB2312" w:eastAsia="仿宋_GB2312" w:cs="仿宋_GB2312"/>
          <w:b/>
          <w:bCs/>
          <w:color w:val="000000"/>
          <w:sz w:val="24"/>
          <w:szCs w:val="24"/>
          <w:highlight w:val="none"/>
        </w:rPr>
        <w:t>包组编号：</w:t>
      </w:r>
      <w:r>
        <w:rPr>
          <w:rFonts w:hint="eastAsia" w:ascii="Times New Roman" w:hAnsi="Times New Roman" w:eastAsia="仿宋" w:cs="仿宋"/>
          <w:b/>
          <w:bCs/>
          <w:color w:val="000000"/>
          <w:szCs w:val="21"/>
          <w:highlight w:val="none"/>
        </w:rPr>
        <w:t xml:space="preserve">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3737"/>
        <w:gridCol w:w="2370"/>
        <w:gridCol w:w="926"/>
        <w:gridCol w:w="936"/>
      </w:tblGrid>
      <w:tr w14:paraId="6480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544" w:type="dxa"/>
            <w:noWrap w:val="0"/>
            <w:vAlign w:val="center"/>
          </w:tcPr>
          <w:p w14:paraId="5EF3862A">
            <w:pPr>
              <w:adjustRightInd w:val="0"/>
              <w:snapToGrid w:val="0"/>
              <w:ind w:right="-48" w:rightChars="-23"/>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序号</w:t>
            </w:r>
          </w:p>
        </w:tc>
        <w:tc>
          <w:tcPr>
            <w:tcW w:w="3737" w:type="dxa"/>
            <w:noWrap w:val="0"/>
            <w:vAlign w:val="center"/>
          </w:tcPr>
          <w:p w14:paraId="16DC63AA">
            <w:pPr>
              <w:adjustRightInd w:val="0"/>
              <w:snapToGrid w:val="0"/>
              <w:ind w:right="-73" w:rightChars="-35"/>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招标文件的商务条款</w:t>
            </w:r>
          </w:p>
          <w:p w14:paraId="6B4EE394">
            <w:pPr>
              <w:adjustRightInd w:val="0"/>
              <w:snapToGrid w:val="0"/>
              <w:ind w:right="-73" w:rightChars="-35"/>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w:t>
            </w:r>
            <w:r>
              <w:rPr>
                <w:rFonts w:hint="eastAsia" w:ascii="仿宋_GB2312" w:hAnsi="仿宋_GB2312" w:eastAsia="仿宋_GB2312" w:cs="仿宋_GB2312"/>
                <w:b/>
                <w:color w:val="000000"/>
                <w:sz w:val="21"/>
                <w:szCs w:val="21"/>
                <w:highlight w:val="none"/>
              </w:rPr>
              <w:t>实质性要求及重要指标用★标注，★标注项不得负偏离，如果负偏离，则投标文件无效。</w:t>
            </w:r>
            <w:r>
              <w:rPr>
                <w:rFonts w:hint="eastAsia" w:ascii="仿宋_GB2312" w:hAnsi="仿宋_GB2312" w:eastAsia="仿宋_GB2312" w:cs="仿宋_GB2312"/>
                <w:color w:val="000000"/>
                <w:sz w:val="21"/>
                <w:szCs w:val="21"/>
                <w:highlight w:val="none"/>
              </w:rPr>
              <w:t>）</w:t>
            </w:r>
          </w:p>
        </w:tc>
        <w:tc>
          <w:tcPr>
            <w:tcW w:w="2370" w:type="dxa"/>
            <w:noWrap w:val="0"/>
            <w:vAlign w:val="center"/>
          </w:tcPr>
          <w:p w14:paraId="0F254370">
            <w:pPr>
              <w:adjustRightInd w:val="0"/>
              <w:snapToGrid w:val="0"/>
              <w:ind w:right="-107" w:rightChars="-51"/>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投标文件响应内容</w:t>
            </w:r>
          </w:p>
        </w:tc>
        <w:tc>
          <w:tcPr>
            <w:tcW w:w="926" w:type="dxa"/>
            <w:noWrap w:val="0"/>
            <w:vAlign w:val="center"/>
          </w:tcPr>
          <w:p w14:paraId="15A4A0E1">
            <w:pPr>
              <w:adjustRightInd w:val="0"/>
              <w:snapToGrid w:val="0"/>
              <w:ind w:left="-58" w:leftChars="-28" w:right="-105" w:rightChars="-5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偏离程度</w:t>
            </w:r>
          </w:p>
        </w:tc>
        <w:tc>
          <w:tcPr>
            <w:tcW w:w="936" w:type="dxa"/>
            <w:noWrap w:val="0"/>
            <w:vAlign w:val="center"/>
          </w:tcPr>
          <w:p w14:paraId="46C91DB9">
            <w:pPr>
              <w:adjustRightInd w:val="0"/>
              <w:snapToGrid w:val="0"/>
              <w:ind w:left="-58" w:leftChars="-28" w:right="-105" w:rightChars="-5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偏离说明</w:t>
            </w:r>
          </w:p>
        </w:tc>
      </w:tr>
      <w:tr w14:paraId="21ABD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44" w:type="dxa"/>
            <w:noWrap w:val="0"/>
            <w:vAlign w:val="center"/>
          </w:tcPr>
          <w:p w14:paraId="23FCC120">
            <w:pPr>
              <w:adjustRightInd w:val="0"/>
              <w:snapToGrid w:val="0"/>
              <w:ind w:right="105" w:rightChars="50"/>
              <w:jc w:val="center"/>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1</w:t>
            </w:r>
          </w:p>
        </w:tc>
        <w:tc>
          <w:tcPr>
            <w:tcW w:w="3737" w:type="dxa"/>
            <w:noWrap w:val="0"/>
            <w:vAlign w:val="center"/>
          </w:tcPr>
          <w:p w14:paraId="44985FF3">
            <w:pPr>
              <w:adjustRightInd w:val="0"/>
              <w:snapToGrid w:val="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rPr>
              <w:t>交货时间：</w:t>
            </w:r>
            <w:r>
              <w:rPr>
                <w:rFonts w:hint="eastAsia" w:ascii="仿宋_GB2312" w:hAnsi="仿宋_GB2312" w:eastAsia="仿宋_GB2312" w:cs="仿宋_GB2312"/>
                <w:color w:val="auto"/>
                <w:szCs w:val="21"/>
                <w:highlight w:val="none"/>
                <w:lang w:eastAsia="zh-CN"/>
              </w:rPr>
              <w:t>自合同签订之日起30日内完成货物进场安装调试并交付使用</w:t>
            </w:r>
            <w:r>
              <w:rPr>
                <w:rFonts w:hint="eastAsia" w:ascii="仿宋_GB2312" w:hAnsi="仿宋_GB2312" w:eastAsia="仿宋_GB2312" w:cs="仿宋_GB2312"/>
                <w:color w:val="auto"/>
                <w:szCs w:val="21"/>
                <w:highlight w:val="none"/>
              </w:rPr>
              <w:t>。</w:t>
            </w:r>
          </w:p>
        </w:tc>
        <w:tc>
          <w:tcPr>
            <w:tcW w:w="2370" w:type="dxa"/>
            <w:noWrap w:val="0"/>
            <w:vAlign w:val="center"/>
          </w:tcPr>
          <w:p w14:paraId="4125AC0A">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26" w:type="dxa"/>
            <w:noWrap w:val="0"/>
            <w:vAlign w:val="center"/>
          </w:tcPr>
          <w:p w14:paraId="47A5EF12">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36" w:type="dxa"/>
            <w:noWrap w:val="0"/>
            <w:vAlign w:val="center"/>
          </w:tcPr>
          <w:p w14:paraId="1CDC5315">
            <w:pPr>
              <w:adjustRightInd w:val="0"/>
              <w:snapToGrid w:val="0"/>
              <w:ind w:right="105" w:rightChars="50"/>
              <w:jc w:val="center"/>
              <w:rPr>
                <w:rFonts w:hint="eastAsia" w:ascii="仿宋_GB2312" w:hAnsi="仿宋_GB2312" w:eastAsia="仿宋_GB2312" w:cs="仿宋_GB2312"/>
                <w:color w:val="000000"/>
                <w:sz w:val="21"/>
                <w:szCs w:val="21"/>
                <w:highlight w:val="none"/>
              </w:rPr>
            </w:pPr>
          </w:p>
        </w:tc>
      </w:tr>
      <w:tr w14:paraId="5074B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44" w:type="dxa"/>
            <w:noWrap w:val="0"/>
            <w:vAlign w:val="center"/>
          </w:tcPr>
          <w:p w14:paraId="58F4F918">
            <w:pPr>
              <w:adjustRightInd w:val="0"/>
              <w:snapToGrid w:val="0"/>
              <w:ind w:right="105" w:rightChars="50"/>
              <w:jc w:val="center"/>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2</w:t>
            </w:r>
          </w:p>
        </w:tc>
        <w:tc>
          <w:tcPr>
            <w:tcW w:w="3737" w:type="dxa"/>
            <w:noWrap w:val="0"/>
            <w:vAlign w:val="center"/>
          </w:tcPr>
          <w:p w14:paraId="06D047D2">
            <w:pPr>
              <w:adjustRightInd w:val="0"/>
              <w:snapToGrid w:val="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rPr>
              <w:t>交货地点：采购人指定地点。</w:t>
            </w:r>
          </w:p>
        </w:tc>
        <w:tc>
          <w:tcPr>
            <w:tcW w:w="2370" w:type="dxa"/>
            <w:noWrap w:val="0"/>
            <w:vAlign w:val="center"/>
          </w:tcPr>
          <w:p w14:paraId="22677A20">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26" w:type="dxa"/>
            <w:noWrap w:val="0"/>
            <w:vAlign w:val="center"/>
          </w:tcPr>
          <w:p w14:paraId="7AB748AD">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36" w:type="dxa"/>
            <w:noWrap w:val="0"/>
            <w:vAlign w:val="center"/>
          </w:tcPr>
          <w:p w14:paraId="33A3A7DB">
            <w:pPr>
              <w:adjustRightInd w:val="0"/>
              <w:snapToGrid w:val="0"/>
              <w:ind w:right="105" w:rightChars="50"/>
              <w:jc w:val="center"/>
              <w:rPr>
                <w:rFonts w:hint="eastAsia" w:ascii="仿宋_GB2312" w:hAnsi="仿宋_GB2312" w:eastAsia="仿宋_GB2312" w:cs="仿宋_GB2312"/>
                <w:color w:val="000000"/>
                <w:sz w:val="21"/>
                <w:szCs w:val="21"/>
                <w:highlight w:val="none"/>
              </w:rPr>
            </w:pPr>
          </w:p>
        </w:tc>
      </w:tr>
      <w:tr w14:paraId="444F6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5" w:hRule="atLeast"/>
          <w:jc w:val="center"/>
        </w:trPr>
        <w:tc>
          <w:tcPr>
            <w:tcW w:w="544" w:type="dxa"/>
            <w:noWrap w:val="0"/>
            <w:vAlign w:val="center"/>
          </w:tcPr>
          <w:p w14:paraId="5AF70FFD">
            <w:pPr>
              <w:adjustRightInd w:val="0"/>
              <w:snapToGrid w:val="0"/>
              <w:ind w:right="105" w:rightChars="50"/>
              <w:jc w:val="center"/>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3</w:t>
            </w:r>
          </w:p>
        </w:tc>
        <w:tc>
          <w:tcPr>
            <w:tcW w:w="3737" w:type="dxa"/>
            <w:noWrap w:val="0"/>
            <w:vAlign w:val="center"/>
          </w:tcPr>
          <w:p w14:paraId="3498080D">
            <w:pPr>
              <w:adjustRightInd w:val="0"/>
              <w:snapToGrid w:val="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rPr>
              <w:t>付款方式及条件：货到安装调试完成且验收合格后支付全部合同价款。</w:t>
            </w:r>
          </w:p>
        </w:tc>
        <w:tc>
          <w:tcPr>
            <w:tcW w:w="2370" w:type="dxa"/>
            <w:noWrap w:val="0"/>
            <w:vAlign w:val="center"/>
          </w:tcPr>
          <w:p w14:paraId="5C00EA5F">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26" w:type="dxa"/>
            <w:noWrap w:val="0"/>
            <w:vAlign w:val="center"/>
          </w:tcPr>
          <w:p w14:paraId="79EA93DA">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36" w:type="dxa"/>
            <w:noWrap w:val="0"/>
            <w:vAlign w:val="center"/>
          </w:tcPr>
          <w:p w14:paraId="68B442E6">
            <w:pPr>
              <w:adjustRightInd w:val="0"/>
              <w:snapToGrid w:val="0"/>
              <w:ind w:right="105" w:rightChars="50"/>
              <w:jc w:val="center"/>
              <w:rPr>
                <w:rFonts w:hint="eastAsia" w:ascii="仿宋_GB2312" w:hAnsi="仿宋_GB2312" w:eastAsia="仿宋_GB2312" w:cs="仿宋_GB2312"/>
                <w:color w:val="000000"/>
                <w:sz w:val="21"/>
                <w:szCs w:val="21"/>
                <w:highlight w:val="none"/>
              </w:rPr>
            </w:pPr>
          </w:p>
        </w:tc>
      </w:tr>
      <w:tr w14:paraId="10154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3" w:hRule="atLeast"/>
          <w:jc w:val="center"/>
        </w:trPr>
        <w:tc>
          <w:tcPr>
            <w:tcW w:w="544" w:type="dxa"/>
            <w:noWrap w:val="0"/>
            <w:vAlign w:val="center"/>
          </w:tcPr>
          <w:p w14:paraId="1F6C2B45">
            <w:pPr>
              <w:adjustRightInd w:val="0"/>
              <w:snapToGrid w:val="0"/>
              <w:ind w:right="105" w:rightChars="50"/>
              <w:jc w:val="center"/>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4</w:t>
            </w:r>
          </w:p>
        </w:tc>
        <w:tc>
          <w:tcPr>
            <w:tcW w:w="3737" w:type="dxa"/>
            <w:noWrap w:val="0"/>
            <w:vAlign w:val="center"/>
          </w:tcPr>
          <w:p w14:paraId="05EDCD8A">
            <w:pPr>
              <w:adjustRightInd w:val="0"/>
              <w:snapToGrid w:val="0"/>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rPr>
              <w:t>验收要求：</w:t>
            </w:r>
          </w:p>
          <w:p w14:paraId="160FFE6F">
            <w:pPr>
              <w:adjustRightInd w:val="0"/>
              <w:snapToGrid w:val="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验收标准：严格按照政府采购相关法律法规以及《辽宁省政府采购履约验收管理办法》（辽财采〔2017〕603号）的要求进行验收</w:t>
            </w:r>
            <w:r>
              <w:rPr>
                <w:rFonts w:hint="eastAsia" w:ascii="仿宋_GB2312" w:hAnsi="仿宋_GB2312" w:eastAsia="仿宋_GB2312" w:cs="仿宋_GB2312"/>
                <w:color w:val="auto"/>
                <w:szCs w:val="21"/>
                <w:highlight w:val="none"/>
                <w:lang w:eastAsia="zh-CN"/>
              </w:rPr>
              <w:t>及按照采购需求制定的技术、商务要求标准</w:t>
            </w:r>
            <w:r>
              <w:rPr>
                <w:rFonts w:hint="eastAsia" w:ascii="仿宋_GB2312" w:hAnsi="仿宋_GB2312" w:eastAsia="仿宋_GB2312" w:cs="仿宋_GB2312"/>
                <w:color w:val="auto"/>
                <w:szCs w:val="21"/>
                <w:highlight w:val="none"/>
              </w:rPr>
              <w:t>。</w:t>
            </w:r>
          </w:p>
          <w:p w14:paraId="23D4015D">
            <w:pPr>
              <w:adjustRightInd w:val="0"/>
              <w:snapToGrid w:val="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验收报组织验收主体：本项目的履约验收工作由采购人依法组织实施。</w:t>
            </w:r>
          </w:p>
          <w:p w14:paraId="0B9CA287">
            <w:pPr>
              <w:numPr>
                <w:ilvl w:val="0"/>
                <w:numId w:val="4"/>
              </w:numPr>
              <w:adjustRightInd w:val="0"/>
              <w:snapToGrid w:val="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val="en-US" w:eastAsia="zh-CN"/>
              </w:rPr>
              <w:t>验收时间：</w:t>
            </w:r>
            <w:r>
              <w:rPr>
                <w:rFonts w:hint="eastAsia" w:ascii="仿宋_GB2312" w:hAnsi="仿宋_GB2312" w:eastAsia="仿宋_GB2312" w:cs="仿宋_GB2312"/>
                <w:color w:val="auto"/>
                <w:szCs w:val="21"/>
                <w:highlight w:val="none"/>
              </w:rPr>
              <w:t>供应商提出验收申请之日起 15日内组织验收</w:t>
            </w:r>
            <w:r>
              <w:rPr>
                <w:rFonts w:hint="eastAsia" w:ascii="仿宋_GB2312" w:hAnsi="仿宋_GB2312" w:eastAsia="仿宋_GB2312" w:cs="仿宋_GB2312"/>
                <w:color w:val="auto"/>
                <w:szCs w:val="21"/>
                <w:highlight w:val="none"/>
                <w:lang w:eastAsia="zh-CN"/>
              </w:rPr>
              <w:t>；</w:t>
            </w:r>
          </w:p>
          <w:p w14:paraId="551B9E2E">
            <w:pPr>
              <w:numPr>
                <w:ilvl w:val="0"/>
                <w:numId w:val="4"/>
              </w:numPr>
              <w:adjustRightInd w:val="0"/>
              <w:snapToGrid w:val="0"/>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验收内容</w:t>
            </w:r>
            <w:r>
              <w:rPr>
                <w:rFonts w:hint="eastAsia" w:ascii="仿宋_GB2312" w:hAnsi="仿宋_GB2312" w:eastAsia="仿宋_GB2312" w:cs="仿宋_GB2312"/>
                <w:color w:val="auto"/>
                <w:szCs w:val="21"/>
                <w:highlight w:val="none"/>
              </w:rPr>
              <w:t>：①外包装是否完好无损；②核对品牌、规格、型号、配置、配置零部件编号、制造商名称、数量、价格；③检查是否有检验证、合格证、保修证、说明书及原始装箱配置清单并加盖制造商供货专用章；④核实供应商售后服务、安全标准的合同约定内容；⑤检验设备运行状况；</w:t>
            </w:r>
          </w:p>
          <w:p w14:paraId="6899CD6B">
            <w:pPr>
              <w:adjustRightInd w:val="0"/>
              <w:snapToGrid w:val="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3、</w:t>
            </w:r>
            <w:r>
              <w:rPr>
                <w:rFonts w:hint="eastAsia" w:ascii="仿宋_GB2312" w:hAnsi="仿宋_GB2312" w:eastAsia="仿宋_GB2312" w:cs="仿宋_GB2312"/>
                <w:color w:val="auto"/>
                <w:szCs w:val="21"/>
                <w:highlight w:val="none"/>
              </w:rPr>
              <w:t>采购人对成交供应商提交的货物依据合同中的技术规格要求和国家有关质量标准进行现场初步验收，外观、说明书符合采购文件技术要求的，给予签收，初步验收不合格的不予签收。</w:t>
            </w:r>
          </w:p>
          <w:p w14:paraId="428B1202">
            <w:pPr>
              <w:adjustRightInd w:val="0"/>
              <w:snapToGrid w:val="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、成交供应商交货前应对产品做出全面检查和对验收文件进行整理，并列出清单，作为采购人收货验收和使用的技术条件依据，检验的结果应随货物交采购人。</w:t>
            </w:r>
          </w:p>
          <w:p w14:paraId="7F816CB1">
            <w:pPr>
              <w:adjustRightInd w:val="0"/>
              <w:snapToGrid w:val="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4、</w:t>
            </w:r>
            <w:r>
              <w:rPr>
                <w:rFonts w:hint="eastAsia" w:ascii="仿宋_GB2312" w:hAnsi="仿宋_GB2312" w:eastAsia="仿宋_GB2312" w:cs="仿宋_GB2312"/>
                <w:color w:val="auto"/>
                <w:szCs w:val="21"/>
                <w:highlight w:val="none"/>
              </w:rPr>
              <w:t>采购人对成交供应商提供的货物在使用前进行调试时，成交供应商需负责安装并培训采购人的使用操作人员,并协助采购人一起调试，直到符合技术要求，采购人才做最终验收。</w:t>
            </w:r>
          </w:p>
          <w:p w14:paraId="4AC62B31">
            <w:pPr>
              <w:adjustRightInd w:val="0"/>
              <w:snapToGrid w:val="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auto"/>
                <w:szCs w:val="21"/>
                <w:highlight w:val="none"/>
                <w:lang w:val="en-US" w:eastAsia="zh-CN"/>
              </w:rPr>
              <w:t>5、</w:t>
            </w:r>
            <w:r>
              <w:rPr>
                <w:rFonts w:hint="eastAsia" w:ascii="仿宋_GB2312" w:hAnsi="仿宋_GB2312" w:eastAsia="仿宋_GB2312" w:cs="仿宋_GB2312"/>
                <w:color w:val="auto"/>
                <w:szCs w:val="21"/>
                <w:highlight w:val="none"/>
              </w:rPr>
              <w:t>验收时成交供应商必须在现场，验收完毕后，由采购人作出纸质版验收结果报告。</w:t>
            </w:r>
          </w:p>
        </w:tc>
        <w:tc>
          <w:tcPr>
            <w:tcW w:w="2370" w:type="dxa"/>
            <w:noWrap w:val="0"/>
            <w:vAlign w:val="center"/>
          </w:tcPr>
          <w:p w14:paraId="21B2720E">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26" w:type="dxa"/>
            <w:noWrap w:val="0"/>
            <w:vAlign w:val="center"/>
          </w:tcPr>
          <w:p w14:paraId="0360BDFD">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36" w:type="dxa"/>
            <w:noWrap w:val="0"/>
            <w:vAlign w:val="center"/>
          </w:tcPr>
          <w:p w14:paraId="0ECF584D">
            <w:pPr>
              <w:adjustRightInd w:val="0"/>
              <w:snapToGrid w:val="0"/>
              <w:ind w:right="105" w:rightChars="50"/>
              <w:jc w:val="center"/>
              <w:rPr>
                <w:rFonts w:hint="eastAsia" w:ascii="仿宋_GB2312" w:hAnsi="仿宋_GB2312" w:eastAsia="仿宋_GB2312" w:cs="仿宋_GB2312"/>
                <w:color w:val="000000"/>
                <w:sz w:val="21"/>
                <w:szCs w:val="21"/>
                <w:highlight w:val="none"/>
              </w:rPr>
            </w:pPr>
          </w:p>
        </w:tc>
      </w:tr>
      <w:tr w14:paraId="0B6C5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5" w:hRule="atLeast"/>
          <w:jc w:val="center"/>
        </w:trPr>
        <w:tc>
          <w:tcPr>
            <w:tcW w:w="544" w:type="dxa"/>
            <w:noWrap w:val="0"/>
            <w:vAlign w:val="center"/>
          </w:tcPr>
          <w:p w14:paraId="5393EA6F">
            <w:pPr>
              <w:adjustRightInd w:val="0"/>
              <w:snapToGrid w:val="0"/>
              <w:ind w:right="105" w:rightChars="50"/>
              <w:jc w:val="center"/>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5</w:t>
            </w:r>
          </w:p>
        </w:tc>
        <w:tc>
          <w:tcPr>
            <w:tcW w:w="3737" w:type="dxa"/>
            <w:noWrap w:val="0"/>
            <w:vAlign w:val="center"/>
          </w:tcPr>
          <w:p w14:paraId="6CACD714">
            <w:pPr>
              <w:adjustRightInd w:val="0"/>
              <w:snapToGrid w:val="0"/>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rPr>
              <w:t>质量担保和售后服务：</w:t>
            </w:r>
          </w:p>
          <w:p w14:paraId="38538D3C">
            <w:pP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1.成交供应商应按采购文件、投标文件、合同规定的货物性能、技术要求、质量标准向采购人提供未经使用的全新产品。</w:t>
            </w:r>
          </w:p>
          <w:p w14:paraId="36FC461F">
            <w:pP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2.在质保期内，因货物本身的质量问题发生故障，成交供应商应负责免费更换。对达不到技术要求者，根据实际情况，经双方协商，可以按以下办法处理：</w:t>
            </w:r>
          </w:p>
          <w:p w14:paraId="06551BD4">
            <w:pP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1）更换：由成交供应商承担所发生的全部费用。</w:t>
            </w:r>
          </w:p>
          <w:p w14:paraId="609D23F7">
            <w:pP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2）贬值处理：由采购人成交供应商双方合议定价。</w:t>
            </w:r>
          </w:p>
          <w:p w14:paraId="1549E0E4">
            <w:pP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3）退货处理:成交供应商应退还采购人支付的合同款，同时应承担该货物的直接费用（运输、保险、检验、货款利息及银行手续费等）。</w:t>
            </w:r>
          </w:p>
          <w:p w14:paraId="7DB017D6">
            <w:pPr>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rPr>
              <w:t>3.热线支持或现场支持：7×24 小时专线电话客户服务</w:t>
            </w:r>
            <w:r>
              <w:rPr>
                <w:rFonts w:hint="eastAsia" w:ascii="仿宋_GB2312" w:hAnsi="仿宋_GB2312" w:eastAsia="仿宋_GB2312" w:cs="仿宋_GB2312"/>
                <w:color w:val="auto"/>
                <w:highlight w:val="none"/>
                <w:lang w:eastAsia="zh-CN"/>
              </w:rPr>
              <w:t>。</w:t>
            </w:r>
          </w:p>
          <w:p w14:paraId="75699287">
            <w:pP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4.成交供应商应对所提供货物发生的质量及安全问题负责处理解决并承担一切因此产生的责任和费用，包括但不限于人身侵权责任和财产侵权责任。本条款在质保期及合同期届满后持续有效。</w:t>
            </w:r>
          </w:p>
          <w:p w14:paraId="31CC22A6">
            <w:pPr>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lang w:val="en-US" w:eastAsia="zh-CN"/>
              </w:rPr>
              <w:t>5</w:t>
            </w:r>
            <w:r>
              <w:rPr>
                <w:rFonts w:hint="eastAsia" w:ascii="仿宋_GB2312" w:hAnsi="仿宋_GB2312" w:eastAsia="仿宋_GB2312" w:cs="仿宋_GB2312"/>
                <w:color w:val="auto"/>
                <w:highlight w:val="none"/>
              </w:rPr>
              <w:t>.报修后24小时内到场维修</w:t>
            </w:r>
            <w:r>
              <w:rPr>
                <w:rFonts w:hint="eastAsia" w:ascii="仿宋_GB2312" w:hAnsi="仿宋_GB2312" w:eastAsia="仿宋_GB2312" w:cs="仿宋_GB2312"/>
                <w:color w:val="auto"/>
                <w:highlight w:val="none"/>
                <w:lang w:eastAsia="zh-CN"/>
              </w:rPr>
              <w:t>。</w:t>
            </w:r>
          </w:p>
          <w:p w14:paraId="10907CAE">
            <w:pP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auto"/>
                <w:highlight w:val="none"/>
                <w:lang w:val="en-US" w:eastAsia="zh-CN"/>
              </w:rPr>
              <w:t>6</w:t>
            </w:r>
            <w:r>
              <w:rPr>
                <w:rFonts w:hint="eastAsia" w:ascii="仿宋_GB2312" w:hAnsi="仿宋_GB2312" w:eastAsia="仿宋_GB2312" w:cs="仿宋_GB2312"/>
                <w:color w:val="auto"/>
                <w:highlight w:val="none"/>
              </w:rPr>
              <w:t>.提供不少于2次/年的巡检服务等</w:t>
            </w:r>
            <w:r>
              <w:rPr>
                <w:rFonts w:hint="eastAsia" w:ascii="仿宋_GB2312" w:hAnsi="仿宋_GB2312" w:eastAsia="仿宋_GB2312" w:cs="仿宋_GB2312"/>
                <w:color w:val="auto"/>
                <w:highlight w:val="none"/>
                <w:lang w:eastAsia="zh-CN"/>
              </w:rPr>
              <w:t>。</w:t>
            </w:r>
          </w:p>
        </w:tc>
        <w:tc>
          <w:tcPr>
            <w:tcW w:w="2370" w:type="dxa"/>
            <w:noWrap w:val="0"/>
            <w:vAlign w:val="center"/>
          </w:tcPr>
          <w:p w14:paraId="23F6E44E">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26" w:type="dxa"/>
            <w:noWrap w:val="0"/>
            <w:vAlign w:val="center"/>
          </w:tcPr>
          <w:p w14:paraId="5D0CB78D">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36" w:type="dxa"/>
            <w:noWrap w:val="0"/>
            <w:vAlign w:val="center"/>
          </w:tcPr>
          <w:p w14:paraId="3B22D46C">
            <w:pPr>
              <w:adjustRightInd w:val="0"/>
              <w:snapToGrid w:val="0"/>
              <w:ind w:right="105" w:rightChars="50"/>
              <w:jc w:val="center"/>
              <w:rPr>
                <w:rFonts w:hint="eastAsia" w:ascii="仿宋_GB2312" w:hAnsi="仿宋_GB2312" w:eastAsia="仿宋_GB2312" w:cs="仿宋_GB2312"/>
                <w:color w:val="000000"/>
                <w:sz w:val="21"/>
                <w:szCs w:val="21"/>
                <w:highlight w:val="none"/>
              </w:rPr>
            </w:pPr>
          </w:p>
        </w:tc>
      </w:tr>
      <w:tr w14:paraId="2E339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544" w:type="dxa"/>
            <w:noWrap w:val="0"/>
            <w:vAlign w:val="center"/>
          </w:tcPr>
          <w:p w14:paraId="6E06587B">
            <w:pPr>
              <w:adjustRightInd w:val="0"/>
              <w:snapToGrid w:val="0"/>
              <w:ind w:right="105" w:rightChars="50"/>
              <w:jc w:val="center"/>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6</w:t>
            </w:r>
          </w:p>
        </w:tc>
        <w:tc>
          <w:tcPr>
            <w:tcW w:w="3737" w:type="dxa"/>
            <w:noWrap w:val="0"/>
            <w:vAlign w:val="center"/>
          </w:tcPr>
          <w:p w14:paraId="5623103C">
            <w:pPr>
              <w:rPr>
                <w:rFonts w:hint="eastAsia" w:ascii="仿宋_GB2312" w:hAnsi="仿宋_GB2312" w:eastAsia="仿宋_GB2312" w:cs="仿宋_GB2312"/>
                <w:b/>
                <w:color w:val="auto"/>
                <w:sz w:val="18"/>
                <w:szCs w:val="18"/>
                <w:highlight w:val="none"/>
                <w:lang w:eastAsia="zh-CN"/>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rPr>
              <w:t>质保期</w:t>
            </w:r>
            <w:r>
              <w:rPr>
                <w:rFonts w:hint="eastAsia" w:ascii="仿宋_GB2312" w:hAnsi="仿宋_GB2312" w:eastAsia="仿宋_GB2312" w:cs="仿宋_GB2312"/>
                <w:color w:val="auto"/>
                <w:szCs w:val="21"/>
                <w:highlight w:val="none"/>
                <w:lang w:eastAsia="zh-CN"/>
              </w:rPr>
              <w:t>：</w:t>
            </w:r>
          </w:p>
          <w:p w14:paraId="3DD5DFDE">
            <w:pPr>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rPr>
              <w:t>1.自验收合格之日起1年</w:t>
            </w:r>
            <w:r>
              <w:rPr>
                <w:rFonts w:hint="eastAsia" w:ascii="仿宋_GB2312" w:hAnsi="仿宋_GB2312" w:eastAsia="仿宋_GB2312" w:cs="仿宋_GB2312"/>
                <w:color w:val="auto"/>
                <w:highlight w:val="none"/>
                <w:lang w:eastAsia="zh-CN"/>
              </w:rPr>
              <w:t>。</w:t>
            </w:r>
          </w:p>
          <w:p w14:paraId="0EA76E03">
            <w:pPr>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rPr>
              <w:t>2.软件终身年免费升级</w:t>
            </w:r>
            <w:r>
              <w:rPr>
                <w:rFonts w:hint="eastAsia" w:ascii="仿宋_GB2312" w:hAnsi="仿宋_GB2312" w:eastAsia="仿宋_GB2312" w:cs="仿宋_GB2312"/>
                <w:color w:val="auto"/>
                <w:highlight w:val="none"/>
                <w:lang w:eastAsia="zh-CN"/>
              </w:rPr>
              <w:t>。</w:t>
            </w:r>
          </w:p>
          <w:p w14:paraId="4870E906">
            <w:pP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auto"/>
                <w:highlight w:val="none"/>
              </w:rPr>
              <w:t>3.每台设备的具体质保期限按技术参数中给出期限执行。</w:t>
            </w:r>
          </w:p>
        </w:tc>
        <w:tc>
          <w:tcPr>
            <w:tcW w:w="2370" w:type="dxa"/>
            <w:noWrap w:val="0"/>
            <w:vAlign w:val="center"/>
          </w:tcPr>
          <w:p w14:paraId="7B030D93">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26" w:type="dxa"/>
            <w:noWrap w:val="0"/>
            <w:vAlign w:val="center"/>
          </w:tcPr>
          <w:p w14:paraId="7D95DDE2">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36" w:type="dxa"/>
            <w:noWrap w:val="0"/>
            <w:vAlign w:val="center"/>
          </w:tcPr>
          <w:p w14:paraId="6D21578F">
            <w:pPr>
              <w:adjustRightInd w:val="0"/>
              <w:snapToGrid w:val="0"/>
              <w:ind w:right="105" w:rightChars="50"/>
              <w:jc w:val="center"/>
              <w:rPr>
                <w:rFonts w:hint="eastAsia" w:ascii="仿宋_GB2312" w:hAnsi="仿宋_GB2312" w:eastAsia="仿宋_GB2312" w:cs="仿宋_GB2312"/>
                <w:color w:val="000000"/>
                <w:sz w:val="21"/>
                <w:szCs w:val="21"/>
                <w:highlight w:val="none"/>
              </w:rPr>
            </w:pPr>
          </w:p>
        </w:tc>
      </w:tr>
      <w:tr w14:paraId="2CCBA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544" w:type="dxa"/>
            <w:noWrap w:val="0"/>
            <w:vAlign w:val="center"/>
          </w:tcPr>
          <w:p w14:paraId="2C6341DF">
            <w:pPr>
              <w:adjustRightInd w:val="0"/>
              <w:snapToGrid w:val="0"/>
              <w:ind w:right="105" w:rightChars="50"/>
              <w:jc w:val="center"/>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7</w:t>
            </w:r>
          </w:p>
        </w:tc>
        <w:tc>
          <w:tcPr>
            <w:tcW w:w="3737" w:type="dxa"/>
            <w:noWrap w:val="0"/>
            <w:vAlign w:val="center"/>
          </w:tcPr>
          <w:p w14:paraId="1B7F9EE0">
            <w:pPr>
              <w:adjustRightInd w:val="0"/>
              <w:snapToGrid w:val="0"/>
              <w:ind w:hanging="1"/>
              <w:rPr>
                <w:rFonts w:hint="eastAsia" w:ascii="仿宋_GB2312" w:hAnsi="仿宋_GB2312" w:eastAsia="仿宋_GB2312" w:cs="仿宋_GB2312"/>
                <w:color w:val="auto"/>
                <w:szCs w:val="21"/>
                <w:highlight w:val="none"/>
              </w:rPr>
            </w:pPr>
            <w:r>
              <w:rPr>
                <w:rFonts w:hint="eastAsia" w:ascii="仿宋_GB2312" w:hAnsi="仿宋_GB2312" w:eastAsia="仿宋_GB2312" w:cs="仿宋_GB2312"/>
                <w:b/>
                <w:color w:val="auto"/>
                <w:sz w:val="18"/>
                <w:szCs w:val="18"/>
                <w:highlight w:val="none"/>
              </w:rPr>
              <w:t>★</w:t>
            </w:r>
            <w:r>
              <w:rPr>
                <w:rFonts w:hint="eastAsia" w:ascii="仿宋_GB2312" w:hAnsi="仿宋_GB2312" w:eastAsia="仿宋_GB2312" w:cs="仿宋_GB2312"/>
                <w:color w:val="auto"/>
                <w:szCs w:val="21"/>
                <w:highlight w:val="none"/>
              </w:rPr>
              <w:t>货物包装、发运及运输：</w:t>
            </w:r>
          </w:p>
          <w:p w14:paraId="00FF324C">
            <w:pP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1、成交供应商应在货物发运前对其进行满足运输距离、防潮、防震、防锈和防破损装卸等要求包装，以保证货物安全运达采购人指定地点。</w:t>
            </w:r>
          </w:p>
          <w:p w14:paraId="56DF5E15">
            <w:pP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2、使用说明书、质量检验证明书、随配附件和工具以及清单一并附于货物内。</w:t>
            </w:r>
          </w:p>
          <w:p w14:paraId="20217DD0">
            <w:pP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3、成交供应商在货物发运手续办理完毕后24小时内或货到采购人48小时前通知采购人，以准备接货。</w:t>
            </w:r>
          </w:p>
          <w:p w14:paraId="0F364E16">
            <w:pP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auto"/>
                <w:highlight w:val="none"/>
              </w:rPr>
              <w:t>4、货物在交付采购人前发生的风险均由成交供应商负责。</w:t>
            </w:r>
          </w:p>
        </w:tc>
        <w:tc>
          <w:tcPr>
            <w:tcW w:w="2370" w:type="dxa"/>
            <w:noWrap w:val="0"/>
            <w:vAlign w:val="center"/>
          </w:tcPr>
          <w:p w14:paraId="54B089FB">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26" w:type="dxa"/>
            <w:noWrap w:val="0"/>
            <w:vAlign w:val="center"/>
          </w:tcPr>
          <w:p w14:paraId="7CB2CB54">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36" w:type="dxa"/>
            <w:noWrap w:val="0"/>
            <w:vAlign w:val="center"/>
          </w:tcPr>
          <w:p w14:paraId="7E416C72">
            <w:pPr>
              <w:adjustRightInd w:val="0"/>
              <w:snapToGrid w:val="0"/>
              <w:ind w:right="105" w:rightChars="50"/>
              <w:jc w:val="center"/>
              <w:rPr>
                <w:rFonts w:hint="eastAsia" w:ascii="仿宋_GB2312" w:hAnsi="仿宋_GB2312" w:eastAsia="仿宋_GB2312" w:cs="仿宋_GB2312"/>
                <w:color w:val="000000"/>
                <w:sz w:val="21"/>
                <w:szCs w:val="21"/>
                <w:highlight w:val="none"/>
              </w:rPr>
            </w:pPr>
          </w:p>
        </w:tc>
      </w:tr>
      <w:tr w14:paraId="332EB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44" w:type="dxa"/>
            <w:noWrap w:val="0"/>
            <w:vAlign w:val="center"/>
          </w:tcPr>
          <w:p w14:paraId="65323867">
            <w:pPr>
              <w:adjustRightInd w:val="0"/>
              <w:snapToGrid w:val="0"/>
              <w:ind w:right="105" w:rightChars="50"/>
              <w:jc w:val="center"/>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8</w:t>
            </w:r>
          </w:p>
        </w:tc>
        <w:tc>
          <w:tcPr>
            <w:tcW w:w="3737" w:type="dxa"/>
            <w:noWrap w:val="0"/>
            <w:vAlign w:val="center"/>
          </w:tcPr>
          <w:p w14:paraId="0A2C6530">
            <w:pPr>
              <w:adjustRightInd w:val="0"/>
              <w:snapToGrid w:val="0"/>
              <w:ind w:hanging="1"/>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★培训要求：</w:t>
            </w:r>
          </w:p>
          <w:p w14:paraId="77B4B9B1">
            <w:pPr>
              <w:adjustRightInd w:val="0"/>
              <w:snapToGrid w:val="0"/>
              <w:ind w:hanging="1"/>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1.培训次数：每年不少于</w:t>
            </w:r>
            <w:r>
              <w:rPr>
                <w:rFonts w:hint="eastAsia" w:ascii="仿宋_GB2312" w:hAnsi="仿宋_GB2312" w:eastAsia="仿宋_GB2312" w:cs="仿宋_GB2312"/>
                <w:color w:val="auto"/>
                <w:szCs w:val="21"/>
                <w:highlight w:val="none"/>
                <w:lang w:val="en-US" w:eastAsia="zh-CN"/>
              </w:rPr>
              <w:t>1</w:t>
            </w:r>
            <w:r>
              <w:rPr>
                <w:rFonts w:hint="eastAsia" w:ascii="仿宋_GB2312" w:hAnsi="仿宋_GB2312" w:eastAsia="仿宋_GB2312" w:cs="仿宋_GB2312"/>
                <w:color w:val="auto"/>
                <w:szCs w:val="21"/>
                <w:highlight w:val="none"/>
              </w:rPr>
              <w:t>次；</w:t>
            </w:r>
          </w:p>
          <w:p w14:paraId="61860531">
            <w:pPr>
              <w:adjustRightInd w:val="0"/>
              <w:snapToGrid w:val="0"/>
              <w:ind w:hanging="1"/>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2.培训内容：包括但不限于设备的连接、配置、操作、保养、维护、使用等；</w:t>
            </w:r>
          </w:p>
          <w:p w14:paraId="55E7D176">
            <w:pPr>
              <w:adjustRightInd w:val="0"/>
              <w:snapToGrid w:val="0"/>
              <w:ind w:hanging="1" w:firstLineChars="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auto"/>
                <w:szCs w:val="21"/>
                <w:highlight w:val="none"/>
              </w:rPr>
              <w:t xml:space="preserve">3.培训形式：到校线下培训 </w:t>
            </w:r>
          </w:p>
        </w:tc>
        <w:tc>
          <w:tcPr>
            <w:tcW w:w="2370" w:type="dxa"/>
            <w:noWrap w:val="0"/>
            <w:vAlign w:val="center"/>
          </w:tcPr>
          <w:p w14:paraId="43D2771A">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26" w:type="dxa"/>
            <w:noWrap w:val="0"/>
            <w:vAlign w:val="center"/>
          </w:tcPr>
          <w:p w14:paraId="1238BC43">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36" w:type="dxa"/>
            <w:noWrap w:val="0"/>
            <w:vAlign w:val="center"/>
          </w:tcPr>
          <w:p w14:paraId="2B99ED85">
            <w:pPr>
              <w:adjustRightInd w:val="0"/>
              <w:snapToGrid w:val="0"/>
              <w:ind w:right="105" w:rightChars="50"/>
              <w:jc w:val="center"/>
              <w:rPr>
                <w:rFonts w:hint="eastAsia" w:ascii="仿宋_GB2312" w:hAnsi="仿宋_GB2312" w:eastAsia="仿宋_GB2312" w:cs="仿宋_GB2312"/>
                <w:color w:val="000000"/>
                <w:sz w:val="21"/>
                <w:szCs w:val="21"/>
                <w:highlight w:val="none"/>
              </w:rPr>
            </w:pPr>
          </w:p>
        </w:tc>
      </w:tr>
      <w:tr w14:paraId="489F8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5" w:hRule="atLeast"/>
          <w:jc w:val="center"/>
        </w:trPr>
        <w:tc>
          <w:tcPr>
            <w:tcW w:w="544" w:type="dxa"/>
            <w:noWrap w:val="0"/>
            <w:vAlign w:val="center"/>
          </w:tcPr>
          <w:p w14:paraId="63FFCBD8">
            <w:pPr>
              <w:adjustRightInd w:val="0"/>
              <w:snapToGrid w:val="0"/>
              <w:ind w:right="105" w:rightChars="50"/>
              <w:jc w:val="center"/>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eastAsia="仿宋_GB2312" w:cs="仿宋_GB2312"/>
                <w:color w:val="000000"/>
                <w:sz w:val="21"/>
                <w:szCs w:val="21"/>
                <w:highlight w:val="none"/>
                <w:lang w:val="en-US" w:eastAsia="zh-CN"/>
              </w:rPr>
              <w:t>9</w:t>
            </w:r>
          </w:p>
        </w:tc>
        <w:tc>
          <w:tcPr>
            <w:tcW w:w="3737" w:type="dxa"/>
            <w:noWrap w:val="0"/>
            <w:vAlign w:val="center"/>
          </w:tcPr>
          <w:p w14:paraId="119BCA6B">
            <w:pPr>
              <w:adjustRightInd w:val="0"/>
              <w:snapToGrid w:val="0"/>
              <w:ind w:hanging="1" w:firstLineChars="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auto"/>
                <w:szCs w:val="21"/>
                <w:highlight w:val="none"/>
              </w:rPr>
              <w:t>其它</w:t>
            </w:r>
          </w:p>
        </w:tc>
        <w:tc>
          <w:tcPr>
            <w:tcW w:w="2370" w:type="dxa"/>
            <w:noWrap w:val="0"/>
            <w:vAlign w:val="center"/>
          </w:tcPr>
          <w:p w14:paraId="28AAD2A8">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26" w:type="dxa"/>
            <w:noWrap w:val="0"/>
            <w:vAlign w:val="center"/>
          </w:tcPr>
          <w:p w14:paraId="31526C3E">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36" w:type="dxa"/>
            <w:noWrap w:val="0"/>
            <w:vAlign w:val="center"/>
          </w:tcPr>
          <w:p w14:paraId="41212DA4">
            <w:pPr>
              <w:adjustRightInd w:val="0"/>
              <w:snapToGrid w:val="0"/>
              <w:ind w:right="105" w:rightChars="50"/>
              <w:jc w:val="center"/>
              <w:rPr>
                <w:rFonts w:hint="eastAsia" w:ascii="仿宋_GB2312" w:hAnsi="仿宋_GB2312" w:eastAsia="仿宋_GB2312" w:cs="仿宋_GB2312"/>
                <w:color w:val="000000"/>
                <w:sz w:val="21"/>
                <w:szCs w:val="21"/>
                <w:highlight w:val="none"/>
              </w:rPr>
            </w:pPr>
          </w:p>
        </w:tc>
      </w:tr>
      <w:tr w14:paraId="6AB3C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544" w:type="dxa"/>
            <w:noWrap w:val="0"/>
            <w:vAlign w:val="center"/>
          </w:tcPr>
          <w:p w14:paraId="30E23596">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3737" w:type="dxa"/>
            <w:noWrap w:val="0"/>
            <w:vAlign w:val="center"/>
          </w:tcPr>
          <w:p w14:paraId="56EB79A7">
            <w:pPr>
              <w:adjustRightInd w:val="0"/>
              <w:snapToGrid w:val="0"/>
              <w:ind w:hanging="1"/>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eastAsia="zh-CN"/>
              </w:rPr>
              <w:t>其他</w:t>
            </w:r>
          </w:p>
        </w:tc>
        <w:tc>
          <w:tcPr>
            <w:tcW w:w="2370" w:type="dxa"/>
            <w:noWrap w:val="0"/>
            <w:vAlign w:val="center"/>
          </w:tcPr>
          <w:p w14:paraId="129288D7">
            <w:pPr>
              <w:adjustRightInd w:val="0"/>
              <w:snapToGrid w:val="0"/>
              <w:ind w:left="-52" w:leftChars="-25" w:right="-16" w:rightChars="-8"/>
              <w:jc w:val="left"/>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采购单位未提供需求而投标人认为需说明及补充的内容在此填列</w:t>
            </w:r>
          </w:p>
        </w:tc>
        <w:tc>
          <w:tcPr>
            <w:tcW w:w="926" w:type="dxa"/>
            <w:noWrap w:val="0"/>
            <w:vAlign w:val="center"/>
          </w:tcPr>
          <w:p w14:paraId="2D067AF9">
            <w:pPr>
              <w:adjustRightInd w:val="0"/>
              <w:snapToGrid w:val="0"/>
              <w:ind w:right="105" w:rightChars="50"/>
              <w:jc w:val="center"/>
              <w:rPr>
                <w:rFonts w:hint="eastAsia" w:ascii="仿宋_GB2312" w:hAnsi="仿宋_GB2312" w:eastAsia="仿宋_GB2312" w:cs="仿宋_GB2312"/>
                <w:color w:val="000000"/>
                <w:sz w:val="21"/>
                <w:szCs w:val="21"/>
                <w:highlight w:val="none"/>
              </w:rPr>
            </w:pPr>
          </w:p>
        </w:tc>
        <w:tc>
          <w:tcPr>
            <w:tcW w:w="936" w:type="dxa"/>
            <w:noWrap w:val="0"/>
            <w:vAlign w:val="center"/>
          </w:tcPr>
          <w:p w14:paraId="14D7FB39">
            <w:pPr>
              <w:adjustRightInd w:val="0"/>
              <w:snapToGrid w:val="0"/>
              <w:ind w:right="105" w:rightChars="50"/>
              <w:jc w:val="center"/>
              <w:rPr>
                <w:rFonts w:hint="eastAsia" w:ascii="仿宋_GB2312" w:hAnsi="仿宋_GB2312" w:eastAsia="仿宋_GB2312" w:cs="仿宋_GB2312"/>
                <w:color w:val="000000"/>
                <w:sz w:val="21"/>
                <w:szCs w:val="21"/>
                <w:highlight w:val="none"/>
              </w:rPr>
            </w:pPr>
          </w:p>
        </w:tc>
      </w:tr>
    </w:tbl>
    <w:p w14:paraId="210A7E47">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color w:val="000000"/>
          <w:sz w:val="24"/>
          <w:szCs w:val="24"/>
          <w:highlight w:val="none"/>
        </w:rPr>
        <w:t>填表要求：</w:t>
      </w:r>
    </w:p>
    <w:p w14:paraId="5F0603C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1.</w:t>
      </w:r>
      <w:r>
        <w:rPr>
          <w:rFonts w:hint="eastAsia" w:ascii="仿宋_GB2312" w:hAnsi="仿宋_GB2312" w:eastAsia="仿宋_GB2312" w:cs="仿宋_GB2312"/>
          <w:color w:val="000000"/>
          <w:sz w:val="24"/>
          <w:szCs w:val="24"/>
          <w:highlight w:val="none"/>
        </w:rPr>
        <w:t>“投标文件响应内容”一栏由投标人按照招标文件要求填写，进行响应。</w:t>
      </w:r>
    </w:p>
    <w:p w14:paraId="61561EF4">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2.</w:t>
      </w:r>
      <w:r>
        <w:rPr>
          <w:rFonts w:hint="eastAsia" w:ascii="仿宋_GB2312" w:hAnsi="仿宋_GB2312" w:eastAsia="仿宋_GB2312" w:cs="仿宋_GB2312"/>
          <w:color w:val="000000"/>
          <w:sz w:val="24"/>
          <w:szCs w:val="24"/>
          <w:highlight w:val="none"/>
        </w:rPr>
        <w:t>“偏离程度”一栏根据“投标文件响应内容”与招标文件逐项对照的结果填写。偏离必须用 “正偏离、负偏离或无偏离”三个名称中的一种进行标注。</w:t>
      </w:r>
    </w:p>
    <w:p w14:paraId="6CEE29A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3.</w:t>
      </w:r>
      <w:r>
        <w:rPr>
          <w:rFonts w:hint="eastAsia" w:ascii="仿宋_GB2312" w:hAnsi="仿宋_GB2312" w:eastAsia="仿宋_GB2312" w:cs="仿宋_GB2312"/>
          <w:color w:val="000000"/>
          <w:sz w:val="24"/>
          <w:szCs w:val="24"/>
          <w:highlight w:val="none"/>
        </w:rPr>
        <w:t>“偏离说明”一栏由投标人对偏离的情况做详细说明。</w:t>
      </w:r>
    </w:p>
    <w:p w14:paraId="78A4B3F5">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投标人名称（加盖单位公章）：</w:t>
      </w:r>
      <w:r>
        <w:rPr>
          <w:rFonts w:hint="eastAsia" w:ascii="仿宋_GB2312" w:hAnsi="仿宋_GB2312" w:eastAsia="仿宋_GB2312" w:cs="仿宋_GB2312"/>
          <w:color w:val="000000"/>
          <w:sz w:val="24"/>
          <w:szCs w:val="24"/>
          <w:highlight w:val="none"/>
          <w:u w:val="single"/>
        </w:rPr>
        <w:t xml:space="preserve">           </w:t>
      </w:r>
    </w:p>
    <w:p w14:paraId="7D9A30ED">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法定代表人（或非法人组织负责人）或其授权委托人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7C2F7FCC">
      <w:pPr>
        <w:pStyle w:val="4"/>
        <w:adjustRightInd w:val="0"/>
        <w:snapToGrid w:val="0"/>
        <w:spacing w:before="0" w:after="0" w:line="240" w:lineRule="auto"/>
        <w:jc w:val="left"/>
        <w:rPr>
          <w:rFonts w:hint="eastAsia" w:ascii="Times New Roman" w:hAnsi="Times New Roman" w:eastAsia="仿宋" w:cs="仿宋"/>
          <w:color w:val="000000"/>
          <w:szCs w:val="28"/>
          <w:highlight w:val="none"/>
          <w:lang w:eastAsia="zh-CN"/>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br w:type="page"/>
      </w:r>
      <w:r>
        <w:rPr>
          <w:rFonts w:hint="eastAsia" w:ascii="Times New Roman" w:hAnsi="Times New Roman" w:eastAsia="仿宋" w:cs="仿宋"/>
          <w:color w:val="000000"/>
          <w:szCs w:val="28"/>
          <w:highlight w:val="none"/>
        </w:rPr>
        <w:t>格式1</w:t>
      </w:r>
      <w:r>
        <w:rPr>
          <w:rFonts w:hint="eastAsia" w:ascii="Times New Roman" w:hAnsi="Times New Roman" w:cs="仿宋"/>
          <w:color w:val="000000"/>
          <w:szCs w:val="28"/>
          <w:highlight w:val="none"/>
          <w:lang w:val="en-US" w:eastAsia="zh-CN"/>
        </w:rPr>
        <w:t>6</w:t>
      </w:r>
    </w:p>
    <w:p w14:paraId="476D6A92">
      <w:pPr>
        <w:rPr>
          <w:rFonts w:hint="eastAsia" w:ascii="Times New Roman" w:hAnsi="Times New Roman" w:eastAsia="仿宋" w:cs="仿宋"/>
          <w:color w:val="000000"/>
          <w:highlight w:val="none"/>
        </w:rPr>
      </w:pPr>
    </w:p>
    <w:p w14:paraId="28EC90B5">
      <w:pPr>
        <w:spacing w:before="312" w:beforeLines="100" w:after="312" w:afterLines="100" w:line="360" w:lineRule="auto"/>
        <w:jc w:val="center"/>
        <w:rPr>
          <w:rFonts w:hint="eastAsia" w:ascii="宋体" w:hAnsi="宋体" w:eastAsia="宋体" w:cs="宋体"/>
          <w:b/>
          <w:bCs/>
          <w:color w:val="000000"/>
          <w:sz w:val="32"/>
          <w:szCs w:val="32"/>
          <w:highlight w:val="none"/>
        </w:rPr>
      </w:pPr>
      <w:bookmarkStart w:id="124" w:name="_Hlk73969205"/>
      <w:bookmarkStart w:id="125" w:name="_Hlk73968874"/>
      <w:r>
        <w:rPr>
          <w:rFonts w:hint="eastAsia" w:ascii="宋体" w:hAnsi="宋体" w:eastAsia="宋体" w:cs="宋体"/>
          <w:b/>
          <w:bCs/>
          <w:color w:val="000000"/>
          <w:sz w:val="32"/>
          <w:szCs w:val="32"/>
          <w:highlight w:val="none"/>
        </w:rPr>
        <w:t>中小企业声明函（货物）</w:t>
      </w:r>
    </w:p>
    <w:p w14:paraId="62CFB3A1">
      <w:pPr>
        <w:widowControl/>
        <w:spacing w:line="360" w:lineRule="auto"/>
        <w:ind w:firstLine="420"/>
        <w:jc w:val="left"/>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本公司（联合体）郑重声明，根据《政府采购促进中小企业发展管理办法》（财库</w:t>
      </w:r>
      <w:r>
        <w:rPr>
          <w:rFonts w:hint="eastAsia" w:ascii="仿宋_GB2312" w:hAnsi="仿宋_GB2312" w:eastAsia="仿宋_GB2312" w:cs="仿宋_GB2312"/>
          <w:color w:val="000000"/>
          <w:sz w:val="24"/>
          <w:szCs w:val="24"/>
          <w:highlight w:val="none"/>
        </w:rPr>
        <w:t>〔2020〕</w:t>
      </w:r>
      <w:r>
        <w:rPr>
          <w:rFonts w:hint="eastAsia" w:ascii="仿宋_GB2312" w:hAnsi="仿宋_GB2312" w:eastAsia="仿宋_GB2312" w:cs="仿宋_GB2312"/>
          <w:color w:val="000000"/>
          <w:kern w:val="0"/>
          <w:sz w:val="24"/>
          <w:szCs w:val="24"/>
          <w:highlight w:val="none"/>
        </w:rPr>
        <w:t>46号）的规定，本公司（联合体）参加</w:t>
      </w:r>
      <w:r>
        <w:rPr>
          <w:rFonts w:hint="eastAsia" w:ascii="仿宋_GB2312" w:hAnsi="仿宋_GB2312" w:eastAsia="仿宋_GB2312" w:cs="仿宋_GB2312"/>
          <w:color w:val="000000"/>
          <w:kern w:val="0"/>
          <w:sz w:val="24"/>
          <w:szCs w:val="24"/>
          <w:highlight w:val="none"/>
          <w:u w:val="single"/>
        </w:rPr>
        <w:t>（单位名称）</w:t>
      </w:r>
      <w:r>
        <w:rPr>
          <w:rFonts w:hint="eastAsia" w:ascii="仿宋_GB2312" w:hAnsi="仿宋_GB2312" w:eastAsia="仿宋_GB2312" w:cs="仿宋_GB2312"/>
          <w:color w:val="000000"/>
          <w:kern w:val="0"/>
          <w:sz w:val="24"/>
          <w:szCs w:val="24"/>
          <w:highlight w:val="none"/>
        </w:rPr>
        <w:t>的</w:t>
      </w:r>
      <w:r>
        <w:rPr>
          <w:rFonts w:hint="eastAsia" w:ascii="仿宋_GB2312" w:hAnsi="仿宋_GB2312" w:eastAsia="仿宋_GB2312" w:cs="仿宋_GB2312"/>
          <w:color w:val="000000"/>
          <w:kern w:val="0"/>
          <w:sz w:val="24"/>
          <w:szCs w:val="24"/>
          <w:highlight w:val="none"/>
          <w:u w:val="single"/>
        </w:rPr>
        <w:t>（项目名称）</w:t>
      </w:r>
      <w:r>
        <w:rPr>
          <w:rFonts w:hint="eastAsia" w:ascii="仿宋_GB2312" w:hAnsi="仿宋_GB2312" w:eastAsia="仿宋_GB2312" w:cs="仿宋_GB2312"/>
          <w:color w:val="000000"/>
          <w:kern w:val="0"/>
          <w:sz w:val="24"/>
          <w:szCs w:val="24"/>
          <w:highlight w:val="none"/>
        </w:rPr>
        <w:t>采购活动，提供的货物全部由符合政策要求的中小企业制造。相关企业（含联合体中的中小企业、签订分包意向协议的中小企业）的具体情况如下：</w:t>
      </w:r>
    </w:p>
    <w:p w14:paraId="038CAC9D">
      <w:pPr>
        <w:widowControl/>
        <w:spacing w:line="360" w:lineRule="auto"/>
        <w:ind w:firstLine="480" w:firstLineChars="200"/>
        <w:jc w:val="left"/>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lang w:eastAsia="zh-CN"/>
        </w:rPr>
        <w:t>1.</w:t>
      </w:r>
      <w:r>
        <w:rPr>
          <w:rFonts w:hint="eastAsia" w:ascii="仿宋_GB2312" w:hAnsi="仿宋_GB2312" w:eastAsia="仿宋_GB2312" w:cs="仿宋_GB2312"/>
          <w:color w:val="000000"/>
          <w:kern w:val="0"/>
          <w:sz w:val="24"/>
          <w:szCs w:val="24"/>
          <w:highlight w:val="none"/>
          <w:u w:val="single"/>
        </w:rPr>
        <w:t>（标的名称）</w:t>
      </w:r>
      <w:r>
        <w:rPr>
          <w:rFonts w:hint="eastAsia" w:ascii="仿宋_GB2312" w:hAnsi="仿宋_GB2312" w:eastAsia="仿宋_GB2312" w:cs="仿宋_GB2312"/>
          <w:color w:val="000000"/>
          <w:kern w:val="0"/>
          <w:sz w:val="24"/>
          <w:szCs w:val="24"/>
          <w:highlight w:val="none"/>
        </w:rPr>
        <w:t>，属于</w:t>
      </w:r>
      <w:r>
        <w:rPr>
          <w:rFonts w:hint="eastAsia" w:ascii="仿宋_GB2312" w:hAnsi="仿宋_GB2312" w:eastAsia="仿宋_GB2312" w:cs="仿宋_GB2312"/>
          <w:color w:val="000000"/>
          <w:kern w:val="0"/>
          <w:sz w:val="24"/>
          <w:szCs w:val="24"/>
          <w:highlight w:val="none"/>
          <w:u w:val="single"/>
        </w:rPr>
        <w:t>（</w:t>
      </w:r>
      <w:r>
        <w:rPr>
          <w:rFonts w:hint="eastAsia" w:ascii="仿宋_GB2312" w:hAnsi="仿宋_GB2312" w:eastAsia="仿宋_GB2312" w:cs="仿宋_GB2312"/>
          <w:color w:val="000000"/>
          <w:sz w:val="24"/>
          <w:szCs w:val="24"/>
          <w:highlight w:val="none"/>
          <w:u w:val="single"/>
        </w:rPr>
        <w:t>采购文件中明确的所属行业</w:t>
      </w:r>
      <w:r>
        <w:rPr>
          <w:rFonts w:hint="eastAsia" w:ascii="仿宋_GB2312" w:hAnsi="仿宋_GB2312" w:eastAsia="仿宋_GB2312" w:cs="仿宋_GB2312"/>
          <w:color w:val="000000"/>
          <w:kern w:val="0"/>
          <w:sz w:val="24"/>
          <w:szCs w:val="24"/>
          <w:highlight w:val="none"/>
          <w:u w:val="single"/>
        </w:rPr>
        <w:t>）</w:t>
      </w:r>
      <w:r>
        <w:rPr>
          <w:rFonts w:hint="eastAsia" w:ascii="仿宋_GB2312" w:hAnsi="仿宋_GB2312" w:eastAsia="仿宋_GB2312" w:cs="仿宋_GB2312"/>
          <w:color w:val="000000"/>
          <w:kern w:val="0"/>
          <w:sz w:val="24"/>
          <w:szCs w:val="24"/>
          <w:highlight w:val="none"/>
        </w:rPr>
        <w:t>行业；制造商为</w:t>
      </w:r>
      <w:r>
        <w:rPr>
          <w:rFonts w:hint="eastAsia" w:ascii="仿宋_GB2312" w:hAnsi="仿宋_GB2312" w:eastAsia="仿宋_GB2312" w:cs="仿宋_GB2312"/>
          <w:color w:val="000000"/>
          <w:kern w:val="0"/>
          <w:sz w:val="24"/>
          <w:szCs w:val="24"/>
          <w:highlight w:val="none"/>
          <w:u w:val="single"/>
        </w:rPr>
        <w:t>（企业名称）</w:t>
      </w:r>
      <w:r>
        <w:rPr>
          <w:rFonts w:hint="eastAsia" w:ascii="仿宋_GB2312" w:hAnsi="仿宋_GB2312" w:eastAsia="仿宋_GB2312" w:cs="仿宋_GB2312"/>
          <w:color w:val="000000"/>
          <w:kern w:val="0"/>
          <w:sz w:val="24"/>
          <w:szCs w:val="24"/>
          <w:highlight w:val="none"/>
        </w:rPr>
        <w:t>，从业人员</w:t>
      </w:r>
      <w:r>
        <w:rPr>
          <w:rFonts w:hint="eastAsia" w:ascii="仿宋_GB2312" w:hAnsi="仿宋_GB2312" w:eastAsia="仿宋_GB2312" w:cs="仿宋_GB2312"/>
          <w:color w:val="000000"/>
          <w:kern w:val="0"/>
          <w:sz w:val="24"/>
          <w:szCs w:val="24"/>
          <w:highlight w:val="none"/>
          <w:u w:val="single"/>
        </w:rPr>
        <w:t>　　</w:t>
      </w:r>
      <w:r>
        <w:rPr>
          <w:rFonts w:hint="eastAsia" w:ascii="仿宋_GB2312" w:hAnsi="仿宋_GB2312" w:eastAsia="仿宋_GB2312" w:cs="仿宋_GB2312"/>
          <w:color w:val="000000"/>
          <w:kern w:val="0"/>
          <w:sz w:val="24"/>
          <w:szCs w:val="24"/>
          <w:highlight w:val="none"/>
        </w:rPr>
        <w:t>人，营业收入为</w:t>
      </w:r>
      <w:r>
        <w:rPr>
          <w:rFonts w:hint="eastAsia" w:ascii="仿宋_GB2312" w:hAnsi="仿宋_GB2312" w:eastAsia="仿宋_GB2312" w:cs="仿宋_GB2312"/>
          <w:color w:val="000000"/>
          <w:kern w:val="0"/>
          <w:sz w:val="24"/>
          <w:szCs w:val="24"/>
          <w:highlight w:val="none"/>
          <w:u w:val="single"/>
        </w:rPr>
        <w:t>　　</w:t>
      </w:r>
      <w:r>
        <w:rPr>
          <w:rFonts w:hint="eastAsia" w:ascii="仿宋_GB2312" w:hAnsi="仿宋_GB2312" w:eastAsia="仿宋_GB2312" w:cs="仿宋_GB2312"/>
          <w:color w:val="000000"/>
          <w:kern w:val="0"/>
          <w:sz w:val="24"/>
          <w:szCs w:val="24"/>
          <w:highlight w:val="none"/>
        </w:rPr>
        <w:t>万元，资产总额为</w:t>
      </w:r>
      <w:r>
        <w:rPr>
          <w:rFonts w:hint="eastAsia" w:ascii="仿宋_GB2312" w:hAnsi="仿宋_GB2312" w:eastAsia="仿宋_GB2312" w:cs="仿宋_GB2312"/>
          <w:color w:val="000000"/>
          <w:kern w:val="0"/>
          <w:sz w:val="24"/>
          <w:szCs w:val="24"/>
          <w:highlight w:val="none"/>
          <w:u w:val="single"/>
        </w:rPr>
        <w:t>　　</w:t>
      </w:r>
      <w:r>
        <w:rPr>
          <w:rFonts w:hint="eastAsia" w:ascii="仿宋_GB2312" w:hAnsi="仿宋_GB2312" w:eastAsia="仿宋_GB2312" w:cs="仿宋_GB2312"/>
          <w:color w:val="000000"/>
          <w:kern w:val="0"/>
          <w:sz w:val="24"/>
          <w:szCs w:val="24"/>
          <w:highlight w:val="none"/>
        </w:rPr>
        <w:t>万元</w:t>
      </w:r>
      <w:r>
        <w:rPr>
          <w:rFonts w:hint="eastAsia" w:ascii="仿宋_GB2312" w:hAnsi="仿宋_GB2312" w:eastAsia="仿宋_GB2312" w:cs="仿宋_GB2312"/>
          <w:color w:val="000000"/>
          <w:kern w:val="0"/>
          <w:sz w:val="24"/>
          <w:szCs w:val="24"/>
          <w:highlight w:val="none"/>
          <w:vertAlign w:val="superscript"/>
        </w:rPr>
        <w:t>1</w:t>
      </w:r>
      <w:r>
        <w:rPr>
          <w:rFonts w:hint="eastAsia" w:ascii="仿宋_GB2312" w:hAnsi="仿宋_GB2312" w:eastAsia="仿宋_GB2312" w:cs="仿宋_GB2312"/>
          <w:color w:val="000000"/>
          <w:kern w:val="0"/>
          <w:sz w:val="24"/>
          <w:szCs w:val="24"/>
          <w:highlight w:val="none"/>
        </w:rPr>
        <w:t>，属于（</w:t>
      </w:r>
      <w:r>
        <w:rPr>
          <w:rFonts w:hint="eastAsia" w:ascii="仿宋_GB2312" w:hAnsi="仿宋_GB2312" w:eastAsia="仿宋_GB2312" w:cs="仿宋_GB2312"/>
          <w:color w:val="000000"/>
          <w:kern w:val="0"/>
          <w:sz w:val="24"/>
          <w:szCs w:val="24"/>
          <w:highlight w:val="none"/>
          <w:u w:val="single"/>
        </w:rPr>
        <w:t>中型企业、小型企业、微型企业）</w:t>
      </w:r>
      <w:r>
        <w:rPr>
          <w:rFonts w:hint="eastAsia" w:ascii="仿宋_GB2312" w:hAnsi="仿宋_GB2312" w:eastAsia="仿宋_GB2312" w:cs="仿宋_GB2312"/>
          <w:color w:val="000000"/>
          <w:kern w:val="0"/>
          <w:sz w:val="24"/>
          <w:szCs w:val="24"/>
          <w:highlight w:val="none"/>
        </w:rPr>
        <w:t xml:space="preserve">； </w:t>
      </w:r>
    </w:p>
    <w:p w14:paraId="1BD63120">
      <w:pPr>
        <w:widowControl/>
        <w:spacing w:line="360" w:lineRule="auto"/>
        <w:ind w:firstLine="480" w:firstLineChars="200"/>
        <w:jc w:val="left"/>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lang w:eastAsia="zh-CN"/>
        </w:rPr>
        <w:t>2.</w:t>
      </w:r>
      <w:r>
        <w:rPr>
          <w:rFonts w:hint="eastAsia" w:ascii="仿宋_GB2312" w:hAnsi="仿宋_GB2312" w:eastAsia="仿宋_GB2312" w:cs="仿宋_GB2312"/>
          <w:color w:val="000000"/>
          <w:kern w:val="0"/>
          <w:sz w:val="24"/>
          <w:szCs w:val="24"/>
          <w:highlight w:val="none"/>
          <w:u w:val="single"/>
        </w:rPr>
        <w:t>（标的名称）</w:t>
      </w:r>
      <w:r>
        <w:rPr>
          <w:rFonts w:hint="eastAsia" w:ascii="仿宋_GB2312" w:hAnsi="仿宋_GB2312" w:eastAsia="仿宋_GB2312" w:cs="仿宋_GB2312"/>
          <w:color w:val="000000"/>
          <w:kern w:val="0"/>
          <w:sz w:val="24"/>
          <w:szCs w:val="24"/>
          <w:highlight w:val="none"/>
        </w:rPr>
        <w:t>，属于</w:t>
      </w:r>
      <w:r>
        <w:rPr>
          <w:rFonts w:hint="eastAsia" w:ascii="仿宋_GB2312" w:hAnsi="仿宋_GB2312" w:eastAsia="仿宋_GB2312" w:cs="仿宋_GB2312"/>
          <w:color w:val="000000"/>
          <w:kern w:val="0"/>
          <w:sz w:val="24"/>
          <w:szCs w:val="24"/>
          <w:highlight w:val="none"/>
          <w:u w:val="single"/>
        </w:rPr>
        <w:t>（</w:t>
      </w:r>
      <w:r>
        <w:rPr>
          <w:rFonts w:hint="eastAsia" w:ascii="仿宋_GB2312" w:hAnsi="仿宋_GB2312" w:eastAsia="仿宋_GB2312" w:cs="仿宋_GB2312"/>
          <w:color w:val="000000"/>
          <w:sz w:val="24"/>
          <w:szCs w:val="24"/>
          <w:highlight w:val="none"/>
          <w:u w:val="single"/>
        </w:rPr>
        <w:t>采购文件中明确的所属行业</w:t>
      </w:r>
      <w:r>
        <w:rPr>
          <w:rFonts w:hint="eastAsia" w:ascii="仿宋_GB2312" w:hAnsi="仿宋_GB2312" w:eastAsia="仿宋_GB2312" w:cs="仿宋_GB2312"/>
          <w:color w:val="000000"/>
          <w:kern w:val="0"/>
          <w:sz w:val="24"/>
          <w:szCs w:val="24"/>
          <w:highlight w:val="none"/>
          <w:u w:val="single"/>
        </w:rPr>
        <w:t>）</w:t>
      </w:r>
      <w:r>
        <w:rPr>
          <w:rFonts w:hint="eastAsia" w:ascii="仿宋_GB2312" w:hAnsi="仿宋_GB2312" w:eastAsia="仿宋_GB2312" w:cs="仿宋_GB2312"/>
          <w:color w:val="000000"/>
          <w:kern w:val="0"/>
          <w:sz w:val="24"/>
          <w:szCs w:val="24"/>
          <w:highlight w:val="none"/>
        </w:rPr>
        <w:t>行业；制造商为</w:t>
      </w:r>
      <w:r>
        <w:rPr>
          <w:rFonts w:hint="eastAsia" w:ascii="仿宋_GB2312" w:hAnsi="仿宋_GB2312" w:eastAsia="仿宋_GB2312" w:cs="仿宋_GB2312"/>
          <w:color w:val="000000"/>
          <w:kern w:val="0"/>
          <w:sz w:val="24"/>
          <w:szCs w:val="24"/>
          <w:highlight w:val="none"/>
          <w:u w:val="single"/>
        </w:rPr>
        <w:t>（企业名称）</w:t>
      </w:r>
      <w:r>
        <w:rPr>
          <w:rFonts w:hint="eastAsia" w:ascii="仿宋_GB2312" w:hAnsi="仿宋_GB2312" w:eastAsia="仿宋_GB2312" w:cs="仿宋_GB2312"/>
          <w:color w:val="000000"/>
          <w:kern w:val="0"/>
          <w:sz w:val="24"/>
          <w:szCs w:val="24"/>
          <w:highlight w:val="none"/>
        </w:rPr>
        <w:t>，从业人员</w:t>
      </w:r>
      <w:r>
        <w:rPr>
          <w:rFonts w:hint="eastAsia" w:ascii="仿宋_GB2312" w:hAnsi="仿宋_GB2312" w:eastAsia="仿宋_GB2312" w:cs="仿宋_GB2312"/>
          <w:color w:val="000000"/>
          <w:kern w:val="0"/>
          <w:sz w:val="24"/>
          <w:szCs w:val="24"/>
          <w:highlight w:val="none"/>
          <w:u w:val="single"/>
        </w:rPr>
        <w:t>　　</w:t>
      </w:r>
      <w:r>
        <w:rPr>
          <w:rFonts w:hint="eastAsia" w:ascii="仿宋_GB2312" w:hAnsi="仿宋_GB2312" w:eastAsia="仿宋_GB2312" w:cs="仿宋_GB2312"/>
          <w:color w:val="000000"/>
          <w:kern w:val="0"/>
          <w:sz w:val="24"/>
          <w:szCs w:val="24"/>
          <w:highlight w:val="none"/>
        </w:rPr>
        <w:t>人，营业收入为</w:t>
      </w:r>
      <w:r>
        <w:rPr>
          <w:rFonts w:hint="eastAsia" w:ascii="仿宋_GB2312" w:hAnsi="仿宋_GB2312" w:eastAsia="仿宋_GB2312" w:cs="仿宋_GB2312"/>
          <w:color w:val="000000"/>
          <w:kern w:val="0"/>
          <w:sz w:val="24"/>
          <w:szCs w:val="24"/>
          <w:highlight w:val="none"/>
          <w:u w:val="single"/>
        </w:rPr>
        <w:t>　　</w:t>
      </w:r>
      <w:r>
        <w:rPr>
          <w:rFonts w:hint="eastAsia" w:ascii="仿宋_GB2312" w:hAnsi="仿宋_GB2312" w:eastAsia="仿宋_GB2312" w:cs="仿宋_GB2312"/>
          <w:color w:val="000000"/>
          <w:kern w:val="0"/>
          <w:sz w:val="24"/>
          <w:szCs w:val="24"/>
          <w:highlight w:val="none"/>
        </w:rPr>
        <w:t>万元，资产总额为</w:t>
      </w:r>
      <w:r>
        <w:rPr>
          <w:rFonts w:hint="eastAsia" w:ascii="仿宋_GB2312" w:hAnsi="仿宋_GB2312" w:eastAsia="仿宋_GB2312" w:cs="仿宋_GB2312"/>
          <w:color w:val="000000"/>
          <w:kern w:val="0"/>
          <w:sz w:val="24"/>
          <w:szCs w:val="24"/>
          <w:highlight w:val="none"/>
          <w:u w:val="single"/>
        </w:rPr>
        <w:t>　　</w:t>
      </w:r>
      <w:r>
        <w:rPr>
          <w:rFonts w:hint="eastAsia" w:ascii="仿宋_GB2312" w:hAnsi="仿宋_GB2312" w:eastAsia="仿宋_GB2312" w:cs="仿宋_GB2312"/>
          <w:color w:val="000000"/>
          <w:kern w:val="0"/>
          <w:sz w:val="24"/>
          <w:szCs w:val="24"/>
          <w:highlight w:val="none"/>
        </w:rPr>
        <w:t>万元，属于（</w:t>
      </w:r>
      <w:r>
        <w:rPr>
          <w:rFonts w:hint="eastAsia" w:ascii="仿宋_GB2312" w:hAnsi="仿宋_GB2312" w:eastAsia="仿宋_GB2312" w:cs="仿宋_GB2312"/>
          <w:color w:val="000000"/>
          <w:kern w:val="0"/>
          <w:sz w:val="24"/>
          <w:szCs w:val="24"/>
          <w:highlight w:val="none"/>
          <w:u w:val="single"/>
        </w:rPr>
        <w:t>中型企业、小型企业、微型企业）</w:t>
      </w:r>
      <w:r>
        <w:rPr>
          <w:rFonts w:hint="eastAsia" w:ascii="仿宋_GB2312" w:hAnsi="仿宋_GB2312" w:eastAsia="仿宋_GB2312" w:cs="仿宋_GB2312"/>
          <w:color w:val="000000"/>
          <w:kern w:val="0"/>
          <w:sz w:val="24"/>
          <w:szCs w:val="24"/>
          <w:highlight w:val="none"/>
        </w:rPr>
        <w:t xml:space="preserve">； </w:t>
      </w:r>
    </w:p>
    <w:p w14:paraId="36D72CB1">
      <w:pPr>
        <w:autoSpaceDN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sz w:val="24"/>
          <w:szCs w:val="24"/>
          <w:highlight w:val="none"/>
        </w:rPr>
        <w:t>……</w:t>
      </w:r>
    </w:p>
    <w:p w14:paraId="579593E4">
      <w:pPr>
        <w:autoSpaceDN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以上企业，不属于大企业的分支机构，不存在控股股东为大企业的情形，也不存在与大企业的负责人为同一人的情形。</w:t>
      </w:r>
    </w:p>
    <w:p w14:paraId="48DD353B">
      <w:pPr>
        <w:autoSpaceDN w:val="0"/>
        <w:spacing w:line="360" w:lineRule="auto"/>
        <w:ind w:firstLine="480" w:firstLineChars="200"/>
        <w:rPr>
          <w:rFonts w:hint="eastAsia" w:ascii="仿宋_GB2312" w:hAnsi="仿宋_GB2312" w:eastAsia="仿宋_GB2312" w:cs="仿宋_GB2312"/>
          <w:color w:val="000000"/>
          <w:kern w:val="0"/>
          <w:sz w:val="24"/>
          <w:szCs w:val="24"/>
          <w:highlight w:val="none"/>
        </w:rPr>
      </w:pPr>
    </w:p>
    <w:p w14:paraId="78ACB1E7">
      <w:pPr>
        <w:autoSpaceDN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本企业对上述声明内容的真实性负责。如有虚假，将依法承担相应责任。</w:t>
      </w:r>
    </w:p>
    <w:p w14:paraId="16E60E06">
      <w:pPr>
        <w:autoSpaceDN w:val="0"/>
        <w:spacing w:line="440" w:lineRule="exact"/>
        <w:ind w:firstLine="480" w:firstLineChars="200"/>
        <w:rPr>
          <w:rFonts w:hint="eastAsia" w:ascii="仿宋_GB2312" w:hAnsi="仿宋_GB2312" w:eastAsia="仿宋_GB2312" w:cs="仿宋_GB2312"/>
          <w:color w:val="000000"/>
          <w:kern w:val="0"/>
          <w:sz w:val="24"/>
          <w:szCs w:val="24"/>
          <w:highlight w:val="none"/>
        </w:rPr>
      </w:pPr>
    </w:p>
    <w:p w14:paraId="0A08699D">
      <w:pPr>
        <w:autoSpaceDN w:val="0"/>
        <w:spacing w:line="440" w:lineRule="exact"/>
        <w:ind w:firstLine="480" w:firstLineChars="200"/>
        <w:rPr>
          <w:rFonts w:hint="eastAsia" w:ascii="仿宋_GB2312" w:hAnsi="仿宋_GB2312" w:eastAsia="仿宋_GB2312" w:cs="仿宋_GB2312"/>
          <w:color w:val="000000"/>
          <w:kern w:val="0"/>
          <w:sz w:val="24"/>
          <w:szCs w:val="24"/>
          <w:highlight w:val="none"/>
        </w:rPr>
      </w:pPr>
    </w:p>
    <w:p w14:paraId="1E90A1F3">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p>
    <w:p w14:paraId="252E4144">
      <w:pPr>
        <w:adjustRightInd w:val="0"/>
        <w:snapToGrid w:val="0"/>
        <w:spacing w:line="480" w:lineRule="auto"/>
        <w:ind w:right="105" w:rightChars="50"/>
        <w:jc w:val="left"/>
        <w:rPr>
          <w:rFonts w:hint="eastAsia" w:ascii="仿宋_GB2312" w:hAnsi="仿宋_GB2312" w:eastAsia="仿宋_GB2312" w:cs="仿宋_GB2312"/>
          <w:color w:val="000000"/>
          <w:sz w:val="24"/>
          <w:szCs w:val="24"/>
          <w:highlight w:val="none"/>
        </w:rPr>
      </w:pPr>
    </w:p>
    <w:p w14:paraId="5214C90B">
      <w:pPr>
        <w:adjustRightInd w:val="0"/>
        <w:snapToGrid w:val="0"/>
        <w:spacing w:line="480" w:lineRule="auto"/>
        <w:ind w:right="105" w:rightChars="50" w:firstLine="4320" w:firstLineChars="18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企业名称（加盖单位公章）：</w:t>
      </w:r>
    </w:p>
    <w:p w14:paraId="434F9018">
      <w:pPr>
        <w:adjustRightInd w:val="0"/>
        <w:snapToGrid w:val="0"/>
        <w:spacing w:line="480" w:lineRule="auto"/>
        <w:ind w:right="105" w:rightChars="50" w:firstLine="4320" w:firstLineChars="18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日期：</w:t>
      </w:r>
    </w:p>
    <w:p w14:paraId="26CB916E">
      <w:pPr>
        <w:adjustRightInd w:val="0"/>
        <w:snapToGrid w:val="0"/>
        <w:spacing w:line="480" w:lineRule="auto"/>
        <w:ind w:right="105" w:rightChars="50" w:firstLine="240" w:firstLineChars="100"/>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kern w:val="0"/>
          <w:sz w:val="24"/>
          <w:szCs w:val="24"/>
          <w:highlight w:val="none"/>
          <w:lang w:val="en-US" w:eastAsia="zh-CN"/>
        </w:rPr>
        <w:t>注：1</w:t>
      </w:r>
      <w:r>
        <w:rPr>
          <w:rFonts w:hint="eastAsia" w:ascii="仿宋_GB2312" w:hAnsi="仿宋_GB2312" w:eastAsia="仿宋_GB2312" w:cs="仿宋_GB2312"/>
          <w:color w:val="000000"/>
          <w:kern w:val="0"/>
          <w:sz w:val="24"/>
          <w:szCs w:val="24"/>
          <w:highlight w:val="none"/>
        </w:rPr>
        <w:t>从业人员、营业收入、资产总额填报上一年度数据，无上一年度数据的新成立企业可不填报。</w:t>
      </w:r>
    </w:p>
    <w:bookmarkEnd w:id="124"/>
    <w:bookmarkEnd w:id="125"/>
    <w:p w14:paraId="74A09855">
      <w:pPr>
        <w:adjustRightInd w:val="0"/>
        <w:snapToGrid w:val="0"/>
        <w:spacing w:line="312" w:lineRule="auto"/>
        <w:rPr>
          <w:rFonts w:hint="eastAsia" w:ascii="仿宋_GB2312" w:hAnsi="仿宋_GB2312" w:eastAsia="仿宋_GB2312" w:cs="仿宋_GB2312"/>
          <w:b/>
          <w:color w:val="000000"/>
          <w:sz w:val="24"/>
          <w:szCs w:val="24"/>
          <w:highlight w:val="none"/>
        </w:rPr>
      </w:pPr>
    </w:p>
    <w:p w14:paraId="640E94BC">
      <w:pPr>
        <w:adjustRightInd w:val="0"/>
        <w:snapToGrid w:val="0"/>
        <w:spacing w:line="312"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填表说明：</w:t>
      </w:r>
    </w:p>
    <w:p w14:paraId="412C73D6">
      <w:pPr>
        <w:numPr>
          <w:ilvl w:val="0"/>
          <w:numId w:val="0"/>
        </w:numPr>
        <w:autoSpaceDN w:val="0"/>
        <w:adjustRightInd w:val="0"/>
        <w:snapToGrid w:val="0"/>
        <w:spacing w:line="312" w:lineRule="auto"/>
        <w:ind w:leftChars="201"/>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color w:val="000000"/>
          <w:sz w:val="24"/>
          <w:szCs w:val="24"/>
          <w:highlight w:val="none"/>
          <w:lang w:val="en-US" w:eastAsia="zh-CN"/>
        </w:rPr>
        <w:t>1.</w:t>
      </w:r>
      <w:r>
        <w:rPr>
          <w:rFonts w:hint="eastAsia" w:ascii="仿宋_GB2312" w:hAnsi="仿宋_GB2312" w:eastAsia="仿宋_GB2312" w:cs="仿宋_GB2312"/>
          <w:b/>
          <w:color w:val="000000"/>
          <w:sz w:val="24"/>
          <w:szCs w:val="24"/>
          <w:highlight w:val="none"/>
        </w:rPr>
        <w:t>标的名称：</w:t>
      </w:r>
      <w:r>
        <w:rPr>
          <w:rFonts w:hint="eastAsia" w:ascii="仿宋_GB2312" w:hAnsi="仿宋_GB2312" w:eastAsia="仿宋_GB2312" w:cs="仿宋_GB2312"/>
          <w:color w:val="000000"/>
          <w:sz w:val="24"/>
          <w:szCs w:val="24"/>
          <w:highlight w:val="none"/>
        </w:rPr>
        <w:t>01标的：</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；02标的：</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eastAsia="zh-CN"/>
        </w:rPr>
        <w:t>……</w:t>
      </w:r>
    </w:p>
    <w:p w14:paraId="414F4EA1">
      <w:pPr>
        <w:numPr>
          <w:ilvl w:val="0"/>
          <w:numId w:val="0"/>
        </w:numPr>
        <w:autoSpaceDN w:val="0"/>
        <w:adjustRightInd w:val="0"/>
        <w:snapToGrid w:val="0"/>
        <w:spacing w:line="312" w:lineRule="auto"/>
        <w:ind w:leftChars="201"/>
        <w:rPr>
          <w:rFonts w:hint="eastAsia" w:ascii="仿宋_GB2312" w:hAnsi="仿宋_GB2312" w:eastAsia="仿宋_GB2312" w:cs="仿宋_GB2312"/>
          <w:b/>
          <w:color w:val="000000"/>
          <w:sz w:val="24"/>
          <w:szCs w:val="24"/>
          <w:highlight w:val="none"/>
          <w:lang w:eastAsia="zh-CN"/>
        </w:rPr>
      </w:pPr>
      <w:r>
        <w:rPr>
          <w:rFonts w:hint="eastAsia" w:ascii="仿宋_GB2312" w:hAnsi="仿宋_GB2312" w:eastAsia="仿宋_GB2312" w:cs="仿宋_GB2312"/>
          <w:b/>
          <w:color w:val="000000"/>
          <w:sz w:val="24"/>
          <w:szCs w:val="24"/>
          <w:highlight w:val="none"/>
          <w:lang w:val="en-US" w:eastAsia="zh-CN"/>
        </w:rPr>
        <w:t>2.</w:t>
      </w:r>
      <w:r>
        <w:rPr>
          <w:rFonts w:hint="eastAsia" w:ascii="仿宋_GB2312" w:hAnsi="仿宋_GB2312" w:eastAsia="仿宋_GB2312" w:cs="仿宋_GB2312"/>
          <w:b/>
          <w:color w:val="000000"/>
          <w:sz w:val="24"/>
          <w:szCs w:val="24"/>
          <w:highlight w:val="none"/>
        </w:rPr>
        <w:t>所属行业：</w:t>
      </w:r>
      <w:r>
        <w:rPr>
          <w:rFonts w:hint="eastAsia" w:ascii="仿宋_GB2312" w:hAnsi="仿宋_GB2312" w:eastAsia="仿宋_GB2312" w:cs="仿宋_GB2312"/>
          <w:b/>
          <w:color w:val="000000"/>
          <w:sz w:val="24"/>
          <w:szCs w:val="24"/>
          <w:highlight w:val="none"/>
          <w:lang w:eastAsia="zh-CN"/>
        </w:rPr>
        <w:t>工业</w:t>
      </w:r>
    </w:p>
    <w:p w14:paraId="325CB9EA">
      <w:pPr>
        <w:autoSpaceDN w:val="0"/>
        <w:adjustRightInd w:val="0"/>
        <w:snapToGrid w:val="0"/>
        <w:spacing w:line="312"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color w:val="000000"/>
          <w:sz w:val="24"/>
          <w:szCs w:val="24"/>
          <w:highlight w:val="none"/>
        </w:rPr>
        <w:t>01标的：</w:t>
      </w:r>
      <w:r>
        <w:rPr>
          <w:rFonts w:hint="eastAsia" w:ascii="仿宋_GB2312" w:hAnsi="仿宋_GB2312" w:eastAsia="仿宋_GB2312" w:cs="仿宋_GB2312"/>
          <w:color w:val="000000"/>
          <w:sz w:val="24"/>
          <w:szCs w:val="24"/>
          <w:highlight w:val="none"/>
        </w:rPr>
        <w:t>所属行业为《工业和信息化部、国家统计局、国家发展和改革委员会、财政部关于印发中小企业划型标准规定的通知》（工信部联企业〔2011〕300号）中规定的</w:t>
      </w:r>
      <w:r>
        <w:rPr>
          <w:rFonts w:hint="eastAsia" w:ascii="仿宋_GB2312" w:hAnsi="仿宋_GB2312" w:eastAsia="仿宋_GB2312" w:cs="仿宋_GB2312"/>
          <w:b/>
          <w:bCs/>
          <w:color w:val="000000"/>
          <w:sz w:val="24"/>
          <w:szCs w:val="24"/>
          <w:highlight w:val="none"/>
        </w:rPr>
        <w:t>“</w:t>
      </w:r>
      <w:r>
        <w:rPr>
          <w:rFonts w:hint="eastAsia" w:ascii="仿宋_GB2312" w:hAnsi="仿宋_GB2312" w:eastAsia="仿宋_GB2312" w:cs="仿宋_GB2312"/>
          <w:b/>
          <w:bCs/>
          <w:color w:val="000000"/>
          <w:sz w:val="24"/>
          <w:szCs w:val="24"/>
          <w:highlight w:val="none"/>
          <w:u w:val="single"/>
        </w:rPr>
        <w:t xml:space="preserve">     </w:t>
      </w:r>
      <w:r>
        <w:rPr>
          <w:rFonts w:hint="eastAsia" w:ascii="仿宋_GB2312" w:hAnsi="仿宋_GB2312" w:eastAsia="仿宋_GB2312" w:cs="仿宋_GB2312"/>
          <w:b/>
          <w:bCs/>
          <w:color w:val="000000"/>
          <w:sz w:val="24"/>
          <w:szCs w:val="24"/>
          <w:highlight w:val="none"/>
        </w:rPr>
        <w:t>”</w:t>
      </w:r>
      <w:r>
        <w:rPr>
          <w:rFonts w:hint="eastAsia" w:ascii="仿宋_GB2312" w:hAnsi="仿宋_GB2312" w:eastAsia="仿宋_GB2312" w:cs="仿宋_GB2312"/>
          <w:color w:val="000000"/>
          <w:sz w:val="24"/>
          <w:szCs w:val="24"/>
          <w:highlight w:val="none"/>
        </w:rPr>
        <w:t>；</w:t>
      </w:r>
    </w:p>
    <w:p w14:paraId="5A20CC98">
      <w:pPr>
        <w:autoSpaceDN w:val="0"/>
        <w:adjustRightInd w:val="0"/>
        <w:snapToGrid w:val="0"/>
        <w:spacing w:line="312" w:lineRule="auto"/>
        <w:ind w:firstLine="480" w:firstLineChars="2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02标的：</w:t>
      </w:r>
      <w:r>
        <w:rPr>
          <w:rFonts w:hint="eastAsia" w:ascii="仿宋_GB2312" w:hAnsi="仿宋_GB2312" w:eastAsia="仿宋_GB2312" w:cs="仿宋_GB2312"/>
          <w:bCs/>
          <w:color w:val="000000"/>
          <w:sz w:val="24"/>
          <w:szCs w:val="24"/>
          <w:highlight w:val="none"/>
        </w:rPr>
        <w:t>所属行业为《工业和信息化部、国家统计局、国家发展和改革委员会、财政部关于印发中小企业划型标准规定的通知》（工信部联企业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〔2011〕</w:t>
      </w:r>
      <w:r>
        <w:rPr>
          <w:rFonts w:hint="eastAsia" w:ascii="仿宋_GB2312" w:hAnsi="仿宋_GB2312" w:eastAsia="仿宋_GB2312" w:cs="仿宋_GB2312"/>
          <w:bCs/>
          <w:color w:val="000000"/>
          <w:sz w:val="24"/>
          <w:szCs w:val="24"/>
          <w:highlight w:val="none"/>
        </w:rPr>
        <w:t>300号）中规定的</w:t>
      </w:r>
      <w:r>
        <w:rPr>
          <w:rFonts w:hint="eastAsia" w:ascii="仿宋_GB2312" w:hAnsi="仿宋_GB2312" w:eastAsia="仿宋_GB2312" w:cs="仿宋_GB2312"/>
          <w:b/>
          <w:bCs/>
          <w:color w:val="000000"/>
          <w:sz w:val="24"/>
          <w:szCs w:val="24"/>
          <w:highlight w:val="none"/>
        </w:rPr>
        <w:t>“</w:t>
      </w:r>
      <w:r>
        <w:rPr>
          <w:rFonts w:hint="eastAsia" w:ascii="仿宋_GB2312" w:hAnsi="仿宋_GB2312" w:eastAsia="仿宋_GB2312" w:cs="仿宋_GB2312"/>
          <w:b/>
          <w:bCs/>
          <w:color w:val="000000"/>
          <w:sz w:val="24"/>
          <w:szCs w:val="24"/>
          <w:highlight w:val="none"/>
          <w:u w:val="single"/>
        </w:rPr>
        <w:t xml:space="preserve">     </w:t>
      </w:r>
      <w:r>
        <w:rPr>
          <w:rFonts w:hint="eastAsia" w:ascii="仿宋_GB2312" w:hAnsi="仿宋_GB2312" w:eastAsia="仿宋_GB2312" w:cs="仿宋_GB2312"/>
          <w:b/>
          <w:bCs/>
          <w:color w:val="000000"/>
          <w:sz w:val="24"/>
          <w:szCs w:val="24"/>
          <w:highlight w:val="none"/>
        </w:rPr>
        <w:t>”</w:t>
      </w:r>
      <w:r>
        <w:rPr>
          <w:rFonts w:hint="eastAsia" w:ascii="仿宋_GB2312" w:hAnsi="仿宋_GB2312" w:eastAsia="仿宋_GB2312" w:cs="仿宋_GB2312"/>
          <w:b/>
          <w:color w:val="000000"/>
          <w:sz w:val="24"/>
          <w:szCs w:val="24"/>
          <w:highlight w:val="none"/>
        </w:rPr>
        <w:t>；</w:t>
      </w:r>
    </w:p>
    <w:p w14:paraId="4AEB7BC8">
      <w:pPr>
        <w:numPr>
          <w:ilvl w:val="0"/>
          <w:numId w:val="0"/>
        </w:numPr>
        <w:autoSpaceDN w:val="0"/>
        <w:adjustRightInd w:val="0"/>
        <w:snapToGrid w:val="0"/>
        <w:spacing w:line="312" w:lineRule="auto"/>
        <w:ind w:leftChars="201"/>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lang w:val="en-US" w:eastAsia="zh-CN"/>
        </w:rPr>
        <w:t>3.</w:t>
      </w:r>
      <w:r>
        <w:rPr>
          <w:rFonts w:hint="eastAsia" w:ascii="仿宋_GB2312" w:hAnsi="仿宋_GB2312" w:eastAsia="仿宋_GB2312" w:cs="仿宋_GB2312"/>
          <w:b/>
          <w:color w:val="000000"/>
          <w:sz w:val="24"/>
          <w:szCs w:val="24"/>
          <w:highlight w:val="none"/>
        </w:rPr>
        <w:t>落款处企业名称（盖章）：此处的企业名称是指参与本次采购活动的供应商名称。</w:t>
      </w:r>
    </w:p>
    <w:p w14:paraId="3CF65B36">
      <w:pPr>
        <w:numPr>
          <w:ilvl w:val="0"/>
          <w:numId w:val="0"/>
        </w:numPr>
        <w:autoSpaceDN w:val="0"/>
        <w:adjustRightInd w:val="0"/>
        <w:snapToGrid w:val="0"/>
        <w:spacing w:line="312" w:lineRule="auto"/>
        <w:ind w:leftChars="201"/>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lang w:val="en-US" w:eastAsia="zh-CN"/>
        </w:rPr>
        <w:t>4.</w:t>
      </w:r>
      <w:r>
        <w:rPr>
          <w:rFonts w:hint="eastAsia" w:ascii="仿宋_GB2312" w:hAnsi="仿宋_GB2312" w:eastAsia="仿宋_GB2312" w:cs="仿宋_GB2312"/>
          <w:b/>
          <w:color w:val="000000"/>
          <w:sz w:val="24"/>
          <w:szCs w:val="24"/>
          <w:highlight w:val="none"/>
        </w:rPr>
        <w:t>从业人员、营业收入、资产总额填报上一年度数据，无上一年度数据的新成立企业可不填报。</w:t>
      </w:r>
    </w:p>
    <w:p w14:paraId="3BB4833C">
      <w:pPr>
        <w:numPr>
          <w:ilvl w:val="0"/>
          <w:numId w:val="0"/>
        </w:numPr>
        <w:autoSpaceDN w:val="0"/>
        <w:adjustRightInd w:val="0"/>
        <w:snapToGrid w:val="0"/>
        <w:spacing w:line="312" w:lineRule="auto"/>
        <w:ind w:leftChars="201"/>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lang w:val="en-US" w:eastAsia="zh-CN"/>
        </w:rPr>
        <w:t>5.</w:t>
      </w:r>
      <w:r>
        <w:rPr>
          <w:rFonts w:hint="eastAsia" w:ascii="仿宋_GB2312" w:hAnsi="仿宋_GB2312" w:eastAsia="仿宋_GB2312" w:cs="仿宋_GB2312"/>
          <w:b/>
          <w:color w:val="000000"/>
          <w:sz w:val="24"/>
          <w:szCs w:val="24"/>
          <w:highlight w:val="none"/>
        </w:rPr>
        <w:t>企业类型：</w:t>
      </w:r>
    </w:p>
    <w:p w14:paraId="326B5B4B">
      <w:pPr>
        <w:pStyle w:val="36"/>
        <w:adjustRightInd w:val="0"/>
        <w:snapToGrid w:val="0"/>
        <w:spacing w:line="312" w:lineRule="auto"/>
        <w:ind w:left="426" w:firstLine="0" w:firstLineChars="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（1）供应商需在中型企业、小型企业、微型企业中选择其中一类进行填报；</w:t>
      </w:r>
    </w:p>
    <w:p w14:paraId="5F96A9DD">
      <w:pPr>
        <w:pStyle w:val="36"/>
        <w:adjustRightInd w:val="0"/>
        <w:snapToGrid w:val="0"/>
        <w:spacing w:line="312" w:lineRule="auto"/>
        <w:ind w:left="426" w:firstLine="0" w:firstLineChars="0"/>
        <w:jc w:val="left"/>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color w:val="000000"/>
          <w:sz w:val="24"/>
          <w:szCs w:val="24"/>
          <w:highlight w:val="none"/>
        </w:rPr>
        <w:t>（2）企业划型标准依据《关于印发中小企业划型标准规定的通知》（工信部联企业〔2011〕300号）、</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国家统计局关于印发〈统计上大中小微型企业划分办法（2017）〉的通知</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（国统字〔2017〕213号）</w:t>
      </w:r>
      <w:bookmarkStart w:id="126" w:name="_Toc4498_WPSOffice_Level1"/>
      <w:r>
        <w:rPr>
          <w:rFonts w:hint="eastAsia" w:ascii="仿宋_GB2312" w:hAnsi="仿宋_GB2312" w:eastAsia="仿宋_GB2312" w:cs="仿宋_GB2312"/>
          <w:color w:val="000000"/>
          <w:sz w:val="24"/>
          <w:szCs w:val="24"/>
          <w:highlight w:val="none"/>
        </w:rPr>
        <w:t>文件执行。</w:t>
      </w:r>
    </w:p>
    <w:p w14:paraId="274DDCD3">
      <w:pPr>
        <w:pStyle w:val="36"/>
        <w:adjustRightInd w:val="0"/>
        <w:snapToGrid w:val="0"/>
        <w:spacing w:line="312" w:lineRule="auto"/>
        <w:ind w:firstLine="0" w:firstLineChars="0"/>
        <w:jc w:val="left"/>
        <w:rPr>
          <w:rFonts w:hint="eastAsia" w:ascii="仿宋_GB2312" w:hAnsi="仿宋_GB2312" w:eastAsia="仿宋_GB2312" w:cs="仿宋_GB2312"/>
          <w:color w:val="000000"/>
          <w:sz w:val="24"/>
          <w:szCs w:val="24"/>
          <w:highlight w:val="none"/>
        </w:rPr>
      </w:pPr>
    </w:p>
    <w:p w14:paraId="48D2249C">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05BFBCC2">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1A58F937">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5F49CDFB">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4D82E470">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3EE3A275">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689DF4D2">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0ACF0256">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06E1B704">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26F8764F">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037E06E4">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7C00EB3D">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0036F26C">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7E6EBDB8">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27D1AC3D">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67744A8D">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6F940F2C">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1437B9FD">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2B6F0ACD">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0A496328">
      <w:pPr>
        <w:keepNext/>
        <w:keepLines/>
        <w:adjustRightInd w:val="0"/>
        <w:snapToGrid w:val="0"/>
        <w:jc w:val="left"/>
        <w:outlineLvl w:val="1"/>
        <w:rPr>
          <w:rFonts w:hint="default" w:ascii="Times New Roman" w:hAnsi="Times New Roman" w:eastAsia="仿宋" w:cs="仿宋"/>
          <w:b/>
          <w:color w:val="000000"/>
          <w:sz w:val="28"/>
          <w:szCs w:val="28"/>
          <w:highlight w:val="none"/>
          <w:lang w:val="en-US" w:eastAsia="zh-CN"/>
        </w:rPr>
      </w:pPr>
      <w:r>
        <w:rPr>
          <w:rFonts w:hint="eastAsia" w:ascii="Times New Roman" w:hAnsi="Times New Roman" w:eastAsia="仿宋" w:cs="仿宋"/>
          <w:b/>
          <w:color w:val="000000"/>
          <w:sz w:val="28"/>
          <w:szCs w:val="28"/>
          <w:highlight w:val="none"/>
        </w:rPr>
        <w:br w:type="page"/>
      </w:r>
      <w:r>
        <w:rPr>
          <w:rFonts w:hint="eastAsia" w:ascii="Times New Roman" w:hAnsi="Times New Roman" w:eastAsia="仿宋" w:cs="仿宋"/>
          <w:b/>
          <w:color w:val="000000"/>
          <w:sz w:val="28"/>
          <w:szCs w:val="28"/>
          <w:highlight w:val="none"/>
        </w:rPr>
        <w:t>格式</w:t>
      </w:r>
      <w:r>
        <w:rPr>
          <w:rFonts w:hint="eastAsia" w:ascii="Times New Roman" w:hAnsi="Times New Roman" w:cs="仿宋"/>
          <w:b/>
          <w:color w:val="000000"/>
          <w:sz w:val="28"/>
          <w:szCs w:val="28"/>
          <w:highlight w:val="none"/>
          <w:lang w:val="en-US" w:eastAsia="zh-CN"/>
        </w:rPr>
        <w:t>17-1</w:t>
      </w:r>
    </w:p>
    <w:p w14:paraId="7BE2193D">
      <w:pPr>
        <w:adjustRightInd w:val="0"/>
        <w:snapToGrid w:val="0"/>
        <w:ind w:right="105" w:rightChars="50"/>
        <w:jc w:val="center"/>
        <w:rPr>
          <w:rFonts w:hint="eastAsia" w:ascii="宋体" w:hAnsi="宋体" w:eastAsia="宋体" w:cs="宋体"/>
          <w:b/>
          <w:bCs/>
          <w:color w:val="000000"/>
          <w:sz w:val="32"/>
          <w:szCs w:val="32"/>
          <w:highlight w:val="none"/>
        </w:rPr>
      </w:pPr>
      <w:bookmarkStart w:id="127" w:name="_Toc29880_WPSOffice_Level2"/>
      <w:bookmarkStart w:id="128" w:name="_Toc13566_WPSOffice_Level2"/>
      <w:r>
        <w:rPr>
          <w:rFonts w:hint="eastAsia" w:ascii="宋体" w:hAnsi="宋体" w:eastAsia="宋体" w:cs="宋体"/>
          <w:b/>
          <w:bCs/>
          <w:color w:val="000000"/>
          <w:sz w:val="32"/>
          <w:szCs w:val="32"/>
          <w:highlight w:val="none"/>
        </w:rPr>
        <w:t>残疾人福利性单位声明函</w:t>
      </w:r>
      <w:bookmarkEnd w:id="127"/>
      <w:bookmarkEnd w:id="128"/>
    </w:p>
    <w:p w14:paraId="4770FF3B">
      <w:pPr>
        <w:adjustRightInd w:val="0"/>
        <w:snapToGrid w:val="0"/>
        <w:ind w:right="105" w:rightChars="50"/>
        <w:jc w:val="center"/>
        <w:rPr>
          <w:rFonts w:hint="eastAsia" w:ascii="宋体" w:hAnsi="宋体" w:eastAsia="宋体" w:cs="宋体"/>
          <w:b/>
          <w:bCs/>
          <w:color w:val="000000"/>
          <w:sz w:val="32"/>
          <w:szCs w:val="32"/>
          <w:highlight w:val="none"/>
        </w:rPr>
      </w:pPr>
    </w:p>
    <w:p w14:paraId="16F0CF1D">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F96B7D1">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本单位对上述声明的真实性负责。如有虚假，将依法承担相应责任。</w:t>
      </w:r>
    </w:p>
    <w:tbl>
      <w:tblPr>
        <w:tblStyle w:val="1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286E9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noWrap w:val="0"/>
            <w:vAlign w:val="center"/>
          </w:tcPr>
          <w:p w14:paraId="3E2DA272">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序号</w:t>
            </w:r>
          </w:p>
        </w:tc>
        <w:tc>
          <w:tcPr>
            <w:tcW w:w="1582" w:type="dxa"/>
            <w:noWrap w:val="0"/>
            <w:vAlign w:val="center"/>
          </w:tcPr>
          <w:p w14:paraId="507DEDFE">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品  名</w:t>
            </w:r>
          </w:p>
        </w:tc>
        <w:tc>
          <w:tcPr>
            <w:tcW w:w="1587" w:type="dxa"/>
            <w:noWrap w:val="0"/>
            <w:vAlign w:val="center"/>
          </w:tcPr>
          <w:p w14:paraId="0636E317">
            <w:pPr>
              <w:widowControl/>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数量</w:t>
            </w:r>
          </w:p>
        </w:tc>
        <w:tc>
          <w:tcPr>
            <w:tcW w:w="1427" w:type="dxa"/>
            <w:noWrap w:val="0"/>
            <w:vAlign w:val="center"/>
          </w:tcPr>
          <w:p w14:paraId="11812AC9">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规格</w:t>
            </w:r>
          </w:p>
          <w:p w14:paraId="7E34DAA9">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型号</w:t>
            </w:r>
          </w:p>
        </w:tc>
        <w:tc>
          <w:tcPr>
            <w:tcW w:w="1427" w:type="dxa"/>
            <w:noWrap w:val="0"/>
            <w:vAlign w:val="center"/>
          </w:tcPr>
          <w:p w14:paraId="22C9FA7E">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生产</w:t>
            </w:r>
          </w:p>
          <w:p w14:paraId="6A70FEDE">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厂家</w:t>
            </w:r>
          </w:p>
        </w:tc>
        <w:tc>
          <w:tcPr>
            <w:tcW w:w="1344" w:type="dxa"/>
            <w:noWrap w:val="0"/>
            <w:vAlign w:val="center"/>
          </w:tcPr>
          <w:p w14:paraId="7AF1D49A">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备注</w:t>
            </w:r>
          </w:p>
        </w:tc>
      </w:tr>
      <w:tr w14:paraId="779E9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4CC819EC">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w:t>
            </w:r>
          </w:p>
        </w:tc>
        <w:tc>
          <w:tcPr>
            <w:tcW w:w="1582" w:type="dxa"/>
            <w:noWrap w:val="0"/>
            <w:vAlign w:val="center"/>
          </w:tcPr>
          <w:p w14:paraId="1272B941">
            <w:pPr>
              <w:jc w:val="center"/>
              <w:rPr>
                <w:rFonts w:hint="eastAsia" w:ascii="仿宋_GB2312" w:hAnsi="仿宋_GB2312" w:eastAsia="仿宋_GB2312" w:cs="仿宋_GB2312"/>
                <w:color w:val="000000"/>
                <w:szCs w:val="21"/>
                <w:highlight w:val="none"/>
              </w:rPr>
            </w:pPr>
          </w:p>
        </w:tc>
        <w:tc>
          <w:tcPr>
            <w:tcW w:w="1587" w:type="dxa"/>
            <w:noWrap w:val="0"/>
            <w:vAlign w:val="center"/>
          </w:tcPr>
          <w:p w14:paraId="4991C864">
            <w:pPr>
              <w:jc w:val="center"/>
              <w:rPr>
                <w:rFonts w:hint="eastAsia" w:ascii="仿宋_GB2312" w:hAnsi="仿宋_GB2312" w:eastAsia="仿宋_GB2312" w:cs="仿宋_GB2312"/>
                <w:color w:val="000000"/>
                <w:szCs w:val="21"/>
                <w:highlight w:val="none"/>
              </w:rPr>
            </w:pPr>
          </w:p>
        </w:tc>
        <w:tc>
          <w:tcPr>
            <w:tcW w:w="1427" w:type="dxa"/>
            <w:noWrap w:val="0"/>
            <w:vAlign w:val="center"/>
          </w:tcPr>
          <w:p w14:paraId="317F737F">
            <w:pPr>
              <w:jc w:val="center"/>
              <w:rPr>
                <w:rFonts w:hint="eastAsia" w:ascii="仿宋_GB2312" w:hAnsi="仿宋_GB2312" w:eastAsia="仿宋_GB2312" w:cs="仿宋_GB2312"/>
                <w:color w:val="000000"/>
                <w:szCs w:val="21"/>
                <w:highlight w:val="none"/>
              </w:rPr>
            </w:pPr>
          </w:p>
        </w:tc>
        <w:tc>
          <w:tcPr>
            <w:tcW w:w="1427" w:type="dxa"/>
            <w:noWrap w:val="0"/>
            <w:vAlign w:val="center"/>
          </w:tcPr>
          <w:p w14:paraId="7BD46D43">
            <w:pPr>
              <w:jc w:val="center"/>
              <w:rPr>
                <w:rFonts w:hint="eastAsia" w:ascii="仿宋_GB2312" w:hAnsi="仿宋_GB2312" w:eastAsia="仿宋_GB2312" w:cs="仿宋_GB2312"/>
                <w:color w:val="000000"/>
                <w:szCs w:val="21"/>
                <w:highlight w:val="none"/>
              </w:rPr>
            </w:pPr>
          </w:p>
        </w:tc>
        <w:tc>
          <w:tcPr>
            <w:tcW w:w="1344" w:type="dxa"/>
            <w:noWrap w:val="0"/>
            <w:vAlign w:val="center"/>
          </w:tcPr>
          <w:p w14:paraId="475CE679">
            <w:pPr>
              <w:spacing w:line="360" w:lineRule="auto"/>
              <w:rPr>
                <w:rFonts w:hint="eastAsia" w:ascii="仿宋_GB2312" w:hAnsi="仿宋_GB2312" w:eastAsia="仿宋_GB2312" w:cs="仿宋_GB2312"/>
                <w:color w:val="000000"/>
                <w:szCs w:val="21"/>
                <w:highlight w:val="none"/>
              </w:rPr>
            </w:pPr>
          </w:p>
        </w:tc>
      </w:tr>
      <w:tr w14:paraId="42DAC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32DE27E0">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w:t>
            </w:r>
          </w:p>
        </w:tc>
        <w:tc>
          <w:tcPr>
            <w:tcW w:w="1582" w:type="dxa"/>
            <w:noWrap w:val="0"/>
            <w:vAlign w:val="center"/>
          </w:tcPr>
          <w:p w14:paraId="56616894">
            <w:pPr>
              <w:jc w:val="center"/>
              <w:rPr>
                <w:rFonts w:hint="eastAsia" w:ascii="仿宋_GB2312" w:hAnsi="仿宋_GB2312" w:eastAsia="仿宋_GB2312" w:cs="仿宋_GB2312"/>
                <w:color w:val="000000"/>
                <w:szCs w:val="21"/>
                <w:highlight w:val="none"/>
              </w:rPr>
            </w:pPr>
          </w:p>
        </w:tc>
        <w:tc>
          <w:tcPr>
            <w:tcW w:w="1587" w:type="dxa"/>
            <w:noWrap w:val="0"/>
            <w:vAlign w:val="center"/>
          </w:tcPr>
          <w:p w14:paraId="1DF4A1E2">
            <w:pPr>
              <w:jc w:val="center"/>
              <w:rPr>
                <w:rFonts w:hint="eastAsia" w:ascii="仿宋_GB2312" w:hAnsi="仿宋_GB2312" w:eastAsia="仿宋_GB2312" w:cs="仿宋_GB2312"/>
                <w:color w:val="000000"/>
                <w:szCs w:val="21"/>
                <w:highlight w:val="none"/>
              </w:rPr>
            </w:pPr>
          </w:p>
        </w:tc>
        <w:tc>
          <w:tcPr>
            <w:tcW w:w="1427" w:type="dxa"/>
            <w:noWrap w:val="0"/>
            <w:vAlign w:val="center"/>
          </w:tcPr>
          <w:p w14:paraId="22069589">
            <w:pPr>
              <w:jc w:val="center"/>
              <w:rPr>
                <w:rFonts w:hint="eastAsia" w:ascii="仿宋_GB2312" w:hAnsi="仿宋_GB2312" w:eastAsia="仿宋_GB2312" w:cs="仿宋_GB2312"/>
                <w:color w:val="000000"/>
                <w:szCs w:val="21"/>
                <w:highlight w:val="none"/>
              </w:rPr>
            </w:pPr>
          </w:p>
        </w:tc>
        <w:tc>
          <w:tcPr>
            <w:tcW w:w="1427" w:type="dxa"/>
            <w:noWrap w:val="0"/>
            <w:vAlign w:val="center"/>
          </w:tcPr>
          <w:p w14:paraId="167A97DA">
            <w:pPr>
              <w:jc w:val="center"/>
              <w:rPr>
                <w:rFonts w:hint="eastAsia" w:ascii="仿宋_GB2312" w:hAnsi="仿宋_GB2312" w:eastAsia="仿宋_GB2312" w:cs="仿宋_GB2312"/>
                <w:color w:val="000000"/>
                <w:szCs w:val="21"/>
                <w:highlight w:val="none"/>
              </w:rPr>
            </w:pPr>
          </w:p>
        </w:tc>
        <w:tc>
          <w:tcPr>
            <w:tcW w:w="1344" w:type="dxa"/>
            <w:noWrap w:val="0"/>
            <w:vAlign w:val="center"/>
          </w:tcPr>
          <w:p w14:paraId="5A625C40">
            <w:pPr>
              <w:spacing w:line="360" w:lineRule="auto"/>
              <w:rPr>
                <w:rFonts w:hint="eastAsia" w:ascii="仿宋_GB2312" w:hAnsi="仿宋_GB2312" w:eastAsia="仿宋_GB2312" w:cs="仿宋_GB2312"/>
                <w:color w:val="000000"/>
                <w:szCs w:val="21"/>
                <w:highlight w:val="none"/>
              </w:rPr>
            </w:pPr>
          </w:p>
        </w:tc>
      </w:tr>
      <w:tr w14:paraId="2A64D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231EF7A6">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w:t>
            </w:r>
          </w:p>
        </w:tc>
        <w:tc>
          <w:tcPr>
            <w:tcW w:w="1582" w:type="dxa"/>
            <w:noWrap w:val="0"/>
            <w:vAlign w:val="center"/>
          </w:tcPr>
          <w:p w14:paraId="743DF28E">
            <w:pPr>
              <w:jc w:val="center"/>
              <w:rPr>
                <w:rFonts w:hint="eastAsia" w:ascii="仿宋_GB2312" w:hAnsi="仿宋_GB2312" w:eastAsia="仿宋_GB2312" w:cs="仿宋_GB2312"/>
                <w:color w:val="000000"/>
                <w:szCs w:val="21"/>
                <w:highlight w:val="none"/>
              </w:rPr>
            </w:pPr>
          </w:p>
        </w:tc>
        <w:tc>
          <w:tcPr>
            <w:tcW w:w="1587" w:type="dxa"/>
            <w:noWrap w:val="0"/>
            <w:vAlign w:val="center"/>
          </w:tcPr>
          <w:p w14:paraId="27DBD2BE">
            <w:pPr>
              <w:jc w:val="center"/>
              <w:rPr>
                <w:rFonts w:hint="eastAsia" w:ascii="仿宋_GB2312" w:hAnsi="仿宋_GB2312" w:eastAsia="仿宋_GB2312" w:cs="仿宋_GB2312"/>
                <w:color w:val="000000"/>
                <w:szCs w:val="21"/>
                <w:highlight w:val="none"/>
              </w:rPr>
            </w:pPr>
          </w:p>
        </w:tc>
        <w:tc>
          <w:tcPr>
            <w:tcW w:w="1427" w:type="dxa"/>
            <w:noWrap w:val="0"/>
            <w:vAlign w:val="center"/>
          </w:tcPr>
          <w:p w14:paraId="3BFB090B">
            <w:pPr>
              <w:jc w:val="center"/>
              <w:rPr>
                <w:rFonts w:hint="eastAsia" w:ascii="仿宋_GB2312" w:hAnsi="仿宋_GB2312" w:eastAsia="仿宋_GB2312" w:cs="仿宋_GB2312"/>
                <w:color w:val="000000"/>
                <w:szCs w:val="21"/>
                <w:highlight w:val="none"/>
              </w:rPr>
            </w:pPr>
          </w:p>
        </w:tc>
        <w:tc>
          <w:tcPr>
            <w:tcW w:w="1427" w:type="dxa"/>
            <w:noWrap w:val="0"/>
            <w:vAlign w:val="center"/>
          </w:tcPr>
          <w:p w14:paraId="1A8E48E8">
            <w:pPr>
              <w:jc w:val="center"/>
              <w:rPr>
                <w:rFonts w:hint="eastAsia" w:ascii="仿宋_GB2312" w:hAnsi="仿宋_GB2312" w:eastAsia="仿宋_GB2312" w:cs="仿宋_GB2312"/>
                <w:color w:val="000000"/>
                <w:szCs w:val="21"/>
                <w:highlight w:val="none"/>
              </w:rPr>
            </w:pPr>
          </w:p>
        </w:tc>
        <w:tc>
          <w:tcPr>
            <w:tcW w:w="1344" w:type="dxa"/>
            <w:noWrap w:val="0"/>
            <w:vAlign w:val="center"/>
          </w:tcPr>
          <w:p w14:paraId="1CCA9EE6">
            <w:pPr>
              <w:spacing w:line="360" w:lineRule="auto"/>
              <w:rPr>
                <w:rFonts w:hint="eastAsia" w:ascii="仿宋_GB2312" w:hAnsi="仿宋_GB2312" w:eastAsia="仿宋_GB2312" w:cs="仿宋_GB2312"/>
                <w:color w:val="000000"/>
                <w:szCs w:val="21"/>
                <w:highlight w:val="none"/>
              </w:rPr>
            </w:pPr>
          </w:p>
        </w:tc>
      </w:tr>
      <w:tr w14:paraId="69E9A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14:paraId="04C13AAF">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w:t>
            </w:r>
          </w:p>
        </w:tc>
        <w:tc>
          <w:tcPr>
            <w:tcW w:w="1582" w:type="dxa"/>
            <w:noWrap w:val="0"/>
            <w:vAlign w:val="center"/>
          </w:tcPr>
          <w:p w14:paraId="3E08520D">
            <w:pPr>
              <w:jc w:val="center"/>
              <w:rPr>
                <w:rFonts w:hint="eastAsia" w:ascii="仿宋_GB2312" w:hAnsi="仿宋_GB2312" w:eastAsia="仿宋_GB2312" w:cs="仿宋_GB2312"/>
                <w:color w:val="000000"/>
                <w:szCs w:val="21"/>
                <w:highlight w:val="none"/>
              </w:rPr>
            </w:pPr>
          </w:p>
        </w:tc>
        <w:tc>
          <w:tcPr>
            <w:tcW w:w="1587" w:type="dxa"/>
            <w:noWrap w:val="0"/>
            <w:vAlign w:val="center"/>
          </w:tcPr>
          <w:p w14:paraId="0BCC465E">
            <w:pPr>
              <w:jc w:val="center"/>
              <w:rPr>
                <w:rFonts w:hint="eastAsia" w:ascii="仿宋_GB2312" w:hAnsi="仿宋_GB2312" w:eastAsia="仿宋_GB2312" w:cs="仿宋_GB2312"/>
                <w:color w:val="000000"/>
                <w:szCs w:val="21"/>
                <w:highlight w:val="none"/>
              </w:rPr>
            </w:pPr>
          </w:p>
        </w:tc>
        <w:tc>
          <w:tcPr>
            <w:tcW w:w="1427" w:type="dxa"/>
            <w:noWrap w:val="0"/>
            <w:vAlign w:val="center"/>
          </w:tcPr>
          <w:p w14:paraId="66FACC84">
            <w:pPr>
              <w:jc w:val="center"/>
              <w:rPr>
                <w:rFonts w:hint="eastAsia" w:ascii="仿宋_GB2312" w:hAnsi="仿宋_GB2312" w:eastAsia="仿宋_GB2312" w:cs="仿宋_GB2312"/>
                <w:color w:val="000000"/>
                <w:szCs w:val="21"/>
                <w:highlight w:val="none"/>
              </w:rPr>
            </w:pPr>
          </w:p>
        </w:tc>
        <w:tc>
          <w:tcPr>
            <w:tcW w:w="1427" w:type="dxa"/>
            <w:noWrap w:val="0"/>
            <w:vAlign w:val="center"/>
          </w:tcPr>
          <w:p w14:paraId="16AD74DB">
            <w:pPr>
              <w:jc w:val="center"/>
              <w:rPr>
                <w:rFonts w:hint="eastAsia" w:ascii="仿宋_GB2312" w:hAnsi="仿宋_GB2312" w:eastAsia="仿宋_GB2312" w:cs="仿宋_GB2312"/>
                <w:color w:val="000000"/>
                <w:szCs w:val="21"/>
                <w:highlight w:val="none"/>
              </w:rPr>
            </w:pPr>
          </w:p>
        </w:tc>
        <w:tc>
          <w:tcPr>
            <w:tcW w:w="1344" w:type="dxa"/>
            <w:noWrap w:val="0"/>
            <w:vAlign w:val="center"/>
          </w:tcPr>
          <w:p w14:paraId="38233E51">
            <w:pPr>
              <w:spacing w:line="360" w:lineRule="auto"/>
              <w:rPr>
                <w:rFonts w:hint="eastAsia" w:ascii="仿宋_GB2312" w:hAnsi="仿宋_GB2312" w:eastAsia="仿宋_GB2312" w:cs="仿宋_GB2312"/>
                <w:color w:val="000000"/>
                <w:szCs w:val="21"/>
                <w:highlight w:val="none"/>
              </w:rPr>
            </w:pPr>
          </w:p>
        </w:tc>
      </w:tr>
      <w:tr w14:paraId="32192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noWrap w:val="0"/>
            <w:vAlign w:val="center"/>
          </w:tcPr>
          <w:p w14:paraId="61A1A6FB">
            <w:pPr>
              <w:ind w:firstLine="420" w:firstLineChars="20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b/>
                <w:color w:val="000000"/>
                <w:szCs w:val="21"/>
                <w:highlight w:val="none"/>
                <w:lang w:val="zh-CN"/>
              </w:rPr>
              <w:t>投标文件中所提供投标的以上伴随产品为我单位生产的产品，</w:t>
            </w:r>
            <w:r>
              <w:rPr>
                <w:rFonts w:hint="eastAsia" w:ascii="仿宋_GB2312" w:hAnsi="仿宋_GB2312" w:eastAsia="仿宋_GB2312" w:cs="仿宋_GB2312"/>
                <w:b/>
                <w:color w:val="000000"/>
                <w:szCs w:val="21"/>
                <w:highlight w:val="none"/>
              </w:rPr>
              <w:t>如有虚假</w:t>
            </w:r>
            <w:r>
              <w:rPr>
                <w:rFonts w:hint="eastAsia" w:ascii="仿宋_GB2312" w:hAnsi="仿宋_GB2312" w:eastAsia="仿宋_GB2312" w:cs="仿宋_GB2312"/>
                <w:b/>
                <w:color w:val="000000"/>
                <w:szCs w:val="21"/>
                <w:highlight w:val="none"/>
                <w:lang w:val="zh-CN"/>
              </w:rPr>
              <w:t>，我单位承担由此产生的一切后果</w:t>
            </w:r>
            <w:r>
              <w:rPr>
                <w:rFonts w:hint="eastAsia" w:ascii="仿宋_GB2312" w:hAnsi="仿宋_GB2312" w:eastAsia="仿宋_GB2312" w:cs="仿宋_GB2312"/>
                <w:color w:val="000000"/>
                <w:szCs w:val="21"/>
                <w:highlight w:val="none"/>
                <w:lang w:val="zh-CN"/>
              </w:rPr>
              <w:t>。</w:t>
            </w:r>
          </w:p>
        </w:tc>
      </w:tr>
    </w:tbl>
    <w:p w14:paraId="3A2E18EB">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5A5FB303">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注：1</w:t>
      </w:r>
      <w:r>
        <w:rPr>
          <w:rFonts w:hint="eastAsia" w:ascii="仿宋_GB2312" w:hAnsi="仿宋_GB2312" w:eastAsia="仿宋_GB2312" w:cs="仿宋_GB2312"/>
          <w:color w:val="000000"/>
          <w:sz w:val="24"/>
          <w:szCs w:val="24"/>
          <w:highlight w:val="none"/>
          <w:lang w:val="en-US" w:eastAsia="zh-CN"/>
        </w:rPr>
        <w:t>.</w:t>
      </w:r>
      <w:r>
        <w:rPr>
          <w:rFonts w:hint="eastAsia" w:ascii="仿宋_GB2312" w:hAnsi="仿宋_GB2312" w:eastAsia="仿宋_GB2312" w:cs="仿宋_GB2312"/>
          <w:color w:val="000000"/>
          <w:sz w:val="24"/>
          <w:szCs w:val="24"/>
          <w:highlight w:val="none"/>
        </w:rPr>
        <w:t>供应商为非残疾人福利性单位的，无需填写此声明函。</w:t>
      </w:r>
    </w:p>
    <w:p w14:paraId="39D2CD68">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    </w:t>
      </w:r>
      <w:r>
        <w:rPr>
          <w:rFonts w:hint="eastAsia" w:ascii="仿宋_GB2312" w:hAnsi="仿宋_GB2312" w:eastAsia="仿宋_GB2312" w:cs="仿宋_GB2312"/>
          <w:color w:val="000000"/>
          <w:sz w:val="24"/>
          <w:szCs w:val="24"/>
          <w:highlight w:val="none"/>
          <w:lang w:eastAsia="zh-CN"/>
        </w:rPr>
        <w:t>2.</w:t>
      </w:r>
      <w:r>
        <w:rPr>
          <w:rFonts w:hint="eastAsia" w:ascii="仿宋_GB2312" w:hAnsi="仿宋_GB2312" w:eastAsia="仿宋_GB2312" w:cs="仿宋_GB2312"/>
          <w:color w:val="000000"/>
          <w:sz w:val="24"/>
          <w:szCs w:val="24"/>
          <w:highlight w:val="none"/>
        </w:rPr>
        <w:t>仅为本项目提供服务，未提供服务所伴随产品的，此表格可不填写。</w:t>
      </w:r>
    </w:p>
    <w:p w14:paraId="588A9AF1">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    </w:t>
      </w:r>
      <w:r>
        <w:rPr>
          <w:rFonts w:hint="eastAsia" w:ascii="仿宋_GB2312" w:hAnsi="仿宋_GB2312" w:eastAsia="仿宋_GB2312" w:cs="仿宋_GB2312"/>
          <w:color w:val="000000"/>
          <w:sz w:val="24"/>
          <w:szCs w:val="24"/>
          <w:highlight w:val="none"/>
          <w:lang w:eastAsia="zh-CN"/>
        </w:rPr>
        <w:t>3.</w:t>
      </w:r>
      <w:r>
        <w:rPr>
          <w:rFonts w:hint="eastAsia" w:ascii="仿宋_GB2312" w:hAnsi="仿宋_GB2312" w:eastAsia="仿宋_GB2312" w:cs="仿宋_GB2312"/>
          <w:color w:val="000000"/>
          <w:sz w:val="24"/>
          <w:szCs w:val="24"/>
          <w:highlight w:val="none"/>
        </w:rPr>
        <w:t>如为本项目提供本单位伴随产品的，请填写此表格。</w:t>
      </w:r>
    </w:p>
    <w:p w14:paraId="447DEA55">
      <w:pPr>
        <w:adjustRightInd w:val="0"/>
        <w:snapToGrid w:val="0"/>
        <w:spacing w:line="360" w:lineRule="auto"/>
        <w:ind w:left="478" w:leftChars="228" w:right="105" w:rightChars="50" w:firstLine="62" w:firstLineChars="26"/>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    </w:t>
      </w:r>
      <w:r>
        <w:rPr>
          <w:rFonts w:hint="eastAsia" w:ascii="仿宋_GB2312" w:hAnsi="仿宋_GB2312" w:eastAsia="仿宋_GB2312" w:cs="仿宋_GB2312"/>
          <w:color w:val="000000"/>
          <w:sz w:val="24"/>
          <w:szCs w:val="24"/>
          <w:highlight w:val="none"/>
          <w:lang w:eastAsia="zh-CN"/>
        </w:rPr>
        <w:t>4.</w:t>
      </w:r>
      <w:r>
        <w:rPr>
          <w:rFonts w:hint="eastAsia" w:ascii="仿宋_GB2312" w:hAnsi="仿宋_GB2312" w:eastAsia="仿宋_GB2312" w:cs="仿宋_GB2312"/>
          <w:color w:val="000000"/>
          <w:sz w:val="24"/>
          <w:szCs w:val="24"/>
          <w:highlight w:val="none"/>
        </w:rPr>
        <w:t>如为本项目提供的伴随产品是其他单位生产的，无需填写此表格，但需生产单位按此格式出具此声明。</w:t>
      </w:r>
    </w:p>
    <w:p w14:paraId="1BD14669">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p>
    <w:p w14:paraId="00BD4DEC">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p>
    <w:p w14:paraId="6AB1E213">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p>
    <w:p w14:paraId="0CFA3BD7">
      <w:pPr>
        <w:adjustRightInd w:val="0"/>
        <w:snapToGrid w:val="0"/>
        <w:spacing w:line="480" w:lineRule="auto"/>
        <w:ind w:right="105" w:rightChars="50"/>
        <w:jc w:val="left"/>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投标人名称（加盖单位公章）：</w:t>
      </w:r>
      <w:r>
        <w:rPr>
          <w:rFonts w:hint="eastAsia" w:ascii="仿宋_GB2312" w:hAnsi="仿宋_GB2312" w:eastAsia="仿宋_GB2312" w:cs="仿宋_GB2312"/>
          <w:color w:val="000000"/>
          <w:sz w:val="24"/>
          <w:szCs w:val="24"/>
          <w:highlight w:val="none"/>
          <w:u w:val="single"/>
        </w:rPr>
        <w:t xml:space="preserve">            </w:t>
      </w:r>
    </w:p>
    <w:p w14:paraId="06876AE3">
      <w:pPr>
        <w:adjustRightInd w:val="0"/>
        <w:snapToGrid w:val="0"/>
        <w:spacing w:line="480" w:lineRule="auto"/>
        <w:ind w:right="105" w:rightChars="50"/>
        <w:jc w:val="left"/>
        <w:rPr>
          <w:rFonts w:hint="eastAsia" w:ascii="仿宋_GB2312" w:hAnsi="仿宋_GB2312" w:eastAsia="仿宋_GB2312" w:cs="仿宋_GB2312"/>
          <w:b/>
          <w:color w:val="000000"/>
          <w:sz w:val="24"/>
          <w:szCs w:val="24"/>
          <w:highlight w:val="none"/>
          <w:u w:val="singl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0C71C2DA">
      <w:pPr>
        <w:pStyle w:val="36"/>
        <w:adjustRightInd w:val="0"/>
        <w:snapToGrid w:val="0"/>
        <w:spacing w:line="312" w:lineRule="auto"/>
        <w:ind w:firstLine="0" w:firstLineChars="0"/>
        <w:jc w:val="left"/>
        <w:rPr>
          <w:rFonts w:hint="eastAsia" w:ascii="仿宋_GB2312" w:hAnsi="仿宋_GB2312" w:eastAsia="仿宋_GB2312" w:cs="仿宋_GB2312"/>
          <w:color w:val="000000"/>
          <w:sz w:val="24"/>
          <w:szCs w:val="24"/>
          <w:highlight w:val="none"/>
        </w:rPr>
      </w:pPr>
    </w:p>
    <w:p w14:paraId="07035341">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1C15A57E">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1BB2250D">
      <w:pPr>
        <w:adjustRightInd w:val="0"/>
        <w:snapToGrid w:val="0"/>
        <w:spacing w:before="312" w:beforeLines="100" w:after="312" w:afterLines="100" w:line="360" w:lineRule="auto"/>
        <w:ind w:right="105" w:rightChars="50"/>
        <w:jc w:val="left"/>
        <w:rPr>
          <w:rFonts w:hint="eastAsia" w:ascii="Times New Roman" w:hAnsi="Times New Roman" w:cs="仿宋"/>
          <w:b/>
          <w:color w:val="000000"/>
          <w:sz w:val="28"/>
          <w:szCs w:val="28"/>
          <w:highlight w:val="none"/>
          <w:lang w:val="en-US" w:eastAsia="zh-CN"/>
        </w:rPr>
      </w:pPr>
      <w:r>
        <w:rPr>
          <w:rFonts w:hint="eastAsia" w:ascii="Times New Roman" w:hAnsi="Times New Roman" w:eastAsia="仿宋" w:cs="仿宋"/>
          <w:b/>
          <w:color w:val="000000"/>
          <w:sz w:val="28"/>
          <w:szCs w:val="28"/>
          <w:highlight w:val="none"/>
        </w:rPr>
        <w:t>格式</w:t>
      </w:r>
      <w:r>
        <w:rPr>
          <w:rFonts w:hint="eastAsia" w:ascii="Times New Roman" w:hAnsi="Times New Roman" w:cs="仿宋"/>
          <w:b/>
          <w:color w:val="000000"/>
          <w:sz w:val="28"/>
          <w:szCs w:val="28"/>
          <w:highlight w:val="none"/>
          <w:lang w:val="en-US" w:eastAsia="zh-CN"/>
        </w:rPr>
        <w:t>17-1</w:t>
      </w:r>
    </w:p>
    <w:p w14:paraId="2983B198">
      <w:pPr>
        <w:adjustRightInd w:val="0"/>
        <w:snapToGrid w:val="0"/>
        <w:spacing w:before="312" w:beforeLines="100" w:after="312" w:afterLines="100" w:line="360" w:lineRule="auto"/>
        <w:ind w:right="105" w:rightChars="50"/>
        <w:jc w:val="center"/>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监狱企业证明文件</w:t>
      </w:r>
    </w:p>
    <w:p w14:paraId="117F62CE">
      <w:pPr>
        <w:pStyle w:val="36"/>
        <w:adjustRightInd w:val="0"/>
        <w:snapToGrid w:val="0"/>
        <w:spacing w:line="312" w:lineRule="auto"/>
        <w:ind w:firstLine="0" w:firstLineChars="0"/>
        <w:jc w:val="left"/>
        <w:rPr>
          <w:rFonts w:hint="eastAsia" w:ascii="Times New Roman" w:hAnsi="Times New Roman" w:eastAsia="仿宋" w:cs="仿宋"/>
          <w:color w:val="000000"/>
          <w:szCs w:val="28"/>
          <w:highlight w:val="none"/>
        </w:rPr>
      </w:pPr>
    </w:p>
    <w:p w14:paraId="15DD5E90">
      <w:pPr>
        <w:pStyle w:val="4"/>
        <w:adjustRightInd w:val="0"/>
        <w:snapToGrid w:val="0"/>
        <w:spacing w:before="0" w:after="0" w:line="240" w:lineRule="auto"/>
        <w:jc w:val="left"/>
        <w:rPr>
          <w:rFonts w:hint="default" w:ascii="Times New Roman" w:hAnsi="Times New Roman" w:eastAsia="仿宋" w:cs="仿宋"/>
          <w:color w:val="000000"/>
          <w:szCs w:val="28"/>
          <w:highlight w:val="none"/>
          <w:lang w:val="en-US" w:eastAsia="zh-CN"/>
        </w:rPr>
      </w:pPr>
      <w:r>
        <w:rPr>
          <w:rFonts w:hint="eastAsia" w:ascii="Times New Roman" w:hAnsi="Times New Roman" w:eastAsia="仿宋" w:cs="仿宋"/>
          <w:color w:val="000000"/>
          <w:szCs w:val="28"/>
          <w:highlight w:val="none"/>
        </w:rPr>
        <w:br w:type="page"/>
      </w:r>
      <w:r>
        <w:rPr>
          <w:rFonts w:hint="eastAsia" w:ascii="Times New Roman" w:hAnsi="Times New Roman" w:eastAsia="仿宋" w:cs="仿宋"/>
          <w:color w:val="000000"/>
          <w:szCs w:val="28"/>
          <w:highlight w:val="none"/>
        </w:rPr>
        <w:t>格式</w:t>
      </w:r>
      <w:r>
        <w:rPr>
          <w:rFonts w:hint="eastAsia" w:ascii="Times New Roman" w:hAnsi="Times New Roman" w:cs="仿宋"/>
          <w:color w:val="000000"/>
          <w:szCs w:val="28"/>
          <w:highlight w:val="none"/>
          <w:lang w:val="en-US" w:eastAsia="zh-CN"/>
        </w:rPr>
        <w:t>18</w:t>
      </w:r>
    </w:p>
    <w:p w14:paraId="1FA44134">
      <w:pPr>
        <w:adjustRightInd w:val="0"/>
        <w:snapToGrid w:val="0"/>
        <w:spacing w:before="312" w:beforeLines="100" w:after="312" w:afterLines="100" w:line="360" w:lineRule="auto"/>
        <w:ind w:right="105" w:rightChars="50"/>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关于符合本国产品标准的声明函</w:t>
      </w:r>
    </w:p>
    <w:p w14:paraId="746F4285">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7FE89628">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1A0F4219">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w:t>
      </w:r>
      <w:r>
        <w:rPr>
          <w:rFonts w:hint="eastAsia" w:ascii="仿宋_GB2312" w:hAnsi="仿宋_GB2312" w:eastAsia="仿宋_GB2312" w:cs="仿宋_GB2312"/>
          <w:color w:val="000000"/>
          <w:sz w:val="24"/>
          <w:szCs w:val="24"/>
          <w:highlight w:val="none"/>
          <w:u w:val="single"/>
        </w:rPr>
        <w:t>（产品名称1）</w:t>
      </w:r>
      <w:r>
        <w:rPr>
          <w:rFonts w:hint="eastAsia" w:ascii="仿宋_GB2312" w:hAnsi="仿宋_GB2312" w:eastAsia="仿宋_GB2312" w:cs="仿宋_GB2312"/>
          <w:color w:val="000000"/>
          <w:sz w:val="24"/>
          <w:szCs w:val="24"/>
          <w:highlight w:val="none"/>
          <w:vertAlign w:val="superscript"/>
        </w:rPr>
        <w:t>1</w:t>
      </w:r>
      <w:r>
        <w:rPr>
          <w:rFonts w:hint="eastAsia" w:ascii="仿宋_GB2312" w:hAnsi="仿宋_GB2312" w:eastAsia="仿宋_GB2312" w:cs="仿宋_GB2312"/>
          <w:color w:val="000000"/>
          <w:sz w:val="24"/>
          <w:szCs w:val="24"/>
          <w:highlight w:val="none"/>
        </w:rPr>
        <w:t>，生产厂为</w:t>
      </w:r>
      <w:r>
        <w:rPr>
          <w:rFonts w:hint="eastAsia" w:ascii="仿宋_GB2312" w:hAnsi="仿宋_GB2312" w:eastAsia="仿宋_GB2312" w:cs="仿宋_GB2312"/>
          <w:color w:val="000000"/>
          <w:sz w:val="24"/>
          <w:szCs w:val="24"/>
          <w:highlight w:val="none"/>
          <w:u w:val="single"/>
        </w:rPr>
        <w:t>（厂名）</w:t>
      </w:r>
      <w:r>
        <w:rPr>
          <w:rFonts w:hint="eastAsia" w:ascii="仿宋_GB2312" w:hAnsi="仿宋_GB2312" w:eastAsia="仿宋_GB2312" w:cs="仿宋_GB2312"/>
          <w:color w:val="000000"/>
          <w:sz w:val="24"/>
          <w:szCs w:val="24"/>
          <w:highlight w:val="none"/>
          <w:vertAlign w:val="superscript"/>
        </w:rPr>
        <w:t>2</w:t>
      </w:r>
      <w:r>
        <w:rPr>
          <w:rFonts w:hint="eastAsia" w:ascii="仿宋_GB2312" w:hAnsi="仿宋_GB2312" w:eastAsia="仿宋_GB2312" w:cs="仿宋_GB2312"/>
          <w:color w:val="000000"/>
          <w:sz w:val="24"/>
          <w:szCs w:val="24"/>
          <w:highlight w:val="none"/>
        </w:rPr>
        <w:t>，厂址为</w:t>
      </w:r>
      <w:r>
        <w:rPr>
          <w:rFonts w:hint="eastAsia" w:ascii="仿宋_GB2312" w:hAnsi="仿宋_GB2312" w:eastAsia="仿宋_GB2312" w:cs="仿宋_GB2312"/>
          <w:color w:val="000000"/>
          <w:sz w:val="24"/>
          <w:szCs w:val="24"/>
          <w:highlight w:val="none"/>
          <w:u w:val="single"/>
        </w:rPr>
        <w:t>（生产厂址）</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（产品名称1）</w:t>
      </w:r>
      <w:r>
        <w:rPr>
          <w:rFonts w:hint="eastAsia" w:ascii="仿宋_GB2312" w:hAnsi="仿宋_GB2312" w:eastAsia="仿宋_GB2312" w:cs="仿宋_GB2312"/>
          <w:color w:val="000000"/>
          <w:sz w:val="24"/>
          <w:szCs w:val="24"/>
          <w:highlight w:val="none"/>
        </w:rPr>
        <w:t>的中国境内生产的组件成本占比≥</w:t>
      </w:r>
      <w:r>
        <w:rPr>
          <w:rFonts w:hint="eastAsia" w:ascii="仿宋_GB2312" w:hAnsi="仿宋_GB2312" w:eastAsia="仿宋_GB2312" w:cs="仿宋_GB2312"/>
          <w:color w:val="000000"/>
          <w:sz w:val="24"/>
          <w:szCs w:val="24"/>
          <w:highlight w:val="none"/>
          <w:u w:val="single"/>
        </w:rPr>
        <w:t>（规定比例）</w:t>
      </w:r>
      <w:r>
        <w:rPr>
          <w:rFonts w:hint="eastAsia" w:ascii="仿宋_GB2312" w:hAnsi="仿宋_GB2312" w:eastAsia="仿宋_GB2312" w:cs="仿宋_GB2312"/>
          <w:color w:val="000000"/>
          <w:sz w:val="24"/>
          <w:szCs w:val="24"/>
          <w:highlight w:val="none"/>
          <w:vertAlign w:val="superscript"/>
        </w:rPr>
        <w:t>3</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（产品名称1）</w:t>
      </w:r>
      <w:r>
        <w:rPr>
          <w:rFonts w:hint="eastAsia" w:ascii="仿宋_GB2312" w:hAnsi="仿宋_GB2312" w:eastAsia="仿宋_GB2312" w:cs="仿宋_GB2312"/>
          <w:color w:val="000000"/>
          <w:sz w:val="24"/>
          <w:szCs w:val="24"/>
          <w:highlight w:val="none"/>
        </w:rPr>
        <w:t>的</w:t>
      </w:r>
      <w:r>
        <w:rPr>
          <w:rFonts w:hint="eastAsia" w:ascii="仿宋_GB2312" w:hAnsi="仿宋_GB2312" w:eastAsia="仿宋_GB2312" w:cs="仿宋_GB2312"/>
          <w:color w:val="000000"/>
          <w:sz w:val="24"/>
          <w:szCs w:val="24"/>
          <w:highlight w:val="none"/>
          <w:u w:val="single"/>
        </w:rPr>
        <w:t>（关键组件）</w:t>
      </w:r>
      <w:r>
        <w:rPr>
          <w:rFonts w:hint="eastAsia" w:ascii="仿宋_GB2312" w:hAnsi="仿宋_GB2312" w:eastAsia="仿宋_GB2312" w:cs="仿宋_GB2312"/>
          <w:color w:val="000000"/>
          <w:sz w:val="24"/>
          <w:szCs w:val="24"/>
          <w:highlight w:val="none"/>
          <w:vertAlign w:val="superscript"/>
        </w:rPr>
        <w:t>4</w:t>
      </w:r>
      <w:r>
        <w:rPr>
          <w:rFonts w:hint="eastAsia" w:ascii="仿宋_GB2312" w:hAnsi="仿宋_GB2312" w:eastAsia="仿宋_GB2312" w:cs="仿宋_GB2312"/>
          <w:color w:val="000000"/>
          <w:sz w:val="24"/>
          <w:szCs w:val="24"/>
          <w:highlight w:val="none"/>
        </w:rPr>
        <w:t>在中国境内生产。</w:t>
      </w:r>
      <w:r>
        <w:rPr>
          <w:rFonts w:hint="eastAsia" w:ascii="仿宋_GB2312" w:hAnsi="仿宋_GB2312" w:eastAsia="仿宋_GB2312" w:cs="仿宋_GB2312"/>
          <w:color w:val="000000"/>
          <w:sz w:val="24"/>
          <w:szCs w:val="24"/>
          <w:highlight w:val="none"/>
          <w:u w:val="single"/>
        </w:rPr>
        <w:t>（产品名称1）</w:t>
      </w:r>
      <w:r>
        <w:rPr>
          <w:rFonts w:hint="eastAsia" w:ascii="仿宋_GB2312" w:hAnsi="仿宋_GB2312" w:eastAsia="仿宋_GB2312" w:cs="仿宋_GB2312"/>
          <w:color w:val="000000"/>
          <w:sz w:val="24"/>
          <w:szCs w:val="24"/>
          <w:highlight w:val="none"/>
        </w:rPr>
        <w:t>的</w:t>
      </w:r>
      <w:r>
        <w:rPr>
          <w:rFonts w:hint="eastAsia" w:ascii="仿宋_GB2312" w:hAnsi="仿宋_GB2312" w:eastAsia="仿宋_GB2312" w:cs="仿宋_GB2312"/>
          <w:color w:val="000000"/>
          <w:sz w:val="24"/>
          <w:szCs w:val="24"/>
          <w:highlight w:val="none"/>
          <w:u w:val="single"/>
        </w:rPr>
        <w:t>（关键工序）</w:t>
      </w:r>
      <w:r>
        <w:rPr>
          <w:rFonts w:hint="eastAsia" w:ascii="仿宋_GB2312" w:hAnsi="仿宋_GB2312" w:eastAsia="仿宋_GB2312" w:cs="仿宋_GB2312"/>
          <w:color w:val="000000"/>
          <w:sz w:val="24"/>
          <w:szCs w:val="24"/>
          <w:highlight w:val="none"/>
          <w:vertAlign w:val="superscript"/>
        </w:rPr>
        <w:t>5</w:t>
      </w:r>
      <w:r>
        <w:rPr>
          <w:rFonts w:hint="eastAsia" w:ascii="仿宋_GB2312" w:hAnsi="仿宋_GB2312" w:eastAsia="仿宋_GB2312" w:cs="仿宋_GB2312"/>
          <w:color w:val="000000"/>
          <w:sz w:val="24"/>
          <w:szCs w:val="24"/>
          <w:highlight w:val="none"/>
        </w:rPr>
        <w:t>在中国境内完成。</w:t>
      </w:r>
    </w:p>
    <w:p w14:paraId="0CFBED09">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w:t>
      </w:r>
      <w:r>
        <w:rPr>
          <w:rFonts w:hint="eastAsia" w:ascii="仿宋_GB2312" w:hAnsi="仿宋_GB2312" w:eastAsia="仿宋_GB2312" w:cs="仿宋_GB2312"/>
          <w:color w:val="000000"/>
          <w:sz w:val="24"/>
          <w:szCs w:val="24"/>
          <w:highlight w:val="none"/>
          <w:u w:val="single"/>
        </w:rPr>
        <w:t>（产品名称2）</w:t>
      </w:r>
      <w:r>
        <w:rPr>
          <w:rFonts w:hint="eastAsia" w:ascii="仿宋_GB2312" w:hAnsi="仿宋_GB2312" w:eastAsia="仿宋_GB2312" w:cs="仿宋_GB2312"/>
          <w:color w:val="000000"/>
          <w:sz w:val="24"/>
          <w:szCs w:val="24"/>
          <w:highlight w:val="none"/>
        </w:rPr>
        <w:t>，生产厂为</w:t>
      </w:r>
      <w:r>
        <w:rPr>
          <w:rFonts w:hint="eastAsia" w:ascii="仿宋_GB2312" w:hAnsi="仿宋_GB2312" w:eastAsia="仿宋_GB2312" w:cs="仿宋_GB2312"/>
          <w:color w:val="000000"/>
          <w:sz w:val="24"/>
          <w:szCs w:val="24"/>
          <w:highlight w:val="none"/>
          <w:u w:val="single"/>
        </w:rPr>
        <w:t>（厂名）</w:t>
      </w:r>
      <w:r>
        <w:rPr>
          <w:rFonts w:hint="eastAsia" w:ascii="仿宋_GB2312" w:hAnsi="仿宋_GB2312" w:eastAsia="仿宋_GB2312" w:cs="仿宋_GB2312"/>
          <w:color w:val="000000"/>
          <w:sz w:val="24"/>
          <w:szCs w:val="24"/>
          <w:highlight w:val="none"/>
        </w:rPr>
        <w:t>，厂址为</w:t>
      </w:r>
      <w:r>
        <w:rPr>
          <w:rFonts w:hint="eastAsia" w:ascii="仿宋_GB2312" w:hAnsi="仿宋_GB2312" w:eastAsia="仿宋_GB2312" w:cs="仿宋_GB2312"/>
          <w:color w:val="000000"/>
          <w:sz w:val="24"/>
          <w:szCs w:val="24"/>
          <w:highlight w:val="none"/>
          <w:u w:val="single"/>
        </w:rPr>
        <w:t>（生产厂址）</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（产品名称2）</w:t>
      </w:r>
      <w:r>
        <w:rPr>
          <w:rFonts w:hint="eastAsia" w:ascii="仿宋_GB2312" w:hAnsi="仿宋_GB2312" w:eastAsia="仿宋_GB2312" w:cs="仿宋_GB2312"/>
          <w:color w:val="000000"/>
          <w:sz w:val="24"/>
          <w:szCs w:val="24"/>
          <w:highlight w:val="none"/>
        </w:rPr>
        <w:t>的中国境内生产的组件成本占比≥</w:t>
      </w:r>
      <w:r>
        <w:rPr>
          <w:rFonts w:hint="eastAsia" w:ascii="仿宋_GB2312" w:hAnsi="仿宋_GB2312" w:eastAsia="仿宋_GB2312" w:cs="仿宋_GB2312"/>
          <w:color w:val="000000"/>
          <w:sz w:val="24"/>
          <w:szCs w:val="24"/>
          <w:highlight w:val="none"/>
          <w:u w:val="single"/>
        </w:rPr>
        <w:t>（规定比例）</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（产品名称2）</w:t>
      </w:r>
      <w:r>
        <w:rPr>
          <w:rFonts w:hint="eastAsia" w:ascii="仿宋_GB2312" w:hAnsi="仿宋_GB2312" w:eastAsia="仿宋_GB2312" w:cs="仿宋_GB2312"/>
          <w:color w:val="000000"/>
          <w:sz w:val="24"/>
          <w:szCs w:val="24"/>
          <w:highlight w:val="none"/>
        </w:rPr>
        <w:t>的</w:t>
      </w:r>
      <w:r>
        <w:rPr>
          <w:rFonts w:hint="eastAsia" w:ascii="仿宋_GB2312" w:hAnsi="仿宋_GB2312" w:eastAsia="仿宋_GB2312" w:cs="仿宋_GB2312"/>
          <w:color w:val="000000"/>
          <w:sz w:val="24"/>
          <w:szCs w:val="24"/>
          <w:highlight w:val="none"/>
          <w:u w:val="single"/>
        </w:rPr>
        <w:t>（关键组件）</w:t>
      </w:r>
      <w:r>
        <w:rPr>
          <w:rFonts w:hint="eastAsia" w:ascii="仿宋_GB2312" w:hAnsi="仿宋_GB2312" w:eastAsia="仿宋_GB2312" w:cs="仿宋_GB2312"/>
          <w:color w:val="000000"/>
          <w:sz w:val="24"/>
          <w:szCs w:val="24"/>
          <w:highlight w:val="none"/>
        </w:rPr>
        <w:t>在中国境内生产。</w:t>
      </w:r>
      <w:r>
        <w:rPr>
          <w:rFonts w:hint="eastAsia" w:ascii="仿宋_GB2312" w:hAnsi="仿宋_GB2312" w:eastAsia="仿宋_GB2312" w:cs="仿宋_GB2312"/>
          <w:color w:val="000000"/>
          <w:sz w:val="24"/>
          <w:szCs w:val="24"/>
          <w:highlight w:val="none"/>
          <w:u w:val="single"/>
        </w:rPr>
        <w:t>（产品名称2）</w:t>
      </w:r>
      <w:r>
        <w:rPr>
          <w:rFonts w:hint="eastAsia" w:ascii="仿宋_GB2312" w:hAnsi="仿宋_GB2312" w:eastAsia="仿宋_GB2312" w:cs="仿宋_GB2312"/>
          <w:color w:val="000000"/>
          <w:sz w:val="24"/>
          <w:szCs w:val="24"/>
          <w:highlight w:val="none"/>
        </w:rPr>
        <w:t>的</w:t>
      </w:r>
      <w:r>
        <w:rPr>
          <w:rFonts w:hint="eastAsia" w:ascii="仿宋_GB2312" w:hAnsi="仿宋_GB2312" w:eastAsia="仿宋_GB2312" w:cs="仿宋_GB2312"/>
          <w:color w:val="000000"/>
          <w:sz w:val="24"/>
          <w:szCs w:val="24"/>
          <w:highlight w:val="none"/>
          <w:u w:val="single"/>
        </w:rPr>
        <w:t>（关键工序）</w:t>
      </w:r>
      <w:r>
        <w:rPr>
          <w:rFonts w:hint="eastAsia" w:ascii="仿宋_GB2312" w:hAnsi="仿宋_GB2312" w:eastAsia="仿宋_GB2312" w:cs="仿宋_GB2312"/>
          <w:color w:val="000000"/>
          <w:sz w:val="24"/>
          <w:szCs w:val="24"/>
          <w:highlight w:val="none"/>
        </w:rPr>
        <w:t>在中国境内完成。</w:t>
      </w:r>
    </w:p>
    <w:p w14:paraId="73D2F3DF">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w:t>
      </w:r>
    </w:p>
    <w:p w14:paraId="0C8A9E2A">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本公司（单位）对上述声明内容的真实性负责。如有虚假，愿承担相应法律责任。</w:t>
      </w:r>
    </w:p>
    <w:p w14:paraId="6974A158">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p>
    <w:p w14:paraId="1FDA8288">
      <w:pPr>
        <w:adjustRightInd w:val="0"/>
        <w:snapToGrid w:val="0"/>
        <w:spacing w:line="360" w:lineRule="auto"/>
        <w:ind w:right="105" w:rightChars="50" w:firstLine="544" w:firstLineChars="227"/>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公司（单位）名称（盖章）：　</w:t>
      </w:r>
    </w:p>
    <w:p w14:paraId="1657CA12">
      <w:pPr>
        <w:adjustRightInd w:val="0"/>
        <w:snapToGrid w:val="0"/>
        <w:spacing w:line="360" w:lineRule="auto"/>
        <w:ind w:right="105" w:rightChars="50" w:firstLine="544" w:firstLineChars="227"/>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日期：　年　月　日</w:t>
      </w:r>
    </w:p>
    <w:p w14:paraId="26DAB616">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p>
    <w:p w14:paraId="1145E5FD">
      <w:pPr>
        <w:pStyle w:val="34"/>
        <w:rPr>
          <w:rFonts w:hint="eastAsia" w:ascii="仿宋_GB2312" w:hAnsi="仿宋_GB2312" w:eastAsia="仿宋_GB2312" w:cs="仿宋_GB2312"/>
          <w:color w:val="000000"/>
          <w:sz w:val="24"/>
          <w:szCs w:val="24"/>
          <w:highlight w:val="none"/>
        </w:rPr>
      </w:pPr>
    </w:p>
    <w:p w14:paraId="75132C8F">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p>
    <w:p w14:paraId="39B0CE0B">
      <w:pPr>
        <w:adjustRightInd w:val="0"/>
        <w:snapToGrid w:val="0"/>
        <w:spacing w:line="360" w:lineRule="auto"/>
        <w:ind w:left="0" w:leftChars="0" w:right="105" w:rightChars="50"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注：</w:t>
      </w:r>
    </w:p>
    <w:p w14:paraId="337E08FD">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val="en-US" w:eastAsia="zh-CN"/>
        </w:rPr>
        <w:t>1</w:t>
      </w:r>
      <w:r>
        <w:rPr>
          <w:rFonts w:hint="eastAsia" w:ascii="仿宋_GB2312" w:hAnsi="仿宋_GB2312" w:eastAsia="仿宋_GB2312" w:cs="仿宋_GB2312"/>
          <w:color w:val="000000"/>
          <w:sz w:val="24"/>
          <w:szCs w:val="24"/>
          <w:highlight w:val="none"/>
        </w:rPr>
        <w:t>产品如有型号，请在“产品名称”栏一并填写。</w:t>
      </w:r>
    </w:p>
    <w:p w14:paraId="3E1C34B6">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val="en-US" w:eastAsia="zh-CN"/>
        </w:rPr>
        <w:t>2</w:t>
      </w:r>
      <w:r>
        <w:rPr>
          <w:rFonts w:hint="eastAsia" w:ascii="仿宋_GB2312" w:hAnsi="仿宋_GB2312" w:eastAsia="仿宋_GB2312" w:cs="仿宋_GB2312"/>
          <w:color w:val="000000"/>
          <w:sz w:val="24"/>
          <w:szCs w:val="24"/>
          <w:highlight w:val="none"/>
        </w:rPr>
        <w:t>生产厂名与厂址应与生产厂营业执照载明的相关信息保持一致。</w:t>
      </w:r>
    </w:p>
    <w:p w14:paraId="29912254">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val="en-US" w:eastAsia="zh-CN"/>
        </w:rPr>
        <w:t>3</w:t>
      </w:r>
      <w:r>
        <w:rPr>
          <w:rFonts w:hint="eastAsia" w:ascii="仿宋_GB2312" w:hAnsi="仿宋_GB2312" w:eastAsia="仿宋_GB2312" w:cs="仿宋_GB2312"/>
          <w:color w:val="000000"/>
          <w:sz w:val="24"/>
          <w:szCs w:val="24"/>
          <w:highlight w:val="none"/>
        </w:rPr>
        <w:t>该产品的中国境内生产的组件成本占比相关要求实施前，“规定比例”栏可不填，下同。</w:t>
      </w:r>
    </w:p>
    <w:p w14:paraId="62221786">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val="en-US" w:eastAsia="zh-CN"/>
        </w:rPr>
        <w:t>4</w:t>
      </w:r>
      <w:r>
        <w:rPr>
          <w:rFonts w:hint="eastAsia" w:ascii="仿宋_GB2312" w:hAnsi="仿宋_GB2312" w:eastAsia="仿宋_GB2312" w:cs="仿宋_GB2312"/>
          <w:color w:val="000000"/>
          <w:sz w:val="24"/>
          <w:szCs w:val="24"/>
          <w:highlight w:val="none"/>
        </w:rPr>
        <w:t>该产品的关键组件要求实施前，“关键组件”栏可不填，下同。</w:t>
      </w:r>
    </w:p>
    <w:p w14:paraId="7AE41230">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val="en-US" w:eastAsia="zh-CN"/>
        </w:rPr>
        <w:t>5</w:t>
      </w:r>
      <w:r>
        <w:rPr>
          <w:rFonts w:hint="eastAsia" w:ascii="仿宋_GB2312" w:hAnsi="仿宋_GB2312" w:eastAsia="仿宋_GB2312" w:cs="仿宋_GB2312"/>
          <w:color w:val="000000"/>
          <w:sz w:val="24"/>
          <w:szCs w:val="24"/>
          <w:highlight w:val="none"/>
        </w:rPr>
        <w:t>该产品的关键工序要求实施前，“关键工序”栏可不填，下同。</w:t>
      </w:r>
    </w:p>
    <w:p w14:paraId="049891D8">
      <w:pPr>
        <w:pStyle w:val="4"/>
        <w:adjustRightInd w:val="0"/>
        <w:snapToGrid w:val="0"/>
        <w:spacing w:before="0" w:after="0" w:line="240" w:lineRule="auto"/>
        <w:jc w:val="left"/>
        <w:rPr>
          <w:rFonts w:hint="default" w:ascii="Times New Roman" w:hAnsi="Times New Roman" w:eastAsia="仿宋" w:cs="仿宋"/>
          <w:color w:val="000000"/>
          <w:szCs w:val="28"/>
          <w:highlight w:val="none"/>
          <w:lang w:val="en-US" w:eastAsia="zh-CN"/>
        </w:rPr>
      </w:pPr>
      <w:r>
        <w:rPr>
          <w:rFonts w:hint="eastAsia" w:ascii="仿宋_GB2312" w:hAnsi="仿宋_GB2312" w:eastAsia="仿宋_GB2312" w:cs="仿宋_GB2312"/>
          <w:color w:val="000000"/>
          <w:sz w:val="24"/>
          <w:szCs w:val="24"/>
          <w:highlight w:val="none"/>
        </w:rPr>
        <w:br w:type="page"/>
      </w:r>
      <w:r>
        <w:rPr>
          <w:rFonts w:hint="eastAsia" w:ascii="Times New Roman" w:hAnsi="Times New Roman" w:eastAsia="仿宋" w:cs="仿宋"/>
          <w:color w:val="000000"/>
          <w:szCs w:val="28"/>
          <w:highlight w:val="none"/>
        </w:rPr>
        <w:t>格式</w:t>
      </w:r>
      <w:r>
        <w:rPr>
          <w:rFonts w:hint="eastAsia" w:ascii="Times New Roman" w:hAnsi="Times New Roman" w:cs="仿宋"/>
          <w:color w:val="000000"/>
          <w:szCs w:val="28"/>
          <w:highlight w:val="none"/>
          <w:lang w:val="en-US" w:eastAsia="zh-CN"/>
        </w:rPr>
        <w:t>19</w:t>
      </w:r>
    </w:p>
    <w:p w14:paraId="762042B2">
      <w:pPr>
        <w:adjustRightInd w:val="0"/>
        <w:snapToGrid w:val="0"/>
        <w:spacing w:line="360" w:lineRule="auto"/>
        <w:ind w:right="105" w:rightChars="50" w:firstLine="476" w:firstLineChars="227"/>
        <w:jc w:val="left"/>
        <w:rPr>
          <w:rFonts w:hint="eastAsia" w:ascii="Times New Roman" w:hAnsi="Times New Roman" w:eastAsia="仿宋" w:cs="仿宋"/>
          <w:color w:val="000000"/>
          <w:szCs w:val="21"/>
          <w:highlight w:val="none"/>
        </w:rPr>
      </w:pPr>
    </w:p>
    <w:p w14:paraId="135357A3">
      <w:pPr>
        <w:adjustRightInd w:val="0"/>
        <w:snapToGrid w:val="0"/>
        <w:spacing w:before="312" w:beforeLines="100" w:after="312" w:afterLines="100" w:line="360" w:lineRule="auto"/>
        <w:ind w:right="105" w:rightChars="50"/>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关于本国产品比例的声明函</w:t>
      </w:r>
    </w:p>
    <w:p w14:paraId="5227BB28">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p>
    <w:p w14:paraId="572766E9">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w:t>
      </w:r>
    </w:p>
    <w:p w14:paraId="1E82A079">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本公司（单位）对上述声明内容的真实性负责。如有虚假，愿承担相应法律责任。</w:t>
      </w:r>
    </w:p>
    <w:p w14:paraId="2CC271AB">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p>
    <w:p w14:paraId="568C4D21">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p>
    <w:p w14:paraId="1D183AFB">
      <w:pPr>
        <w:pStyle w:val="34"/>
        <w:rPr>
          <w:rFonts w:hint="eastAsia" w:ascii="仿宋_GB2312" w:hAnsi="仿宋_GB2312" w:eastAsia="仿宋_GB2312" w:cs="仿宋_GB2312"/>
          <w:color w:val="000000"/>
          <w:sz w:val="24"/>
          <w:szCs w:val="24"/>
          <w:highlight w:val="none"/>
        </w:rPr>
      </w:pPr>
    </w:p>
    <w:p w14:paraId="0FA16494">
      <w:pPr>
        <w:adjustRightInd w:val="0"/>
        <w:snapToGrid w:val="0"/>
        <w:spacing w:line="360" w:lineRule="auto"/>
        <w:ind w:right="105" w:rightChars="50"/>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公司（单位）名称（盖章）：　</w:t>
      </w:r>
    </w:p>
    <w:p w14:paraId="73E43B1F">
      <w:pPr>
        <w:adjustRightInd w:val="0"/>
        <w:snapToGrid w:val="0"/>
        <w:spacing w:line="360" w:lineRule="auto"/>
        <w:ind w:right="105" w:rightChars="50"/>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日期：　年　月　日</w:t>
      </w:r>
    </w:p>
    <w:p w14:paraId="1D84B971">
      <w:pPr>
        <w:pStyle w:val="34"/>
        <w:rPr>
          <w:rFonts w:hint="eastAsia" w:ascii="Times New Roman" w:hAnsi="Times New Roman" w:eastAsia="仿宋" w:cs="仿宋"/>
          <w:color w:val="000000"/>
          <w:highlight w:val="none"/>
        </w:rPr>
      </w:pPr>
    </w:p>
    <w:p w14:paraId="64E3FA62">
      <w:pPr>
        <w:pStyle w:val="4"/>
        <w:adjustRightInd w:val="0"/>
        <w:snapToGrid w:val="0"/>
        <w:spacing w:before="0" w:after="0" w:line="240" w:lineRule="auto"/>
        <w:jc w:val="left"/>
        <w:rPr>
          <w:rFonts w:hint="default" w:ascii="Times New Roman" w:hAnsi="Times New Roman" w:cs="仿宋"/>
          <w:color w:val="000000"/>
          <w:szCs w:val="28"/>
          <w:highlight w:val="none"/>
          <w:lang w:val="en-US" w:eastAsia="zh-CN"/>
        </w:rPr>
      </w:pPr>
      <w:r>
        <w:rPr>
          <w:rFonts w:hint="eastAsia" w:ascii="Times New Roman" w:hAnsi="Times New Roman" w:eastAsia="仿宋" w:cs="仿宋"/>
          <w:color w:val="000000"/>
          <w:szCs w:val="28"/>
          <w:highlight w:val="none"/>
        </w:rPr>
        <w:br w:type="page"/>
      </w:r>
      <w:r>
        <w:rPr>
          <w:rFonts w:hint="eastAsia" w:ascii="Times New Roman" w:hAnsi="Times New Roman" w:eastAsia="仿宋" w:cs="仿宋"/>
          <w:b/>
          <w:color w:val="000000"/>
          <w:szCs w:val="28"/>
          <w:highlight w:val="none"/>
        </w:rPr>
        <w:t>格式</w:t>
      </w:r>
      <w:r>
        <w:rPr>
          <w:rFonts w:hint="eastAsia" w:ascii="Times New Roman" w:hAnsi="Times New Roman" w:cs="仿宋"/>
          <w:b/>
          <w:color w:val="000000"/>
          <w:szCs w:val="28"/>
          <w:highlight w:val="none"/>
          <w:lang w:val="en-US" w:eastAsia="zh-CN"/>
        </w:rPr>
        <w:t>20</w:t>
      </w:r>
    </w:p>
    <w:p w14:paraId="747E182D">
      <w:pPr>
        <w:spacing w:line="360" w:lineRule="auto"/>
        <w:jc w:val="center"/>
        <w:rPr>
          <w:rFonts w:hint="eastAsia" w:ascii="仿宋_GB2312" w:hAnsi="仿宋_GB2312" w:eastAsia="仿宋_GB2312" w:cs="仿宋_GB2312"/>
          <w:b/>
          <w:color w:val="auto"/>
          <w:kern w:val="0"/>
          <w:sz w:val="36"/>
          <w:szCs w:val="36"/>
          <w:highlight w:val="none"/>
        </w:rPr>
      </w:pPr>
      <w:r>
        <w:rPr>
          <w:rFonts w:hint="eastAsia" w:ascii="仿宋_GB2312" w:hAnsi="仿宋_GB2312" w:eastAsia="仿宋_GB2312" w:cs="仿宋_GB2312"/>
          <w:b/>
          <w:color w:val="auto"/>
          <w:kern w:val="0"/>
          <w:sz w:val="36"/>
          <w:szCs w:val="36"/>
          <w:highlight w:val="none"/>
        </w:rPr>
        <w:t>政府采购节能产品、环境标志产品声明函</w:t>
      </w:r>
    </w:p>
    <w:p w14:paraId="17C21111">
      <w:pPr>
        <w:spacing w:before="156" w:beforeLines="50" w:line="360" w:lineRule="auto"/>
        <w:ind w:firstLine="480" w:firstLineChars="200"/>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本单位承诺，本次参加的_________________________采购项目（项目编号：____________），所投的下列产品属于《政府采购节能产品、环境标志产品品目清单》内的产品，并且具有法定认证资格的认证机构出具的认证证明，符合优先采购/强制采购政策。本单位对以下填列的各项信息以及相关产品认证证明的真实性负责。如有虚假，将依法承担相应责任。</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8"/>
        <w:gridCol w:w="761"/>
        <w:gridCol w:w="762"/>
        <w:gridCol w:w="762"/>
        <w:gridCol w:w="1444"/>
        <w:gridCol w:w="762"/>
        <w:gridCol w:w="762"/>
        <w:gridCol w:w="489"/>
        <w:gridCol w:w="489"/>
        <w:gridCol w:w="762"/>
        <w:gridCol w:w="1035"/>
      </w:tblGrid>
      <w:tr w14:paraId="5C370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 w:type="pct"/>
            <w:noWrap/>
            <w:vAlign w:val="top"/>
          </w:tcPr>
          <w:p w14:paraId="79A11504">
            <w:pPr>
              <w:jc w:val="center"/>
              <w:rPr>
                <w:rFonts w:hint="eastAsia" w:ascii="仿宋_GB2312" w:hAnsi="仿宋_GB2312" w:eastAsia="仿宋_GB2312" w:cs="仿宋_GB2312"/>
                <w:color w:val="auto"/>
                <w:kern w:val="0"/>
                <w:sz w:val="22"/>
                <w:szCs w:val="22"/>
                <w:highlight w:val="none"/>
              </w:rPr>
            </w:pPr>
            <w:r>
              <w:rPr>
                <w:rFonts w:hint="eastAsia" w:ascii="仿宋_GB2312" w:hAnsi="仿宋_GB2312" w:eastAsia="仿宋_GB2312" w:cs="仿宋_GB2312"/>
                <w:color w:val="auto"/>
                <w:kern w:val="0"/>
                <w:sz w:val="22"/>
                <w:szCs w:val="22"/>
                <w:highlight w:val="none"/>
              </w:rPr>
              <w:t>序号</w:t>
            </w:r>
          </w:p>
        </w:tc>
        <w:tc>
          <w:tcPr>
            <w:tcW w:w="470" w:type="pct"/>
            <w:noWrap/>
            <w:vAlign w:val="top"/>
          </w:tcPr>
          <w:p w14:paraId="29E2E171">
            <w:pPr>
              <w:jc w:val="center"/>
              <w:rPr>
                <w:rFonts w:hint="eastAsia" w:ascii="仿宋_GB2312" w:hAnsi="仿宋_GB2312" w:eastAsia="仿宋_GB2312" w:cs="仿宋_GB2312"/>
                <w:color w:val="auto"/>
                <w:kern w:val="0"/>
                <w:sz w:val="22"/>
                <w:szCs w:val="22"/>
                <w:highlight w:val="none"/>
              </w:rPr>
            </w:pPr>
            <w:r>
              <w:rPr>
                <w:rFonts w:hint="eastAsia" w:ascii="仿宋_GB2312" w:hAnsi="仿宋_GB2312" w:eastAsia="仿宋_GB2312" w:cs="仿宋_GB2312"/>
                <w:color w:val="auto"/>
                <w:kern w:val="0"/>
                <w:sz w:val="22"/>
                <w:szCs w:val="22"/>
                <w:highlight w:val="none"/>
              </w:rPr>
              <w:t>所投产品</w:t>
            </w:r>
          </w:p>
        </w:tc>
        <w:tc>
          <w:tcPr>
            <w:tcW w:w="469" w:type="pct"/>
            <w:noWrap/>
            <w:vAlign w:val="top"/>
          </w:tcPr>
          <w:p w14:paraId="65063973">
            <w:pPr>
              <w:jc w:val="center"/>
              <w:rPr>
                <w:rFonts w:hint="eastAsia" w:ascii="仿宋_GB2312" w:hAnsi="仿宋_GB2312" w:eastAsia="仿宋_GB2312" w:cs="仿宋_GB2312"/>
                <w:color w:val="auto"/>
                <w:kern w:val="0"/>
                <w:sz w:val="22"/>
                <w:szCs w:val="22"/>
                <w:highlight w:val="none"/>
              </w:rPr>
            </w:pPr>
            <w:r>
              <w:rPr>
                <w:rFonts w:hint="eastAsia" w:ascii="仿宋_GB2312" w:hAnsi="仿宋_GB2312" w:eastAsia="仿宋_GB2312" w:cs="仿宋_GB2312"/>
                <w:color w:val="auto"/>
                <w:kern w:val="0"/>
                <w:sz w:val="22"/>
                <w:szCs w:val="22"/>
                <w:highlight w:val="none"/>
              </w:rPr>
              <w:t>产品属性</w:t>
            </w:r>
          </w:p>
        </w:tc>
        <w:tc>
          <w:tcPr>
            <w:tcW w:w="506" w:type="pct"/>
            <w:noWrap/>
            <w:vAlign w:val="top"/>
          </w:tcPr>
          <w:p w14:paraId="5C134250">
            <w:pPr>
              <w:jc w:val="center"/>
              <w:rPr>
                <w:rFonts w:hint="eastAsia" w:ascii="仿宋_GB2312" w:hAnsi="仿宋_GB2312" w:eastAsia="仿宋_GB2312" w:cs="仿宋_GB2312"/>
                <w:color w:val="auto"/>
                <w:kern w:val="0"/>
                <w:sz w:val="22"/>
                <w:szCs w:val="22"/>
                <w:highlight w:val="none"/>
              </w:rPr>
            </w:pPr>
            <w:r>
              <w:rPr>
                <w:rFonts w:hint="eastAsia" w:ascii="仿宋_GB2312" w:hAnsi="仿宋_GB2312" w:eastAsia="仿宋_GB2312" w:cs="仿宋_GB2312"/>
                <w:color w:val="auto"/>
                <w:kern w:val="0"/>
                <w:sz w:val="22"/>
                <w:szCs w:val="22"/>
                <w:highlight w:val="none"/>
              </w:rPr>
              <w:t>产品类别</w:t>
            </w:r>
          </w:p>
        </w:tc>
        <w:tc>
          <w:tcPr>
            <w:tcW w:w="805" w:type="pct"/>
            <w:noWrap/>
            <w:vAlign w:val="top"/>
          </w:tcPr>
          <w:p w14:paraId="13EFDB97">
            <w:pPr>
              <w:jc w:val="center"/>
              <w:rPr>
                <w:rFonts w:hint="eastAsia" w:ascii="仿宋_GB2312" w:hAnsi="仿宋_GB2312" w:eastAsia="仿宋_GB2312" w:cs="仿宋_GB2312"/>
                <w:color w:val="auto"/>
                <w:kern w:val="0"/>
                <w:sz w:val="22"/>
                <w:szCs w:val="22"/>
                <w:highlight w:val="none"/>
              </w:rPr>
            </w:pPr>
            <w:r>
              <w:rPr>
                <w:rFonts w:hint="eastAsia" w:ascii="仿宋_GB2312" w:hAnsi="仿宋_GB2312" w:eastAsia="仿宋_GB2312" w:cs="仿宋_GB2312"/>
                <w:color w:val="auto"/>
                <w:kern w:val="0"/>
                <w:sz w:val="22"/>
                <w:szCs w:val="22"/>
                <w:highlight w:val="none"/>
              </w:rPr>
              <w:t>是否为强制采购产品</w:t>
            </w:r>
          </w:p>
        </w:tc>
        <w:tc>
          <w:tcPr>
            <w:tcW w:w="403" w:type="pct"/>
            <w:noWrap/>
            <w:vAlign w:val="top"/>
          </w:tcPr>
          <w:p w14:paraId="09C42D84">
            <w:pPr>
              <w:jc w:val="center"/>
              <w:rPr>
                <w:rFonts w:hint="eastAsia" w:ascii="仿宋_GB2312" w:hAnsi="仿宋_GB2312" w:eastAsia="仿宋_GB2312" w:cs="仿宋_GB2312"/>
                <w:color w:val="auto"/>
                <w:kern w:val="0"/>
                <w:sz w:val="22"/>
                <w:szCs w:val="22"/>
                <w:highlight w:val="none"/>
              </w:rPr>
            </w:pPr>
            <w:r>
              <w:rPr>
                <w:rFonts w:hint="eastAsia" w:ascii="仿宋_GB2312" w:hAnsi="仿宋_GB2312" w:eastAsia="仿宋_GB2312" w:cs="仿宋_GB2312"/>
                <w:color w:val="auto"/>
                <w:kern w:val="0"/>
                <w:sz w:val="22"/>
                <w:szCs w:val="22"/>
                <w:highlight w:val="none"/>
              </w:rPr>
              <w:t>规格型号</w:t>
            </w:r>
          </w:p>
        </w:tc>
        <w:tc>
          <w:tcPr>
            <w:tcW w:w="402" w:type="pct"/>
            <w:noWrap/>
            <w:vAlign w:val="top"/>
          </w:tcPr>
          <w:p w14:paraId="25513E00">
            <w:pPr>
              <w:jc w:val="center"/>
              <w:rPr>
                <w:rFonts w:hint="eastAsia" w:ascii="仿宋_GB2312" w:hAnsi="仿宋_GB2312" w:eastAsia="仿宋_GB2312" w:cs="仿宋_GB2312"/>
                <w:color w:val="auto"/>
                <w:kern w:val="0"/>
                <w:sz w:val="22"/>
                <w:szCs w:val="22"/>
                <w:highlight w:val="none"/>
              </w:rPr>
            </w:pPr>
            <w:r>
              <w:rPr>
                <w:rFonts w:hint="eastAsia" w:ascii="仿宋_GB2312" w:hAnsi="仿宋_GB2312" w:eastAsia="仿宋_GB2312" w:cs="仿宋_GB2312"/>
                <w:color w:val="auto"/>
                <w:kern w:val="0"/>
                <w:sz w:val="22"/>
                <w:szCs w:val="22"/>
                <w:highlight w:val="none"/>
              </w:rPr>
              <w:t>计量单位</w:t>
            </w:r>
          </w:p>
        </w:tc>
        <w:tc>
          <w:tcPr>
            <w:tcW w:w="335" w:type="pct"/>
            <w:noWrap/>
            <w:vAlign w:val="top"/>
          </w:tcPr>
          <w:p w14:paraId="15A2A593">
            <w:pPr>
              <w:jc w:val="center"/>
              <w:rPr>
                <w:rFonts w:hint="eastAsia" w:ascii="仿宋_GB2312" w:hAnsi="仿宋_GB2312" w:eastAsia="仿宋_GB2312" w:cs="仿宋_GB2312"/>
                <w:color w:val="auto"/>
                <w:kern w:val="0"/>
                <w:sz w:val="22"/>
                <w:szCs w:val="22"/>
                <w:highlight w:val="none"/>
              </w:rPr>
            </w:pPr>
            <w:r>
              <w:rPr>
                <w:rFonts w:hint="eastAsia" w:ascii="仿宋_GB2312" w:hAnsi="仿宋_GB2312" w:eastAsia="仿宋_GB2312" w:cs="仿宋_GB2312"/>
                <w:color w:val="auto"/>
                <w:kern w:val="0"/>
                <w:sz w:val="22"/>
                <w:szCs w:val="22"/>
                <w:highlight w:val="none"/>
              </w:rPr>
              <w:t>数量</w:t>
            </w:r>
          </w:p>
        </w:tc>
        <w:tc>
          <w:tcPr>
            <w:tcW w:w="329" w:type="pct"/>
            <w:noWrap/>
            <w:vAlign w:val="top"/>
          </w:tcPr>
          <w:p w14:paraId="76F37BF0">
            <w:pPr>
              <w:jc w:val="center"/>
              <w:rPr>
                <w:rFonts w:hint="eastAsia" w:ascii="仿宋_GB2312" w:hAnsi="仿宋_GB2312" w:eastAsia="仿宋_GB2312" w:cs="仿宋_GB2312"/>
                <w:color w:val="auto"/>
                <w:kern w:val="0"/>
                <w:sz w:val="22"/>
                <w:szCs w:val="22"/>
                <w:highlight w:val="none"/>
              </w:rPr>
            </w:pPr>
            <w:r>
              <w:rPr>
                <w:rFonts w:hint="eastAsia" w:ascii="仿宋_GB2312" w:hAnsi="仿宋_GB2312" w:eastAsia="仿宋_GB2312" w:cs="仿宋_GB2312"/>
                <w:color w:val="auto"/>
                <w:kern w:val="0"/>
                <w:sz w:val="22"/>
                <w:szCs w:val="22"/>
                <w:highlight w:val="none"/>
              </w:rPr>
              <w:t>单价</w:t>
            </w:r>
          </w:p>
        </w:tc>
        <w:tc>
          <w:tcPr>
            <w:tcW w:w="454" w:type="pct"/>
            <w:noWrap/>
            <w:vAlign w:val="top"/>
          </w:tcPr>
          <w:p w14:paraId="4242E793">
            <w:pPr>
              <w:jc w:val="center"/>
              <w:rPr>
                <w:rFonts w:hint="eastAsia" w:ascii="仿宋_GB2312" w:hAnsi="仿宋_GB2312" w:eastAsia="仿宋_GB2312" w:cs="仿宋_GB2312"/>
                <w:color w:val="auto"/>
                <w:kern w:val="0"/>
                <w:sz w:val="22"/>
                <w:szCs w:val="22"/>
                <w:highlight w:val="none"/>
              </w:rPr>
            </w:pPr>
            <w:r>
              <w:rPr>
                <w:rFonts w:hint="eastAsia" w:ascii="仿宋_GB2312" w:hAnsi="仿宋_GB2312" w:eastAsia="仿宋_GB2312" w:cs="仿宋_GB2312"/>
                <w:color w:val="auto"/>
                <w:kern w:val="0"/>
                <w:sz w:val="22"/>
                <w:szCs w:val="22"/>
                <w:highlight w:val="none"/>
              </w:rPr>
              <w:t>金额合计</w:t>
            </w:r>
          </w:p>
        </w:tc>
        <w:tc>
          <w:tcPr>
            <w:tcW w:w="560" w:type="pct"/>
            <w:noWrap/>
            <w:vAlign w:val="top"/>
          </w:tcPr>
          <w:p w14:paraId="12097865">
            <w:pPr>
              <w:jc w:val="center"/>
              <w:rPr>
                <w:rFonts w:hint="eastAsia" w:ascii="仿宋_GB2312" w:hAnsi="仿宋_GB2312" w:eastAsia="仿宋_GB2312" w:cs="仿宋_GB2312"/>
                <w:color w:val="auto"/>
                <w:kern w:val="0"/>
                <w:sz w:val="22"/>
                <w:szCs w:val="22"/>
                <w:highlight w:val="none"/>
              </w:rPr>
            </w:pPr>
            <w:r>
              <w:rPr>
                <w:rFonts w:hint="eastAsia" w:ascii="仿宋_GB2312" w:hAnsi="仿宋_GB2312" w:eastAsia="仿宋_GB2312" w:cs="仿宋_GB2312"/>
                <w:color w:val="auto"/>
                <w:kern w:val="0"/>
                <w:sz w:val="22"/>
                <w:szCs w:val="22"/>
                <w:highlight w:val="none"/>
              </w:rPr>
              <w:t>认证证书编号</w:t>
            </w:r>
          </w:p>
        </w:tc>
      </w:tr>
      <w:tr w14:paraId="77791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 w:type="pct"/>
            <w:noWrap/>
            <w:vAlign w:val="top"/>
          </w:tcPr>
          <w:p w14:paraId="36714181">
            <w:pPr>
              <w:spacing w:line="360" w:lineRule="auto"/>
              <w:rPr>
                <w:rFonts w:hint="eastAsia" w:ascii="仿宋_GB2312" w:hAnsi="仿宋_GB2312" w:eastAsia="仿宋_GB2312" w:cs="仿宋_GB2312"/>
                <w:color w:val="auto"/>
                <w:kern w:val="0"/>
                <w:sz w:val="24"/>
                <w:highlight w:val="none"/>
              </w:rPr>
            </w:pPr>
          </w:p>
        </w:tc>
        <w:tc>
          <w:tcPr>
            <w:tcW w:w="470" w:type="pct"/>
            <w:noWrap/>
            <w:vAlign w:val="top"/>
          </w:tcPr>
          <w:p w14:paraId="50490476">
            <w:pPr>
              <w:spacing w:line="360" w:lineRule="auto"/>
              <w:rPr>
                <w:rFonts w:hint="eastAsia" w:ascii="仿宋_GB2312" w:hAnsi="仿宋_GB2312" w:eastAsia="仿宋_GB2312" w:cs="仿宋_GB2312"/>
                <w:color w:val="auto"/>
                <w:kern w:val="0"/>
                <w:sz w:val="24"/>
                <w:highlight w:val="none"/>
              </w:rPr>
            </w:pPr>
          </w:p>
        </w:tc>
        <w:tc>
          <w:tcPr>
            <w:tcW w:w="469" w:type="pct"/>
            <w:noWrap/>
            <w:vAlign w:val="top"/>
          </w:tcPr>
          <w:p w14:paraId="30308A79">
            <w:pPr>
              <w:spacing w:line="360" w:lineRule="auto"/>
              <w:rPr>
                <w:rFonts w:hint="eastAsia" w:ascii="仿宋_GB2312" w:hAnsi="仿宋_GB2312" w:eastAsia="仿宋_GB2312" w:cs="仿宋_GB2312"/>
                <w:color w:val="auto"/>
                <w:kern w:val="0"/>
                <w:sz w:val="24"/>
                <w:highlight w:val="none"/>
              </w:rPr>
            </w:pPr>
          </w:p>
        </w:tc>
        <w:tc>
          <w:tcPr>
            <w:tcW w:w="506" w:type="pct"/>
            <w:noWrap/>
            <w:vAlign w:val="top"/>
          </w:tcPr>
          <w:p w14:paraId="13B9CD8A">
            <w:pPr>
              <w:spacing w:line="360" w:lineRule="auto"/>
              <w:rPr>
                <w:rFonts w:hint="eastAsia" w:ascii="仿宋_GB2312" w:hAnsi="仿宋_GB2312" w:eastAsia="仿宋_GB2312" w:cs="仿宋_GB2312"/>
                <w:color w:val="auto"/>
                <w:kern w:val="0"/>
                <w:sz w:val="24"/>
                <w:highlight w:val="none"/>
              </w:rPr>
            </w:pPr>
          </w:p>
        </w:tc>
        <w:tc>
          <w:tcPr>
            <w:tcW w:w="805" w:type="pct"/>
            <w:noWrap/>
            <w:vAlign w:val="top"/>
          </w:tcPr>
          <w:p w14:paraId="470DB224">
            <w:pPr>
              <w:spacing w:line="360" w:lineRule="auto"/>
              <w:rPr>
                <w:rFonts w:hint="eastAsia" w:ascii="仿宋_GB2312" w:hAnsi="仿宋_GB2312" w:eastAsia="仿宋_GB2312" w:cs="仿宋_GB2312"/>
                <w:color w:val="auto"/>
                <w:kern w:val="0"/>
                <w:sz w:val="24"/>
                <w:highlight w:val="none"/>
              </w:rPr>
            </w:pPr>
          </w:p>
        </w:tc>
        <w:tc>
          <w:tcPr>
            <w:tcW w:w="403" w:type="pct"/>
            <w:noWrap/>
            <w:vAlign w:val="top"/>
          </w:tcPr>
          <w:p w14:paraId="19AD6C0B">
            <w:pPr>
              <w:spacing w:line="360" w:lineRule="auto"/>
              <w:rPr>
                <w:rFonts w:hint="eastAsia" w:ascii="仿宋_GB2312" w:hAnsi="仿宋_GB2312" w:eastAsia="仿宋_GB2312" w:cs="仿宋_GB2312"/>
                <w:color w:val="auto"/>
                <w:kern w:val="0"/>
                <w:sz w:val="24"/>
                <w:highlight w:val="none"/>
              </w:rPr>
            </w:pPr>
          </w:p>
        </w:tc>
        <w:tc>
          <w:tcPr>
            <w:tcW w:w="402" w:type="pct"/>
            <w:noWrap/>
            <w:vAlign w:val="top"/>
          </w:tcPr>
          <w:p w14:paraId="79E575D5">
            <w:pPr>
              <w:spacing w:line="360" w:lineRule="auto"/>
              <w:rPr>
                <w:rFonts w:hint="eastAsia" w:ascii="仿宋_GB2312" w:hAnsi="仿宋_GB2312" w:eastAsia="仿宋_GB2312" w:cs="仿宋_GB2312"/>
                <w:color w:val="auto"/>
                <w:kern w:val="0"/>
                <w:sz w:val="24"/>
                <w:highlight w:val="none"/>
              </w:rPr>
            </w:pPr>
          </w:p>
        </w:tc>
        <w:tc>
          <w:tcPr>
            <w:tcW w:w="335" w:type="pct"/>
            <w:noWrap/>
            <w:vAlign w:val="top"/>
          </w:tcPr>
          <w:p w14:paraId="7C729760">
            <w:pPr>
              <w:spacing w:line="360" w:lineRule="auto"/>
              <w:rPr>
                <w:rFonts w:hint="eastAsia" w:ascii="仿宋_GB2312" w:hAnsi="仿宋_GB2312" w:eastAsia="仿宋_GB2312" w:cs="仿宋_GB2312"/>
                <w:color w:val="auto"/>
                <w:kern w:val="0"/>
                <w:sz w:val="24"/>
                <w:highlight w:val="none"/>
              </w:rPr>
            </w:pPr>
          </w:p>
        </w:tc>
        <w:tc>
          <w:tcPr>
            <w:tcW w:w="329" w:type="pct"/>
            <w:noWrap/>
            <w:vAlign w:val="top"/>
          </w:tcPr>
          <w:p w14:paraId="2EE17147">
            <w:pPr>
              <w:spacing w:line="360" w:lineRule="auto"/>
              <w:rPr>
                <w:rFonts w:hint="eastAsia" w:ascii="仿宋_GB2312" w:hAnsi="仿宋_GB2312" w:eastAsia="仿宋_GB2312" w:cs="仿宋_GB2312"/>
                <w:color w:val="auto"/>
                <w:kern w:val="0"/>
                <w:sz w:val="24"/>
                <w:highlight w:val="none"/>
              </w:rPr>
            </w:pPr>
          </w:p>
        </w:tc>
        <w:tc>
          <w:tcPr>
            <w:tcW w:w="454" w:type="pct"/>
            <w:noWrap/>
            <w:vAlign w:val="top"/>
          </w:tcPr>
          <w:p w14:paraId="3B129E6E">
            <w:pPr>
              <w:spacing w:line="360" w:lineRule="auto"/>
              <w:rPr>
                <w:rFonts w:hint="eastAsia" w:ascii="仿宋_GB2312" w:hAnsi="仿宋_GB2312" w:eastAsia="仿宋_GB2312" w:cs="仿宋_GB2312"/>
                <w:color w:val="auto"/>
                <w:kern w:val="0"/>
                <w:sz w:val="24"/>
                <w:highlight w:val="none"/>
              </w:rPr>
            </w:pPr>
          </w:p>
        </w:tc>
        <w:tc>
          <w:tcPr>
            <w:tcW w:w="560" w:type="pct"/>
            <w:noWrap/>
            <w:vAlign w:val="top"/>
          </w:tcPr>
          <w:p w14:paraId="75F74970">
            <w:pPr>
              <w:spacing w:line="360" w:lineRule="auto"/>
              <w:rPr>
                <w:rFonts w:hint="eastAsia" w:ascii="仿宋_GB2312" w:hAnsi="仿宋_GB2312" w:eastAsia="仿宋_GB2312" w:cs="仿宋_GB2312"/>
                <w:color w:val="auto"/>
                <w:kern w:val="0"/>
                <w:sz w:val="24"/>
                <w:highlight w:val="none"/>
              </w:rPr>
            </w:pPr>
          </w:p>
        </w:tc>
      </w:tr>
      <w:tr w14:paraId="7A31D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6" w:type="pct"/>
            <w:noWrap/>
            <w:vAlign w:val="top"/>
          </w:tcPr>
          <w:p w14:paraId="2A9890F9">
            <w:pPr>
              <w:spacing w:line="360" w:lineRule="auto"/>
              <w:rPr>
                <w:rFonts w:hint="eastAsia" w:ascii="仿宋_GB2312" w:hAnsi="仿宋_GB2312" w:eastAsia="仿宋_GB2312" w:cs="仿宋_GB2312"/>
                <w:color w:val="auto"/>
                <w:kern w:val="0"/>
                <w:sz w:val="24"/>
                <w:highlight w:val="none"/>
              </w:rPr>
            </w:pPr>
          </w:p>
        </w:tc>
        <w:tc>
          <w:tcPr>
            <w:tcW w:w="470" w:type="pct"/>
            <w:noWrap/>
            <w:vAlign w:val="top"/>
          </w:tcPr>
          <w:p w14:paraId="26245F51">
            <w:pPr>
              <w:spacing w:line="360" w:lineRule="auto"/>
              <w:rPr>
                <w:rFonts w:hint="eastAsia" w:ascii="仿宋_GB2312" w:hAnsi="仿宋_GB2312" w:eastAsia="仿宋_GB2312" w:cs="仿宋_GB2312"/>
                <w:color w:val="auto"/>
                <w:kern w:val="0"/>
                <w:sz w:val="24"/>
                <w:highlight w:val="none"/>
              </w:rPr>
            </w:pPr>
          </w:p>
        </w:tc>
        <w:tc>
          <w:tcPr>
            <w:tcW w:w="469" w:type="pct"/>
            <w:noWrap/>
            <w:vAlign w:val="top"/>
          </w:tcPr>
          <w:p w14:paraId="6979C1E2">
            <w:pPr>
              <w:spacing w:line="360" w:lineRule="auto"/>
              <w:rPr>
                <w:rFonts w:hint="eastAsia" w:ascii="仿宋_GB2312" w:hAnsi="仿宋_GB2312" w:eastAsia="仿宋_GB2312" w:cs="仿宋_GB2312"/>
                <w:color w:val="auto"/>
                <w:kern w:val="0"/>
                <w:sz w:val="24"/>
                <w:highlight w:val="none"/>
              </w:rPr>
            </w:pPr>
          </w:p>
        </w:tc>
        <w:tc>
          <w:tcPr>
            <w:tcW w:w="506" w:type="pct"/>
            <w:noWrap/>
            <w:vAlign w:val="top"/>
          </w:tcPr>
          <w:p w14:paraId="4469B59B">
            <w:pPr>
              <w:spacing w:line="360" w:lineRule="auto"/>
              <w:rPr>
                <w:rFonts w:hint="eastAsia" w:ascii="仿宋_GB2312" w:hAnsi="仿宋_GB2312" w:eastAsia="仿宋_GB2312" w:cs="仿宋_GB2312"/>
                <w:color w:val="auto"/>
                <w:kern w:val="0"/>
                <w:sz w:val="24"/>
                <w:highlight w:val="none"/>
              </w:rPr>
            </w:pPr>
          </w:p>
        </w:tc>
        <w:tc>
          <w:tcPr>
            <w:tcW w:w="805" w:type="pct"/>
            <w:noWrap/>
            <w:vAlign w:val="top"/>
          </w:tcPr>
          <w:p w14:paraId="005EA122">
            <w:pPr>
              <w:spacing w:line="360" w:lineRule="auto"/>
              <w:rPr>
                <w:rFonts w:hint="eastAsia" w:ascii="仿宋_GB2312" w:hAnsi="仿宋_GB2312" w:eastAsia="仿宋_GB2312" w:cs="仿宋_GB2312"/>
                <w:color w:val="auto"/>
                <w:kern w:val="0"/>
                <w:sz w:val="24"/>
                <w:highlight w:val="none"/>
              </w:rPr>
            </w:pPr>
          </w:p>
        </w:tc>
        <w:tc>
          <w:tcPr>
            <w:tcW w:w="403" w:type="pct"/>
            <w:noWrap/>
            <w:vAlign w:val="top"/>
          </w:tcPr>
          <w:p w14:paraId="4CA65F8F">
            <w:pPr>
              <w:spacing w:line="360" w:lineRule="auto"/>
              <w:rPr>
                <w:rFonts w:hint="eastAsia" w:ascii="仿宋_GB2312" w:hAnsi="仿宋_GB2312" w:eastAsia="仿宋_GB2312" w:cs="仿宋_GB2312"/>
                <w:color w:val="auto"/>
                <w:kern w:val="0"/>
                <w:sz w:val="24"/>
                <w:highlight w:val="none"/>
              </w:rPr>
            </w:pPr>
          </w:p>
        </w:tc>
        <w:tc>
          <w:tcPr>
            <w:tcW w:w="402" w:type="pct"/>
            <w:noWrap/>
            <w:vAlign w:val="top"/>
          </w:tcPr>
          <w:p w14:paraId="0A7FF516">
            <w:pPr>
              <w:spacing w:line="360" w:lineRule="auto"/>
              <w:rPr>
                <w:rFonts w:hint="eastAsia" w:ascii="仿宋_GB2312" w:hAnsi="仿宋_GB2312" w:eastAsia="仿宋_GB2312" w:cs="仿宋_GB2312"/>
                <w:color w:val="auto"/>
                <w:kern w:val="0"/>
                <w:sz w:val="24"/>
                <w:highlight w:val="none"/>
              </w:rPr>
            </w:pPr>
          </w:p>
        </w:tc>
        <w:tc>
          <w:tcPr>
            <w:tcW w:w="335" w:type="pct"/>
            <w:noWrap/>
            <w:vAlign w:val="top"/>
          </w:tcPr>
          <w:p w14:paraId="3A9A4DFB">
            <w:pPr>
              <w:spacing w:line="360" w:lineRule="auto"/>
              <w:rPr>
                <w:rFonts w:hint="eastAsia" w:ascii="仿宋_GB2312" w:hAnsi="仿宋_GB2312" w:eastAsia="仿宋_GB2312" w:cs="仿宋_GB2312"/>
                <w:color w:val="auto"/>
                <w:kern w:val="0"/>
                <w:sz w:val="24"/>
                <w:highlight w:val="none"/>
              </w:rPr>
            </w:pPr>
          </w:p>
        </w:tc>
        <w:tc>
          <w:tcPr>
            <w:tcW w:w="329" w:type="pct"/>
            <w:noWrap/>
            <w:vAlign w:val="top"/>
          </w:tcPr>
          <w:p w14:paraId="3A0F2243">
            <w:pPr>
              <w:spacing w:line="360" w:lineRule="auto"/>
              <w:rPr>
                <w:rFonts w:hint="eastAsia" w:ascii="仿宋_GB2312" w:hAnsi="仿宋_GB2312" w:eastAsia="仿宋_GB2312" w:cs="仿宋_GB2312"/>
                <w:color w:val="auto"/>
                <w:kern w:val="0"/>
                <w:sz w:val="24"/>
                <w:highlight w:val="none"/>
              </w:rPr>
            </w:pPr>
          </w:p>
        </w:tc>
        <w:tc>
          <w:tcPr>
            <w:tcW w:w="454" w:type="pct"/>
            <w:noWrap/>
            <w:vAlign w:val="top"/>
          </w:tcPr>
          <w:p w14:paraId="2E74CC0B">
            <w:pPr>
              <w:spacing w:line="360" w:lineRule="auto"/>
              <w:rPr>
                <w:rFonts w:hint="eastAsia" w:ascii="仿宋_GB2312" w:hAnsi="仿宋_GB2312" w:eastAsia="仿宋_GB2312" w:cs="仿宋_GB2312"/>
                <w:color w:val="auto"/>
                <w:kern w:val="0"/>
                <w:sz w:val="24"/>
                <w:highlight w:val="none"/>
              </w:rPr>
            </w:pPr>
          </w:p>
        </w:tc>
        <w:tc>
          <w:tcPr>
            <w:tcW w:w="560" w:type="pct"/>
            <w:noWrap/>
            <w:vAlign w:val="top"/>
          </w:tcPr>
          <w:p w14:paraId="0FA921A6">
            <w:pPr>
              <w:spacing w:line="360" w:lineRule="auto"/>
              <w:rPr>
                <w:rFonts w:hint="eastAsia" w:ascii="仿宋_GB2312" w:hAnsi="仿宋_GB2312" w:eastAsia="仿宋_GB2312" w:cs="仿宋_GB2312"/>
                <w:color w:val="auto"/>
                <w:kern w:val="0"/>
                <w:sz w:val="24"/>
                <w:highlight w:val="none"/>
              </w:rPr>
            </w:pPr>
          </w:p>
        </w:tc>
      </w:tr>
    </w:tbl>
    <w:p w14:paraId="66FD0076">
      <w:pPr>
        <w:widowControl/>
        <w:jc w:val="left"/>
        <w:rPr>
          <w:rFonts w:hint="eastAsia" w:ascii="仿宋_GB2312" w:hAnsi="仿宋_GB2312" w:eastAsia="仿宋_GB2312" w:cs="仿宋_GB2312"/>
          <w:b/>
          <w:color w:val="auto"/>
          <w:kern w:val="0"/>
          <w:sz w:val="24"/>
          <w:highlight w:val="none"/>
        </w:rPr>
      </w:pPr>
      <w:r>
        <w:rPr>
          <w:rFonts w:hint="eastAsia" w:ascii="仿宋_GB2312" w:hAnsi="仿宋_GB2312" w:eastAsia="仿宋_GB2312" w:cs="仿宋_GB2312"/>
          <w:b/>
          <w:bCs/>
          <w:color w:val="auto"/>
          <w:kern w:val="0"/>
          <w:sz w:val="24"/>
          <w:highlight w:val="none"/>
        </w:rPr>
        <w:t>注：</w:t>
      </w:r>
      <w:r>
        <w:rPr>
          <w:rFonts w:hint="eastAsia" w:ascii="仿宋_GB2312" w:hAnsi="仿宋_GB2312" w:eastAsia="仿宋_GB2312" w:cs="仿宋_GB2312"/>
          <w:b/>
          <w:color w:val="auto"/>
          <w:kern w:val="0"/>
          <w:sz w:val="24"/>
          <w:highlight w:val="none"/>
        </w:rPr>
        <w:t>认证证明可以是认证证书复印件或是法定信息发布平台公布的认证信息截图，认证证明应加盖供应商公章。</w:t>
      </w:r>
      <w:r>
        <w:rPr>
          <w:rFonts w:hint="eastAsia" w:ascii="仿宋_GB2312" w:hAnsi="仿宋_GB2312" w:eastAsia="仿宋_GB2312" w:cs="仿宋_GB2312"/>
          <w:b/>
          <w:bCs w:val="0"/>
          <w:color w:val="auto"/>
          <w:kern w:val="0"/>
          <w:sz w:val="24"/>
          <w:highlight w:val="none"/>
        </w:rPr>
        <w:t>本项目</w:t>
      </w:r>
      <w:r>
        <w:rPr>
          <w:rFonts w:hint="eastAsia" w:ascii="仿宋_GB2312" w:hAnsi="仿宋_GB2312" w:eastAsia="仿宋_GB2312" w:cs="仿宋_GB2312"/>
          <w:b/>
          <w:bCs w:val="0"/>
          <w:color w:val="auto"/>
          <w:kern w:val="0"/>
          <w:sz w:val="24"/>
          <w:highlight w:val="none"/>
          <w:lang w:eastAsia="zh-CN"/>
        </w:rPr>
        <w:t>台式计算机</w:t>
      </w:r>
      <w:r>
        <w:rPr>
          <w:rFonts w:hint="eastAsia" w:ascii="仿宋_GB2312" w:hAnsi="仿宋_GB2312" w:eastAsia="仿宋_GB2312" w:cs="仿宋_GB2312"/>
          <w:b/>
          <w:bCs w:val="0"/>
          <w:color w:val="auto"/>
          <w:kern w:val="0"/>
          <w:sz w:val="24"/>
          <w:highlight w:val="none"/>
        </w:rPr>
        <w:t>为强制节能采购产品。</w:t>
      </w:r>
    </w:p>
    <w:p w14:paraId="71C79040">
      <w:pPr>
        <w:widowControl/>
        <w:jc w:val="left"/>
        <w:rPr>
          <w:rFonts w:hint="eastAsia" w:ascii="仿宋_GB2312" w:hAnsi="仿宋_GB2312" w:eastAsia="仿宋_GB2312" w:cs="仿宋_GB2312"/>
          <w:color w:val="auto"/>
          <w:sz w:val="24"/>
          <w:highlight w:val="none"/>
        </w:rPr>
      </w:pPr>
    </w:p>
    <w:p w14:paraId="74F28A78">
      <w:pPr>
        <w:spacing w:line="360" w:lineRule="auto"/>
        <w:ind w:firstLine="480" w:firstLineChars="200"/>
        <w:rPr>
          <w:rFonts w:hint="eastAsia" w:ascii="仿宋_GB2312" w:hAnsi="仿宋_GB2312" w:eastAsia="仿宋_GB2312" w:cs="仿宋_GB2312"/>
          <w:b/>
          <w:bCs/>
          <w:color w:val="auto"/>
          <w:sz w:val="24"/>
          <w:highlight w:val="none"/>
        </w:rPr>
      </w:pPr>
    </w:p>
    <w:p w14:paraId="0B2AD3FB">
      <w:pPr>
        <w:pStyle w:val="17"/>
        <w:ind w:firstLine="210"/>
        <w:rPr>
          <w:rFonts w:hint="eastAsia" w:ascii="仿宋_GB2312" w:hAnsi="仿宋_GB2312" w:eastAsia="仿宋_GB2312" w:cs="仿宋_GB2312"/>
          <w:color w:val="auto"/>
          <w:highlight w:val="none"/>
        </w:rPr>
      </w:pPr>
    </w:p>
    <w:p w14:paraId="225BD8AC">
      <w:pPr>
        <w:spacing w:line="360" w:lineRule="auto"/>
        <w:rPr>
          <w:rFonts w:hint="eastAsia" w:ascii="仿宋_GB2312" w:hAnsi="仿宋_GB2312" w:eastAsia="仿宋_GB2312" w:cs="仿宋_GB2312"/>
          <w:b/>
          <w:bCs/>
          <w:color w:val="auto"/>
          <w:kern w:val="0"/>
          <w:sz w:val="24"/>
          <w:highlight w:val="none"/>
        </w:rPr>
      </w:pPr>
      <w:r>
        <w:rPr>
          <w:rFonts w:hint="eastAsia" w:ascii="仿宋_GB2312" w:hAnsi="仿宋_GB2312" w:eastAsia="仿宋_GB2312" w:cs="仿宋_GB2312"/>
          <w:color w:val="auto"/>
          <w:kern w:val="0"/>
          <w:sz w:val="24"/>
          <w:highlight w:val="none"/>
        </w:rPr>
        <w:t>说明：</w:t>
      </w:r>
    </w:p>
    <w:p w14:paraId="2F20C6EF">
      <w:pPr>
        <w:pStyle w:val="36"/>
        <w:spacing w:line="360" w:lineRule="auto"/>
        <w:ind w:left="357" w:hanging="357" w:firstLineChars="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1.产品类别，是指国家有关部门发布的节能产品、环境标志产品品目清单规定的产品类别。</w:t>
      </w:r>
    </w:p>
    <w:p w14:paraId="2C673122">
      <w:pPr>
        <w:pStyle w:val="36"/>
        <w:spacing w:line="360" w:lineRule="auto"/>
        <w:ind w:left="360" w:hanging="360" w:firstLineChars="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2.产品属性：节能、环保、节能环保。</w:t>
      </w:r>
    </w:p>
    <w:p w14:paraId="70128C9F">
      <w:pPr>
        <w:pStyle w:val="36"/>
        <w:spacing w:line="360" w:lineRule="auto"/>
        <w:ind w:left="357" w:hanging="357" w:firstLineChars="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3.本表应逐项填写，并按规定签署，不得漏项，否则视为该《声明函》无效。</w:t>
      </w:r>
    </w:p>
    <w:p w14:paraId="5D190F66">
      <w:pPr>
        <w:pStyle w:val="36"/>
        <w:spacing w:line="360" w:lineRule="auto"/>
        <w:ind w:left="360" w:hanging="360" w:firstLineChars="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4.认证证明应与所投产品、产品类别保持一致，否则视为认证证明无效。</w:t>
      </w:r>
    </w:p>
    <w:p w14:paraId="39D803A4">
      <w:pPr>
        <w:pStyle w:val="36"/>
        <w:spacing w:line="360" w:lineRule="auto"/>
        <w:ind w:left="360" w:hanging="360" w:firstLineChars="0"/>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5.供应商应同时提供有效的《政府采购节能产品、环境标志产品声明函》与有效的节能环保产品认证证明，才能享受节能环保优惠政策。</w:t>
      </w:r>
    </w:p>
    <w:p w14:paraId="58745012">
      <w:pPr>
        <w:spacing w:line="360" w:lineRule="auto"/>
        <w:ind w:firstLine="1560" w:firstLineChars="650"/>
        <w:rPr>
          <w:rFonts w:hint="eastAsia" w:ascii="仿宋_GB2312" w:hAnsi="仿宋_GB2312" w:eastAsia="仿宋_GB2312" w:cs="仿宋_GB2312"/>
          <w:color w:val="auto"/>
          <w:kern w:val="0"/>
          <w:sz w:val="24"/>
          <w:highlight w:val="none"/>
        </w:rPr>
      </w:pPr>
    </w:p>
    <w:p w14:paraId="1EE46148">
      <w:pPr>
        <w:spacing w:line="360" w:lineRule="auto"/>
        <w:ind w:firstLine="840" w:firstLineChars="350"/>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供应商法定代表人或其授权代表签字或盖章：</w:t>
      </w:r>
    </w:p>
    <w:p w14:paraId="4F1CF73E">
      <w:pPr>
        <w:spacing w:line="360" w:lineRule="auto"/>
        <w:ind w:firstLine="4200" w:firstLineChars="1750"/>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供应商公章：</w:t>
      </w:r>
    </w:p>
    <w:p w14:paraId="194C05B3">
      <w:pPr>
        <w:spacing w:line="360" w:lineRule="auto"/>
        <w:ind w:firstLine="4200" w:firstLineChars="1750"/>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年月日</w:t>
      </w:r>
    </w:p>
    <w:p w14:paraId="26E1884A">
      <w:pPr>
        <w:pStyle w:val="4"/>
        <w:adjustRightInd w:val="0"/>
        <w:snapToGrid w:val="0"/>
        <w:spacing w:before="0" w:after="0" w:line="240" w:lineRule="auto"/>
        <w:jc w:val="left"/>
        <w:rPr>
          <w:rFonts w:hint="default" w:ascii="Times New Roman" w:hAnsi="Times New Roman" w:eastAsia="仿宋" w:cs="仿宋"/>
          <w:b/>
          <w:color w:val="000000"/>
          <w:szCs w:val="28"/>
          <w:highlight w:val="none"/>
          <w:lang w:val="en-US" w:eastAsia="zh-CN"/>
        </w:rPr>
      </w:pPr>
      <w:r>
        <w:rPr>
          <w:rFonts w:hint="eastAsia" w:ascii="仿宋_GB2312" w:hAnsi="仿宋_GB2312" w:eastAsia="仿宋_GB2312" w:cs="仿宋_GB2312"/>
          <w:color w:val="auto"/>
          <w:szCs w:val="28"/>
          <w:highlight w:val="none"/>
        </w:rPr>
        <w:br w:type="page"/>
      </w:r>
      <w:r>
        <w:rPr>
          <w:rFonts w:hint="eastAsia" w:ascii="Times New Roman" w:hAnsi="Times New Roman" w:eastAsia="仿宋" w:cs="仿宋"/>
          <w:b/>
          <w:color w:val="000000"/>
          <w:szCs w:val="28"/>
          <w:highlight w:val="none"/>
        </w:rPr>
        <w:t>格式</w:t>
      </w:r>
      <w:r>
        <w:rPr>
          <w:rFonts w:hint="eastAsia" w:ascii="Times New Roman" w:hAnsi="Times New Roman" w:cs="仿宋"/>
          <w:b/>
          <w:color w:val="000000"/>
          <w:szCs w:val="28"/>
          <w:highlight w:val="none"/>
          <w:lang w:val="en-US" w:eastAsia="zh-CN"/>
        </w:rPr>
        <w:t>21</w:t>
      </w:r>
    </w:p>
    <w:p w14:paraId="1C7B8170">
      <w:pPr>
        <w:spacing w:before="312" w:beforeLines="100" w:after="312" w:afterLines="100" w:line="360" w:lineRule="auto"/>
        <w:ind w:right="-21" w:rightChars="-10"/>
        <w:jc w:val="center"/>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列入《创新产品和服务目录》内的产品、服务的证明材料</w:t>
      </w:r>
    </w:p>
    <w:p w14:paraId="4E2A476A">
      <w:pPr>
        <w:spacing w:before="312" w:beforeLines="100" w:after="312" w:afterLines="100" w:line="360" w:lineRule="auto"/>
        <w:ind w:right="-21" w:rightChars="-10"/>
        <w:jc w:val="both"/>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br w:type="column"/>
      </w:r>
    </w:p>
    <w:p w14:paraId="2C9E05A8">
      <w:pPr>
        <w:pStyle w:val="4"/>
        <w:adjustRightInd w:val="0"/>
        <w:snapToGrid w:val="0"/>
        <w:spacing w:before="0" w:after="0" w:line="240" w:lineRule="auto"/>
        <w:jc w:val="left"/>
        <w:rPr>
          <w:rFonts w:hint="default" w:ascii="Times New Roman" w:hAnsi="Times New Roman" w:eastAsia="仿宋" w:cs="仿宋"/>
          <w:b/>
          <w:color w:val="000000"/>
          <w:szCs w:val="28"/>
          <w:highlight w:val="none"/>
          <w:lang w:val="en-US" w:eastAsia="zh-CN"/>
        </w:rPr>
      </w:pPr>
      <w:r>
        <w:rPr>
          <w:rFonts w:hint="eastAsia" w:ascii="Times New Roman" w:hAnsi="Times New Roman" w:eastAsia="仿宋" w:cs="仿宋"/>
          <w:b/>
          <w:color w:val="000000"/>
          <w:szCs w:val="28"/>
          <w:highlight w:val="none"/>
        </w:rPr>
        <w:t>格式</w:t>
      </w:r>
      <w:r>
        <w:rPr>
          <w:rFonts w:hint="eastAsia" w:ascii="Times New Roman" w:hAnsi="Times New Roman" w:cs="仿宋"/>
          <w:b/>
          <w:color w:val="000000"/>
          <w:szCs w:val="28"/>
          <w:highlight w:val="none"/>
          <w:lang w:val="en-US" w:eastAsia="zh-CN"/>
        </w:rPr>
        <w:t>22</w:t>
      </w:r>
    </w:p>
    <w:p w14:paraId="01BF6A56">
      <w:pPr>
        <w:pStyle w:val="4"/>
        <w:adjustRightInd w:val="0"/>
        <w:snapToGrid w:val="0"/>
        <w:spacing w:before="0" w:after="0" w:line="240" w:lineRule="auto"/>
        <w:jc w:val="center"/>
        <w:rPr>
          <w:rFonts w:hint="eastAsia" w:ascii="仿宋_GB2312" w:hAnsi="仿宋_GB2312" w:eastAsia="仿宋_GB2312" w:cs="仿宋_GB2312"/>
          <w:b w:val="0"/>
          <w:bCs/>
          <w:color w:val="auto"/>
          <w:szCs w:val="28"/>
          <w:highlight w:val="none"/>
        </w:rPr>
      </w:pPr>
      <w:r>
        <w:rPr>
          <w:rFonts w:hint="eastAsia" w:ascii="仿宋_GB2312" w:hAnsi="仿宋_GB2312" w:eastAsia="仿宋_GB2312" w:cs="仿宋_GB2312"/>
          <w:b w:val="0"/>
          <w:bCs/>
          <w:color w:val="auto"/>
          <w:szCs w:val="28"/>
          <w:highlight w:val="none"/>
          <w:lang w:eastAsia="zh-CN"/>
        </w:rPr>
        <w:t>采购需求中</w:t>
      </w:r>
      <w:r>
        <w:rPr>
          <w:rFonts w:hint="eastAsia" w:ascii="仿宋_GB2312" w:hAnsi="仿宋_GB2312" w:eastAsia="仿宋_GB2312" w:cs="仿宋_GB2312"/>
          <w:b w:val="0"/>
          <w:bCs/>
          <w:color w:val="auto"/>
          <w:szCs w:val="28"/>
          <w:highlight w:val="none"/>
          <w:lang w:val="en-US" w:eastAsia="zh-CN"/>
        </w:rPr>
        <w:t>计算机</w:t>
      </w:r>
      <w:r>
        <w:rPr>
          <w:rFonts w:hint="eastAsia" w:ascii="仿宋_GB2312" w:hAnsi="仿宋_GB2312" w:eastAsia="仿宋_GB2312" w:cs="仿宋_GB2312"/>
          <w:b w:val="0"/>
          <w:bCs/>
          <w:color w:val="auto"/>
          <w:szCs w:val="28"/>
          <w:highlight w:val="none"/>
        </w:rPr>
        <w:t>产品参数</w:t>
      </w:r>
      <w:r>
        <w:rPr>
          <w:rFonts w:hint="eastAsia" w:ascii="仿宋_GB2312" w:hAnsi="仿宋_GB2312" w:eastAsia="仿宋_GB2312" w:cs="仿宋_GB2312"/>
          <w:b w:val="0"/>
          <w:bCs/>
          <w:color w:val="auto"/>
          <w:szCs w:val="28"/>
          <w:highlight w:val="none"/>
          <w:lang w:eastAsia="zh-CN"/>
        </w:rPr>
        <w:t>按照相关文件要求执行，</w:t>
      </w:r>
      <w:r>
        <w:rPr>
          <w:rFonts w:hint="eastAsia" w:ascii="仿宋_GB2312" w:hAnsi="仿宋_GB2312" w:eastAsia="仿宋_GB2312" w:cs="仿宋_GB2312"/>
          <w:b w:val="0"/>
          <w:bCs/>
          <w:color w:val="auto"/>
          <w:szCs w:val="28"/>
          <w:highlight w:val="none"/>
        </w:rPr>
        <w:t>提供承诺函</w:t>
      </w:r>
    </w:p>
    <w:p w14:paraId="10297A7F">
      <w:pPr>
        <w:pStyle w:val="4"/>
        <w:adjustRightInd w:val="0"/>
        <w:snapToGrid w:val="0"/>
        <w:spacing w:before="0" w:after="0" w:line="240" w:lineRule="auto"/>
        <w:jc w:val="center"/>
        <w:rPr>
          <w:rFonts w:hint="eastAsia" w:ascii="仿宋_GB2312" w:hAnsi="仿宋_GB2312" w:eastAsia="仿宋_GB2312" w:cs="仿宋_GB2312"/>
          <w:b w:val="0"/>
          <w:bCs/>
          <w:color w:val="auto"/>
          <w:szCs w:val="28"/>
          <w:highlight w:val="none"/>
          <w:lang w:eastAsia="zh-CN"/>
        </w:rPr>
      </w:pPr>
      <w:r>
        <w:rPr>
          <w:rFonts w:hint="eastAsia" w:ascii="仿宋_GB2312" w:hAnsi="仿宋_GB2312" w:eastAsia="仿宋_GB2312" w:cs="仿宋_GB2312"/>
          <w:b w:val="0"/>
          <w:bCs/>
          <w:color w:val="auto"/>
          <w:szCs w:val="28"/>
          <w:highlight w:val="none"/>
          <w:lang w:eastAsia="zh-CN"/>
        </w:rPr>
        <w:t>（格式自拟）</w:t>
      </w:r>
    </w:p>
    <w:p w14:paraId="5C8072DF">
      <w:pPr>
        <w:pStyle w:val="4"/>
        <w:adjustRightInd w:val="0"/>
        <w:snapToGrid w:val="0"/>
        <w:spacing w:before="0" w:after="0" w:line="240" w:lineRule="auto"/>
        <w:jc w:val="left"/>
        <w:rPr>
          <w:rFonts w:hint="default" w:ascii="Times New Roman" w:hAnsi="Times New Roman" w:eastAsia="仿宋" w:cs="仿宋"/>
          <w:b/>
          <w:color w:val="000000"/>
          <w:szCs w:val="28"/>
          <w:highlight w:val="none"/>
          <w:lang w:val="en-US" w:eastAsia="zh-CN"/>
        </w:rPr>
      </w:pPr>
      <w:r>
        <w:rPr>
          <w:rFonts w:hint="eastAsia" w:ascii="Times New Roman" w:hAnsi="Times New Roman" w:eastAsia="仿宋" w:cs="仿宋"/>
          <w:b/>
          <w:color w:val="000000"/>
          <w:szCs w:val="28"/>
          <w:highlight w:val="none"/>
        </w:rPr>
        <w:br w:type="page"/>
      </w:r>
      <w:r>
        <w:rPr>
          <w:rFonts w:hint="eastAsia" w:ascii="Times New Roman" w:hAnsi="Times New Roman" w:eastAsia="仿宋" w:cs="仿宋"/>
          <w:b/>
          <w:color w:val="000000"/>
          <w:szCs w:val="28"/>
          <w:highlight w:val="none"/>
        </w:rPr>
        <w:t>格式</w:t>
      </w:r>
      <w:r>
        <w:rPr>
          <w:rFonts w:hint="eastAsia" w:ascii="Times New Roman" w:hAnsi="Times New Roman" w:cs="仿宋"/>
          <w:b/>
          <w:color w:val="000000"/>
          <w:szCs w:val="28"/>
          <w:highlight w:val="none"/>
          <w:lang w:val="en-US" w:eastAsia="zh-CN"/>
        </w:rPr>
        <w:t>23</w:t>
      </w:r>
    </w:p>
    <w:p w14:paraId="46FDDBD1">
      <w:pPr>
        <w:spacing w:before="312" w:beforeLines="100" w:after="312" w:afterLines="100" w:line="360" w:lineRule="auto"/>
        <w:ind w:right="-21" w:rightChars="-10"/>
        <w:jc w:val="center"/>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评分项对应材料</w:t>
      </w:r>
    </w:p>
    <w:p w14:paraId="7D49800B">
      <w:pPr>
        <w:pStyle w:val="4"/>
        <w:adjustRightInd w:val="0"/>
        <w:snapToGrid w:val="0"/>
        <w:spacing w:before="0" w:after="0" w:line="240" w:lineRule="auto"/>
        <w:jc w:val="left"/>
        <w:rPr>
          <w:rFonts w:hint="default" w:ascii="Times New Roman" w:hAnsi="Times New Roman" w:eastAsia="仿宋" w:cs="仿宋"/>
          <w:b/>
          <w:color w:val="000000"/>
          <w:szCs w:val="28"/>
          <w:highlight w:val="none"/>
          <w:lang w:val="en-US" w:eastAsia="zh-CN"/>
        </w:rPr>
      </w:pPr>
      <w:r>
        <w:rPr>
          <w:rFonts w:hint="eastAsia" w:ascii="Times New Roman" w:hAnsi="Times New Roman" w:eastAsia="仿宋" w:cs="仿宋"/>
          <w:b/>
          <w:color w:val="000000"/>
          <w:szCs w:val="28"/>
          <w:highlight w:val="none"/>
        </w:rPr>
        <w:br w:type="page"/>
      </w:r>
      <w:r>
        <w:rPr>
          <w:rFonts w:hint="eastAsia" w:ascii="Times New Roman" w:hAnsi="Times New Roman" w:eastAsia="仿宋" w:cs="仿宋"/>
          <w:b/>
          <w:color w:val="000000"/>
          <w:szCs w:val="28"/>
          <w:highlight w:val="none"/>
        </w:rPr>
        <w:t>格式</w:t>
      </w:r>
      <w:r>
        <w:rPr>
          <w:rFonts w:hint="eastAsia" w:ascii="Times New Roman" w:hAnsi="Times New Roman" w:cs="仿宋"/>
          <w:b/>
          <w:color w:val="000000"/>
          <w:szCs w:val="28"/>
          <w:highlight w:val="none"/>
          <w:lang w:val="en-US" w:eastAsia="zh-CN"/>
        </w:rPr>
        <w:t>24</w:t>
      </w:r>
    </w:p>
    <w:p w14:paraId="3FE73814">
      <w:pPr>
        <w:widowControl/>
        <w:jc w:val="center"/>
        <w:rPr>
          <w:rFonts w:hint="eastAsia" w:ascii="Times New Roman" w:hAnsi="Times New Roman" w:eastAsia="仿宋" w:cs="仿宋"/>
          <w:b/>
          <w:bCs/>
          <w:color w:val="000000"/>
          <w:szCs w:val="28"/>
          <w:highlight w:val="none"/>
          <w:lang w:val="en-US" w:eastAsia="zh-CN"/>
        </w:rPr>
      </w:pPr>
      <w:r>
        <w:rPr>
          <w:rFonts w:hint="eastAsia" w:ascii="仿宋_GB2312" w:hAnsi="仿宋_GB2312" w:eastAsia="仿宋_GB2312" w:cs="仿宋_GB2312"/>
          <w:b/>
          <w:bCs/>
          <w:color w:val="auto"/>
          <w:kern w:val="2"/>
          <w:sz w:val="32"/>
          <w:szCs w:val="32"/>
          <w:highlight w:val="none"/>
        </w:rPr>
        <w:t>投标人认为有必要提供的其他内容</w:t>
      </w:r>
    </w:p>
    <w:p w14:paraId="478EEBED">
      <w:pPr>
        <w:pStyle w:val="3"/>
        <w:snapToGrid w:val="0"/>
        <w:spacing w:before="312" w:beforeLines="100" w:after="312" w:afterLines="100" w:line="360" w:lineRule="auto"/>
        <w:outlineLvl w:val="0"/>
        <w:rPr>
          <w:rFonts w:hint="eastAsia" w:ascii="黑体" w:hAnsi="黑体" w:eastAsia="黑体" w:cs="黑体"/>
          <w:b w:val="0"/>
          <w:bCs/>
          <w:color w:val="000000"/>
          <w:sz w:val="36"/>
          <w:szCs w:val="36"/>
          <w:highlight w:val="none"/>
        </w:rPr>
      </w:pPr>
      <w:r>
        <w:rPr>
          <w:rFonts w:hint="eastAsia" w:ascii="Times New Roman" w:hAnsi="Times New Roman" w:eastAsia="仿宋" w:cs="仿宋"/>
          <w:color w:val="000000"/>
          <w:highlight w:val="none"/>
        </w:rPr>
        <w:br w:type="page"/>
      </w:r>
      <w:bookmarkStart w:id="129" w:name="_Toc1258"/>
      <w:r>
        <w:rPr>
          <w:rFonts w:hint="eastAsia" w:ascii="黑体" w:hAnsi="黑体" w:eastAsia="黑体" w:cs="黑体"/>
          <w:b w:val="0"/>
          <w:bCs/>
          <w:color w:val="000000"/>
          <w:sz w:val="36"/>
          <w:szCs w:val="36"/>
          <w:highlight w:val="none"/>
        </w:rPr>
        <w:t>第三章 货物需求</w:t>
      </w:r>
      <w:bookmarkEnd w:id="126"/>
      <w:bookmarkEnd w:id="129"/>
    </w:p>
    <w:p w14:paraId="53294814">
      <w:pPr>
        <w:numPr>
          <w:ilvl w:val="0"/>
          <w:numId w:val="0"/>
        </w:numPr>
        <w:spacing w:line="360" w:lineRule="auto"/>
        <w:jc w:val="left"/>
        <w:rPr>
          <w:rFonts w:hint="eastAsia" w:ascii="仿宋_GB2312" w:hAnsi="仿宋_GB2312" w:eastAsia="仿宋_GB2312" w:cs="仿宋_GB2312"/>
          <w:color w:val="auto"/>
          <w:highlight w:val="none"/>
          <w:vertAlign w:val="baseline"/>
        </w:rPr>
      </w:pPr>
      <w:r>
        <w:rPr>
          <w:rFonts w:hint="eastAsia" w:ascii="Arial" w:hAnsi="Arial" w:eastAsia="仿宋" w:cs="Times New Roman"/>
          <w:b w:val="0"/>
          <w:bCs/>
          <w:color w:val="auto"/>
          <w:kern w:val="2"/>
          <w:sz w:val="28"/>
          <w:szCs w:val="24"/>
          <w:highlight w:val="none"/>
          <w:lang w:val="en-US" w:eastAsia="zh-CN" w:bidi="ar-SA"/>
        </w:rPr>
        <w:t>（一）采购标的汇总表</w:t>
      </w:r>
    </w:p>
    <w:tbl>
      <w:tblPr>
        <w:tblStyle w:val="20"/>
        <w:tblW w:w="90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
        <w:gridCol w:w="2159"/>
        <w:gridCol w:w="1515"/>
        <w:gridCol w:w="1515"/>
        <w:gridCol w:w="1517"/>
        <w:gridCol w:w="1517"/>
      </w:tblGrid>
      <w:tr w14:paraId="158B0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872" w:type="dxa"/>
            <w:noWrap w:val="0"/>
            <w:vAlign w:val="center"/>
          </w:tcPr>
          <w:p w14:paraId="46E2A8ED">
            <w:pPr>
              <w:spacing w:line="240" w:lineRule="auto"/>
              <w:ind w:firstLine="0" w:firstLineChars="0"/>
              <w:jc w:val="center"/>
              <w:rPr>
                <w:rFonts w:hint="eastAsia" w:ascii="仿宋_GB2312" w:hAnsi="仿宋_GB2312" w:eastAsia="仿宋_GB2312" w:cs="仿宋_GB2312"/>
                <w:color w:val="auto"/>
                <w:highlight w:val="none"/>
                <w:vertAlign w:val="baseline"/>
              </w:rPr>
            </w:pPr>
            <w:r>
              <w:rPr>
                <w:rFonts w:hint="eastAsia" w:ascii="楷体" w:hAnsi="楷体" w:eastAsia="楷体" w:cs="楷体"/>
                <w:b/>
                <w:bCs/>
                <w:color w:val="auto"/>
                <w:sz w:val="24"/>
                <w:highlight w:val="none"/>
              </w:rPr>
              <w:t>序号</w:t>
            </w:r>
          </w:p>
        </w:tc>
        <w:tc>
          <w:tcPr>
            <w:tcW w:w="2159" w:type="dxa"/>
            <w:noWrap w:val="0"/>
            <w:vAlign w:val="center"/>
          </w:tcPr>
          <w:p w14:paraId="441387B8">
            <w:pPr>
              <w:spacing w:line="240" w:lineRule="auto"/>
              <w:ind w:firstLine="0" w:firstLineChars="0"/>
              <w:jc w:val="center"/>
              <w:rPr>
                <w:rFonts w:hint="eastAsia" w:ascii="仿宋_GB2312" w:hAnsi="仿宋_GB2312" w:eastAsia="仿宋_GB2312" w:cs="仿宋_GB2312"/>
                <w:color w:val="auto"/>
                <w:highlight w:val="none"/>
                <w:vertAlign w:val="baseline"/>
              </w:rPr>
            </w:pPr>
            <w:r>
              <w:rPr>
                <w:rFonts w:hint="eastAsia" w:ascii="楷体" w:hAnsi="楷体" w:eastAsia="楷体" w:cs="楷体"/>
                <w:b/>
                <w:bCs/>
                <w:color w:val="auto"/>
                <w:sz w:val="24"/>
                <w:highlight w:val="none"/>
              </w:rPr>
              <w:t>货物名称</w:t>
            </w:r>
          </w:p>
        </w:tc>
        <w:tc>
          <w:tcPr>
            <w:tcW w:w="1515" w:type="dxa"/>
            <w:noWrap w:val="0"/>
            <w:vAlign w:val="center"/>
          </w:tcPr>
          <w:p w14:paraId="561CE932">
            <w:pPr>
              <w:spacing w:line="240" w:lineRule="auto"/>
              <w:ind w:firstLine="0" w:firstLineChars="0"/>
              <w:jc w:val="center"/>
              <w:rPr>
                <w:rFonts w:eastAsia="楷体" w:cs="楷体"/>
                <w:b/>
                <w:bCs/>
                <w:color w:val="auto"/>
                <w:sz w:val="24"/>
                <w:highlight w:val="none"/>
              </w:rPr>
            </w:pPr>
            <w:r>
              <w:rPr>
                <w:rFonts w:hint="eastAsia" w:eastAsia="楷体" w:cs="楷体"/>
                <w:b/>
                <w:bCs/>
                <w:color w:val="auto"/>
                <w:sz w:val="24"/>
                <w:highlight w:val="none"/>
              </w:rPr>
              <w:t>单价</w:t>
            </w:r>
          </w:p>
          <w:p w14:paraId="32D264F7">
            <w:pPr>
              <w:spacing w:line="240" w:lineRule="auto"/>
              <w:ind w:firstLine="0" w:firstLineChars="0"/>
              <w:jc w:val="center"/>
              <w:rPr>
                <w:rFonts w:hint="eastAsia" w:ascii="仿宋_GB2312" w:hAnsi="仿宋_GB2312" w:eastAsia="仿宋_GB2312" w:cs="仿宋_GB2312"/>
                <w:color w:val="auto"/>
                <w:highlight w:val="none"/>
                <w:vertAlign w:val="baseline"/>
              </w:rPr>
            </w:pPr>
            <w:r>
              <w:rPr>
                <w:rFonts w:hint="eastAsia" w:eastAsia="楷体" w:cs="楷体"/>
                <w:b/>
                <w:bCs/>
                <w:color w:val="auto"/>
                <w:sz w:val="24"/>
                <w:highlight w:val="none"/>
              </w:rPr>
              <w:t>（万元）</w:t>
            </w:r>
          </w:p>
        </w:tc>
        <w:tc>
          <w:tcPr>
            <w:tcW w:w="1515" w:type="dxa"/>
            <w:noWrap w:val="0"/>
            <w:vAlign w:val="center"/>
          </w:tcPr>
          <w:p w14:paraId="2ABF33F3">
            <w:pPr>
              <w:spacing w:line="240" w:lineRule="auto"/>
              <w:ind w:firstLine="0" w:firstLineChars="0"/>
              <w:jc w:val="center"/>
              <w:rPr>
                <w:rFonts w:eastAsia="楷体" w:cs="楷体"/>
                <w:b/>
                <w:bCs/>
                <w:color w:val="auto"/>
                <w:sz w:val="24"/>
                <w:highlight w:val="none"/>
              </w:rPr>
            </w:pPr>
            <w:r>
              <w:rPr>
                <w:rFonts w:hint="eastAsia" w:eastAsia="楷体" w:cs="楷体"/>
                <w:b/>
                <w:bCs/>
                <w:color w:val="auto"/>
                <w:sz w:val="24"/>
                <w:highlight w:val="none"/>
              </w:rPr>
              <w:t>计量</w:t>
            </w:r>
          </w:p>
          <w:p w14:paraId="36CF1D86">
            <w:pPr>
              <w:spacing w:line="240" w:lineRule="auto"/>
              <w:ind w:firstLine="0" w:firstLineChars="0"/>
              <w:jc w:val="center"/>
              <w:rPr>
                <w:rFonts w:hint="eastAsia" w:ascii="仿宋_GB2312" w:hAnsi="仿宋_GB2312" w:eastAsia="仿宋_GB2312" w:cs="仿宋_GB2312"/>
                <w:color w:val="auto"/>
                <w:highlight w:val="none"/>
                <w:vertAlign w:val="baseline"/>
              </w:rPr>
            </w:pPr>
            <w:r>
              <w:rPr>
                <w:rFonts w:hint="eastAsia" w:eastAsia="楷体" w:cs="楷体"/>
                <w:b/>
                <w:bCs/>
                <w:color w:val="auto"/>
                <w:sz w:val="24"/>
                <w:highlight w:val="none"/>
              </w:rPr>
              <w:t>单位</w:t>
            </w:r>
          </w:p>
        </w:tc>
        <w:tc>
          <w:tcPr>
            <w:tcW w:w="1517" w:type="dxa"/>
            <w:noWrap w:val="0"/>
            <w:vAlign w:val="center"/>
          </w:tcPr>
          <w:p w14:paraId="53B373A6">
            <w:pPr>
              <w:spacing w:line="240" w:lineRule="auto"/>
              <w:ind w:firstLine="0" w:firstLineChars="0"/>
              <w:jc w:val="center"/>
              <w:rPr>
                <w:rFonts w:hint="eastAsia" w:ascii="仿宋_GB2312" w:hAnsi="仿宋_GB2312" w:eastAsia="仿宋_GB2312" w:cs="仿宋_GB2312"/>
                <w:color w:val="auto"/>
                <w:highlight w:val="none"/>
                <w:vertAlign w:val="baseline"/>
              </w:rPr>
            </w:pPr>
            <w:r>
              <w:rPr>
                <w:rFonts w:hint="eastAsia" w:eastAsia="楷体" w:cs="楷体"/>
                <w:b/>
                <w:bCs/>
                <w:color w:val="auto"/>
                <w:sz w:val="24"/>
                <w:highlight w:val="none"/>
              </w:rPr>
              <w:t>数量</w:t>
            </w:r>
          </w:p>
        </w:tc>
        <w:tc>
          <w:tcPr>
            <w:tcW w:w="1517" w:type="dxa"/>
            <w:noWrap w:val="0"/>
            <w:vAlign w:val="center"/>
          </w:tcPr>
          <w:p w14:paraId="75FA3A67">
            <w:pPr>
              <w:spacing w:line="240" w:lineRule="auto"/>
              <w:ind w:firstLine="0" w:firstLineChars="0"/>
              <w:jc w:val="center"/>
              <w:rPr>
                <w:rFonts w:eastAsia="楷体" w:cs="楷体"/>
                <w:b/>
                <w:bCs/>
                <w:color w:val="auto"/>
                <w:sz w:val="24"/>
                <w:highlight w:val="none"/>
              </w:rPr>
            </w:pPr>
            <w:r>
              <w:rPr>
                <w:rFonts w:hint="eastAsia" w:eastAsia="楷体" w:cs="楷体"/>
                <w:b/>
                <w:bCs/>
                <w:color w:val="auto"/>
                <w:sz w:val="24"/>
                <w:highlight w:val="none"/>
              </w:rPr>
              <w:t>总价</w:t>
            </w:r>
          </w:p>
          <w:p w14:paraId="4931A31D">
            <w:pPr>
              <w:spacing w:line="240" w:lineRule="auto"/>
              <w:ind w:firstLine="0" w:firstLineChars="0"/>
              <w:jc w:val="center"/>
              <w:rPr>
                <w:rFonts w:hint="eastAsia" w:ascii="仿宋_GB2312" w:hAnsi="仿宋_GB2312" w:eastAsia="仿宋_GB2312" w:cs="仿宋_GB2312"/>
                <w:color w:val="auto"/>
                <w:highlight w:val="none"/>
                <w:vertAlign w:val="baseline"/>
              </w:rPr>
            </w:pPr>
            <w:r>
              <w:rPr>
                <w:rFonts w:hint="eastAsia" w:eastAsia="楷体" w:cs="楷体"/>
                <w:b/>
                <w:bCs/>
                <w:color w:val="auto"/>
                <w:sz w:val="24"/>
                <w:highlight w:val="none"/>
              </w:rPr>
              <w:t>（万元）</w:t>
            </w:r>
          </w:p>
        </w:tc>
      </w:tr>
      <w:tr w14:paraId="3E151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trPr>
        <w:tc>
          <w:tcPr>
            <w:tcW w:w="872" w:type="dxa"/>
            <w:noWrap w:val="0"/>
            <w:vAlign w:val="center"/>
          </w:tcPr>
          <w:p w14:paraId="53937C26">
            <w:pPr>
              <w:spacing w:line="240" w:lineRule="auto"/>
              <w:ind w:firstLine="0" w:firstLineChars="0"/>
              <w:jc w:val="center"/>
              <w:rPr>
                <w:rFonts w:hint="eastAsia" w:ascii="仿宋_GB2312" w:hAnsi="仿宋_GB2312" w:eastAsia="仿宋_GB2312" w:cs="仿宋_GB2312"/>
                <w:b w:val="0"/>
                <w:bCs w:val="0"/>
                <w:color w:val="auto"/>
                <w:highlight w:val="none"/>
                <w:vertAlign w:val="baseline"/>
              </w:rPr>
            </w:pPr>
            <w:r>
              <w:rPr>
                <w:rFonts w:hint="eastAsia" w:ascii="楷体" w:hAnsi="楷体" w:eastAsia="楷体" w:cs="楷体"/>
                <w:b w:val="0"/>
                <w:bCs w:val="0"/>
                <w:color w:val="auto"/>
                <w:sz w:val="24"/>
                <w:highlight w:val="none"/>
              </w:rPr>
              <w:t>1</w:t>
            </w:r>
          </w:p>
        </w:tc>
        <w:tc>
          <w:tcPr>
            <w:tcW w:w="2159" w:type="dxa"/>
            <w:noWrap w:val="0"/>
            <w:vAlign w:val="center"/>
          </w:tcPr>
          <w:p w14:paraId="2900DDC7">
            <w:pPr>
              <w:widowControl/>
              <w:spacing w:line="288" w:lineRule="auto"/>
              <w:ind w:left="320" w:leftChars="0" w:firstLine="0" w:firstLineChars="0"/>
              <w:jc w:val="center"/>
              <w:rPr>
                <w:rFonts w:hint="eastAsia" w:ascii="仿宋_GB2312" w:hAnsi="仿宋_GB2312" w:eastAsia="仿宋_GB2312" w:cs="仿宋_GB2312"/>
                <w:b w:val="0"/>
                <w:bCs w:val="0"/>
                <w:color w:val="auto"/>
                <w:highlight w:val="none"/>
                <w:vertAlign w:val="baseline"/>
              </w:rPr>
            </w:pPr>
            <w:r>
              <w:rPr>
                <w:rFonts w:hint="eastAsia" w:ascii="楷体" w:hAnsi="楷体" w:eastAsia="楷体" w:cs="楷体"/>
                <w:b w:val="0"/>
                <w:bCs w:val="0"/>
                <w:color w:val="auto"/>
                <w:sz w:val="24"/>
                <w:highlight w:val="none"/>
              </w:rPr>
              <w:t>双人IVF工作站</w:t>
            </w:r>
          </w:p>
        </w:tc>
        <w:tc>
          <w:tcPr>
            <w:tcW w:w="1515" w:type="dxa"/>
            <w:noWrap w:val="0"/>
            <w:vAlign w:val="center"/>
          </w:tcPr>
          <w:p w14:paraId="585D10C1">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27</w:t>
            </w:r>
          </w:p>
        </w:tc>
        <w:tc>
          <w:tcPr>
            <w:tcW w:w="1515" w:type="dxa"/>
            <w:noWrap w:val="0"/>
            <w:vAlign w:val="center"/>
          </w:tcPr>
          <w:p w14:paraId="48F98592">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套</w:t>
            </w:r>
          </w:p>
        </w:tc>
        <w:tc>
          <w:tcPr>
            <w:tcW w:w="1517" w:type="dxa"/>
            <w:noWrap w:val="0"/>
            <w:vAlign w:val="center"/>
          </w:tcPr>
          <w:p w14:paraId="1F0ACE3D">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1</w:t>
            </w:r>
          </w:p>
        </w:tc>
        <w:tc>
          <w:tcPr>
            <w:tcW w:w="1517" w:type="dxa"/>
            <w:noWrap w:val="0"/>
            <w:vAlign w:val="center"/>
          </w:tcPr>
          <w:p w14:paraId="5A946750">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27</w:t>
            </w:r>
          </w:p>
        </w:tc>
      </w:tr>
      <w:tr w14:paraId="7E2B4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72" w:type="dxa"/>
            <w:noWrap w:val="0"/>
            <w:vAlign w:val="center"/>
          </w:tcPr>
          <w:p w14:paraId="7822BC3E">
            <w:pPr>
              <w:spacing w:line="240" w:lineRule="auto"/>
              <w:ind w:firstLine="0" w:firstLineChars="0"/>
              <w:jc w:val="center"/>
              <w:rPr>
                <w:rFonts w:hint="eastAsia" w:ascii="仿宋_GB2312" w:hAnsi="仿宋_GB2312" w:eastAsia="仿宋_GB2312" w:cs="仿宋_GB2312"/>
                <w:b w:val="0"/>
                <w:bCs w:val="0"/>
                <w:color w:val="auto"/>
                <w:highlight w:val="none"/>
                <w:vertAlign w:val="baseline"/>
              </w:rPr>
            </w:pPr>
            <w:r>
              <w:rPr>
                <w:rFonts w:hint="eastAsia" w:ascii="楷体" w:hAnsi="楷体" w:eastAsia="楷体" w:cs="楷体"/>
                <w:b w:val="0"/>
                <w:bCs w:val="0"/>
                <w:color w:val="auto"/>
                <w:sz w:val="24"/>
                <w:highlight w:val="none"/>
              </w:rPr>
              <w:t>2</w:t>
            </w:r>
          </w:p>
        </w:tc>
        <w:tc>
          <w:tcPr>
            <w:tcW w:w="2159" w:type="dxa"/>
            <w:noWrap w:val="0"/>
            <w:vAlign w:val="center"/>
          </w:tcPr>
          <w:p w14:paraId="52F94082">
            <w:pPr>
              <w:widowControl/>
              <w:spacing w:line="288" w:lineRule="auto"/>
              <w:ind w:firstLine="482" w:firstLineChars="0"/>
              <w:jc w:val="center"/>
              <w:rPr>
                <w:rFonts w:hint="eastAsia" w:ascii="仿宋_GB2312" w:hAnsi="仿宋_GB2312" w:eastAsia="仿宋_GB2312" w:cs="仿宋_GB2312"/>
                <w:b w:val="0"/>
                <w:bCs w:val="0"/>
                <w:color w:val="auto"/>
                <w:highlight w:val="none"/>
                <w:vertAlign w:val="baseline"/>
              </w:rPr>
            </w:pPr>
            <w:r>
              <w:rPr>
                <w:rFonts w:hint="eastAsia" w:ascii="楷体" w:hAnsi="楷体" w:eastAsia="楷体" w:cs="楷体"/>
                <w:b w:val="0"/>
                <w:bCs w:val="0"/>
                <w:color w:val="auto"/>
                <w:sz w:val="24"/>
                <w:highlight w:val="none"/>
              </w:rPr>
              <w:t>体视显微镜</w:t>
            </w:r>
          </w:p>
        </w:tc>
        <w:tc>
          <w:tcPr>
            <w:tcW w:w="1515" w:type="dxa"/>
            <w:noWrap w:val="0"/>
            <w:vAlign w:val="center"/>
          </w:tcPr>
          <w:p w14:paraId="0115719E">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8</w:t>
            </w:r>
          </w:p>
        </w:tc>
        <w:tc>
          <w:tcPr>
            <w:tcW w:w="1515" w:type="dxa"/>
            <w:noWrap w:val="0"/>
            <w:vAlign w:val="center"/>
          </w:tcPr>
          <w:p w14:paraId="6FE5E78D">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套</w:t>
            </w:r>
          </w:p>
        </w:tc>
        <w:tc>
          <w:tcPr>
            <w:tcW w:w="1517" w:type="dxa"/>
            <w:noWrap w:val="0"/>
            <w:vAlign w:val="center"/>
          </w:tcPr>
          <w:p w14:paraId="1355FA98">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1</w:t>
            </w:r>
          </w:p>
        </w:tc>
        <w:tc>
          <w:tcPr>
            <w:tcW w:w="1517" w:type="dxa"/>
            <w:noWrap w:val="0"/>
            <w:vAlign w:val="center"/>
          </w:tcPr>
          <w:p w14:paraId="7F52A05D">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8</w:t>
            </w:r>
          </w:p>
        </w:tc>
      </w:tr>
      <w:tr w14:paraId="3EC37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trPr>
        <w:tc>
          <w:tcPr>
            <w:tcW w:w="872" w:type="dxa"/>
            <w:noWrap w:val="0"/>
            <w:vAlign w:val="center"/>
          </w:tcPr>
          <w:p w14:paraId="67384E7D">
            <w:pPr>
              <w:spacing w:line="240" w:lineRule="auto"/>
              <w:ind w:firstLine="0" w:firstLineChars="0"/>
              <w:jc w:val="center"/>
              <w:rPr>
                <w:rFonts w:hint="eastAsia" w:ascii="仿宋_GB2312" w:hAnsi="仿宋_GB2312" w:eastAsia="仿宋_GB2312" w:cs="仿宋_GB2312"/>
                <w:b w:val="0"/>
                <w:bCs w:val="0"/>
                <w:color w:val="auto"/>
                <w:highlight w:val="none"/>
                <w:vertAlign w:val="baseline"/>
              </w:rPr>
            </w:pPr>
            <w:r>
              <w:rPr>
                <w:rFonts w:hint="eastAsia" w:ascii="楷体" w:hAnsi="楷体" w:eastAsia="楷体" w:cs="楷体"/>
                <w:b w:val="0"/>
                <w:bCs w:val="0"/>
                <w:color w:val="auto"/>
                <w:sz w:val="24"/>
                <w:highlight w:val="none"/>
              </w:rPr>
              <w:t>3</w:t>
            </w:r>
          </w:p>
        </w:tc>
        <w:tc>
          <w:tcPr>
            <w:tcW w:w="2159" w:type="dxa"/>
            <w:noWrap w:val="0"/>
            <w:vAlign w:val="center"/>
          </w:tcPr>
          <w:p w14:paraId="554947B3">
            <w:pPr>
              <w:widowControl/>
              <w:spacing w:line="288" w:lineRule="auto"/>
              <w:ind w:firstLine="240" w:firstLineChars="100"/>
              <w:jc w:val="center"/>
              <w:rPr>
                <w:rFonts w:hint="eastAsia" w:ascii="仿宋_GB2312" w:hAnsi="仿宋_GB2312" w:eastAsia="仿宋_GB2312" w:cs="仿宋_GB2312"/>
                <w:b w:val="0"/>
                <w:bCs w:val="0"/>
                <w:color w:val="auto"/>
                <w:highlight w:val="none"/>
                <w:vertAlign w:val="baseline"/>
              </w:rPr>
            </w:pPr>
            <w:r>
              <w:rPr>
                <w:rFonts w:hint="eastAsia" w:ascii="楷体" w:hAnsi="楷体" w:eastAsia="楷体" w:cs="楷体"/>
                <w:b w:val="0"/>
                <w:bCs w:val="0"/>
                <w:color w:val="auto"/>
                <w:sz w:val="24"/>
                <w:highlight w:val="none"/>
              </w:rPr>
              <w:t>多仓桌面胚胎培养箱</w:t>
            </w:r>
          </w:p>
        </w:tc>
        <w:tc>
          <w:tcPr>
            <w:tcW w:w="1515" w:type="dxa"/>
            <w:noWrap w:val="0"/>
            <w:vAlign w:val="center"/>
          </w:tcPr>
          <w:p w14:paraId="17AD992F">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11.5</w:t>
            </w:r>
          </w:p>
        </w:tc>
        <w:tc>
          <w:tcPr>
            <w:tcW w:w="1515" w:type="dxa"/>
            <w:noWrap w:val="0"/>
            <w:vAlign w:val="center"/>
          </w:tcPr>
          <w:p w14:paraId="6DE32022">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套</w:t>
            </w:r>
          </w:p>
        </w:tc>
        <w:tc>
          <w:tcPr>
            <w:tcW w:w="1517" w:type="dxa"/>
            <w:noWrap w:val="0"/>
            <w:vAlign w:val="center"/>
          </w:tcPr>
          <w:p w14:paraId="65698FD2">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2</w:t>
            </w:r>
          </w:p>
        </w:tc>
        <w:tc>
          <w:tcPr>
            <w:tcW w:w="1517" w:type="dxa"/>
            <w:noWrap w:val="0"/>
            <w:vAlign w:val="center"/>
          </w:tcPr>
          <w:p w14:paraId="31D679EE">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23</w:t>
            </w:r>
          </w:p>
        </w:tc>
      </w:tr>
      <w:tr w14:paraId="52EAD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872" w:type="dxa"/>
            <w:noWrap w:val="0"/>
            <w:vAlign w:val="center"/>
          </w:tcPr>
          <w:p w14:paraId="230A5668">
            <w:pPr>
              <w:spacing w:line="240" w:lineRule="auto"/>
              <w:ind w:firstLine="0" w:firstLineChars="0"/>
              <w:jc w:val="center"/>
              <w:rPr>
                <w:rFonts w:hint="eastAsia" w:ascii="仿宋_GB2312" w:hAnsi="仿宋_GB2312" w:eastAsia="仿宋_GB2312" w:cs="仿宋_GB2312"/>
                <w:b w:val="0"/>
                <w:bCs w:val="0"/>
                <w:color w:val="auto"/>
                <w:highlight w:val="none"/>
                <w:vertAlign w:val="baseline"/>
              </w:rPr>
            </w:pPr>
            <w:r>
              <w:rPr>
                <w:rFonts w:hint="eastAsia" w:ascii="楷体" w:hAnsi="楷体" w:eastAsia="楷体" w:cs="楷体"/>
                <w:b w:val="0"/>
                <w:bCs w:val="0"/>
                <w:color w:val="auto"/>
                <w:sz w:val="24"/>
                <w:highlight w:val="none"/>
              </w:rPr>
              <w:t>4</w:t>
            </w:r>
          </w:p>
        </w:tc>
        <w:tc>
          <w:tcPr>
            <w:tcW w:w="2159" w:type="dxa"/>
            <w:noWrap w:val="0"/>
            <w:vAlign w:val="center"/>
          </w:tcPr>
          <w:p w14:paraId="5573CF2C">
            <w:pPr>
              <w:spacing w:line="240" w:lineRule="auto"/>
              <w:ind w:firstLine="0" w:firstLineChars="0"/>
              <w:jc w:val="center"/>
              <w:rPr>
                <w:rFonts w:hint="eastAsia" w:ascii="仿宋_GB2312" w:hAnsi="仿宋_GB2312" w:eastAsia="仿宋_GB2312" w:cs="仿宋_GB2312"/>
                <w:b w:val="0"/>
                <w:bCs w:val="0"/>
                <w:color w:val="auto"/>
                <w:highlight w:val="none"/>
                <w:vertAlign w:val="baseline"/>
              </w:rPr>
            </w:pPr>
            <w:r>
              <w:rPr>
                <w:rFonts w:hint="eastAsia" w:ascii="楷体" w:hAnsi="楷体" w:eastAsia="楷体" w:cs="楷体"/>
                <w:b w:val="0"/>
                <w:bCs w:val="0"/>
                <w:color w:val="auto"/>
                <w:sz w:val="24"/>
                <w:highlight w:val="none"/>
              </w:rPr>
              <w:t>精子分析仪</w:t>
            </w:r>
          </w:p>
        </w:tc>
        <w:tc>
          <w:tcPr>
            <w:tcW w:w="1515" w:type="dxa"/>
            <w:noWrap w:val="0"/>
            <w:vAlign w:val="center"/>
          </w:tcPr>
          <w:p w14:paraId="3F037B54">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25</w:t>
            </w:r>
          </w:p>
        </w:tc>
        <w:tc>
          <w:tcPr>
            <w:tcW w:w="1515" w:type="dxa"/>
            <w:noWrap w:val="0"/>
            <w:vAlign w:val="center"/>
          </w:tcPr>
          <w:p w14:paraId="047421E3">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套</w:t>
            </w:r>
          </w:p>
        </w:tc>
        <w:tc>
          <w:tcPr>
            <w:tcW w:w="1517" w:type="dxa"/>
            <w:noWrap w:val="0"/>
            <w:vAlign w:val="center"/>
          </w:tcPr>
          <w:p w14:paraId="263C1081">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1</w:t>
            </w:r>
          </w:p>
        </w:tc>
        <w:tc>
          <w:tcPr>
            <w:tcW w:w="1517" w:type="dxa"/>
            <w:noWrap w:val="0"/>
            <w:vAlign w:val="center"/>
          </w:tcPr>
          <w:p w14:paraId="721177D4">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25</w:t>
            </w:r>
          </w:p>
        </w:tc>
      </w:tr>
      <w:tr w14:paraId="4524B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872" w:type="dxa"/>
            <w:noWrap w:val="0"/>
            <w:vAlign w:val="center"/>
          </w:tcPr>
          <w:p w14:paraId="2A2CB315">
            <w:pPr>
              <w:spacing w:line="240" w:lineRule="auto"/>
              <w:ind w:firstLine="0" w:firstLineChars="0"/>
              <w:jc w:val="center"/>
              <w:rPr>
                <w:rFonts w:hint="eastAsia" w:ascii="仿宋_GB2312" w:hAnsi="仿宋_GB2312" w:eastAsia="仿宋_GB2312" w:cs="仿宋_GB2312"/>
                <w:b w:val="0"/>
                <w:bCs w:val="0"/>
                <w:color w:val="auto"/>
                <w:highlight w:val="none"/>
                <w:vertAlign w:val="baseline"/>
              </w:rPr>
            </w:pPr>
            <w:r>
              <w:rPr>
                <w:rFonts w:hint="eastAsia" w:ascii="楷体" w:hAnsi="楷体" w:eastAsia="楷体" w:cs="楷体"/>
                <w:b w:val="0"/>
                <w:bCs w:val="0"/>
                <w:color w:val="auto"/>
                <w:sz w:val="24"/>
                <w:highlight w:val="none"/>
              </w:rPr>
              <w:t>5</w:t>
            </w:r>
          </w:p>
        </w:tc>
        <w:tc>
          <w:tcPr>
            <w:tcW w:w="2159" w:type="dxa"/>
            <w:noWrap w:val="0"/>
            <w:vAlign w:val="center"/>
          </w:tcPr>
          <w:p w14:paraId="6C413B5F">
            <w:pPr>
              <w:spacing w:line="240" w:lineRule="auto"/>
              <w:ind w:firstLine="0" w:firstLineChars="0"/>
              <w:jc w:val="center"/>
              <w:rPr>
                <w:rFonts w:hint="eastAsia" w:ascii="仿宋_GB2312" w:hAnsi="仿宋_GB2312" w:eastAsia="仿宋_GB2312" w:cs="仿宋_GB2312"/>
                <w:b w:val="0"/>
                <w:bCs w:val="0"/>
                <w:color w:val="auto"/>
                <w:highlight w:val="none"/>
                <w:vertAlign w:val="baseline"/>
              </w:rPr>
            </w:pPr>
            <w:r>
              <w:rPr>
                <w:rFonts w:hint="eastAsia" w:ascii="楷体" w:hAnsi="楷体" w:eastAsia="楷体" w:cs="楷体"/>
                <w:b w:val="0"/>
                <w:bCs w:val="0"/>
                <w:color w:val="auto"/>
                <w:sz w:val="24"/>
                <w:highlight w:val="none"/>
              </w:rPr>
              <w:t>CO</w:t>
            </w:r>
            <w:r>
              <w:rPr>
                <w:rFonts w:hint="eastAsia" w:ascii="楷体" w:hAnsi="楷体" w:eastAsia="楷体" w:cs="楷体"/>
                <w:b w:val="0"/>
                <w:bCs w:val="0"/>
                <w:color w:val="auto"/>
                <w:sz w:val="24"/>
                <w:highlight w:val="none"/>
                <w:vertAlign w:val="subscript"/>
              </w:rPr>
              <w:t>2</w:t>
            </w:r>
            <w:r>
              <w:rPr>
                <w:rFonts w:hint="eastAsia" w:ascii="楷体" w:hAnsi="楷体" w:eastAsia="楷体" w:cs="楷体"/>
                <w:b w:val="0"/>
                <w:bCs w:val="0"/>
                <w:color w:val="auto"/>
                <w:sz w:val="24"/>
                <w:highlight w:val="none"/>
              </w:rPr>
              <w:t>培养箱</w:t>
            </w:r>
          </w:p>
        </w:tc>
        <w:tc>
          <w:tcPr>
            <w:tcW w:w="1515" w:type="dxa"/>
            <w:noWrap w:val="0"/>
            <w:vAlign w:val="center"/>
          </w:tcPr>
          <w:p w14:paraId="226BC715">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4</w:t>
            </w:r>
          </w:p>
        </w:tc>
        <w:tc>
          <w:tcPr>
            <w:tcW w:w="1515" w:type="dxa"/>
            <w:noWrap w:val="0"/>
            <w:vAlign w:val="center"/>
          </w:tcPr>
          <w:p w14:paraId="12E5CCC8">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套</w:t>
            </w:r>
          </w:p>
        </w:tc>
        <w:tc>
          <w:tcPr>
            <w:tcW w:w="1517" w:type="dxa"/>
            <w:noWrap w:val="0"/>
            <w:vAlign w:val="center"/>
          </w:tcPr>
          <w:p w14:paraId="72705E20">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1</w:t>
            </w:r>
          </w:p>
        </w:tc>
        <w:tc>
          <w:tcPr>
            <w:tcW w:w="1517" w:type="dxa"/>
            <w:noWrap w:val="0"/>
            <w:vAlign w:val="center"/>
          </w:tcPr>
          <w:p w14:paraId="1A6A35B4">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4</w:t>
            </w:r>
          </w:p>
        </w:tc>
      </w:tr>
      <w:tr w14:paraId="148F0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872" w:type="dxa"/>
            <w:noWrap w:val="0"/>
            <w:vAlign w:val="center"/>
          </w:tcPr>
          <w:p w14:paraId="4A470DC6">
            <w:pPr>
              <w:spacing w:line="240" w:lineRule="auto"/>
              <w:ind w:firstLine="0" w:firstLineChars="0"/>
              <w:jc w:val="center"/>
              <w:rPr>
                <w:rFonts w:hint="eastAsia" w:ascii="仿宋_GB2312" w:hAnsi="仿宋_GB2312" w:eastAsia="仿宋_GB2312" w:cs="仿宋_GB2312"/>
                <w:b w:val="0"/>
                <w:bCs w:val="0"/>
                <w:color w:val="auto"/>
                <w:highlight w:val="none"/>
                <w:vertAlign w:val="baseline"/>
              </w:rPr>
            </w:pPr>
            <w:r>
              <w:rPr>
                <w:rFonts w:hint="eastAsia" w:ascii="楷体" w:hAnsi="楷体" w:eastAsia="楷体" w:cs="楷体"/>
                <w:b w:val="0"/>
                <w:bCs w:val="0"/>
                <w:color w:val="auto"/>
                <w:sz w:val="24"/>
                <w:highlight w:val="none"/>
              </w:rPr>
              <w:t>6</w:t>
            </w:r>
          </w:p>
        </w:tc>
        <w:tc>
          <w:tcPr>
            <w:tcW w:w="2159" w:type="dxa"/>
            <w:noWrap w:val="0"/>
            <w:vAlign w:val="center"/>
          </w:tcPr>
          <w:p w14:paraId="6FB2A635">
            <w:pPr>
              <w:spacing w:line="240" w:lineRule="auto"/>
              <w:ind w:firstLine="0" w:firstLineChars="0"/>
              <w:jc w:val="center"/>
              <w:rPr>
                <w:rFonts w:hint="eastAsia" w:ascii="仿宋_GB2312" w:hAnsi="仿宋_GB2312" w:eastAsia="仿宋_GB2312" w:cs="仿宋_GB2312"/>
                <w:b w:val="0"/>
                <w:bCs w:val="0"/>
                <w:color w:val="auto"/>
                <w:highlight w:val="none"/>
                <w:vertAlign w:val="baseline"/>
              </w:rPr>
            </w:pPr>
            <w:r>
              <w:rPr>
                <w:rFonts w:hint="eastAsia" w:ascii="楷体" w:hAnsi="楷体" w:eastAsia="楷体" w:cs="楷体"/>
                <w:b w:val="0"/>
                <w:bCs w:val="0"/>
                <w:color w:val="auto"/>
                <w:sz w:val="24"/>
                <w:highlight w:val="none"/>
              </w:rPr>
              <w:t>恒温加热板</w:t>
            </w:r>
          </w:p>
        </w:tc>
        <w:tc>
          <w:tcPr>
            <w:tcW w:w="1515" w:type="dxa"/>
            <w:noWrap w:val="0"/>
            <w:vAlign w:val="center"/>
          </w:tcPr>
          <w:p w14:paraId="12E2218C">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1</w:t>
            </w:r>
          </w:p>
        </w:tc>
        <w:tc>
          <w:tcPr>
            <w:tcW w:w="1515" w:type="dxa"/>
            <w:noWrap w:val="0"/>
            <w:vAlign w:val="center"/>
          </w:tcPr>
          <w:p w14:paraId="40BE7122">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套</w:t>
            </w:r>
          </w:p>
        </w:tc>
        <w:tc>
          <w:tcPr>
            <w:tcW w:w="1517" w:type="dxa"/>
            <w:noWrap w:val="0"/>
            <w:vAlign w:val="center"/>
          </w:tcPr>
          <w:p w14:paraId="259E787C">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1</w:t>
            </w:r>
          </w:p>
        </w:tc>
        <w:tc>
          <w:tcPr>
            <w:tcW w:w="1517" w:type="dxa"/>
            <w:noWrap w:val="0"/>
            <w:vAlign w:val="center"/>
          </w:tcPr>
          <w:p w14:paraId="23F7DAEE">
            <w:pPr>
              <w:spacing w:line="240" w:lineRule="auto"/>
              <w:ind w:firstLine="0" w:firstLineChars="0"/>
              <w:jc w:val="center"/>
              <w:rPr>
                <w:rFonts w:hint="eastAsia" w:ascii="Times New Roman" w:hAnsi="Times New Roman" w:eastAsia="楷体" w:cs="楷体"/>
                <w:b w:val="0"/>
                <w:bCs w:val="0"/>
                <w:color w:val="auto"/>
                <w:sz w:val="24"/>
                <w:highlight w:val="none"/>
              </w:rPr>
            </w:pPr>
            <w:r>
              <w:rPr>
                <w:rFonts w:hint="eastAsia" w:ascii="Times New Roman" w:hAnsi="Times New Roman" w:eastAsia="楷体" w:cs="楷体"/>
                <w:b w:val="0"/>
                <w:bCs w:val="0"/>
                <w:color w:val="auto"/>
                <w:sz w:val="24"/>
                <w:highlight w:val="none"/>
              </w:rPr>
              <w:t>1</w:t>
            </w:r>
          </w:p>
        </w:tc>
      </w:tr>
    </w:tbl>
    <w:p w14:paraId="1EA90F86">
      <w:pPr>
        <w:spacing w:line="360" w:lineRule="auto"/>
        <w:jc w:val="left"/>
        <w:rPr>
          <w:rFonts w:hint="eastAsia" w:ascii="仿宋_GB2312" w:hAnsi="仿宋_GB2312" w:eastAsia="仿宋_GB2312" w:cs="仿宋_GB2312"/>
          <w:color w:val="auto"/>
          <w:highlight w:val="none"/>
        </w:rPr>
      </w:pPr>
    </w:p>
    <w:p w14:paraId="4D209EA8">
      <w:pPr>
        <w:numPr>
          <w:ilvl w:val="0"/>
          <w:numId w:val="5"/>
        </w:numPr>
        <w:spacing w:line="360" w:lineRule="auto"/>
        <w:jc w:val="left"/>
        <w:rPr>
          <w:rFonts w:hint="eastAsia" w:ascii="Arial" w:hAnsi="Arial" w:eastAsia="仿宋" w:cs="Times New Roman"/>
          <w:b w:val="0"/>
          <w:bCs/>
          <w:color w:val="auto"/>
          <w:kern w:val="2"/>
          <w:sz w:val="28"/>
          <w:szCs w:val="24"/>
          <w:highlight w:val="none"/>
          <w:lang w:val="en-US" w:eastAsia="zh-CN" w:bidi="ar-SA"/>
        </w:rPr>
      </w:pPr>
      <w:r>
        <w:rPr>
          <w:rFonts w:hint="eastAsia" w:ascii="Arial" w:hAnsi="Arial" w:eastAsia="仿宋" w:cs="Times New Roman"/>
          <w:b w:val="0"/>
          <w:bCs/>
          <w:color w:val="auto"/>
          <w:kern w:val="2"/>
          <w:sz w:val="28"/>
          <w:szCs w:val="24"/>
          <w:highlight w:val="none"/>
          <w:lang w:val="en-US" w:eastAsia="zh-CN" w:bidi="ar-SA"/>
        </w:rPr>
        <w:t>主要技术要求</w:t>
      </w:r>
    </w:p>
    <w:tbl>
      <w:tblPr>
        <w:tblStyle w:val="20"/>
        <w:tblW w:w="9735" w:type="dxa"/>
        <w:tblInd w:w="-595" w:type="dxa"/>
        <w:tblBorders>
          <w:top w:val="double" w:color="auto" w:sz="4" w:space="0"/>
          <w:left w:val="none" w:color="auto" w:sz="0" w:space="0"/>
          <w:bottom w:val="double" w:color="auto" w:sz="4" w:space="0"/>
          <w:right w:val="none" w:color="auto" w:sz="0" w:space="0"/>
          <w:insideH w:val="dotted" w:color="auto" w:sz="4" w:space="0"/>
          <w:insideV w:val="dotted" w:color="auto" w:sz="4" w:space="0"/>
        </w:tblBorders>
        <w:tblLayout w:type="autofit"/>
        <w:tblCellMar>
          <w:top w:w="0" w:type="dxa"/>
          <w:left w:w="108" w:type="dxa"/>
          <w:bottom w:w="0" w:type="dxa"/>
          <w:right w:w="108" w:type="dxa"/>
        </w:tblCellMar>
      </w:tblPr>
      <w:tblGrid>
        <w:gridCol w:w="510"/>
        <w:gridCol w:w="1320"/>
        <w:gridCol w:w="7905"/>
      </w:tblGrid>
      <w:tr w14:paraId="5A0FE91D">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691" w:hRule="atLeast"/>
        </w:trPr>
        <w:tc>
          <w:tcPr>
            <w:tcW w:w="510" w:type="dxa"/>
            <w:tcBorders>
              <w:top w:val="double" w:color="auto" w:sz="4" w:space="0"/>
              <w:bottom w:val="single" w:color="auto" w:sz="4" w:space="0"/>
            </w:tcBorders>
            <w:noWrap w:val="0"/>
            <w:vAlign w:val="center"/>
          </w:tcPr>
          <w:p w14:paraId="1C04A10D">
            <w:pPr>
              <w:wordWrap w:val="0"/>
              <w:spacing w:line="240" w:lineRule="auto"/>
              <w:ind w:firstLine="0" w:firstLineChars="0"/>
              <w:jc w:val="center"/>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序号</w:t>
            </w:r>
          </w:p>
        </w:tc>
        <w:tc>
          <w:tcPr>
            <w:tcW w:w="1320" w:type="dxa"/>
            <w:tcBorders>
              <w:top w:val="double" w:color="auto" w:sz="4" w:space="0"/>
              <w:bottom w:val="single" w:color="auto" w:sz="4" w:space="0"/>
            </w:tcBorders>
            <w:noWrap w:val="0"/>
            <w:vAlign w:val="center"/>
          </w:tcPr>
          <w:p w14:paraId="49DF67D3">
            <w:pPr>
              <w:wordWrap w:val="0"/>
              <w:spacing w:line="240" w:lineRule="auto"/>
              <w:ind w:firstLine="0" w:firstLineChars="0"/>
              <w:jc w:val="center"/>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货物名称</w:t>
            </w:r>
          </w:p>
        </w:tc>
        <w:tc>
          <w:tcPr>
            <w:tcW w:w="7905" w:type="dxa"/>
            <w:tcBorders>
              <w:top w:val="double" w:color="auto" w:sz="4" w:space="0"/>
              <w:bottom w:val="single" w:color="auto" w:sz="4" w:space="0"/>
            </w:tcBorders>
            <w:noWrap w:val="0"/>
            <w:vAlign w:val="center"/>
          </w:tcPr>
          <w:p w14:paraId="03ADC62D">
            <w:pPr>
              <w:wordWrap w:val="0"/>
              <w:spacing w:line="240" w:lineRule="auto"/>
              <w:ind w:firstLine="0" w:firstLineChars="0"/>
              <w:jc w:val="center"/>
              <w:rPr>
                <w:rStyle w:val="22"/>
                <w:rFonts w:hint="eastAsia" w:ascii="楷体" w:hAnsi="楷体" w:eastAsia="楷体" w:cs="楷体"/>
                <w:bCs/>
                <w:color w:val="auto"/>
                <w:sz w:val="24"/>
                <w:highlight w:val="none"/>
              </w:rPr>
            </w:pPr>
            <w:r>
              <w:rPr>
                <w:rStyle w:val="22"/>
                <w:rFonts w:hint="eastAsia" w:ascii="楷体" w:hAnsi="楷体" w:eastAsia="楷体" w:cs="楷体"/>
                <w:bCs/>
                <w:color w:val="auto"/>
                <w:sz w:val="24"/>
                <w:highlight w:val="none"/>
              </w:rPr>
              <w:t>技术参数及要求</w:t>
            </w:r>
          </w:p>
        </w:tc>
      </w:tr>
      <w:tr w14:paraId="4A1D7C37">
        <w:tblPrEx>
          <w:tblBorders>
            <w:top w:val="double" w:color="auto" w:sz="4" w:space="0"/>
            <w:left w:val="none" w:color="auto" w:sz="0" w:space="0"/>
            <w:bottom w:val="double" w:color="auto" w:sz="4" w:space="0"/>
            <w:right w:val="none" w:color="auto" w:sz="0" w:space="0"/>
            <w:insideH w:val="dotted" w:color="auto" w:sz="4" w:space="0"/>
            <w:insideV w:val="dotted" w:color="auto" w:sz="4" w:space="0"/>
          </w:tblBorders>
          <w:tblCellMar>
            <w:top w:w="0" w:type="dxa"/>
            <w:left w:w="108" w:type="dxa"/>
            <w:bottom w:w="0" w:type="dxa"/>
            <w:right w:w="108" w:type="dxa"/>
          </w:tblCellMar>
        </w:tblPrEx>
        <w:trPr>
          <w:trHeight w:val="2636" w:hRule="atLeast"/>
        </w:trPr>
        <w:tc>
          <w:tcPr>
            <w:tcW w:w="510" w:type="dxa"/>
            <w:tcBorders>
              <w:top w:val="single" w:color="auto" w:sz="4" w:space="0"/>
              <w:tl2br w:val="nil"/>
              <w:tr2bl w:val="nil"/>
            </w:tcBorders>
            <w:noWrap w:val="0"/>
            <w:vAlign w:val="center"/>
          </w:tcPr>
          <w:p w14:paraId="3208EF37">
            <w:pPr>
              <w:wordWrap w:val="0"/>
              <w:spacing w:line="240" w:lineRule="auto"/>
              <w:ind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320" w:type="dxa"/>
            <w:tcBorders>
              <w:top w:val="single" w:color="auto" w:sz="4" w:space="0"/>
              <w:tl2br w:val="nil"/>
              <w:tr2bl w:val="nil"/>
            </w:tcBorders>
            <w:noWrap w:val="0"/>
            <w:vAlign w:val="center"/>
          </w:tcPr>
          <w:p w14:paraId="0BABF10C">
            <w:pPr>
              <w:wordWrap w:val="0"/>
              <w:spacing w:line="240" w:lineRule="auto"/>
              <w:ind w:firstLine="0" w:firstLineChars="0"/>
              <w:jc w:val="center"/>
              <w:rPr>
                <w:rFonts w:hint="eastAsia" w:ascii="宋体" w:hAnsi="宋体" w:eastAsia="宋体" w:cs="宋体"/>
                <w:color w:val="auto"/>
                <w:sz w:val="21"/>
                <w:szCs w:val="21"/>
                <w:highlight w:val="none"/>
              </w:rPr>
            </w:pPr>
            <w:r>
              <w:rPr>
                <w:rFonts w:hint="eastAsia" w:ascii="楷体" w:hAnsi="楷体" w:eastAsia="楷体" w:cs="楷体"/>
                <w:color w:val="auto"/>
                <w:sz w:val="24"/>
                <w:highlight w:val="none"/>
              </w:rPr>
              <w:t>保种质量控制系统设备</w:t>
            </w:r>
          </w:p>
        </w:tc>
        <w:tc>
          <w:tcPr>
            <w:tcW w:w="7905" w:type="dxa"/>
            <w:tcBorders>
              <w:top w:val="single" w:color="auto" w:sz="4" w:space="0"/>
              <w:tl2br w:val="nil"/>
              <w:tr2bl w:val="nil"/>
            </w:tcBorders>
            <w:noWrap w:val="0"/>
            <w:vAlign w:val="center"/>
          </w:tcPr>
          <w:p w14:paraId="16A1B4D5">
            <w:pPr>
              <w:spacing w:line="240" w:lineRule="auto"/>
              <w:ind w:firstLine="0" w:firstLineChars="0"/>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1.双人IVF工作站</w:t>
            </w:r>
          </w:p>
          <w:p w14:paraId="64548F4D">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1.1.双人工作台，可安装一套倒置显微镜与一套体视显微镜，工作站提供光源，满足配子/胚胎的操作需求。</w:t>
            </w:r>
          </w:p>
          <w:p w14:paraId="0F1B3391">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1.2.垂直层流，风速控制范围：0.2-0.5m/s，精度≤±0.02m/s；风速可调，可设置为高档风速（≥0.32m/s）和低档风速（≤0.25m/s）；能够提供均匀的风速，气流速不均匀度 ≤10%，无涡流、无向上气流，无死点。双层过滤系统，达到国家标准的百级洁净度。</w:t>
            </w:r>
          </w:p>
          <w:p w14:paraId="74F4A94C">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1.3.采用VOC预过滤与HEPA高效过滤的双层过滤系统，对于0.3μm以上（不含</w:t>
            </w:r>
            <w:r>
              <w:rPr>
                <w:rFonts w:ascii="楷体" w:hAnsi="楷体" w:eastAsia="楷体" w:cs="楷体"/>
                <w:color w:val="auto"/>
                <w:sz w:val="24"/>
                <w:highlight w:val="none"/>
              </w:rPr>
              <w:t>0.3μm</w:t>
            </w:r>
            <w:r>
              <w:rPr>
                <w:rFonts w:hint="eastAsia" w:ascii="楷体" w:hAnsi="楷体" w:eastAsia="楷体" w:cs="楷体"/>
                <w:color w:val="auto"/>
                <w:sz w:val="24"/>
                <w:highlight w:val="none"/>
              </w:rPr>
              <w:t>）的尘埃粒子过滤效率可达到不低于99.995%，达到国家标准的百级洁净度。</w:t>
            </w:r>
          </w:p>
          <w:p w14:paraId="70FDF622">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1.4.工作台操作空间尺寸：≥1800mmx</w:t>
            </w:r>
            <w:r>
              <w:rPr>
                <w:rFonts w:hint="eastAsia" w:ascii="楷体" w:hAnsi="楷体" w:eastAsia="楷体" w:cs="楷体"/>
                <w:color w:val="auto"/>
                <w:sz w:val="24"/>
                <w:highlight w:val="none"/>
                <w:lang w:val="en-US" w:eastAsia="zh-CN"/>
              </w:rPr>
              <w:t>500</w:t>
            </w:r>
            <w:r>
              <w:rPr>
                <w:rFonts w:hint="eastAsia" w:ascii="楷体" w:hAnsi="楷体" w:eastAsia="楷体" w:cs="楷体"/>
                <w:color w:val="auto"/>
                <w:sz w:val="24"/>
                <w:highlight w:val="none"/>
              </w:rPr>
              <w:t>mmx</w:t>
            </w:r>
            <w:r>
              <w:rPr>
                <w:rFonts w:hint="eastAsia" w:ascii="楷体" w:hAnsi="楷体" w:eastAsia="楷体" w:cs="楷体"/>
                <w:color w:val="auto"/>
                <w:sz w:val="24"/>
                <w:highlight w:val="none"/>
                <w:lang w:val="en-US" w:eastAsia="zh-CN"/>
              </w:rPr>
              <w:t>710</w:t>
            </w:r>
            <w:r>
              <w:rPr>
                <w:rFonts w:hint="eastAsia" w:ascii="楷体" w:hAnsi="楷体" w:eastAsia="楷体" w:cs="楷体"/>
                <w:color w:val="auto"/>
                <w:sz w:val="24"/>
                <w:highlight w:val="none"/>
              </w:rPr>
              <w:t>mm（长x宽x高）。</w:t>
            </w:r>
          </w:p>
          <w:p w14:paraId="161A56DD">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1.5.工作台照明为LED灯管，色温≥3500K，平均照度不小于600lux。</w:t>
            </w:r>
          </w:p>
          <w:p w14:paraId="478D0F70">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★1.6.采用不锈钢桌面，配置一个超大加热台面，尺寸≥800x500mm（W×D），温度精度≤±0.</w:t>
            </w:r>
            <w:r>
              <w:rPr>
                <w:rFonts w:hint="eastAsia" w:ascii="楷体" w:hAnsi="楷体" w:eastAsia="楷体" w:cs="楷体"/>
                <w:color w:val="auto"/>
                <w:sz w:val="24"/>
                <w:highlight w:val="none"/>
                <w:lang w:val="en-US" w:eastAsia="zh-CN"/>
              </w:rPr>
              <w:t>2</w:t>
            </w:r>
            <w:r>
              <w:rPr>
                <w:rFonts w:hint="eastAsia" w:ascii="楷体" w:hAnsi="楷体" w:eastAsia="楷体" w:cs="楷体"/>
                <w:color w:val="auto"/>
                <w:sz w:val="24"/>
                <w:highlight w:val="none"/>
              </w:rPr>
              <w:t>℃，温度均一性≤±0.2℃。</w:t>
            </w:r>
          </w:p>
          <w:p w14:paraId="4B0C78F7">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★1.7.</w:t>
            </w:r>
            <w:r>
              <w:rPr>
                <w:rFonts w:hint="eastAsia" w:ascii="楷体" w:hAnsi="楷体" w:eastAsia="楷体" w:cs="楷体"/>
                <w:color w:val="auto"/>
                <w:sz w:val="24"/>
                <w:highlight w:val="none"/>
                <w:lang w:val="en-US" w:eastAsia="zh-CN"/>
              </w:rPr>
              <w:t>采用自发热恒温玻璃</w:t>
            </w:r>
            <w:r>
              <w:rPr>
                <w:rFonts w:hint="eastAsia" w:ascii="楷体" w:hAnsi="楷体" w:eastAsia="楷体" w:cs="楷体"/>
                <w:color w:val="auto"/>
                <w:sz w:val="24"/>
                <w:highlight w:val="none"/>
              </w:rPr>
              <w:t>，直径≥90mm，温度独立控制，温度控制范围为室温+5℃～45℃，精度≤±0.1℃,稳定性≤±0.2℃。</w:t>
            </w:r>
          </w:p>
          <w:p w14:paraId="1B619A26">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1.8.采用LED灯为体视显微镜提供光源照明，亮度连续可调，照度范围0-2000Lux，色温：3000-3500K。</w:t>
            </w:r>
          </w:p>
          <w:p w14:paraId="4F3AD04B">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1.9.配备独立静压箱及吸声降噪设计，高风速运行时噪音≤54dB，低风速噪音≤48dB，高风速条件下振动幅度≤5μm。</w:t>
            </w:r>
          </w:p>
          <w:p w14:paraId="7AFB9F9B">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★1.10.配置≥23.8寸电脑显示屏。</w:t>
            </w:r>
          </w:p>
          <w:p w14:paraId="2633A6CC">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★1.11.配置地面支撑结构的机械防震支架，与操作台面隔离，多级减震结构满足多重防震，同时减少来自地面、风机以及人为碰撞产生的振动。</w:t>
            </w:r>
          </w:p>
          <w:p w14:paraId="21949F0F">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1.12.工作站下方内嵌一体式电脑主机层架，专用理线通道。</w:t>
            </w:r>
          </w:p>
          <w:p w14:paraId="2EC3BEFC">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1.13.在台面右侧设置便捷功能按键。</w:t>
            </w:r>
          </w:p>
          <w:p w14:paraId="6800903B">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1.14.配置≥7寸触控显示屏，实时监测仪器的各项参数，并可预约开关机时间、设置风速、滤膜耗材预警等，提供声光报警，并记录详细的报警信息。</w:t>
            </w:r>
          </w:p>
          <w:p w14:paraId="3CDA6000">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1.15.工作站进风口和预滤膜设置在工作站后侧或顶侧。</w:t>
            </w:r>
          </w:p>
          <w:p w14:paraId="5FC62EF3">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1.16.可选配键盘支架及体视显微镜原厂光源支架。</w:t>
            </w:r>
          </w:p>
          <w:p w14:paraId="4D529BA1">
            <w:pPr>
              <w:spacing w:line="240" w:lineRule="auto"/>
              <w:ind w:firstLine="0" w:firstLineChars="0"/>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2.体视显微镜</w:t>
            </w:r>
          </w:p>
          <w:p w14:paraId="2351DF11">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2.1.主机镜体：整机复消色差设计，主机和物镜均采用复消色差设计。</w:t>
            </w:r>
          </w:p>
          <w:p w14:paraId="6C35272D">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★2.2.光学系统：采用复消色差校正光学系统，彻底消除杂散光等干扰因素，提供最佳图象效果；</w:t>
            </w:r>
          </w:p>
          <w:p w14:paraId="17CAF8B4">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▲2.3.光学变倍比：光学变倍比≥9:1；</w:t>
            </w:r>
          </w:p>
          <w:p w14:paraId="572852E6">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2.4.放大倍数：标准倍数≥6.1×-55×；</w:t>
            </w:r>
          </w:p>
          <w:p w14:paraId="2331464C">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2.5.目镜：≥10倍宽视野目镜，视场数≥23mm；</w:t>
            </w:r>
          </w:p>
          <w:p w14:paraId="0F42050D">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2.6.目镜筒≤35度观察角，目镜筒瞳距可调，瞳距为50-76mm；</w:t>
            </w:r>
          </w:p>
          <w:p w14:paraId="43FF9273">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2.7.最大分辨率≥500线对/毫米；</w:t>
            </w:r>
          </w:p>
          <w:p w14:paraId="200E2D8B">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★2.8.工作距离（1×物镜）≥80mm；</w:t>
            </w:r>
          </w:p>
          <w:p w14:paraId="2C38A85F">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2.9.视野直径（1×物镜）≥37.6mm；</w:t>
            </w:r>
          </w:p>
          <w:p w14:paraId="02F36F31">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▲2.10.具备≥200lp/mm光学分辨能力，NA≥0.1或同等及以上高分辨率成像，能够实现大景深立体观察。</w:t>
            </w:r>
          </w:p>
          <w:p w14:paraId="613415F9">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2.11.防静电ESD防护，表面阻抗：≥2x10</w:t>
            </w:r>
            <w:r>
              <w:rPr>
                <w:rFonts w:hint="eastAsia" w:ascii="楷体" w:hAnsi="楷体" w:eastAsia="楷体" w:cs="楷体"/>
                <w:color w:val="auto"/>
                <w:sz w:val="24"/>
                <w:highlight w:val="none"/>
                <w:vertAlign w:val="superscript"/>
              </w:rPr>
              <w:t>3</w:t>
            </w:r>
            <w:r>
              <w:rPr>
                <w:rFonts w:hint="eastAsia" w:ascii="楷体" w:hAnsi="楷体" w:eastAsia="楷体" w:cs="楷体"/>
                <w:color w:val="auto"/>
                <w:sz w:val="24"/>
                <w:highlight w:val="none"/>
              </w:rPr>
              <w:t>欧姆/平方，放电时间≤2秒，从1000V至100V。</w:t>
            </w:r>
          </w:p>
          <w:p w14:paraId="7E552E90">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2.12.底座及照明：专业透反射光底座，具有环形光、斜照明和透射光功能。 </w:t>
            </w:r>
          </w:p>
          <w:p w14:paraId="3382D7B9">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2.13.数码采集装置：一体化内置高性能不低于1200万像素彩色数码采集装置。</w:t>
            </w:r>
          </w:p>
          <w:p w14:paraId="24D3B6E1">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2.14.分辨率≥1200万真实物理像素，具备静态图像采集和视频录制功能。</w:t>
            </w:r>
          </w:p>
          <w:p w14:paraId="7513069F">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2.15.全分辨率实时速度≥30 幅/秒（不低于1920×1080）。</w:t>
            </w:r>
          </w:p>
          <w:p w14:paraId="28A11D58">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2.16.曝光时不低于0.5ms到500ms。</w:t>
            </w:r>
          </w:p>
          <w:p w14:paraId="4B896EB3">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2.17.摄像头集成在主机内部，可有效减少占地空间，方便携带；同时内置式设计，克服外界环境的干扰，不易损坏。</w:t>
            </w:r>
          </w:p>
          <w:p w14:paraId="12751B57">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2.18.无需连接电脑即可进行图像采集和视频录制，所有操作通过无线遥控器实现。所采集的数据高速存储在可取出的SD卡上。无线遥控器可设定所有摄像头参数，只需一个按键即可捕捉和查看图像或影像片段。</w:t>
            </w:r>
          </w:p>
          <w:p w14:paraId="749558A6">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2.19.采集模式：具备USB模式、以太网模式和HDMI模式三种采集模式。以太网模式下，可通过以太网电缆将摄像头连接到局域网络上。HDMI模式下，可将摄像头连接到高清显示器上，实现脱离计算机的独立操作，有效减少台面的占用空间。</w:t>
            </w:r>
          </w:p>
          <w:p w14:paraId="51C66411">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2.20.具有快速USB3.0数据传输+同步快速实时图像传输能力：可实现每秒高于35帧的高分辨率（不低于1024 x768）高速动态实时图像传输观察，最大限度减少拖尾现象。</w:t>
            </w:r>
          </w:p>
          <w:p w14:paraId="6C1E3FAA">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2.21.软件系统：配置显微镜原厂软件，可实现图像采集，采集时可对爆光时间，亮度，对比度，白平衡，补偿等调节；图像处理功能，可实现锐化，增强，对比度，背景处理等；可实时添加比例尺，可实时测量任意两点间距离，可任意添加目标标注等；全面的图像浏览器，包括注释，图像叠加，图像画廊和图像比较；对实验条件直观的进行快速设置和收集；优化数据处理的快速采集和大型数据集显示；可对存储的图像进行基本手动测量，可存储多种图像格式，如jpg，bmp，tiff等格式。</w:t>
            </w:r>
          </w:p>
          <w:p w14:paraId="01D1379E">
            <w:pPr>
              <w:spacing w:line="240" w:lineRule="auto"/>
              <w:ind w:firstLine="0" w:firstLineChars="0"/>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3.多仓桌面胚胎培养箱（2台）</w:t>
            </w:r>
          </w:p>
          <w:p w14:paraId="5F6B36B0">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★3.1.培养箱具备独立的培养仓室≥4个，每个仓室温度独立控制。</w:t>
            </w:r>
          </w:p>
          <w:p w14:paraId="64CA570F">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3.2.每个培养仓室常规可至少放置4个φ35mm培养皿，或2个φ60mm培养皿，或2个66mmx66mm培养皿。</w:t>
            </w:r>
          </w:p>
          <w:p w14:paraId="676FC61F">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★3.3.培养仓室低顶或六面加热，仓盖温度可控，每个培养仓室温度控制精度≤±0.</w:t>
            </w:r>
            <w:r>
              <w:rPr>
                <w:rFonts w:hint="eastAsia" w:ascii="楷体" w:hAnsi="楷体" w:eastAsia="楷体" w:cs="楷体"/>
                <w:color w:val="auto"/>
                <w:sz w:val="24"/>
                <w:highlight w:val="none"/>
                <w:lang w:val="en-US" w:eastAsia="zh-CN"/>
              </w:rPr>
              <w:t>2</w:t>
            </w:r>
            <w:r>
              <w:rPr>
                <w:rFonts w:hint="eastAsia" w:ascii="楷体" w:hAnsi="楷体" w:eastAsia="楷体" w:cs="楷体"/>
                <w:color w:val="auto"/>
                <w:sz w:val="24"/>
                <w:highlight w:val="none"/>
              </w:rPr>
              <w:t>℃，温度均一性偏差≤±0.1℃。</w:t>
            </w:r>
          </w:p>
          <w:p w14:paraId="7BF54A29">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3.4.仓室内温度可在≤1分钟内恢复至设定值。内置气体混合机，接纯CO</w:t>
            </w:r>
            <w:r>
              <w:rPr>
                <w:rFonts w:hint="eastAsia" w:ascii="楷体" w:hAnsi="楷体" w:eastAsia="楷体" w:cs="楷体"/>
                <w:color w:val="auto"/>
                <w:sz w:val="24"/>
                <w:highlight w:val="none"/>
                <w:vertAlign w:val="subscript"/>
              </w:rPr>
              <w:t>2</w:t>
            </w:r>
            <w:r>
              <w:rPr>
                <w:rFonts w:hint="eastAsia" w:ascii="楷体" w:hAnsi="楷体" w:eastAsia="楷体" w:cs="楷体"/>
                <w:color w:val="auto"/>
                <w:sz w:val="24"/>
                <w:highlight w:val="none"/>
              </w:rPr>
              <w:t>和N</w:t>
            </w:r>
            <w:r>
              <w:rPr>
                <w:rFonts w:hint="eastAsia" w:ascii="楷体" w:hAnsi="楷体" w:eastAsia="楷体" w:cs="楷体"/>
                <w:color w:val="auto"/>
                <w:sz w:val="24"/>
                <w:highlight w:val="none"/>
                <w:vertAlign w:val="subscript"/>
              </w:rPr>
              <w:t>2</w:t>
            </w:r>
            <w:r>
              <w:rPr>
                <w:rFonts w:hint="eastAsia" w:ascii="楷体" w:hAnsi="楷体" w:eastAsia="楷体" w:cs="楷体"/>
                <w:color w:val="auto"/>
                <w:sz w:val="24"/>
                <w:highlight w:val="none"/>
              </w:rPr>
              <w:t>气体。配备在线HEPA/VOC气体过滤器。</w:t>
            </w:r>
          </w:p>
          <w:p w14:paraId="7FEE0A02">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★3.5.CO</w:t>
            </w:r>
            <w:r>
              <w:rPr>
                <w:rFonts w:hint="eastAsia" w:ascii="楷体" w:hAnsi="楷体" w:eastAsia="楷体" w:cs="楷体"/>
                <w:color w:val="auto"/>
                <w:sz w:val="24"/>
                <w:highlight w:val="none"/>
                <w:vertAlign w:val="subscript"/>
              </w:rPr>
              <w:t>2</w:t>
            </w:r>
            <w:r>
              <w:rPr>
                <w:rFonts w:hint="eastAsia" w:ascii="楷体" w:hAnsi="楷体" w:eastAsia="楷体" w:cs="楷体"/>
                <w:color w:val="auto"/>
                <w:sz w:val="24"/>
                <w:highlight w:val="none"/>
              </w:rPr>
              <w:t>浓度控制范围：2.0%-10.0%，CO</w:t>
            </w:r>
            <w:r>
              <w:rPr>
                <w:rFonts w:hint="eastAsia" w:ascii="楷体" w:hAnsi="楷体" w:eastAsia="楷体" w:cs="楷体"/>
                <w:color w:val="auto"/>
                <w:sz w:val="24"/>
                <w:highlight w:val="none"/>
                <w:vertAlign w:val="subscript"/>
              </w:rPr>
              <w:t>2</w:t>
            </w:r>
            <w:r>
              <w:rPr>
                <w:rFonts w:hint="eastAsia" w:ascii="楷体" w:hAnsi="楷体" w:eastAsia="楷体" w:cs="楷体"/>
                <w:color w:val="auto"/>
                <w:sz w:val="24"/>
                <w:highlight w:val="none"/>
              </w:rPr>
              <w:t>浓度控制精度≤±0.3%，稳定状态下气体浓度波动度≤±0.3%。</w:t>
            </w:r>
          </w:p>
          <w:p w14:paraId="4F33831B">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★3.6.O</w:t>
            </w:r>
            <w:r>
              <w:rPr>
                <w:rFonts w:hint="eastAsia" w:ascii="楷体" w:hAnsi="楷体" w:eastAsia="楷体" w:cs="楷体"/>
                <w:color w:val="auto"/>
                <w:sz w:val="24"/>
                <w:highlight w:val="none"/>
                <w:vertAlign w:val="subscript"/>
              </w:rPr>
              <w:t>2</w:t>
            </w:r>
            <w:r>
              <w:rPr>
                <w:rFonts w:hint="eastAsia" w:ascii="楷体" w:hAnsi="楷体" w:eastAsia="楷体" w:cs="楷体"/>
                <w:color w:val="auto"/>
                <w:sz w:val="24"/>
                <w:highlight w:val="none"/>
              </w:rPr>
              <w:t>浓度控制范围：2.0%-15.0%，O</w:t>
            </w:r>
            <w:r>
              <w:rPr>
                <w:rFonts w:hint="eastAsia" w:ascii="楷体" w:hAnsi="楷体" w:eastAsia="楷体" w:cs="楷体"/>
                <w:color w:val="auto"/>
                <w:sz w:val="24"/>
                <w:highlight w:val="none"/>
                <w:vertAlign w:val="subscript"/>
              </w:rPr>
              <w:t>2</w:t>
            </w:r>
            <w:r>
              <w:rPr>
                <w:rFonts w:hint="eastAsia" w:ascii="楷体" w:hAnsi="楷体" w:eastAsia="楷体" w:cs="楷体"/>
                <w:color w:val="auto"/>
                <w:sz w:val="24"/>
                <w:highlight w:val="none"/>
              </w:rPr>
              <w:t>浓度控制精度≤±0.</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%，稳定状态下O</w:t>
            </w:r>
            <w:r>
              <w:rPr>
                <w:rFonts w:hint="eastAsia" w:ascii="楷体" w:hAnsi="楷体" w:eastAsia="楷体" w:cs="楷体"/>
                <w:color w:val="auto"/>
                <w:sz w:val="24"/>
                <w:highlight w:val="none"/>
                <w:vertAlign w:val="subscript"/>
              </w:rPr>
              <w:t>2</w:t>
            </w:r>
            <w:r>
              <w:rPr>
                <w:rFonts w:hint="eastAsia" w:ascii="楷体" w:hAnsi="楷体" w:eastAsia="楷体" w:cs="楷体"/>
                <w:color w:val="auto"/>
                <w:sz w:val="24"/>
                <w:highlight w:val="none"/>
              </w:rPr>
              <w:t>浓度波动度≤±0.</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w:t>
            </w:r>
          </w:p>
          <w:p w14:paraId="09786B2F">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★3.7.采用低耗气或气体循环设计；CO2及N2稳态耗气量应满足长期胚胎培养需要.</w:t>
            </w:r>
          </w:p>
          <w:p w14:paraId="63E7870E">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▲3.8.可实时显⽰仓室内样本信息及温度信息。</w:t>
            </w:r>
          </w:p>
          <w:p w14:paraId="556B535F">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3.9.舱盖具有阻尼或等同安全结构，如锁扣，防滑等，可有效避免仓盖意外滑落或开启。</w:t>
            </w:r>
          </w:p>
          <w:p w14:paraId="37D8FC05">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3.10.可选配仓扩容模块，容量加倍培养箱内嵌≤7"的触控屏，显示样品信息及培养条件关键信息。</w:t>
            </w:r>
          </w:p>
          <w:p w14:paraId="5117F988">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3.11.触控屏可设置培养箱的参数、报警，编辑、更改、温度和气体浓度的校准、开关仓时间等信息。</w:t>
            </w:r>
          </w:p>
          <w:p w14:paraId="7285EF17">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3.12.触控屏可以实时查看温度、气体浓度和气体流量的变化曲线，滤器寿命预警等。</w:t>
            </w:r>
          </w:p>
          <w:p w14:paraId="46374BC4">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3.13.具备开仓盖超时报警功能，且报警时间可在10-60秒之间调整。</w:t>
            </w:r>
          </w:p>
          <w:p w14:paraId="23F36996">
            <w:pPr>
              <w:spacing w:line="240" w:lineRule="auto"/>
              <w:ind w:firstLine="0" w:firstLineChars="0"/>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4.精子分析仪</w:t>
            </w:r>
          </w:p>
          <w:p w14:paraId="64703314">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4.1硬件配置</w:t>
            </w:r>
          </w:p>
          <w:p w14:paraId="2C4D792D">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4.1.1.自动平台: 三轴联动自动扫描平台，X、Y轴移动精度≤0.2μm，Z轴移动精度不高于0.1μm，自动调焦、自动扫描；配备至少4片装玻片夹，可同时放置至少4片载玻片；标配大面积恒温玻璃板，尺寸≥130x75mm，温度精度±0.1℃。</w:t>
            </w:r>
          </w:p>
          <w:p w14:paraId="0A2B45FB">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4.1.2.配置一次性承载片不低于1盒，规格不少于50片/盒，无需配备辅助装置，平台的平整性不受影响。</w:t>
            </w:r>
          </w:p>
          <w:p w14:paraId="53294816">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★4.1.3.计算机：CPU≥四核、显示器≥23.8寸（分辨率≥1920×1080）、内存≥16G、固态硬盘≥1T，网口≥2个。</w:t>
            </w:r>
          </w:p>
          <w:p w14:paraId="77722B33">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产品参数要求不详尽之处，须严格参考《财政部、工业和信息化部关于印发&lt;台式计算机政府采购需求标准（2023版）&gt;的通知》要求执行，达到招标人实际使用需求。</w:t>
            </w:r>
            <w:r>
              <w:rPr>
                <w:rFonts w:hint="eastAsia" w:ascii="楷体" w:hAnsi="楷体" w:eastAsia="楷体" w:cs="楷体"/>
                <w:b/>
                <w:bCs/>
                <w:color w:val="auto"/>
                <w:sz w:val="24"/>
                <w:highlight w:val="none"/>
              </w:rPr>
              <w:t>提供承诺函</w:t>
            </w:r>
            <w:r>
              <w:rPr>
                <w:rFonts w:hint="eastAsia" w:ascii="楷体" w:hAnsi="楷体" w:eastAsia="楷体" w:cs="楷体"/>
                <w:color w:val="auto"/>
                <w:sz w:val="24"/>
                <w:highlight w:val="none"/>
              </w:rPr>
              <w:t>，承诺所投产品参数严格参考《财政部、工业和信息化部关于印发&lt;台式计算机政府采购需求标准（2023版）&gt;的通知》要求，达到招标人实际使用需求。”。</w:t>
            </w:r>
          </w:p>
          <w:p w14:paraId="54DAC599">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4.1.4.相差显微镜：配备相差显微镜，LED光源，10X（9.5X-10X）负相差、19X-21X平场物镜、100X油镜，相差聚光镜。</w:t>
            </w:r>
          </w:p>
          <w:p w14:paraId="566267E8">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4.1.5.彩色专业相机：采用彩色相机，最大帧率99fps，分辨率≥500万像素。</w:t>
            </w:r>
          </w:p>
          <w:p w14:paraId="1748D265">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4.2软件性能</w:t>
            </w:r>
          </w:p>
          <w:p w14:paraId="478A6D39">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4.2.1.精子浓度和活力分析软件：</w:t>
            </w:r>
          </w:p>
          <w:p w14:paraId="6A3CCBED">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★4.2.1.1.采用负相差图像分析，软件可识别动物精子，可过滤精液中的杂质、凝集区域及大片气泡等，精子抓捕率≥95%。</w:t>
            </w:r>
          </w:p>
          <w:p w14:paraId="1FC6E80B">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4.2.1.2.准确分析各级活力精子，快速运动精子符合率≥90%，慢速运动精子符合率≥90%，能动精子符合率≥90%，不动精子符合率≥90%。</w:t>
            </w:r>
          </w:p>
          <w:p w14:paraId="6AB1BEA3">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4.2.1.3.实时显示摄像机真实频率下的精子运动轨迹。</w:t>
            </w:r>
          </w:p>
          <w:p w14:paraId="3098D342">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4.2.1.4.具有测量精子运动参数，显示≥9个运动参数值：曲线速率（VCL）（μm/s）、直线速率（VSL）（μm/s）、平均路径速率（VAP）（μm/s）、精子头部侧摆幅度（ALH）（μm）、直线性（LIN）（%）、摆动性（WOB）（%）、前向性（SRT）（%）、平均角位移（MAD）（度）、鞭打频率（BCF）（HZ）。</w:t>
            </w:r>
          </w:p>
          <w:p w14:paraId="1467C899">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4.2.1.5.自动汇总统计视野精子数分布趋势图、统计精子密度与精子总数；自动分类统计各级活力精子的个数、精子密度、精子总数、百分率，精子运动参数的单精子值与平均值等多项检测项目。</w:t>
            </w:r>
          </w:p>
          <w:p w14:paraId="53795CF7">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4.2.1.6.软件支持精子浓度活力视频录制，并进行保存。</w:t>
            </w:r>
          </w:p>
          <w:p w14:paraId="5CE098E8">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4.2.2.形态学分析软件：</w:t>
            </w:r>
          </w:p>
          <w:p w14:paraId="74630923">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4.2.2.1.采用高像素图像分析，软件可识别精子，可过滤精液中的杂质、碎片、细胞等，精子抓捕率≥95%。</w:t>
            </w:r>
          </w:p>
          <w:p w14:paraId="63A6674E">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★4.2.2.2.采用AI技术，识别正常形态精子及异常形态精子,识别符合率≥90%。</w:t>
            </w:r>
          </w:p>
          <w:p w14:paraId="3A7281EB">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4.2.2.3.采用Diff-Quik、姬姆萨、巴氏等多种染色的精子形态抓捕模式。</w:t>
            </w:r>
          </w:p>
          <w:p w14:paraId="1B87911A">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4.2.2.4.准确分割精子的头部和中段，自动识别并分析头部缺陷、顶体、颈部和中段缺陷、主段缺陷、原生质滴形状分类等多项检测项目。</w:t>
            </w:r>
          </w:p>
          <w:p w14:paraId="0CA0C098">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4.2.2.5.能识别头部异常分类，可根据不同物种划分头部分类，例如小鼠异常头部分类包括大头、小头、尖头、双头、香蕉头、无钩、不规则等。</w:t>
            </w:r>
          </w:p>
          <w:p w14:paraId="72516FD6">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4.2.2.6.每张精子形态图谱上都标有9.7</w:t>
            </w:r>
            <w:r>
              <w:rPr>
                <w:rFonts w:ascii="楷体" w:hAnsi="楷体" w:eastAsia="楷体" w:cs="楷体"/>
                <w:color w:val="auto"/>
                <w:sz w:val="24"/>
                <w:highlight w:val="none"/>
              </w:rPr>
              <w:t>μm</w:t>
            </w:r>
            <w:r>
              <w:rPr>
                <w:rFonts w:hint="eastAsia" w:ascii="楷体" w:hAnsi="楷体" w:eastAsia="楷体" w:cs="楷体"/>
                <w:color w:val="auto"/>
                <w:sz w:val="24"/>
                <w:highlight w:val="none"/>
              </w:rPr>
              <w:t>-10.3μm的比例尺。</w:t>
            </w:r>
          </w:p>
          <w:p w14:paraId="27E52EE4">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4.2.2.7.能进行精子形态逐个分析的图像回放，并可以对精子头部、顶体、中段、主段、原生质滴的分析结果进行核对。</w:t>
            </w:r>
          </w:p>
          <w:p w14:paraId="38BFED50">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4.2.2.8.能独立显示任意单个染色精子的测量数据，根据不同物种划分参数。</w:t>
            </w:r>
          </w:p>
          <w:p w14:paraId="03EF0453">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4.2.3.数据管理：</w:t>
            </w:r>
          </w:p>
          <w:p w14:paraId="37B42FAD">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4.2.3.1.测量结果导出功能：可自动导出每条精子浓度与活力检测、形态学分析的测量结果，数据导出形式包含但不限于EXCEL表格，适合研究需求。</w:t>
            </w:r>
          </w:p>
          <w:p w14:paraId="723E384A">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4.2.3.2.统计功能：自动统计某一时间、年龄段、同一名称多次检测的数据，支持多参数查询统计，数据经过统计学处理可导出Excel文件。</w:t>
            </w:r>
          </w:p>
          <w:p w14:paraId="3F997EEF">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4.2.4.采集要求</w:t>
            </w:r>
          </w:p>
          <w:p w14:paraId="23B15D9E">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4.2.4.1.采集系统、分析软件独立运行，审核分析结果时，可同时进行下一个标本的检测。</w:t>
            </w:r>
          </w:p>
          <w:p w14:paraId="6A06366A">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4.2.4.2.自动对焦、自动扫描，有人工辅助手动采集功能。</w:t>
            </w:r>
          </w:p>
          <w:p w14:paraId="0C0873B4">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4.2.5.其他功能：</w:t>
            </w:r>
          </w:p>
          <w:p w14:paraId="2D8D055C">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4.2.5.1.具有两次差异性检测功能。</w:t>
            </w:r>
          </w:p>
          <w:p w14:paraId="18325067">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4.2.5.2.可自动采集精子，也可人工辅助手动采集。</w:t>
            </w:r>
          </w:p>
          <w:p w14:paraId="6607784E">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4.2.5.3.具有视野审核、报告图片选择功能。</w:t>
            </w:r>
          </w:p>
          <w:p w14:paraId="75A3EE83">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4.2.5.4.具有浓度与活力图片、视频，形态学图片导入功能，软件可自动分析结果。</w:t>
            </w:r>
          </w:p>
          <w:p w14:paraId="6EE05FB9">
            <w:pPr>
              <w:spacing w:line="240" w:lineRule="auto"/>
              <w:ind w:firstLine="0" w:firstLineChars="0"/>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5.CO</w:t>
            </w:r>
            <w:r>
              <w:rPr>
                <w:rFonts w:hint="eastAsia" w:ascii="楷体" w:hAnsi="楷体" w:eastAsia="楷体" w:cs="楷体"/>
                <w:b/>
                <w:bCs/>
                <w:color w:val="auto"/>
                <w:sz w:val="24"/>
                <w:highlight w:val="none"/>
                <w:vertAlign w:val="subscript"/>
              </w:rPr>
              <w:t>2</w:t>
            </w:r>
            <w:r>
              <w:rPr>
                <w:rFonts w:hint="eastAsia" w:ascii="楷体" w:hAnsi="楷体" w:eastAsia="楷体" w:cs="楷体"/>
                <w:b/>
                <w:bCs/>
                <w:color w:val="auto"/>
                <w:sz w:val="24"/>
                <w:highlight w:val="none"/>
              </w:rPr>
              <w:t>培养箱</w:t>
            </w:r>
          </w:p>
          <w:p w14:paraId="252C7D1A">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5.1、气套式加热系统，六面加热，内腔容积≥170L；</w:t>
            </w:r>
          </w:p>
          <w:p w14:paraId="306121A5">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温度范围：室温以上6℃至50℃；37℃时温度偏差：±0.3℃；</w:t>
            </w:r>
          </w:p>
          <w:p w14:paraId="27F3D4E2">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温度波动度：±0.1℃；37℃时打开门30秒的恢复时间≤8分钟；CO</w:t>
            </w:r>
            <w:r>
              <w:rPr>
                <w:rFonts w:hint="eastAsia" w:ascii="楷体" w:hAnsi="楷体" w:eastAsia="楷体" w:cs="楷体"/>
                <w:color w:val="auto"/>
                <w:sz w:val="24"/>
                <w:highlight w:val="none"/>
                <w:vertAlign w:val="subscript"/>
              </w:rPr>
              <w:t>2</w:t>
            </w:r>
            <w:r>
              <w:rPr>
                <w:rFonts w:hint="eastAsia" w:ascii="楷体" w:hAnsi="楷体" w:eastAsia="楷体" w:cs="楷体"/>
                <w:color w:val="auto"/>
                <w:sz w:val="24"/>
                <w:highlight w:val="none"/>
              </w:rPr>
              <w:t>控制范围：0～20%，设定精度：≤0.1%；5%CO</w:t>
            </w:r>
            <w:r>
              <w:rPr>
                <w:rFonts w:hint="eastAsia" w:ascii="楷体" w:hAnsi="楷体" w:eastAsia="楷体" w:cs="楷体"/>
                <w:color w:val="auto"/>
                <w:sz w:val="24"/>
                <w:highlight w:val="none"/>
                <w:vertAlign w:val="subscript"/>
              </w:rPr>
              <w:t>2</w:t>
            </w:r>
            <w:r>
              <w:rPr>
                <w:rFonts w:hint="eastAsia" w:ascii="楷体" w:hAnsi="楷体" w:eastAsia="楷体" w:cs="楷体"/>
                <w:color w:val="auto"/>
                <w:sz w:val="24"/>
                <w:highlight w:val="none"/>
              </w:rPr>
              <w:t>浓度时开门20-30秒的恢复时间≤5分钟；湿度范围：90-95%RH。</w:t>
            </w:r>
          </w:p>
          <w:p w14:paraId="669B4AC6">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5.2.LCD彩色液晶显示屏，微处理控制器。</w:t>
            </w:r>
          </w:p>
          <w:p w14:paraId="3187E52F">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5.3.可实现≥180℃自动干热灭菌。</w:t>
            </w:r>
          </w:p>
          <w:p w14:paraId="221071BD">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5.4.防冷凝加湿系统，可直接杜绝高湿度情况下的内腔无附着冷凝水。</w:t>
            </w:r>
          </w:p>
          <w:p w14:paraId="59E299B7">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5.5.采用IR红外CO</w:t>
            </w:r>
            <w:r>
              <w:rPr>
                <w:rFonts w:hint="eastAsia" w:ascii="楷体" w:hAnsi="楷体" w:eastAsia="楷体" w:cs="楷体"/>
                <w:color w:val="auto"/>
                <w:sz w:val="24"/>
                <w:highlight w:val="none"/>
                <w:vertAlign w:val="subscript"/>
              </w:rPr>
              <w:t>2</w:t>
            </w:r>
            <w:r>
              <w:rPr>
                <w:rFonts w:hint="eastAsia" w:ascii="楷体" w:hAnsi="楷体" w:eastAsia="楷体" w:cs="楷体"/>
                <w:color w:val="auto"/>
                <w:sz w:val="24"/>
                <w:highlight w:val="none"/>
              </w:rPr>
              <w:t>浓度探头，零漂移，精准度比TC热导传感器更高。</w:t>
            </w:r>
          </w:p>
          <w:p w14:paraId="16403974">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5.6.采用气体预混，主动循环或其它同等以上气体均匀化技术，提前混合气体，保证箱体内部CO</w:t>
            </w:r>
            <w:r>
              <w:rPr>
                <w:rFonts w:hint="eastAsia" w:ascii="楷体" w:hAnsi="楷体" w:eastAsia="楷体" w:cs="楷体"/>
                <w:color w:val="auto"/>
                <w:sz w:val="24"/>
                <w:highlight w:val="none"/>
                <w:vertAlign w:val="subscript"/>
              </w:rPr>
              <w:t>2</w:t>
            </w:r>
            <w:r>
              <w:rPr>
                <w:rFonts w:hint="eastAsia" w:ascii="楷体" w:hAnsi="楷体" w:eastAsia="楷体" w:cs="楷体"/>
                <w:color w:val="auto"/>
                <w:sz w:val="24"/>
                <w:highlight w:val="none"/>
              </w:rPr>
              <w:t>浓度高度均匀，长期稳定，无漂移。</w:t>
            </w:r>
          </w:p>
          <w:p w14:paraId="59E09309">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5.7.内部气流设计应降低污染风险，并便于清洁消毒。</w:t>
            </w:r>
          </w:p>
          <w:p w14:paraId="214CE34E">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5.8.具备红外感应技术的湿度传感器。</w:t>
            </w:r>
          </w:p>
          <w:p w14:paraId="74F4016F">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5.9.符合人体工程学的外门门把手设计；内门采用高强度安全钢化玻璃。</w:t>
            </w:r>
          </w:p>
          <w:p w14:paraId="54B27E28">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5.10.内腔为高品质不锈钢一体成型压制而成，无焊缝，所有角落保证可以直接触碰；穿孔设计的隔板采用不锈钢材质，与内腔紧密结合，外露2/3也可保证隔板支撑物体不滑落。</w:t>
            </w:r>
          </w:p>
          <w:p w14:paraId="0E40B83A">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5.11.具备声光报警系统，显示屏具备问题提示信息。</w:t>
            </w:r>
          </w:p>
          <w:p w14:paraId="3C0F5862">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具备0电压报警系统。</w:t>
            </w:r>
          </w:p>
          <w:p w14:paraId="6FA95F0C">
            <w:pPr>
              <w:spacing w:line="240" w:lineRule="auto"/>
              <w:ind w:firstLine="0" w:firstLineChars="0"/>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6.恒温加热板</w:t>
            </w:r>
          </w:p>
          <w:p w14:paraId="3A2E8454">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6.1.专为动物胚胎技术实验室设计，用于维持配子和胚胎的温度。</w:t>
            </w:r>
          </w:p>
          <w:p w14:paraId="7584F561">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6.2.内置控制器，液晶显示屏；采用耐用且平整的玻璃，金属或其它高导热材料面板，适用于培养皿，孔板及金属试管架。</w:t>
            </w:r>
          </w:p>
          <w:p w14:paraId="65F1DAA4">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6.3.温度稳定性：±0.1℃，温度均一性：±0.2℃</w:t>
            </w:r>
          </w:p>
          <w:p w14:paraId="09E901F9">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非常平坦且节省空间，超薄厚度：≤</w:t>
            </w:r>
            <w:r>
              <w:rPr>
                <w:rFonts w:hint="eastAsia" w:ascii="楷体" w:hAnsi="楷体" w:eastAsia="楷体" w:cs="楷体"/>
                <w:color w:val="auto"/>
                <w:sz w:val="24"/>
                <w:highlight w:val="none"/>
                <w:lang w:val="en-US" w:eastAsia="zh-CN"/>
              </w:rPr>
              <w:t>20</w:t>
            </w:r>
            <w:r>
              <w:rPr>
                <w:rFonts w:hint="eastAsia" w:ascii="楷体" w:hAnsi="楷体" w:eastAsia="楷体" w:cs="楷体"/>
                <w:color w:val="auto"/>
                <w:sz w:val="24"/>
                <w:highlight w:val="none"/>
              </w:rPr>
              <w:t>mm。</w:t>
            </w:r>
          </w:p>
          <w:p w14:paraId="289A6083">
            <w:pPr>
              <w:spacing w:line="240" w:lineRule="auto"/>
              <w:ind w:firstLine="0" w:firstLineChars="0"/>
              <w:rPr>
                <w:rFonts w:hint="eastAsia" w:ascii="楷体" w:hAnsi="楷体" w:eastAsia="楷体" w:cs="楷体"/>
                <w:color w:val="auto"/>
                <w:sz w:val="24"/>
                <w:highlight w:val="none"/>
              </w:rPr>
            </w:pPr>
            <w:r>
              <w:rPr>
                <w:rFonts w:hint="eastAsia" w:ascii="楷体" w:hAnsi="楷体" w:eastAsia="楷体" w:cs="楷体"/>
                <w:color w:val="auto"/>
                <w:sz w:val="24"/>
                <w:highlight w:val="none"/>
              </w:rPr>
              <w:t>6.4.具备温度数据记录，存储及导出功能，实现温度数据追溯。</w:t>
            </w:r>
          </w:p>
          <w:p w14:paraId="367E515E">
            <w:pPr>
              <w:spacing w:line="240" w:lineRule="auto"/>
              <w:ind w:firstLine="0" w:firstLineChars="0"/>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6.5.支持外接电源供电，可选配移动电源，备用电源或具有同等断电保障能力的供电方案</w:t>
            </w:r>
            <w:r>
              <w:rPr>
                <w:rFonts w:hint="eastAsia" w:ascii="楷体" w:hAnsi="楷体" w:eastAsia="楷体" w:cs="楷体"/>
                <w:color w:val="auto"/>
                <w:sz w:val="24"/>
                <w:highlight w:val="none"/>
                <w:lang w:eastAsia="zh-CN"/>
              </w:rPr>
              <w:t>。</w:t>
            </w:r>
          </w:p>
          <w:p w14:paraId="41BD7844">
            <w:pPr>
              <w:adjustRightInd/>
              <w:snapToGrid/>
              <w:spacing w:line="240" w:lineRule="auto"/>
              <w:ind w:firstLine="0" w:firstLineChars="0"/>
              <w:rPr>
                <w:rFonts w:hint="eastAsia" w:ascii="宋体" w:hAnsi="宋体" w:eastAsia="宋体" w:cs="宋体"/>
                <w:color w:val="auto"/>
                <w:sz w:val="24"/>
                <w:highlight w:val="none"/>
              </w:rPr>
            </w:pPr>
            <w:r>
              <w:rPr>
                <w:rFonts w:hint="eastAsia" w:ascii="楷体" w:hAnsi="楷体" w:eastAsia="楷体" w:cs="楷体"/>
                <w:color w:val="auto"/>
                <w:sz w:val="24"/>
                <w:highlight w:val="none"/>
              </w:rPr>
              <w:t>6.6.便捷设置和校准温度；可查看温度曲线。</w:t>
            </w:r>
          </w:p>
        </w:tc>
      </w:tr>
    </w:tbl>
    <w:p w14:paraId="6191E44A">
      <w:pPr>
        <w:spacing w:line="360" w:lineRule="auto"/>
        <w:jc w:val="left"/>
        <w:rPr>
          <w:rFonts w:ascii="宋体" w:hAnsi="宋体"/>
          <w:color w:val="auto"/>
          <w:szCs w:val="21"/>
          <w:highlight w:val="none"/>
        </w:rPr>
      </w:pPr>
      <w:r>
        <w:rPr>
          <w:rFonts w:hint="eastAsia" w:ascii="宋体" w:hAnsi="宋体"/>
          <w:color w:val="auto"/>
          <w:szCs w:val="21"/>
          <w:highlight w:val="none"/>
        </w:rPr>
        <w:t>注：“★”号条款为实质性要求，不满足按投标文件无效处理；</w:t>
      </w:r>
    </w:p>
    <w:p w14:paraId="4CD68152">
      <w:pPr>
        <w:pStyle w:val="3"/>
        <w:snapToGrid w:val="0"/>
        <w:spacing w:before="312" w:beforeLines="100" w:after="312" w:afterLines="100" w:line="360" w:lineRule="auto"/>
        <w:jc w:val="center"/>
        <w:outlineLvl w:val="0"/>
        <w:rPr>
          <w:rFonts w:hint="eastAsia" w:ascii="黑体" w:hAnsi="黑体" w:eastAsia="黑体" w:cs="黑体"/>
          <w:b w:val="0"/>
          <w:bCs/>
          <w:color w:val="000000"/>
          <w:sz w:val="36"/>
          <w:szCs w:val="36"/>
          <w:highlight w:val="none"/>
        </w:rPr>
      </w:pPr>
      <w:bookmarkStart w:id="130" w:name="_Toc2821_WPSOffice_Level1"/>
      <w:r>
        <w:rPr>
          <w:rFonts w:hint="eastAsia" w:ascii="黑体" w:hAnsi="黑体" w:eastAsia="黑体" w:cs="黑体"/>
          <w:b w:val="0"/>
          <w:bCs/>
          <w:color w:val="000000"/>
          <w:sz w:val="36"/>
          <w:szCs w:val="36"/>
          <w:highlight w:val="none"/>
        </w:rPr>
        <w:br w:type="page"/>
      </w:r>
      <w:bookmarkStart w:id="131" w:name="_Toc7918"/>
      <w:r>
        <w:rPr>
          <w:rFonts w:hint="eastAsia" w:ascii="黑体" w:hAnsi="黑体" w:eastAsia="黑体" w:cs="黑体"/>
          <w:b w:val="0"/>
          <w:bCs/>
          <w:color w:val="000000"/>
          <w:sz w:val="36"/>
          <w:szCs w:val="36"/>
          <w:highlight w:val="none"/>
        </w:rPr>
        <w:t>第四章 评标方法</w:t>
      </w:r>
      <w:bookmarkEnd w:id="130"/>
      <w:bookmarkEnd w:id="131"/>
    </w:p>
    <w:p w14:paraId="03FE5F33">
      <w:pPr>
        <w:adjustRightInd w:val="0"/>
        <w:snapToGrid w:val="0"/>
        <w:spacing w:line="360" w:lineRule="auto"/>
        <w:ind w:firstLine="480" w:firstLineChars="200"/>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Cs/>
          <w:color w:val="000000"/>
          <w:kern w:val="0"/>
          <w:sz w:val="24"/>
          <w:szCs w:val="24"/>
          <w:highlight w:val="none"/>
        </w:rPr>
        <w:t>本项目将按照招标文件第一章投标人须知中“六 开标及评标”“七 确定中标”及本章的规定评标。</w:t>
      </w:r>
    </w:p>
    <w:p w14:paraId="15D09AED">
      <w:pPr>
        <w:adjustRightInd w:val="0"/>
        <w:snapToGrid w:val="0"/>
        <w:spacing w:line="360" w:lineRule="auto"/>
        <w:ind w:firstLine="480" w:firstLineChars="200"/>
        <w:rPr>
          <w:rFonts w:hint="eastAsia" w:ascii="仿宋_GB2312" w:hAnsi="仿宋_GB2312" w:eastAsia="仿宋_GB2312" w:cs="仿宋_GB2312"/>
          <w:b/>
          <w:color w:val="000000"/>
          <w:kern w:val="0"/>
          <w:sz w:val="24"/>
          <w:szCs w:val="24"/>
          <w:highlight w:val="none"/>
        </w:rPr>
      </w:pPr>
      <w:bookmarkStart w:id="132" w:name="_Toc22313_WPSOffice_Level2"/>
      <w:r>
        <w:rPr>
          <w:rFonts w:hint="eastAsia" w:ascii="仿宋_GB2312" w:hAnsi="仿宋_GB2312" w:eastAsia="仿宋_GB2312" w:cs="仿宋_GB2312"/>
          <w:b/>
          <w:color w:val="000000"/>
          <w:kern w:val="0"/>
          <w:sz w:val="24"/>
          <w:szCs w:val="24"/>
          <w:highlight w:val="none"/>
        </w:rPr>
        <w:t>一、评标方法</w:t>
      </w:r>
      <w:bookmarkEnd w:id="132"/>
    </w:p>
    <w:p w14:paraId="6DB01EAE">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本项目采用</w:t>
      </w:r>
      <w:r>
        <w:rPr>
          <w:rFonts w:hint="eastAsia" w:ascii="仿宋_GB2312" w:hAnsi="仿宋_GB2312" w:eastAsia="仿宋_GB2312" w:cs="仿宋_GB2312"/>
          <w:color w:val="000000"/>
          <w:kern w:val="0"/>
          <w:sz w:val="24"/>
          <w:szCs w:val="24"/>
          <w:highlight w:val="none"/>
          <w:u w:val="single"/>
        </w:rPr>
        <w:t>综合评分法</w:t>
      </w:r>
      <w:r>
        <w:rPr>
          <w:rFonts w:hint="eastAsia" w:ascii="仿宋_GB2312" w:hAnsi="仿宋_GB2312" w:eastAsia="仿宋_GB2312" w:cs="仿宋_GB2312"/>
          <w:color w:val="000000"/>
          <w:kern w:val="0"/>
          <w:sz w:val="24"/>
          <w:szCs w:val="24"/>
          <w:highlight w:val="none"/>
        </w:rPr>
        <w:t>进行评标。</w:t>
      </w:r>
    </w:p>
    <w:p w14:paraId="3C090184">
      <w:pPr>
        <w:adjustRightInd w:val="0"/>
        <w:snapToGrid w:val="0"/>
        <w:spacing w:line="360" w:lineRule="auto"/>
        <w:ind w:firstLine="480" w:firstLineChars="200"/>
        <w:textAlignment w:val="baseline"/>
        <w:rPr>
          <w:rFonts w:hint="eastAsia" w:ascii="仿宋_GB2312" w:hAnsi="仿宋_GB2312" w:eastAsia="仿宋_GB2312" w:cs="仿宋_GB2312"/>
          <w:b/>
          <w:color w:val="000000"/>
          <w:kern w:val="0"/>
          <w:sz w:val="24"/>
          <w:szCs w:val="24"/>
          <w:highlight w:val="none"/>
        </w:rPr>
      </w:pPr>
      <w:bookmarkStart w:id="133" w:name="_Toc21368_WPSOffice_Level2"/>
      <w:r>
        <w:rPr>
          <w:rFonts w:hint="eastAsia" w:ascii="仿宋_GB2312" w:hAnsi="仿宋_GB2312" w:eastAsia="仿宋_GB2312" w:cs="仿宋_GB2312"/>
          <w:b/>
          <w:color w:val="000000"/>
          <w:kern w:val="0"/>
          <w:sz w:val="24"/>
          <w:szCs w:val="24"/>
          <w:highlight w:val="none"/>
        </w:rPr>
        <w:t>二、评标原则及程序</w:t>
      </w:r>
      <w:bookmarkEnd w:id="133"/>
    </w:p>
    <w:p w14:paraId="4F860D64">
      <w:pPr>
        <w:adjustRightInd w:val="0"/>
        <w:snapToGrid w:val="0"/>
        <w:spacing w:line="360" w:lineRule="auto"/>
        <w:ind w:firstLine="480" w:firstLineChars="200"/>
        <w:textAlignment w:val="baseline"/>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kern w:val="0"/>
          <w:sz w:val="24"/>
          <w:szCs w:val="24"/>
          <w:highlight w:val="none"/>
        </w:rPr>
        <w:t>（一）评标原则</w:t>
      </w:r>
    </w:p>
    <w:p w14:paraId="36A0B4C9">
      <w:pPr>
        <w:adjustRightInd w:val="0"/>
        <w:snapToGrid w:val="0"/>
        <w:spacing w:line="360" w:lineRule="auto"/>
        <w:ind w:firstLine="480" w:firstLineChars="200"/>
        <w:textAlignment w:val="baseline"/>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color w:val="000000"/>
          <w:kern w:val="0"/>
          <w:sz w:val="24"/>
          <w:szCs w:val="24"/>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4E1840CF">
      <w:pPr>
        <w:adjustRightInd w:val="0"/>
        <w:snapToGrid w:val="0"/>
        <w:spacing w:line="360" w:lineRule="auto"/>
        <w:ind w:firstLine="480" w:firstLineChars="200"/>
        <w:textAlignment w:val="baseline"/>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kern w:val="0"/>
          <w:sz w:val="24"/>
          <w:szCs w:val="24"/>
          <w:highlight w:val="none"/>
        </w:rPr>
        <w:t>（二）评标程序</w:t>
      </w:r>
    </w:p>
    <w:p w14:paraId="59ABB56A">
      <w:pPr>
        <w:adjustRightInd w:val="0"/>
        <w:snapToGrid w:val="0"/>
        <w:spacing w:line="360" w:lineRule="auto"/>
        <w:ind w:firstLine="480" w:firstLineChars="200"/>
        <w:textAlignment w:val="baseline"/>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kern w:val="0"/>
          <w:sz w:val="24"/>
          <w:szCs w:val="24"/>
          <w:highlight w:val="none"/>
        </w:rPr>
        <w:t>★1</w:t>
      </w:r>
      <w:r>
        <w:rPr>
          <w:rFonts w:hint="eastAsia" w:ascii="仿宋_GB2312" w:hAnsi="仿宋_GB2312" w:eastAsia="仿宋_GB2312" w:cs="仿宋_GB2312"/>
          <w:b/>
          <w:color w:val="000000"/>
          <w:kern w:val="0"/>
          <w:sz w:val="24"/>
          <w:szCs w:val="24"/>
          <w:highlight w:val="none"/>
          <w:lang w:val="en-US" w:eastAsia="zh-CN"/>
        </w:rPr>
        <w:t>.</w:t>
      </w:r>
      <w:r>
        <w:rPr>
          <w:rFonts w:hint="eastAsia" w:ascii="仿宋_GB2312" w:hAnsi="仿宋_GB2312" w:eastAsia="仿宋_GB2312" w:cs="仿宋_GB2312"/>
          <w:b/>
          <w:color w:val="000000"/>
          <w:kern w:val="0"/>
          <w:sz w:val="24"/>
          <w:szCs w:val="24"/>
          <w:highlight w:val="none"/>
        </w:rPr>
        <w:t>资格审查</w:t>
      </w:r>
    </w:p>
    <w:p w14:paraId="2316160A">
      <w:pPr>
        <w:adjustRightInd w:val="0"/>
        <w:snapToGrid w:val="0"/>
        <w:spacing w:line="360" w:lineRule="auto"/>
        <w:ind w:firstLine="480" w:firstLineChars="200"/>
        <w:textAlignment w:val="baseline"/>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1.1详见投标人须知22条。资格审查表详见本章附件1。</w:t>
      </w:r>
    </w:p>
    <w:p w14:paraId="10D95DEE">
      <w:pPr>
        <w:adjustRightInd w:val="0"/>
        <w:snapToGrid w:val="0"/>
        <w:spacing w:line="360" w:lineRule="auto"/>
        <w:ind w:firstLine="480" w:firstLineChars="200"/>
        <w:rPr>
          <w:rFonts w:hint="eastAsia" w:ascii="仿宋_GB2312" w:hAnsi="仿宋_GB2312" w:eastAsia="仿宋_GB2312" w:cs="仿宋_GB2312"/>
          <w:b/>
          <w:bCs/>
          <w:color w:val="000000"/>
          <w:kern w:val="0"/>
          <w:sz w:val="24"/>
          <w:szCs w:val="24"/>
          <w:highlight w:val="none"/>
        </w:rPr>
      </w:pPr>
      <w:r>
        <w:rPr>
          <w:rFonts w:hint="eastAsia" w:ascii="仿宋_GB2312" w:hAnsi="仿宋_GB2312" w:eastAsia="仿宋_GB2312" w:cs="仿宋_GB2312"/>
          <w:b/>
          <w:color w:val="000000"/>
          <w:kern w:val="0"/>
          <w:sz w:val="24"/>
          <w:szCs w:val="24"/>
          <w:highlight w:val="none"/>
        </w:rPr>
        <w:t>★</w:t>
      </w:r>
      <w:r>
        <w:rPr>
          <w:rFonts w:hint="eastAsia" w:ascii="仿宋_GB2312" w:hAnsi="仿宋_GB2312" w:eastAsia="仿宋_GB2312" w:cs="仿宋_GB2312"/>
          <w:b/>
          <w:bCs/>
          <w:color w:val="000000"/>
          <w:kern w:val="0"/>
          <w:sz w:val="24"/>
          <w:szCs w:val="24"/>
          <w:highlight w:val="none"/>
        </w:rPr>
        <w:t>2</w:t>
      </w:r>
      <w:r>
        <w:rPr>
          <w:rFonts w:hint="eastAsia" w:ascii="仿宋_GB2312" w:hAnsi="仿宋_GB2312" w:eastAsia="仿宋_GB2312" w:cs="仿宋_GB2312"/>
          <w:b/>
          <w:bCs/>
          <w:color w:val="000000"/>
          <w:kern w:val="0"/>
          <w:sz w:val="24"/>
          <w:szCs w:val="24"/>
          <w:highlight w:val="none"/>
          <w:lang w:val="en-US" w:eastAsia="zh-CN"/>
        </w:rPr>
        <w:t>.</w:t>
      </w:r>
      <w:r>
        <w:rPr>
          <w:rFonts w:hint="eastAsia" w:ascii="仿宋_GB2312" w:hAnsi="仿宋_GB2312" w:eastAsia="仿宋_GB2312" w:cs="仿宋_GB2312"/>
          <w:b/>
          <w:bCs/>
          <w:color w:val="000000"/>
          <w:kern w:val="0"/>
          <w:sz w:val="24"/>
          <w:szCs w:val="24"/>
          <w:highlight w:val="none"/>
        </w:rPr>
        <w:t>符合性审查</w:t>
      </w:r>
    </w:p>
    <w:p w14:paraId="13638956">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2.1详见投标人须知23条。符合性审查表详见本章附件2。</w:t>
      </w:r>
    </w:p>
    <w:p w14:paraId="1AF44FD3">
      <w:pPr>
        <w:adjustRightInd w:val="0"/>
        <w:snapToGrid w:val="0"/>
        <w:spacing w:line="360" w:lineRule="auto"/>
        <w:ind w:firstLine="480" w:firstLineChars="200"/>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kern w:val="0"/>
          <w:sz w:val="24"/>
          <w:szCs w:val="24"/>
          <w:highlight w:val="none"/>
        </w:rPr>
        <w:t>3</w:t>
      </w:r>
      <w:r>
        <w:rPr>
          <w:rFonts w:hint="eastAsia" w:ascii="仿宋_GB2312" w:hAnsi="仿宋_GB2312" w:eastAsia="仿宋_GB2312" w:cs="仿宋_GB2312"/>
          <w:b/>
          <w:color w:val="000000"/>
          <w:kern w:val="0"/>
          <w:sz w:val="24"/>
          <w:szCs w:val="24"/>
          <w:highlight w:val="none"/>
          <w:lang w:val="en-US" w:eastAsia="zh-CN"/>
        </w:rPr>
        <w:t>.</w:t>
      </w:r>
      <w:r>
        <w:rPr>
          <w:rFonts w:hint="eastAsia" w:ascii="仿宋_GB2312" w:hAnsi="仿宋_GB2312" w:eastAsia="仿宋_GB2312" w:cs="仿宋_GB2312"/>
          <w:b/>
          <w:color w:val="000000"/>
          <w:kern w:val="0"/>
          <w:sz w:val="24"/>
          <w:szCs w:val="24"/>
          <w:highlight w:val="none"/>
        </w:rPr>
        <w:t>样品及演示</w:t>
      </w:r>
    </w:p>
    <w:p w14:paraId="1D3101CB">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3.1</w:t>
      </w:r>
      <w:r>
        <w:rPr>
          <w:rFonts w:hint="eastAsia" w:ascii="仿宋_GB2312" w:hAnsi="仿宋_GB2312" w:eastAsia="仿宋_GB2312" w:cs="仿宋_GB2312"/>
          <w:color w:val="000000"/>
          <w:kern w:val="0"/>
          <w:sz w:val="24"/>
          <w:szCs w:val="24"/>
          <w:highlight w:val="none"/>
        </w:rPr>
        <w:t>投标人须知表11.4条</w:t>
      </w:r>
      <w:r>
        <w:rPr>
          <w:rFonts w:hint="eastAsia" w:ascii="仿宋_GB2312" w:hAnsi="仿宋_GB2312" w:eastAsia="仿宋_GB2312" w:cs="仿宋_GB2312"/>
          <w:color w:val="000000"/>
          <w:sz w:val="24"/>
          <w:szCs w:val="24"/>
          <w:highlight w:val="none"/>
        </w:rPr>
        <w:t>中要求投标人提供样品或演示的，按照</w:t>
      </w:r>
      <w:r>
        <w:rPr>
          <w:rFonts w:hint="eastAsia" w:ascii="仿宋_GB2312" w:hAnsi="仿宋_GB2312" w:eastAsia="仿宋_GB2312" w:cs="仿宋_GB2312"/>
          <w:color w:val="000000"/>
          <w:kern w:val="0"/>
          <w:sz w:val="24"/>
          <w:szCs w:val="24"/>
          <w:highlight w:val="none"/>
        </w:rPr>
        <w:t>投标人须知表25.1条</w:t>
      </w:r>
      <w:r>
        <w:rPr>
          <w:rFonts w:hint="eastAsia" w:ascii="仿宋_GB2312" w:hAnsi="仿宋_GB2312" w:eastAsia="仿宋_GB2312" w:cs="仿宋_GB2312"/>
          <w:color w:val="000000"/>
          <w:sz w:val="24"/>
          <w:szCs w:val="24"/>
          <w:highlight w:val="none"/>
        </w:rPr>
        <w:t>中确定的评审方法以及评审标准进行评审。</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样品或演示属于符合性审查的，按照</w:t>
      </w:r>
      <w:r>
        <w:rPr>
          <w:rFonts w:hint="eastAsia" w:ascii="仿宋_GB2312" w:hAnsi="仿宋_GB2312" w:eastAsia="仿宋_GB2312" w:cs="仿宋_GB2312"/>
          <w:color w:val="000000"/>
          <w:kern w:val="0"/>
          <w:sz w:val="24"/>
          <w:szCs w:val="24"/>
          <w:highlight w:val="none"/>
        </w:rPr>
        <w:t>投标人须知23条</w:t>
      </w:r>
      <w:r>
        <w:rPr>
          <w:rFonts w:hint="eastAsia" w:ascii="仿宋_GB2312" w:hAnsi="仿宋_GB2312" w:eastAsia="仿宋_GB2312" w:cs="仿宋_GB2312"/>
          <w:color w:val="000000"/>
          <w:sz w:val="24"/>
          <w:szCs w:val="24"/>
          <w:highlight w:val="none"/>
        </w:rPr>
        <w:t>规定执行）</w:t>
      </w:r>
    </w:p>
    <w:p w14:paraId="3FA23C46">
      <w:pPr>
        <w:adjustRightInd w:val="0"/>
        <w:snapToGrid w:val="0"/>
        <w:spacing w:line="360" w:lineRule="auto"/>
        <w:ind w:firstLine="480" w:firstLineChars="200"/>
        <w:rPr>
          <w:rFonts w:hint="eastAsia" w:ascii="仿宋_GB2312" w:hAnsi="仿宋_GB2312" w:eastAsia="仿宋_GB2312" w:cs="仿宋_GB2312"/>
          <w:b/>
          <w:bCs/>
          <w:color w:val="000000"/>
          <w:kern w:val="0"/>
          <w:sz w:val="24"/>
          <w:szCs w:val="24"/>
          <w:highlight w:val="none"/>
        </w:rPr>
      </w:pPr>
      <w:r>
        <w:rPr>
          <w:rFonts w:hint="eastAsia" w:ascii="仿宋_GB2312" w:hAnsi="仿宋_GB2312" w:eastAsia="仿宋_GB2312" w:cs="仿宋_GB2312"/>
          <w:b/>
          <w:color w:val="000000"/>
          <w:kern w:val="0"/>
          <w:sz w:val="24"/>
          <w:szCs w:val="24"/>
          <w:highlight w:val="none"/>
        </w:rPr>
        <w:t>★4</w:t>
      </w:r>
      <w:r>
        <w:rPr>
          <w:rFonts w:hint="eastAsia" w:ascii="仿宋_GB2312" w:hAnsi="仿宋_GB2312" w:eastAsia="仿宋_GB2312" w:cs="仿宋_GB2312"/>
          <w:b/>
          <w:bCs/>
          <w:color w:val="000000"/>
          <w:kern w:val="0"/>
          <w:sz w:val="24"/>
          <w:szCs w:val="24"/>
          <w:highlight w:val="none"/>
          <w:lang w:val="en-US" w:eastAsia="zh-CN"/>
        </w:rPr>
        <w:t>.</w:t>
      </w:r>
      <w:r>
        <w:rPr>
          <w:rFonts w:hint="eastAsia" w:ascii="仿宋_GB2312" w:hAnsi="仿宋_GB2312" w:eastAsia="仿宋_GB2312" w:cs="仿宋_GB2312"/>
          <w:b/>
          <w:bCs/>
          <w:color w:val="000000"/>
          <w:kern w:val="0"/>
          <w:sz w:val="24"/>
          <w:szCs w:val="24"/>
          <w:highlight w:val="none"/>
        </w:rPr>
        <w:t>同一品牌产品</w:t>
      </w:r>
    </w:p>
    <w:p w14:paraId="3EF647A6">
      <w:pPr>
        <w:adjustRightInd w:val="0"/>
        <w:snapToGrid w:val="0"/>
        <w:spacing w:line="360" w:lineRule="auto"/>
        <w:ind w:firstLine="480" w:firstLineChars="200"/>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4.1通过资格审查、符合性审查的不同品牌投标人不足3家的，按照</w:t>
      </w:r>
      <w:r>
        <w:rPr>
          <w:rFonts w:hint="eastAsia" w:ascii="仿宋_GB2312" w:hAnsi="仿宋_GB2312" w:eastAsia="仿宋_GB2312" w:cs="仿宋_GB2312"/>
          <w:color w:val="000000"/>
          <w:kern w:val="0"/>
          <w:sz w:val="24"/>
          <w:szCs w:val="24"/>
          <w:highlight w:val="none"/>
        </w:rPr>
        <w:t>投标人须知28条第（1）项</w:t>
      </w:r>
      <w:r>
        <w:rPr>
          <w:rFonts w:hint="eastAsia" w:ascii="仿宋_GB2312" w:hAnsi="仿宋_GB2312" w:eastAsia="仿宋_GB2312" w:cs="仿宋_GB2312"/>
          <w:color w:val="000000"/>
          <w:sz w:val="24"/>
          <w:szCs w:val="24"/>
          <w:highlight w:val="none"/>
        </w:rPr>
        <w:t>执行</w:t>
      </w:r>
      <w:r>
        <w:rPr>
          <w:rFonts w:hint="eastAsia" w:ascii="仿宋_GB2312" w:hAnsi="仿宋_GB2312" w:eastAsia="仿宋_GB2312" w:cs="仿宋_GB2312"/>
          <w:color w:val="000000"/>
          <w:kern w:val="0"/>
          <w:sz w:val="24"/>
          <w:szCs w:val="24"/>
          <w:highlight w:val="none"/>
        </w:rPr>
        <w:t>。</w:t>
      </w:r>
    </w:p>
    <w:p w14:paraId="6023CDCA">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4.2提供相同品牌产品且通过资格审查、符合性审查的不同投标人，按一家投标人计算。</w:t>
      </w:r>
    </w:p>
    <w:p w14:paraId="77F89888">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4.3如一个分包内只有一种产品，不同投标人所投产品为同一品牌的，按如下方式处理：</w:t>
      </w:r>
    </w:p>
    <w:p w14:paraId="197414C6">
      <w:pPr>
        <w:numPr>
          <w:ilvl w:val="0"/>
          <w:numId w:val="6"/>
        </w:num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color w:val="000000"/>
          <w:kern w:val="0"/>
          <w:sz w:val="24"/>
          <w:szCs w:val="24"/>
          <w:highlight w:val="none"/>
        </w:rPr>
        <w:t>本章第8条</w:t>
      </w:r>
      <w:r>
        <w:rPr>
          <w:rFonts w:hint="eastAsia" w:ascii="仿宋_GB2312" w:hAnsi="仿宋_GB2312" w:eastAsia="仿宋_GB2312" w:cs="仿宋_GB2312"/>
          <w:color w:val="000000"/>
          <w:sz w:val="24"/>
          <w:szCs w:val="24"/>
          <w:highlight w:val="none"/>
        </w:rPr>
        <w:t>“推荐中标候选人的原则”规定执行；未规定的采取随机抽取方式确定，其他</w:t>
      </w:r>
      <w:r>
        <w:rPr>
          <w:rFonts w:hint="eastAsia" w:ascii="仿宋_GB2312" w:hAnsi="仿宋_GB2312" w:eastAsia="仿宋_GB2312" w:cs="仿宋_GB2312"/>
          <w:b/>
          <w:bCs/>
          <w:color w:val="000000"/>
          <w:sz w:val="24"/>
          <w:szCs w:val="24"/>
          <w:highlight w:val="none"/>
        </w:rPr>
        <w:t>投标无效</w:t>
      </w:r>
      <w:r>
        <w:rPr>
          <w:rFonts w:hint="eastAsia" w:ascii="仿宋_GB2312" w:hAnsi="仿宋_GB2312" w:eastAsia="仿宋_GB2312" w:cs="仿宋_GB2312"/>
          <w:color w:val="000000"/>
          <w:sz w:val="24"/>
          <w:szCs w:val="24"/>
          <w:highlight w:val="none"/>
        </w:rPr>
        <w:t>。</w:t>
      </w:r>
    </w:p>
    <w:p w14:paraId="3E6A5CF5">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39E2BD43">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sz w:val="24"/>
          <w:szCs w:val="24"/>
          <w:highlight w:val="none"/>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color w:val="000000"/>
          <w:kern w:val="0"/>
          <w:sz w:val="24"/>
          <w:szCs w:val="24"/>
          <w:highlight w:val="none"/>
        </w:rPr>
        <w:t>按本章第4.3条规定处理。</w:t>
      </w:r>
    </w:p>
    <w:p w14:paraId="0A5F97D4">
      <w:pPr>
        <w:adjustRightInd w:val="0"/>
        <w:snapToGrid w:val="0"/>
        <w:spacing w:line="360" w:lineRule="auto"/>
        <w:ind w:firstLine="480" w:firstLineChars="200"/>
        <w:rPr>
          <w:rFonts w:hint="eastAsia" w:ascii="仿宋_GB2312" w:hAnsi="仿宋_GB2312" w:eastAsia="仿宋_GB2312" w:cs="仿宋_GB2312"/>
          <w:b/>
          <w:bCs/>
          <w:color w:val="000000"/>
          <w:kern w:val="0"/>
          <w:sz w:val="24"/>
          <w:szCs w:val="24"/>
          <w:highlight w:val="none"/>
        </w:rPr>
      </w:pPr>
      <w:r>
        <w:rPr>
          <w:rFonts w:hint="eastAsia" w:ascii="仿宋_GB2312" w:hAnsi="仿宋_GB2312" w:eastAsia="仿宋_GB2312" w:cs="仿宋_GB2312"/>
          <w:b/>
          <w:color w:val="000000"/>
          <w:kern w:val="0"/>
          <w:sz w:val="24"/>
          <w:szCs w:val="24"/>
          <w:highlight w:val="none"/>
        </w:rPr>
        <w:t>★5</w:t>
      </w:r>
      <w:r>
        <w:rPr>
          <w:rFonts w:hint="eastAsia" w:ascii="仿宋_GB2312" w:hAnsi="仿宋_GB2312" w:eastAsia="仿宋_GB2312" w:cs="仿宋_GB2312"/>
          <w:b/>
          <w:bCs/>
          <w:color w:val="000000"/>
          <w:kern w:val="0"/>
          <w:sz w:val="24"/>
          <w:szCs w:val="24"/>
          <w:highlight w:val="none"/>
          <w:lang w:val="en-US" w:eastAsia="zh-CN"/>
        </w:rPr>
        <w:t>.</w:t>
      </w:r>
      <w:r>
        <w:rPr>
          <w:rFonts w:hint="eastAsia" w:ascii="仿宋_GB2312" w:hAnsi="仿宋_GB2312" w:eastAsia="仿宋_GB2312" w:cs="仿宋_GB2312"/>
          <w:b/>
          <w:bCs/>
          <w:color w:val="000000"/>
          <w:kern w:val="0"/>
          <w:sz w:val="24"/>
          <w:szCs w:val="24"/>
          <w:highlight w:val="none"/>
        </w:rPr>
        <w:t>比较及评价</w:t>
      </w:r>
    </w:p>
    <w:p w14:paraId="30F409B4">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5.1评标委员会对通过符合性审查的投标文件进行比较和评价。</w:t>
      </w:r>
    </w:p>
    <w:p w14:paraId="36401437">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5.2在评标期间，对投标文件的澄清按投标人须知24条内容执行。</w:t>
      </w:r>
    </w:p>
    <w:p w14:paraId="660E80DC">
      <w:pPr>
        <w:adjustRightInd w:val="0"/>
        <w:snapToGrid w:val="0"/>
        <w:spacing w:line="360" w:lineRule="auto"/>
        <w:ind w:firstLine="480" w:firstLineChars="200"/>
        <w:rPr>
          <w:rFonts w:hint="eastAsia" w:ascii="仿宋_GB2312" w:hAnsi="仿宋_GB2312" w:eastAsia="仿宋_GB2312" w:cs="仿宋_GB2312"/>
          <w:b/>
          <w:bCs/>
          <w:color w:val="000000"/>
          <w:kern w:val="0"/>
          <w:sz w:val="24"/>
          <w:szCs w:val="24"/>
          <w:highlight w:val="none"/>
        </w:rPr>
      </w:pPr>
      <w:r>
        <w:rPr>
          <w:rFonts w:hint="eastAsia" w:ascii="仿宋_GB2312" w:hAnsi="仿宋_GB2312" w:eastAsia="仿宋_GB2312" w:cs="仿宋_GB2312"/>
          <w:b/>
          <w:bCs/>
          <w:color w:val="000000"/>
          <w:kern w:val="0"/>
          <w:sz w:val="24"/>
          <w:szCs w:val="24"/>
          <w:highlight w:val="none"/>
        </w:rPr>
        <w:t>5.3出现下列情形之一的，评标委员会应当启动异常低价审查程序：</w:t>
      </w:r>
    </w:p>
    <w:p w14:paraId="61B1AD30">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（1）投标报价低于全部通过符合性审查供应商投标报价平均值</w:t>
      </w:r>
      <w:r>
        <w:rPr>
          <w:rFonts w:hint="eastAsia" w:ascii="仿宋_GB2312" w:hAnsi="仿宋_GB2312" w:eastAsia="仿宋_GB2312" w:cs="仿宋_GB2312"/>
          <w:color w:val="000000"/>
          <w:kern w:val="0"/>
          <w:sz w:val="24"/>
          <w:szCs w:val="24"/>
          <w:highlight w:val="none"/>
          <w:u w:val="single"/>
        </w:rPr>
        <w:t xml:space="preserve"> 50 </w:t>
      </w:r>
      <w:r>
        <w:rPr>
          <w:rFonts w:hint="eastAsia" w:ascii="仿宋_GB2312" w:hAnsi="仿宋_GB2312" w:eastAsia="仿宋_GB2312" w:cs="仿宋_GB2312"/>
          <w:color w:val="000000"/>
          <w:kern w:val="0"/>
          <w:sz w:val="24"/>
          <w:szCs w:val="24"/>
          <w:highlight w:val="none"/>
        </w:rPr>
        <w:t>%的，即投标报价&lt;全部通过符合性审查供应商投标报价平均值×</w:t>
      </w:r>
      <w:r>
        <w:rPr>
          <w:rFonts w:hint="eastAsia" w:ascii="仿宋_GB2312" w:hAnsi="仿宋_GB2312" w:eastAsia="仿宋_GB2312" w:cs="仿宋_GB2312"/>
          <w:color w:val="000000"/>
          <w:kern w:val="0"/>
          <w:sz w:val="24"/>
          <w:szCs w:val="24"/>
          <w:highlight w:val="none"/>
          <w:u w:val="single"/>
        </w:rPr>
        <w:t xml:space="preserve"> 50 </w:t>
      </w:r>
      <w:r>
        <w:rPr>
          <w:rFonts w:hint="eastAsia" w:ascii="仿宋_GB2312" w:hAnsi="仿宋_GB2312" w:eastAsia="仿宋_GB2312" w:cs="仿宋_GB2312"/>
          <w:color w:val="000000"/>
          <w:kern w:val="0"/>
          <w:sz w:val="24"/>
          <w:szCs w:val="24"/>
          <w:highlight w:val="none"/>
        </w:rPr>
        <w:t>%；</w:t>
      </w:r>
    </w:p>
    <w:p w14:paraId="0DC95CCA">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（2）投标报价低于通过符合性审查的次低报价供应商投标报价</w:t>
      </w:r>
      <w:r>
        <w:rPr>
          <w:rFonts w:hint="eastAsia" w:ascii="仿宋_GB2312" w:hAnsi="仿宋_GB2312" w:eastAsia="仿宋_GB2312" w:cs="仿宋_GB2312"/>
          <w:color w:val="000000"/>
          <w:kern w:val="0"/>
          <w:sz w:val="24"/>
          <w:szCs w:val="24"/>
          <w:highlight w:val="none"/>
          <w:u w:val="single"/>
        </w:rPr>
        <w:t xml:space="preserve"> 50 </w:t>
      </w:r>
      <w:r>
        <w:rPr>
          <w:rFonts w:hint="eastAsia" w:ascii="仿宋_GB2312" w:hAnsi="仿宋_GB2312" w:eastAsia="仿宋_GB2312" w:cs="仿宋_GB2312"/>
          <w:color w:val="000000"/>
          <w:kern w:val="0"/>
          <w:sz w:val="24"/>
          <w:szCs w:val="24"/>
          <w:highlight w:val="none"/>
        </w:rPr>
        <w:t>%的，即投标报价&lt;通过符合性审查的次低报价供应商投标报价×</w:t>
      </w:r>
      <w:r>
        <w:rPr>
          <w:rFonts w:hint="eastAsia" w:ascii="仿宋_GB2312" w:hAnsi="仿宋_GB2312" w:eastAsia="仿宋_GB2312" w:cs="仿宋_GB2312"/>
          <w:color w:val="000000"/>
          <w:kern w:val="0"/>
          <w:sz w:val="24"/>
          <w:szCs w:val="24"/>
          <w:highlight w:val="none"/>
          <w:u w:val="single"/>
        </w:rPr>
        <w:t xml:space="preserve"> 50 </w:t>
      </w:r>
      <w:r>
        <w:rPr>
          <w:rFonts w:hint="eastAsia" w:ascii="仿宋_GB2312" w:hAnsi="仿宋_GB2312" w:eastAsia="仿宋_GB2312" w:cs="仿宋_GB2312"/>
          <w:color w:val="000000"/>
          <w:kern w:val="0"/>
          <w:sz w:val="24"/>
          <w:szCs w:val="24"/>
          <w:highlight w:val="none"/>
        </w:rPr>
        <w:t>%；</w:t>
      </w:r>
    </w:p>
    <w:p w14:paraId="7514A201">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（3）投标报价低于采购项目最高限价</w:t>
      </w:r>
      <w:r>
        <w:rPr>
          <w:rFonts w:hint="eastAsia" w:ascii="仿宋_GB2312" w:hAnsi="仿宋_GB2312" w:eastAsia="仿宋_GB2312" w:cs="仿宋_GB2312"/>
          <w:color w:val="000000"/>
          <w:kern w:val="0"/>
          <w:sz w:val="24"/>
          <w:szCs w:val="24"/>
          <w:highlight w:val="none"/>
          <w:u w:val="single"/>
        </w:rPr>
        <w:t xml:space="preserve"> 45 </w:t>
      </w:r>
      <w:r>
        <w:rPr>
          <w:rFonts w:hint="eastAsia" w:ascii="仿宋_GB2312" w:hAnsi="仿宋_GB2312" w:eastAsia="仿宋_GB2312" w:cs="仿宋_GB2312"/>
          <w:color w:val="000000"/>
          <w:kern w:val="0"/>
          <w:sz w:val="24"/>
          <w:szCs w:val="24"/>
          <w:highlight w:val="none"/>
        </w:rPr>
        <w:t>%的，即投标报价&lt;采购项目最高限价×</w:t>
      </w:r>
      <w:r>
        <w:rPr>
          <w:rFonts w:hint="eastAsia" w:ascii="仿宋_GB2312" w:hAnsi="仿宋_GB2312" w:eastAsia="仿宋_GB2312" w:cs="仿宋_GB2312"/>
          <w:color w:val="000000"/>
          <w:kern w:val="0"/>
          <w:sz w:val="24"/>
          <w:szCs w:val="24"/>
          <w:highlight w:val="none"/>
          <w:u w:val="single"/>
        </w:rPr>
        <w:t xml:space="preserve"> 45 </w:t>
      </w:r>
      <w:r>
        <w:rPr>
          <w:rFonts w:hint="eastAsia" w:ascii="仿宋_GB2312" w:hAnsi="仿宋_GB2312" w:eastAsia="仿宋_GB2312" w:cs="仿宋_GB2312"/>
          <w:color w:val="000000"/>
          <w:kern w:val="0"/>
          <w:sz w:val="24"/>
          <w:szCs w:val="24"/>
          <w:highlight w:val="none"/>
        </w:rPr>
        <w:t>%；</w:t>
      </w:r>
    </w:p>
    <w:p w14:paraId="7DC7AF55">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（4）评标委员会基于专业判断，认为供应商报价过低，有可能影响产品质量或者不能诚信履约的其他情形。</w:t>
      </w:r>
    </w:p>
    <w:p w14:paraId="497F5F57">
      <w:pPr>
        <w:adjustRightInd w:val="0"/>
        <w:snapToGrid w:val="0"/>
        <w:spacing w:line="360" w:lineRule="auto"/>
        <w:ind w:firstLine="480" w:firstLineChars="200"/>
        <w:rPr>
          <w:rFonts w:hint="eastAsia" w:ascii="仿宋_GB2312" w:hAnsi="仿宋_GB2312" w:eastAsia="仿宋_GB2312" w:cs="仿宋_GB2312"/>
          <w:i/>
          <w:iCs/>
          <w:color w:val="000000"/>
          <w:kern w:val="0"/>
          <w:sz w:val="24"/>
          <w:szCs w:val="24"/>
          <w:highlight w:val="none"/>
        </w:rPr>
      </w:pPr>
      <w:r>
        <w:rPr>
          <w:rFonts w:hint="eastAsia" w:ascii="仿宋_GB2312" w:hAnsi="仿宋_GB2312" w:eastAsia="仿宋_GB2312" w:cs="仿宋_GB2312"/>
          <w:i/>
          <w:iCs/>
          <w:color w:val="000000"/>
          <w:kern w:val="0"/>
          <w:sz w:val="24"/>
          <w:szCs w:val="24"/>
          <w:highlight w:val="none"/>
        </w:rPr>
        <w:t>采购人可以结合具体项目实际情况，提高上述第（1）项至第（3）项中启动异常低价投标审查的数值标准，但是最高不得超过65%。</w:t>
      </w:r>
    </w:p>
    <w:p w14:paraId="7655B04F">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相关法律法规对供应商报价有规定的，从其规定。</w:t>
      </w:r>
    </w:p>
    <w:p w14:paraId="047C9BF4">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评标委员会启动异常低价投标审查后，属于本章5.3中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标现场可不再重复提交。</w:t>
      </w:r>
    </w:p>
    <w:p w14:paraId="17DA665B">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投标人的书面说明应当签字确认或者加盖公章，否则无效。书面说明的签字确认，由其法定代表人（非法人单位负责人或自然人本人）或者其授权代表签字确认。</w:t>
      </w:r>
    </w:p>
    <w:p w14:paraId="2F046C70">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w:t>
      </w:r>
      <w:r>
        <w:rPr>
          <w:rFonts w:hint="eastAsia" w:ascii="仿宋_GB2312" w:hAnsi="仿宋_GB2312" w:eastAsia="仿宋_GB2312" w:cs="仿宋_GB2312"/>
          <w:b/>
          <w:bCs/>
          <w:color w:val="000000"/>
          <w:kern w:val="0"/>
          <w:sz w:val="24"/>
          <w:szCs w:val="24"/>
          <w:highlight w:val="none"/>
        </w:rPr>
        <w:t>无效投标处理</w:t>
      </w:r>
      <w:r>
        <w:rPr>
          <w:rFonts w:hint="eastAsia" w:ascii="仿宋_GB2312" w:hAnsi="仿宋_GB2312" w:eastAsia="仿宋_GB2312" w:cs="仿宋_GB2312"/>
          <w:color w:val="000000"/>
          <w:kern w:val="0"/>
          <w:sz w:val="24"/>
          <w:szCs w:val="24"/>
          <w:highlight w:val="none"/>
        </w:rPr>
        <w:t>。</w:t>
      </w:r>
    </w:p>
    <w:p w14:paraId="4E03560E">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评标委员会借助互联网等渠道查询相关信息的，应当严格遵守评审工作纪律，不得实施影响评审公正的行为。</w:t>
      </w:r>
    </w:p>
    <w:p w14:paraId="6FA375E5">
      <w:pPr>
        <w:adjustRightInd w:val="0"/>
        <w:snapToGrid w:val="0"/>
        <w:spacing w:line="360" w:lineRule="auto"/>
        <w:ind w:firstLine="480" w:firstLineChars="200"/>
        <w:rPr>
          <w:rFonts w:hint="eastAsia" w:ascii="仿宋_GB2312" w:hAnsi="仿宋_GB2312" w:eastAsia="仿宋_GB2312" w:cs="仿宋_GB2312"/>
          <w:b/>
          <w:bCs/>
          <w:color w:val="000000"/>
          <w:kern w:val="0"/>
          <w:sz w:val="24"/>
          <w:szCs w:val="24"/>
          <w:highlight w:val="none"/>
        </w:rPr>
      </w:pPr>
      <w:r>
        <w:rPr>
          <w:rFonts w:hint="eastAsia" w:ascii="仿宋_GB2312" w:hAnsi="仿宋_GB2312" w:eastAsia="仿宋_GB2312" w:cs="仿宋_GB2312"/>
          <w:b/>
          <w:color w:val="000000"/>
          <w:kern w:val="0"/>
          <w:sz w:val="24"/>
          <w:szCs w:val="24"/>
          <w:highlight w:val="none"/>
        </w:rPr>
        <w:t>★6</w:t>
      </w:r>
      <w:r>
        <w:rPr>
          <w:rFonts w:hint="eastAsia" w:ascii="仿宋_GB2312" w:hAnsi="仿宋_GB2312" w:eastAsia="仿宋_GB2312" w:cs="仿宋_GB2312"/>
          <w:b/>
          <w:bCs/>
          <w:color w:val="000000"/>
          <w:kern w:val="0"/>
          <w:sz w:val="24"/>
          <w:szCs w:val="24"/>
          <w:highlight w:val="none"/>
          <w:lang w:val="en-US" w:eastAsia="zh-CN"/>
        </w:rPr>
        <w:t>.</w:t>
      </w:r>
      <w:r>
        <w:rPr>
          <w:rFonts w:hint="eastAsia" w:ascii="仿宋_GB2312" w:hAnsi="仿宋_GB2312" w:eastAsia="仿宋_GB2312" w:cs="仿宋_GB2312"/>
          <w:b/>
          <w:bCs/>
          <w:color w:val="000000"/>
          <w:kern w:val="0"/>
          <w:sz w:val="24"/>
          <w:szCs w:val="24"/>
          <w:highlight w:val="none"/>
        </w:rPr>
        <w:t>需落实的政府采购政策性规定：</w:t>
      </w:r>
    </w:p>
    <w:p w14:paraId="17E591E2">
      <w:pPr>
        <w:adjustRightInd w:val="0"/>
        <w:snapToGrid w:val="0"/>
        <w:spacing w:line="360" w:lineRule="auto"/>
        <w:ind w:firstLine="480" w:firstLineChars="200"/>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kern w:val="0"/>
          <w:sz w:val="24"/>
          <w:szCs w:val="24"/>
          <w:highlight w:val="none"/>
        </w:rPr>
        <w:t>6.1对中小微企业的相关规定</w:t>
      </w:r>
    </w:p>
    <w:p w14:paraId="6283C30E">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6.1.1对于非专门面向中小企业的项目，在满足价格扣除条件且在投标文件中按要求提交了《中小企业声明函》</w:t>
      </w:r>
      <w:r>
        <w:rPr>
          <w:rFonts w:hint="eastAsia" w:ascii="仿宋_GB2312" w:hAnsi="仿宋_GB2312" w:eastAsia="仿宋_GB2312" w:cs="仿宋_GB2312"/>
          <w:color w:val="000000"/>
          <w:kern w:val="0"/>
          <w:sz w:val="24"/>
          <w:szCs w:val="24"/>
          <w:highlight w:val="none"/>
        </w:rPr>
        <w:t>的，</w:t>
      </w:r>
      <w:r>
        <w:rPr>
          <w:rFonts w:hint="eastAsia" w:ascii="仿宋_GB2312" w:hAnsi="仿宋_GB2312" w:eastAsia="仿宋_GB2312" w:cs="仿宋_GB2312"/>
          <w:color w:val="000000"/>
          <w:sz w:val="24"/>
          <w:szCs w:val="24"/>
          <w:highlight w:val="none"/>
        </w:rPr>
        <w:t>对投标报价给予价格扣除，用扣除后的价格参与评审。投标报价扣除比例如下：</w:t>
      </w:r>
    </w:p>
    <w:p w14:paraId="05493D98">
      <w:pPr>
        <w:adjustRightInd w:val="0"/>
        <w:snapToGrid w:val="0"/>
        <w:spacing w:line="360" w:lineRule="auto"/>
        <w:ind w:firstLine="240" w:firstLineChars="1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（1）非联合体投标</w:t>
      </w:r>
    </w:p>
    <w:p w14:paraId="6E6783BB">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rPr>
        <w:t>每个标的均由小</w:t>
      </w:r>
      <w:r>
        <w:rPr>
          <w:rFonts w:hint="eastAsia" w:ascii="仿宋_GB2312" w:hAnsi="仿宋_GB2312" w:eastAsia="仿宋_GB2312" w:cs="仿宋_GB2312"/>
          <w:color w:val="000000"/>
          <w:sz w:val="24"/>
          <w:szCs w:val="24"/>
          <w:highlight w:val="none"/>
          <w:lang w:val="en-US" w:eastAsia="zh-CN"/>
        </w:rPr>
        <w:t>型或</w:t>
      </w:r>
      <w:r>
        <w:rPr>
          <w:rFonts w:hint="eastAsia" w:ascii="仿宋_GB2312" w:hAnsi="仿宋_GB2312" w:eastAsia="仿宋_GB2312" w:cs="仿宋_GB2312"/>
          <w:color w:val="000000"/>
          <w:sz w:val="24"/>
          <w:szCs w:val="24"/>
          <w:highlight w:val="none"/>
        </w:rPr>
        <w:t>微</w:t>
      </w:r>
      <w:r>
        <w:rPr>
          <w:rFonts w:hint="eastAsia" w:ascii="仿宋_GB2312" w:hAnsi="仿宋_GB2312" w:eastAsia="仿宋_GB2312" w:cs="仿宋_GB2312"/>
          <w:color w:val="000000"/>
          <w:sz w:val="24"/>
          <w:szCs w:val="24"/>
          <w:highlight w:val="none"/>
          <w:lang w:val="en-US" w:eastAsia="zh-CN"/>
        </w:rPr>
        <w:t>型</w:t>
      </w:r>
      <w:r>
        <w:rPr>
          <w:rFonts w:hint="eastAsia" w:ascii="仿宋_GB2312" w:hAnsi="仿宋_GB2312" w:eastAsia="仿宋_GB2312" w:cs="仿宋_GB2312"/>
          <w:color w:val="000000"/>
          <w:sz w:val="24"/>
          <w:szCs w:val="24"/>
          <w:highlight w:val="none"/>
        </w:rPr>
        <w:t>企业制造的，</w:t>
      </w:r>
      <w:r>
        <w:rPr>
          <w:rFonts w:hint="eastAsia" w:ascii="仿宋_GB2312" w:hAnsi="仿宋_GB2312" w:eastAsia="仿宋_GB2312" w:cs="仿宋_GB2312"/>
          <w:color w:val="000000"/>
          <w:sz w:val="24"/>
          <w:szCs w:val="24"/>
          <w:highlight w:val="none"/>
          <w:lang w:val="en-US" w:eastAsia="zh-CN"/>
        </w:rPr>
        <w:t>对</w:t>
      </w:r>
      <w:r>
        <w:rPr>
          <w:rFonts w:hint="eastAsia" w:ascii="仿宋_GB2312" w:hAnsi="仿宋_GB2312" w:eastAsia="仿宋_GB2312" w:cs="仿宋_GB2312"/>
          <w:color w:val="000000"/>
          <w:sz w:val="24"/>
          <w:szCs w:val="24"/>
          <w:highlight w:val="none"/>
        </w:rPr>
        <w:t>投标报价</w:t>
      </w:r>
      <w:r>
        <w:rPr>
          <w:rFonts w:hint="eastAsia" w:ascii="仿宋_GB2312" w:hAnsi="仿宋_GB2312" w:eastAsia="仿宋_GB2312" w:cs="仿宋_GB2312"/>
          <w:color w:val="000000"/>
          <w:kern w:val="0"/>
          <w:sz w:val="24"/>
          <w:szCs w:val="24"/>
          <w:highlight w:val="none"/>
        </w:rPr>
        <w:t>给予</w:t>
      </w:r>
      <w:r>
        <w:rPr>
          <w:rFonts w:hint="eastAsia" w:ascii="仿宋_GB2312" w:hAnsi="仿宋_GB2312" w:eastAsia="仿宋_GB2312" w:cs="仿宋_GB2312"/>
          <w:color w:val="000000"/>
          <w:sz w:val="24"/>
          <w:szCs w:val="24"/>
          <w:highlight w:val="none"/>
          <w:u w:val="single"/>
        </w:rPr>
        <w:t xml:space="preserve"> 10%  </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eastAsia="zh-CN"/>
        </w:rPr>
        <w:t>10%—20%</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kern w:val="0"/>
          <w:sz w:val="24"/>
          <w:szCs w:val="24"/>
          <w:highlight w:val="none"/>
        </w:rPr>
        <w:t>的扣除</w:t>
      </w:r>
      <w:r>
        <w:rPr>
          <w:rFonts w:hint="eastAsia" w:ascii="仿宋_GB2312" w:hAnsi="仿宋_GB2312" w:eastAsia="仿宋_GB2312" w:cs="仿宋_GB2312"/>
          <w:color w:val="000000"/>
          <w:kern w:val="0"/>
          <w:sz w:val="24"/>
          <w:szCs w:val="24"/>
          <w:highlight w:val="none"/>
          <w:lang w:eastAsia="zh-CN"/>
        </w:rPr>
        <w:t>。</w:t>
      </w:r>
    </w:p>
    <w:p w14:paraId="160D5128">
      <w:pPr>
        <w:adjustRightInd w:val="0"/>
        <w:snapToGrid w:val="0"/>
        <w:spacing w:line="360" w:lineRule="auto"/>
        <w:ind w:firstLine="240" w:firstLineChars="1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（2）联合体投标</w:t>
      </w:r>
    </w:p>
    <w:p w14:paraId="51B764B1">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kern w:val="0"/>
          <w:sz w:val="24"/>
          <w:szCs w:val="24"/>
          <w:highlight w:val="none"/>
        </w:rPr>
        <w:t>接受大中型企业与小微企业组成联合体或者允许大中型企业向一家或者多家小微企业分包的，对于联合协议或者分包意向协议约定小微企业的合同份额占到合同总金额30%以上的，对联合体或者大中型企业的报价给予</w:t>
      </w:r>
      <w:r>
        <w:rPr>
          <w:rFonts w:hint="eastAsia" w:ascii="仿宋_GB2312" w:hAnsi="仿宋_GB2312" w:eastAsia="仿宋_GB2312" w:cs="仿宋_GB2312"/>
          <w:color w:val="000000"/>
          <w:kern w:val="0"/>
          <w:sz w:val="24"/>
          <w:szCs w:val="24"/>
          <w:highlight w:val="none"/>
          <w:u w:val="single"/>
        </w:rPr>
        <w:t xml:space="preserve">   </w:t>
      </w:r>
      <w:r>
        <w:rPr>
          <w:rFonts w:hint="eastAsia" w:ascii="仿宋_GB2312" w:hAnsi="仿宋_GB2312" w:eastAsia="仿宋_GB2312" w:cs="仿宋_GB2312"/>
          <w:color w:val="000000"/>
          <w:kern w:val="0"/>
          <w:sz w:val="24"/>
          <w:szCs w:val="24"/>
          <w:highlight w:val="none"/>
          <w:u w:val="single"/>
          <w:lang w:val="en-US" w:eastAsia="zh-CN"/>
        </w:rPr>
        <w:t>/</w:t>
      </w:r>
      <w:r>
        <w:rPr>
          <w:rFonts w:hint="eastAsia" w:ascii="仿宋_GB2312" w:hAnsi="仿宋_GB2312" w:eastAsia="仿宋_GB2312" w:cs="仿宋_GB2312"/>
          <w:color w:val="000000"/>
          <w:kern w:val="0"/>
          <w:sz w:val="24"/>
          <w:szCs w:val="24"/>
          <w:highlight w:val="none"/>
          <w:u w:val="single"/>
        </w:rPr>
        <w:t xml:space="preserve">   </w:t>
      </w:r>
      <w:r>
        <w:rPr>
          <w:rFonts w:hint="eastAsia" w:ascii="仿宋_GB2312" w:hAnsi="仿宋_GB2312" w:eastAsia="仿宋_GB2312" w:cs="仿宋_GB2312"/>
          <w:color w:val="000000"/>
          <w:kern w:val="0"/>
          <w:sz w:val="24"/>
          <w:szCs w:val="24"/>
          <w:highlight w:val="none"/>
        </w:rPr>
        <w:t>（</w:t>
      </w:r>
      <w:r>
        <w:rPr>
          <w:rFonts w:hint="eastAsia" w:ascii="仿宋_GB2312" w:hAnsi="仿宋_GB2312" w:eastAsia="仿宋_GB2312" w:cs="仿宋_GB2312"/>
          <w:color w:val="000000"/>
          <w:kern w:val="0"/>
          <w:sz w:val="24"/>
          <w:szCs w:val="24"/>
          <w:highlight w:val="none"/>
          <w:lang w:eastAsia="zh-CN"/>
        </w:rPr>
        <w:t>4%—6%</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kern w:val="0"/>
          <w:sz w:val="24"/>
          <w:szCs w:val="24"/>
          <w:highlight w:val="none"/>
        </w:rPr>
        <w:t>的扣除，用扣除后的价格参加评审。</w:t>
      </w:r>
    </w:p>
    <w:p w14:paraId="09C65900">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联合体各方均为小型、微型企业的，联合体视同为小型、微型企业，按第本款（1）项规定享受扶持政策。</w:t>
      </w:r>
    </w:p>
    <w:p w14:paraId="0067F265">
      <w:pPr>
        <w:pStyle w:val="15"/>
        <w:adjustRightInd w:val="0"/>
        <w:snapToGrid w:val="0"/>
        <w:spacing w:before="0" w:beforeAutospacing="0" w:after="0" w:afterAutospacing="0"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组成联合体或者接受分包合同的中小企业与联合体内其他企业、分包企业之间不得存在直接控股、管理关系。</w:t>
      </w:r>
    </w:p>
    <w:p w14:paraId="45C33F64">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bookmarkStart w:id="134" w:name="OLE_LINK10"/>
      <w:bookmarkStart w:id="135" w:name="OLE_LINK9"/>
      <w:r>
        <w:rPr>
          <w:rFonts w:hint="eastAsia" w:ascii="仿宋_GB2312" w:hAnsi="仿宋_GB2312" w:eastAsia="仿宋_GB2312" w:cs="仿宋_GB2312"/>
          <w:color w:val="000000"/>
          <w:sz w:val="24"/>
          <w:szCs w:val="24"/>
          <w:highlight w:val="none"/>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_GB2312" w:hAnsi="仿宋_GB2312" w:eastAsia="仿宋_GB2312" w:cs="仿宋_GB2312"/>
          <w:color w:val="000000"/>
          <w:kern w:val="0"/>
          <w:sz w:val="24"/>
          <w:szCs w:val="24"/>
          <w:highlight w:val="none"/>
        </w:rPr>
        <w:t>用扣除后的价格参与评审</w:t>
      </w:r>
      <w:r>
        <w:rPr>
          <w:rFonts w:hint="eastAsia" w:ascii="仿宋_GB2312" w:hAnsi="仿宋_GB2312" w:eastAsia="仿宋_GB2312" w:cs="仿宋_GB2312"/>
          <w:color w:val="000000"/>
          <w:sz w:val="24"/>
          <w:szCs w:val="24"/>
          <w:highlight w:val="none"/>
        </w:rPr>
        <w:t>。</w:t>
      </w:r>
    </w:p>
    <w:p w14:paraId="47356E29">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color w:val="000000"/>
          <w:kern w:val="0"/>
          <w:sz w:val="24"/>
          <w:szCs w:val="24"/>
          <w:highlight w:val="none"/>
        </w:rPr>
        <w:t>6.1.3</w:t>
      </w:r>
      <w:r>
        <w:rPr>
          <w:rFonts w:hint="eastAsia" w:ascii="仿宋_GB2312" w:hAnsi="仿宋_GB2312" w:eastAsia="仿宋_GB2312" w:cs="仿宋_GB2312"/>
          <w:color w:val="000000"/>
          <w:sz w:val="24"/>
          <w:szCs w:val="24"/>
          <w:highlight w:val="none"/>
        </w:rPr>
        <w:t>残疾人福利性单位视同小型、微型企业，在满足价格扣除条件且在</w:t>
      </w:r>
      <w:r>
        <w:rPr>
          <w:rFonts w:hint="eastAsia" w:ascii="仿宋_GB2312" w:hAnsi="仿宋_GB2312" w:eastAsia="仿宋_GB2312" w:cs="仿宋_GB2312"/>
          <w:color w:val="000000"/>
          <w:kern w:val="0"/>
          <w:sz w:val="24"/>
          <w:szCs w:val="24"/>
          <w:highlight w:val="none"/>
        </w:rPr>
        <w:t>投标文件中提供了《残疾人福利性单位声明函》的，</w:t>
      </w:r>
      <w:r>
        <w:rPr>
          <w:rFonts w:hint="eastAsia" w:ascii="仿宋_GB2312" w:hAnsi="仿宋_GB2312" w:eastAsia="仿宋_GB2312" w:cs="仿宋_GB2312"/>
          <w:color w:val="000000"/>
          <w:sz w:val="24"/>
          <w:szCs w:val="24"/>
          <w:highlight w:val="none"/>
        </w:rPr>
        <w:t>对其投标报价按本章6.1.1条款的比例予以扣除</w:t>
      </w:r>
      <w:r>
        <w:rPr>
          <w:rFonts w:hint="eastAsia" w:ascii="仿宋_GB2312" w:hAnsi="仿宋_GB2312" w:eastAsia="仿宋_GB2312" w:cs="仿宋_GB2312"/>
          <w:color w:val="000000"/>
          <w:kern w:val="0"/>
          <w:sz w:val="24"/>
          <w:szCs w:val="24"/>
          <w:highlight w:val="none"/>
        </w:rPr>
        <w:t>，用扣除后的价格参与评审。</w:t>
      </w:r>
    </w:p>
    <w:bookmarkEnd w:id="134"/>
    <w:bookmarkEnd w:id="135"/>
    <w:p w14:paraId="415C5545">
      <w:pPr>
        <w:adjustRightInd w:val="0"/>
        <w:snapToGrid w:val="0"/>
        <w:spacing w:line="360" w:lineRule="auto"/>
        <w:ind w:firstLine="480" w:firstLineChars="2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6.1.4残疾人福利性单位属于小型、微型企业的，不重复享受政策。</w:t>
      </w:r>
    </w:p>
    <w:p w14:paraId="3A329AB4">
      <w:pPr>
        <w:adjustRightInd w:val="0"/>
        <w:snapToGrid w:val="0"/>
        <w:spacing w:line="360" w:lineRule="auto"/>
        <w:ind w:firstLine="480" w:firstLineChars="200"/>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kern w:val="0"/>
          <w:sz w:val="24"/>
          <w:szCs w:val="24"/>
          <w:highlight w:val="none"/>
        </w:rPr>
        <w:t>6.2对节能产品、环境标志产品的相关规定</w:t>
      </w:r>
    </w:p>
    <w:p w14:paraId="66FF6C6B">
      <w:pPr>
        <w:numPr>
          <w:ilvl w:val="0"/>
          <w:numId w:val="7"/>
        </w:num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节能产品或环境标志产品，依据品目清单和认证证书实施政府优先采购。供应商应能够提供国家确定的认证机构出具的、处于有效期之内的节能产品、环境标志产品认证证书，方可对获得证书的产品优先推荐。</w:t>
      </w:r>
    </w:p>
    <w:p w14:paraId="46BB3E7B">
      <w:pPr>
        <w:adjustRightInd w:val="0"/>
        <w:snapToGrid w:val="0"/>
        <w:spacing w:line="360" w:lineRule="auto"/>
        <w:ind w:firstLine="720" w:firstLineChars="3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kern w:val="0"/>
          <w:sz w:val="24"/>
          <w:szCs w:val="24"/>
          <w:highlight w:val="none"/>
        </w:rPr>
        <w:t>采用最低评标价法的，</w:t>
      </w:r>
      <w:r>
        <w:rPr>
          <w:rFonts w:hint="eastAsia" w:ascii="仿宋_GB2312" w:hAnsi="仿宋_GB2312" w:eastAsia="仿宋_GB2312" w:cs="仿宋_GB2312"/>
          <w:color w:val="000000"/>
          <w:sz w:val="24"/>
          <w:szCs w:val="24"/>
          <w:highlight w:val="none"/>
        </w:rPr>
        <w:t>对</w:t>
      </w:r>
      <w:r>
        <w:rPr>
          <w:rFonts w:hint="eastAsia" w:ascii="仿宋_GB2312" w:hAnsi="仿宋_GB2312" w:eastAsia="仿宋_GB2312" w:cs="仿宋_GB2312"/>
          <w:color w:val="000000"/>
          <w:kern w:val="0"/>
          <w:sz w:val="24"/>
          <w:szCs w:val="24"/>
          <w:highlight w:val="none"/>
        </w:rPr>
        <w:t>清单中投标产品的报价</w:t>
      </w:r>
      <w:r>
        <w:rPr>
          <w:rFonts w:hint="eastAsia" w:ascii="仿宋_GB2312" w:hAnsi="仿宋_GB2312" w:eastAsia="仿宋_GB2312" w:cs="仿宋_GB2312"/>
          <w:color w:val="000000"/>
          <w:sz w:val="24"/>
          <w:szCs w:val="24"/>
          <w:highlight w:val="none"/>
        </w:rPr>
        <w:t>给予价格扣除，用扣除后的价格参与评审。报价扣除比例为</w:t>
      </w:r>
      <w:r>
        <w:rPr>
          <w:rFonts w:hint="eastAsia" w:ascii="仿宋_GB2312" w:hAnsi="仿宋_GB2312" w:eastAsia="仿宋_GB2312" w:cs="仿宋_GB2312"/>
          <w:color w:val="000000"/>
          <w:kern w:val="0"/>
          <w:sz w:val="24"/>
          <w:szCs w:val="24"/>
          <w:highlight w:val="none"/>
        </w:rPr>
        <w:t>清单中产品报价的</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val="en-US" w:eastAsia="zh-CN"/>
        </w:rPr>
        <w:t>/</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w:t>
      </w:r>
    </w:p>
    <w:p w14:paraId="478990C0">
      <w:pPr>
        <w:adjustRightInd w:val="0"/>
        <w:snapToGrid w:val="0"/>
        <w:spacing w:line="360" w:lineRule="auto"/>
        <w:ind w:firstLine="720" w:firstLineChars="3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kern w:val="0"/>
          <w:sz w:val="24"/>
          <w:szCs w:val="24"/>
          <w:highlight w:val="none"/>
        </w:rPr>
        <w:t>采用综合评分法评标的项目，对清单中产品给予相应的加分。（详见评分细则）</w:t>
      </w:r>
    </w:p>
    <w:p w14:paraId="1FC7009E">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（2）供应商应同时提供品目清单网络截图，并以明确标注所报产品信息和位置的方式，用以方便评审。</w:t>
      </w:r>
    </w:p>
    <w:p w14:paraId="39C5B08C">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（3）认证机构和获证产品信息发布媒体：详见中国政府采购网（www.ccgp.gov.cn）建立的与认证结果信息发布平台的链接。</w:t>
      </w:r>
    </w:p>
    <w:p w14:paraId="5D1C7382">
      <w:pPr>
        <w:adjustRightInd w:val="0"/>
        <w:snapToGrid w:val="0"/>
        <w:spacing w:line="360" w:lineRule="auto"/>
        <w:ind w:firstLine="480" w:firstLineChars="200"/>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6.3对列入《创新产品和服务目录》内的产品、服务的相关规定</w:t>
      </w:r>
    </w:p>
    <w:p w14:paraId="1444B300">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采用最低评标价法的：对列入《创新产品和服务目录》内的投标产品、服务给予其投标报价</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val="en-US" w:eastAsia="zh-CN"/>
        </w:rPr>
        <w:t>/</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eastAsia="zh-CN"/>
        </w:rPr>
        <w:t>6%—8%</w:t>
      </w:r>
      <w:r>
        <w:rPr>
          <w:rFonts w:hint="eastAsia" w:ascii="仿宋_GB2312" w:hAnsi="仿宋_GB2312" w:eastAsia="仿宋_GB2312" w:cs="仿宋_GB2312"/>
          <w:color w:val="000000"/>
          <w:sz w:val="24"/>
          <w:szCs w:val="24"/>
          <w:highlight w:val="none"/>
        </w:rPr>
        <w:t>）的价格扣除，用扣除后的价格参与评审。</w:t>
      </w:r>
    </w:p>
    <w:p w14:paraId="6044A9CC">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采用综合评分法评标的：对列入《创新产品和服务目录》内的投标产品、服务给予</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val="en-US" w:eastAsia="zh-CN"/>
        </w:rPr>
        <w:t>6%</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eastAsia="zh-CN"/>
        </w:rPr>
        <w:t>6%—8%</w:t>
      </w:r>
      <w:r>
        <w:rPr>
          <w:rFonts w:hint="eastAsia" w:ascii="仿宋_GB2312" w:hAnsi="仿宋_GB2312" w:eastAsia="仿宋_GB2312" w:cs="仿宋_GB2312"/>
          <w:color w:val="000000"/>
          <w:sz w:val="24"/>
          <w:szCs w:val="24"/>
          <w:highlight w:val="none"/>
        </w:rPr>
        <w:t>）的加分（详见评分细则）。</w:t>
      </w:r>
    </w:p>
    <w:p w14:paraId="220027C5">
      <w:pPr>
        <w:pStyle w:val="34"/>
        <w:snapToGrid w:val="0"/>
        <w:spacing w:line="360" w:lineRule="auto"/>
        <w:ind w:firstLine="422"/>
        <w:jc w:val="both"/>
        <w:rPr>
          <w:rFonts w:hint="eastAsia" w:ascii="仿宋_GB2312" w:hAnsi="仿宋_GB2312" w:eastAsia="仿宋_GB2312" w:cs="仿宋_GB2312"/>
          <w:b/>
          <w:bCs/>
          <w:color w:val="000000"/>
          <w:kern w:val="2"/>
          <w:sz w:val="24"/>
          <w:szCs w:val="24"/>
          <w:highlight w:val="none"/>
        </w:rPr>
      </w:pPr>
      <w:r>
        <w:rPr>
          <w:rFonts w:hint="eastAsia" w:ascii="仿宋_GB2312" w:hAnsi="仿宋_GB2312" w:eastAsia="仿宋_GB2312" w:cs="仿宋_GB2312"/>
          <w:b/>
          <w:bCs/>
          <w:color w:val="000000"/>
          <w:kern w:val="2"/>
          <w:sz w:val="24"/>
          <w:szCs w:val="24"/>
          <w:highlight w:val="none"/>
        </w:rPr>
        <w:t>6.4对本国产品的相关规定</w:t>
      </w:r>
    </w:p>
    <w:p w14:paraId="40D520FD">
      <w:pPr>
        <w:pStyle w:val="34"/>
        <w:snapToGrid w:val="0"/>
        <w:spacing w:line="360" w:lineRule="auto"/>
        <w:ind w:firstLine="420"/>
        <w:jc w:val="both"/>
        <w:rPr>
          <w:rFonts w:hint="eastAsia" w:ascii="仿宋_GB2312" w:hAnsi="仿宋_GB2312" w:eastAsia="仿宋_GB2312" w:cs="仿宋_GB2312"/>
          <w:color w:val="000000"/>
          <w:kern w:val="2"/>
          <w:sz w:val="24"/>
          <w:szCs w:val="24"/>
          <w:highlight w:val="none"/>
        </w:rPr>
      </w:pPr>
      <w:bookmarkStart w:id="136" w:name="OLE_LINK5"/>
      <w:bookmarkStart w:id="137" w:name="OLE_LINK6"/>
      <w:r>
        <w:rPr>
          <w:rFonts w:hint="eastAsia" w:ascii="仿宋_GB2312" w:hAnsi="仿宋_GB2312" w:eastAsia="仿宋_GB2312" w:cs="仿宋_GB2312"/>
          <w:color w:val="000000"/>
          <w:kern w:val="2"/>
          <w:sz w:val="24"/>
          <w:szCs w:val="24"/>
          <w:highlight w:val="none"/>
        </w:rPr>
        <w:t>（1）政府采购活动中既有本国产品又有非本国产品参与竞争的，依法对本国产品给予价格评审优惠，对本国产品的报价给予20%的价格扣除，用扣除后的价格参与评审。</w:t>
      </w:r>
    </w:p>
    <w:p w14:paraId="27DC885F">
      <w:pPr>
        <w:pStyle w:val="34"/>
        <w:snapToGrid w:val="0"/>
        <w:spacing w:line="360" w:lineRule="auto"/>
        <w:ind w:firstLine="420"/>
        <w:jc w:val="both"/>
        <w:rPr>
          <w:rFonts w:hint="eastAsia" w:ascii="仿宋_GB2312" w:hAnsi="仿宋_GB2312" w:eastAsia="仿宋_GB2312" w:cs="仿宋_GB2312"/>
          <w:color w:val="000000"/>
          <w:kern w:val="2"/>
          <w:sz w:val="24"/>
          <w:szCs w:val="24"/>
          <w:highlight w:val="none"/>
        </w:rPr>
      </w:pPr>
      <w:r>
        <w:rPr>
          <w:rFonts w:hint="eastAsia" w:ascii="仿宋_GB2312" w:hAnsi="仿宋_GB2312" w:eastAsia="仿宋_GB2312" w:cs="仿宋_GB2312"/>
          <w:color w:val="000000"/>
          <w:kern w:val="2"/>
          <w:sz w:val="24"/>
          <w:szCs w:val="24"/>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239427E">
      <w:pPr>
        <w:pStyle w:val="34"/>
        <w:snapToGrid w:val="0"/>
        <w:spacing w:line="360" w:lineRule="auto"/>
        <w:ind w:firstLine="420"/>
        <w:jc w:val="both"/>
        <w:rPr>
          <w:rFonts w:hint="eastAsia" w:ascii="仿宋_GB2312" w:hAnsi="仿宋_GB2312" w:eastAsia="仿宋_GB2312" w:cs="仿宋_GB2312"/>
          <w:color w:val="000000"/>
          <w:kern w:val="2"/>
          <w:sz w:val="24"/>
          <w:szCs w:val="24"/>
          <w:highlight w:val="none"/>
        </w:rPr>
      </w:pPr>
      <w:r>
        <w:rPr>
          <w:rFonts w:hint="eastAsia" w:ascii="仿宋_GB2312" w:hAnsi="仿宋_GB2312" w:eastAsia="仿宋_GB2312" w:cs="仿宋_GB2312"/>
          <w:color w:val="000000"/>
          <w:kern w:val="2"/>
          <w:sz w:val="24"/>
          <w:szCs w:val="24"/>
          <w:highlight w:val="none"/>
        </w:rPr>
        <w:t>（3）投标人提供的货物为本国产品的</w:t>
      </w:r>
      <w:r>
        <w:rPr>
          <w:rFonts w:hint="eastAsia" w:ascii="仿宋_GB2312" w:hAnsi="仿宋_GB2312" w:eastAsia="仿宋_GB2312" w:cs="仿宋_GB2312"/>
          <w:color w:val="000000"/>
          <w:kern w:val="2"/>
          <w:sz w:val="24"/>
          <w:szCs w:val="24"/>
          <w:highlight w:val="none"/>
          <w:lang w:eastAsia="zh-CN"/>
        </w:rPr>
        <w:t>，</w:t>
      </w:r>
      <w:r>
        <w:rPr>
          <w:rFonts w:hint="eastAsia" w:ascii="仿宋_GB2312" w:hAnsi="仿宋_GB2312" w:eastAsia="仿宋_GB2312" w:cs="仿宋_GB2312"/>
          <w:color w:val="000000"/>
          <w:kern w:val="2"/>
          <w:sz w:val="24"/>
          <w:szCs w:val="24"/>
          <w:highlight w:val="none"/>
        </w:rPr>
        <w:t>投标时提供招标文件规定的《关于符合本国产品标准的声明函》或财政部会同有关部门规定的有关证明文件。</w:t>
      </w:r>
    </w:p>
    <w:p w14:paraId="3271B0E1">
      <w:pPr>
        <w:pStyle w:val="34"/>
        <w:snapToGrid w:val="0"/>
        <w:spacing w:line="360" w:lineRule="auto"/>
        <w:ind w:firstLine="420"/>
        <w:jc w:val="both"/>
        <w:rPr>
          <w:rFonts w:hint="eastAsia" w:ascii="仿宋_GB2312" w:hAnsi="仿宋_GB2312" w:eastAsia="仿宋_GB2312" w:cs="仿宋_GB2312"/>
          <w:color w:val="000000"/>
          <w:kern w:val="2"/>
          <w:sz w:val="24"/>
          <w:szCs w:val="24"/>
          <w:highlight w:val="none"/>
        </w:rPr>
      </w:pPr>
      <w:r>
        <w:rPr>
          <w:rFonts w:hint="eastAsia" w:ascii="仿宋_GB2312" w:hAnsi="仿宋_GB2312" w:eastAsia="仿宋_GB2312" w:cs="仿宋_GB2312"/>
          <w:color w:val="000000"/>
          <w:kern w:val="2"/>
          <w:sz w:val="24"/>
          <w:szCs w:val="24"/>
          <w:highlight w:val="none"/>
        </w:rPr>
        <w:t>当采购项目或者采购包中含有多种产品的，投标人还应当提供《关于本国产品比例的声明函》。</w:t>
      </w:r>
    </w:p>
    <w:p w14:paraId="15948CEF">
      <w:pPr>
        <w:pStyle w:val="34"/>
        <w:snapToGrid w:val="0"/>
        <w:spacing w:line="360" w:lineRule="auto"/>
        <w:ind w:firstLine="420"/>
        <w:jc w:val="both"/>
        <w:rPr>
          <w:rFonts w:hint="eastAsia" w:ascii="仿宋_GB2312" w:hAnsi="仿宋_GB2312" w:eastAsia="仿宋_GB2312" w:cs="仿宋_GB2312"/>
          <w:color w:val="000000"/>
          <w:kern w:val="2"/>
          <w:sz w:val="24"/>
          <w:szCs w:val="24"/>
          <w:highlight w:val="none"/>
        </w:rPr>
      </w:pPr>
      <w:r>
        <w:rPr>
          <w:rFonts w:hint="eastAsia" w:ascii="仿宋_GB2312" w:hAnsi="仿宋_GB2312" w:eastAsia="仿宋_GB2312" w:cs="仿宋_GB2312"/>
          <w:color w:val="000000"/>
          <w:kern w:val="2"/>
          <w:sz w:val="24"/>
          <w:szCs w:val="24"/>
          <w:highlight w:val="none"/>
        </w:rPr>
        <w:t>评标委员会应当对供应商所出具的《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招标文件规定要求的，供应商提供的相关产品视为不符合本国产品标准。</w:t>
      </w:r>
    </w:p>
    <w:p w14:paraId="285AE05B">
      <w:pPr>
        <w:pStyle w:val="34"/>
        <w:snapToGrid w:val="0"/>
        <w:spacing w:line="360" w:lineRule="auto"/>
        <w:ind w:firstLine="420"/>
        <w:jc w:val="both"/>
        <w:rPr>
          <w:rFonts w:hint="eastAsia" w:ascii="仿宋_GB2312" w:hAnsi="仿宋_GB2312" w:eastAsia="仿宋_GB2312" w:cs="仿宋_GB2312"/>
          <w:color w:val="000000"/>
          <w:kern w:val="2"/>
          <w:sz w:val="24"/>
          <w:szCs w:val="24"/>
          <w:highlight w:val="none"/>
        </w:rPr>
      </w:pPr>
      <w:r>
        <w:rPr>
          <w:rFonts w:hint="eastAsia" w:ascii="仿宋_GB2312" w:hAnsi="仿宋_GB2312" w:eastAsia="仿宋_GB2312" w:cs="仿宋_GB2312"/>
          <w:color w:val="000000"/>
          <w:kern w:val="2"/>
          <w:sz w:val="24"/>
          <w:szCs w:val="24"/>
          <w:highlight w:val="none"/>
        </w:rPr>
        <w:t>出具符合要求的声明函或有关证明文件的，该产品视为本国产品。</w:t>
      </w:r>
    </w:p>
    <w:p w14:paraId="4EB9419A">
      <w:pPr>
        <w:pStyle w:val="34"/>
        <w:snapToGrid w:val="0"/>
        <w:spacing w:line="360" w:lineRule="auto"/>
        <w:ind w:firstLine="420"/>
        <w:jc w:val="both"/>
        <w:rPr>
          <w:rFonts w:hint="eastAsia" w:ascii="仿宋_GB2312" w:hAnsi="仿宋_GB2312" w:eastAsia="仿宋_GB2312" w:cs="仿宋_GB2312"/>
          <w:color w:val="000000"/>
          <w:kern w:val="2"/>
          <w:sz w:val="24"/>
          <w:szCs w:val="24"/>
          <w:highlight w:val="none"/>
        </w:rPr>
      </w:pPr>
      <w:r>
        <w:rPr>
          <w:rFonts w:hint="eastAsia" w:ascii="仿宋_GB2312" w:hAnsi="仿宋_GB2312" w:eastAsia="仿宋_GB2312" w:cs="仿宋_GB2312"/>
          <w:color w:val="000000"/>
          <w:kern w:val="2"/>
          <w:sz w:val="24"/>
          <w:szCs w:val="24"/>
          <w:highlight w:val="none"/>
        </w:rPr>
        <w:t>未提供符合要求的声明函或财政部会同有关部门规定的有关证明文件，一律视为非本国产品。</w:t>
      </w:r>
    </w:p>
    <w:p w14:paraId="7A024E32">
      <w:pPr>
        <w:pStyle w:val="34"/>
        <w:snapToGrid w:val="0"/>
        <w:spacing w:line="360" w:lineRule="auto"/>
        <w:ind w:firstLine="422"/>
        <w:jc w:val="both"/>
        <w:rPr>
          <w:rFonts w:hint="eastAsia" w:ascii="仿宋_GB2312" w:hAnsi="仿宋_GB2312" w:eastAsia="仿宋_GB2312" w:cs="仿宋_GB2312"/>
          <w:b/>
          <w:color w:val="000000"/>
          <w:kern w:val="2"/>
          <w:sz w:val="24"/>
          <w:szCs w:val="24"/>
          <w:highlight w:val="none"/>
        </w:rPr>
      </w:pPr>
      <w:r>
        <w:rPr>
          <w:rFonts w:hint="eastAsia" w:ascii="仿宋_GB2312" w:hAnsi="仿宋_GB2312" w:eastAsia="仿宋_GB2312" w:cs="仿宋_GB2312"/>
          <w:b/>
          <w:color w:val="000000"/>
          <w:kern w:val="2"/>
          <w:sz w:val="24"/>
          <w:szCs w:val="24"/>
          <w:highlight w:val="none"/>
        </w:rPr>
        <w:t>6.5当涉及政府采购政策叠加适用，统一在原投标报价的基础上进行价格扣除</w:t>
      </w:r>
      <w:r>
        <w:rPr>
          <w:rFonts w:hint="eastAsia" w:ascii="仿宋_GB2312" w:hAnsi="仿宋_GB2312" w:eastAsia="仿宋_GB2312" w:cs="仿宋_GB2312"/>
          <w:b/>
          <w:color w:val="000000"/>
          <w:sz w:val="24"/>
          <w:szCs w:val="24"/>
          <w:highlight w:val="none"/>
        </w:rPr>
        <w:t>。</w:t>
      </w:r>
    </w:p>
    <w:bookmarkEnd w:id="136"/>
    <w:bookmarkEnd w:id="137"/>
    <w:p w14:paraId="1952AAD8">
      <w:pPr>
        <w:adjustRightInd w:val="0"/>
        <w:snapToGrid w:val="0"/>
        <w:spacing w:line="360" w:lineRule="auto"/>
        <w:ind w:firstLine="480" w:firstLineChars="200"/>
        <w:rPr>
          <w:rFonts w:hint="eastAsia" w:ascii="仿宋_GB2312" w:hAnsi="仿宋_GB2312" w:eastAsia="仿宋_GB2312" w:cs="仿宋_GB2312"/>
          <w:b/>
          <w:bCs/>
          <w:color w:val="000000"/>
          <w:kern w:val="0"/>
          <w:sz w:val="24"/>
          <w:szCs w:val="24"/>
          <w:highlight w:val="none"/>
        </w:rPr>
      </w:pPr>
      <w:r>
        <w:rPr>
          <w:rFonts w:hint="eastAsia" w:ascii="仿宋_GB2312" w:hAnsi="仿宋_GB2312" w:eastAsia="仿宋_GB2312" w:cs="仿宋_GB2312"/>
          <w:b/>
          <w:color w:val="000000"/>
          <w:kern w:val="0"/>
          <w:sz w:val="24"/>
          <w:szCs w:val="24"/>
          <w:highlight w:val="none"/>
        </w:rPr>
        <w:t>★7</w:t>
      </w:r>
      <w:r>
        <w:rPr>
          <w:rFonts w:hint="eastAsia" w:ascii="仿宋_GB2312" w:hAnsi="仿宋_GB2312" w:eastAsia="仿宋_GB2312" w:cs="仿宋_GB2312"/>
          <w:b/>
          <w:bCs/>
          <w:color w:val="000000"/>
          <w:kern w:val="0"/>
          <w:sz w:val="24"/>
          <w:szCs w:val="24"/>
          <w:highlight w:val="none"/>
          <w:lang w:val="en-US" w:eastAsia="zh-CN"/>
        </w:rPr>
        <w:t>.</w:t>
      </w:r>
      <w:r>
        <w:rPr>
          <w:rFonts w:hint="eastAsia" w:ascii="仿宋_GB2312" w:hAnsi="仿宋_GB2312" w:eastAsia="仿宋_GB2312" w:cs="仿宋_GB2312"/>
          <w:b/>
          <w:bCs/>
          <w:color w:val="000000"/>
          <w:kern w:val="0"/>
          <w:sz w:val="24"/>
          <w:szCs w:val="24"/>
          <w:highlight w:val="none"/>
        </w:rPr>
        <w:t>投标无效情况详见投标人须知。</w:t>
      </w:r>
    </w:p>
    <w:p w14:paraId="21C36916">
      <w:pPr>
        <w:adjustRightInd w:val="0"/>
        <w:snapToGrid w:val="0"/>
        <w:spacing w:line="360" w:lineRule="auto"/>
        <w:ind w:firstLine="480" w:firstLineChars="200"/>
        <w:rPr>
          <w:rFonts w:hint="eastAsia" w:ascii="仿宋_GB2312" w:hAnsi="仿宋_GB2312" w:eastAsia="仿宋_GB2312" w:cs="仿宋_GB2312"/>
          <w:b/>
          <w:bCs/>
          <w:color w:val="000000"/>
          <w:kern w:val="0"/>
          <w:sz w:val="24"/>
          <w:szCs w:val="24"/>
          <w:highlight w:val="none"/>
        </w:rPr>
      </w:pPr>
      <w:r>
        <w:rPr>
          <w:rFonts w:hint="eastAsia" w:ascii="仿宋_GB2312" w:hAnsi="仿宋_GB2312" w:eastAsia="仿宋_GB2312" w:cs="仿宋_GB2312"/>
          <w:b/>
          <w:color w:val="000000"/>
          <w:kern w:val="0"/>
          <w:sz w:val="24"/>
          <w:szCs w:val="24"/>
          <w:highlight w:val="none"/>
        </w:rPr>
        <w:t>★8</w:t>
      </w:r>
      <w:r>
        <w:rPr>
          <w:rFonts w:hint="eastAsia" w:ascii="仿宋_GB2312" w:hAnsi="仿宋_GB2312" w:eastAsia="仿宋_GB2312" w:cs="仿宋_GB2312"/>
          <w:b/>
          <w:bCs/>
          <w:color w:val="000000"/>
          <w:kern w:val="0"/>
          <w:sz w:val="24"/>
          <w:szCs w:val="24"/>
          <w:highlight w:val="none"/>
          <w:lang w:val="en-US" w:eastAsia="zh-CN"/>
        </w:rPr>
        <w:t>.</w:t>
      </w:r>
      <w:r>
        <w:rPr>
          <w:rFonts w:hint="eastAsia" w:ascii="仿宋_GB2312" w:hAnsi="仿宋_GB2312" w:eastAsia="仿宋_GB2312" w:cs="仿宋_GB2312"/>
          <w:b/>
          <w:bCs/>
          <w:color w:val="000000"/>
          <w:kern w:val="0"/>
          <w:sz w:val="24"/>
          <w:szCs w:val="24"/>
          <w:highlight w:val="none"/>
        </w:rPr>
        <w:t>推荐中标候选人的原则</w:t>
      </w:r>
    </w:p>
    <w:p w14:paraId="5340B9A6">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详见第一章投标人须知第29条，具体处理办法如下：</w:t>
      </w:r>
    </w:p>
    <w:p w14:paraId="3E18CBD5">
      <w:pPr>
        <w:numPr>
          <w:ilvl w:val="0"/>
          <w:numId w:val="8"/>
        </w:num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采用最低评标价法的：</w:t>
      </w:r>
    </w:p>
    <w:p w14:paraId="47FA27C8">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扣除后的投标报价相同时，按投标报价由低至高排序；</w:t>
      </w:r>
    </w:p>
    <w:p w14:paraId="4EA9EA92">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投标报价相同的并列；</w:t>
      </w:r>
    </w:p>
    <w:p w14:paraId="2E1BC73C">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（2）采用综合评分法的：</w:t>
      </w:r>
    </w:p>
    <w:p w14:paraId="111BC667">
      <w:pPr>
        <w:adjustRightInd w:val="0"/>
        <w:snapToGrid w:val="0"/>
        <w:spacing w:line="360" w:lineRule="auto"/>
        <w:ind w:firstLine="480" w:firstLineChars="200"/>
        <w:rPr>
          <w:rFonts w:hint="eastAsia" w:ascii="仿宋_GB2312" w:hAnsi="仿宋_GB2312" w:eastAsia="仿宋_GB2312" w:cs="仿宋_GB2312"/>
          <w:bCs/>
          <w:color w:val="000000"/>
          <w:sz w:val="24"/>
          <w:szCs w:val="24"/>
          <w:highlight w:val="none"/>
        </w:rPr>
      </w:pPr>
      <w:bookmarkStart w:id="138" w:name="_Toc30297_WPSOffice_Level2"/>
      <w:r>
        <w:rPr>
          <w:rFonts w:hint="eastAsia" w:ascii="仿宋_GB2312" w:hAnsi="仿宋_GB2312" w:eastAsia="仿宋_GB2312" w:cs="仿宋_GB2312"/>
          <w:bCs/>
          <w:color w:val="000000"/>
          <w:sz w:val="24"/>
          <w:szCs w:val="24"/>
          <w:highlight w:val="none"/>
        </w:rPr>
        <w:t>得分相同的，按投标报价由低到高顺序排列。得分且投标报价相同的并列。</w:t>
      </w:r>
    </w:p>
    <w:p w14:paraId="21E61705">
      <w:pPr>
        <w:adjustRightInd w:val="0"/>
        <w:snapToGrid w:val="0"/>
        <w:spacing w:line="360" w:lineRule="auto"/>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其他情况，由评标委员会投票处理。</w:t>
      </w:r>
    </w:p>
    <w:p w14:paraId="71C5A49A">
      <w:pPr>
        <w:adjustRightInd w:val="0"/>
        <w:snapToGrid w:val="0"/>
        <w:spacing w:line="360" w:lineRule="auto"/>
        <w:ind w:firstLine="480" w:firstLineChars="200"/>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kern w:val="0"/>
          <w:sz w:val="24"/>
          <w:szCs w:val="24"/>
          <w:highlight w:val="none"/>
          <w:lang w:eastAsia="zh-CN"/>
        </w:rPr>
        <w:t>9.</w:t>
      </w:r>
      <w:r>
        <w:rPr>
          <w:rFonts w:hint="eastAsia" w:ascii="仿宋_GB2312" w:hAnsi="仿宋_GB2312" w:eastAsia="仿宋_GB2312" w:cs="仿宋_GB2312"/>
          <w:b/>
          <w:color w:val="000000"/>
          <w:kern w:val="0"/>
          <w:sz w:val="24"/>
          <w:szCs w:val="24"/>
          <w:highlight w:val="none"/>
        </w:rPr>
        <w:t>评标报告</w:t>
      </w:r>
    </w:p>
    <w:p w14:paraId="41DDF112">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9.1评标委员会根据全体评标成员签字的原始评标记录和评标结果编写评标报告。评标报告应当包括以下内容：</w:t>
      </w:r>
    </w:p>
    <w:p w14:paraId="5062024C">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（1）招标公告刊登的媒体名称、开标日期和地点；</w:t>
      </w:r>
    </w:p>
    <w:p w14:paraId="405566F6">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（2）投标人名单和评标委员会成员名单；</w:t>
      </w:r>
    </w:p>
    <w:p w14:paraId="7ADC4ABC">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（3）评标方法和标准；</w:t>
      </w:r>
    </w:p>
    <w:p w14:paraId="7D07F273">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（4）开标记录和评标情况及说明，包括无效投标人名单及原因；</w:t>
      </w:r>
    </w:p>
    <w:p w14:paraId="68BC9EA1">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（5）评标结果，确定的中标候选人名单或者经采购人委托直接确定的中标人；</w:t>
      </w:r>
    </w:p>
    <w:p w14:paraId="444A9AB9">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rPr>
        <w:t>（6）其他需要说明的情况，包括评标过程中投标人根据评标委员会要求进行的澄清、说明或者补正，评标委员会成员的更换等</w:t>
      </w:r>
      <w:r>
        <w:rPr>
          <w:rFonts w:hint="eastAsia" w:ascii="仿宋_GB2312" w:hAnsi="仿宋_GB2312" w:eastAsia="仿宋_GB2312" w:cs="仿宋_GB2312"/>
          <w:color w:val="000000"/>
          <w:sz w:val="24"/>
          <w:szCs w:val="24"/>
          <w:highlight w:val="none"/>
          <w:lang w:eastAsia="zh-CN"/>
        </w:rPr>
        <w:t>；</w:t>
      </w:r>
    </w:p>
    <w:p w14:paraId="56F8052A">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rPr>
        <w:t>9.2评标委员会应当在评审报告上签字，对自己的评审意见承担法律责任。对评审报告有异议的，应当在评审报告上签署不同意见，并说明理由，否则视为同意评审报告</w:t>
      </w:r>
      <w:r>
        <w:rPr>
          <w:rFonts w:hint="eastAsia" w:ascii="仿宋_GB2312" w:hAnsi="仿宋_GB2312" w:eastAsia="仿宋_GB2312" w:cs="仿宋_GB2312"/>
          <w:color w:val="000000"/>
          <w:sz w:val="24"/>
          <w:szCs w:val="24"/>
          <w:highlight w:val="none"/>
          <w:lang w:eastAsia="zh-CN"/>
        </w:rPr>
        <w:t>；</w:t>
      </w:r>
    </w:p>
    <w:p w14:paraId="64877D70">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9.3如评标委员会启动异常低价审查程序，则异常低价投标（响应）审查的启动原因、审查意见和审查结果应当在评审报告中记录，并随供应商提供的相关书面说明及证明材料，以及评审委员会有关互联网浏览、查询历史一并归档。</w:t>
      </w:r>
    </w:p>
    <w:p w14:paraId="06E6AEA6">
      <w:pPr>
        <w:adjustRightInd w:val="0"/>
        <w:snapToGrid w:val="0"/>
        <w:spacing w:line="360" w:lineRule="auto"/>
        <w:ind w:firstLine="480" w:firstLineChars="200"/>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sz w:val="24"/>
          <w:szCs w:val="24"/>
          <w:highlight w:val="none"/>
        </w:rPr>
        <w:t>三、</w:t>
      </w:r>
      <w:r>
        <w:rPr>
          <w:rFonts w:hint="eastAsia" w:ascii="仿宋_GB2312" w:hAnsi="仿宋_GB2312" w:eastAsia="仿宋_GB2312" w:cs="仿宋_GB2312"/>
          <w:b/>
          <w:color w:val="000000"/>
          <w:kern w:val="0"/>
          <w:sz w:val="24"/>
          <w:szCs w:val="24"/>
          <w:highlight w:val="none"/>
        </w:rPr>
        <w:t>确定中标人</w:t>
      </w:r>
      <w:bookmarkEnd w:id="138"/>
    </w:p>
    <w:p w14:paraId="02F37F39">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评标委员会根据全体评标委员会成员签字的原始评标记录和评标结果编写评标报告，并向采购人提交书面评标报告。</w:t>
      </w:r>
    </w:p>
    <w:p w14:paraId="3C1830FB">
      <w:pPr>
        <w:adjustRightInd w:val="0"/>
        <w:snapToGrid w:val="0"/>
        <w:spacing w:line="360" w:lineRule="auto"/>
        <w:ind w:firstLine="480" w:firstLineChars="200"/>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color w:val="000000"/>
          <w:sz w:val="24"/>
          <w:szCs w:val="24"/>
          <w:highlight w:val="none"/>
        </w:rPr>
        <w:t>采购人按照评标报告确定的中标候选人名单按顺序确定中标人，或由采购人委托评标委员会按照第一章投标人须知第31条规定的方式确定中标人。</w:t>
      </w:r>
    </w:p>
    <w:p w14:paraId="1998706F">
      <w:pPr>
        <w:pStyle w:val="4"/>
        <w:adjustRightInd w:val="0"/>
        <w:snapToGrid w:val="0"/>
        <w:spacing w:before="0" w:after="0" w:line="240" w:lineRule="auto"/>
        <w:jc w:val="left"/>
        <w:rPr>
          <w:rFonts w:hint="eastAsia" w:ascii="Times New Roman" w:hAnsi="Times New Roman" w:eastAsia="仿宋" w:cs="仿宋"/>
          <w:color w:val="000000"/>
          <w:szCs w:val="28"/>
          <w:highlight w:val="none"/>
        </w:rPr>
      </w:pPr>
      <w:r>
        <w:rPr>
          <w:rFonts w:hint="eastAsia" w:ascii="Times New Roman" w:hAnsi="Times New Roman" w:eastAsia="仿宋" w:cs="仿宋"/>
          <w:color w:val="000000"/>
          <w:highlight w:val="none"/>
        </w:rPr>
        <w:br w:type="page"/>
      </w:r>
      <w:bookmarkStart w:id="139" w:name="_Toc32318_WPSOffice_Level2"/>
      <w:r>
        <w:rPr>
          <w:rFonts w:hint="eastAsia" w:ascii="Times New Roman" w:hAnsi="Times New Roman" w:eastAsia="仿宋" w:cs="仿宋"/>
          <w:color w:val="000000"/>
          <w:sz w:val="24"/>
          <w:szCs w:val="24"/>
          <w:highlight w:val="none"/>
        </w:rPr>
        <w:t xml:space="preserve">附件1 </w:t>
      </w:r>
    </w:p>
    <w:p w14:paraId="0945A0E4">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资格审查表</w:t>
      </w:r>
      <w:bookmarkEnd w:id="139"/>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3505"/>
        <w:gridCol w:w="1809"/>
        <w:gridCol w:w="899"/>
        <w:gridCol w:w="877"/>
        <w:gridCol w:w="815"/>
      </w:tblGrid>
      <w:tr w14:paraId="5301D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357" w:type="pct"/>
            <w:vMerge w:val="restart"/>
            <w:noWrap w:val="0"/>
            <w:vAlign w:val="center"/>
          </w:tcPr>
          <w:p w14:paraId="382EA121">
            <w:pPr>
              <w:ind w:left="-96" w:leftChars="-46" w:right="-86" w:rightChars="-41"/>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序号</w:t>
            </w:r>
          </w:p>
        </w:tc>
        <w:tc>
          <w:tcPr>
            <w:tcW w:w="2058" w:type="pct"/>
            <w:vMerge w:val="restart"/>
            <w:noWrap w:val="0"/>
            <w:vAlign w:val="center"/>
          </w:tcPr>
          <w:p w14:paraId="770F038E">
            <w:pPr>
              <w:pStyle w:val="4"/>
              <w:adjustRightInd w:val="0"/>
              <w:snapToGrid w:val="0"/>
              <w:spacing w:before="0" w:after="0" w:line="240" w:lineRule="auto"/>
              <w:ind w:left="-96" w:leftChars="-46" w:right="-86" w:rightChars="-41"/>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审查项目</w:t>
            </w:r>
          </w:p>
        </w:tc>
        <w:tc>
          <w:tcPr>
            <w:tcW w:w="1062" w:type="pct"/>
            <w:vMerge w:val="restart"/>
            <w:noWrap w:val="0"/>
            <w:vAlign w:val="center"/>
          </w:tcPr>
          <w:p w14:paraId="2F335B0F">
            <w:pPr>
              <w:pStyle w:val="4"/>
              <w:adjustRightInd w:val="0"/>
              <w:snapToGrid w:val="0"/>
              <w:spacing w:before="0" w:after="0" w:line="240" w:lineRule="auto"/>
              <w:ind w:left="-96" w:leftChars="-46" w:right="-86" w:rightChars="-41"/>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审查标准</w:t>
            </w:r>
          </w:p>
        </w:tc>
        <w:tc>
          <w:tcPr>
            <w:tcW w:w="1521" w:type="pct"/>
            <w:gridSpan w:val="3"/>
            <w:noWrap w:val="0"/>
            <w:vAlign w:val="center"/>
          </w:tcPr>
          <w:p w14:paraId="46AA684E">
            <w:pPr>
              <w:pStyle w:val="4"/>
              <w:adjustRightInd w:val="0"/>
              <w:snapToGrid w:val="0"/>
              <w:spacing w:before="0" w:after="0" w:line="240" w:lineRule="auto"/>
              <w:ind w:left="-96" w:leftChars="-46" w:right="-86" w:rightChars="-41"/>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投标人名称</w:t>
            </w:r>
          </w:p>
        </w:tc>
      </w:tr>
      <w:tr w14:paraId="05E87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357" w:type="pct"/>
            <w:vMerge w:val="continue"/>
            <w:noWrap w:val="0"/>
            <w:vAlign w:val="center"/>
          </w:tcPr>
          <w:p w14:paraId="6DB8C592">
            <w:pPr>
              <w:pStyle w:val="4"/>
              <w:adjustRightInd w:val="0"/>
              <w:snapToGrid w:val="0"/>
              <w:spacing w:before="0" w:after="0" w:line="240" w:lineRule="auto"/>
              <w:rPr>
                <w:rFonts w:hint="eastAsia" w:ascii="仿宋_GB2312" w:hAnsi="仿宋_GB2312" w:eastAsia="仿宋_GB2312" w:cs="仿宋_GB2312"/>
                <w:color w:val="auto"/>
                <w:highlight w:val="none"/>
              </w:rPr>
            </w:pPr>
          </w:p>
        </w:tc>
        <w:tc>
          <w:tcPr>
            <w:tcW w:w="2058" w:type="pct"/>
            <w:vMerge w:val="continue"/>
            <w:noWrap w:val="0"/>
            <w:vAlign w:val="center"/>
          </w:tcPr>
          <w:p w14:paraId="1C4D28D9">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1062" w:type="pct"/>
            <w:vMerge w:val="continue"/>
            <w:noWrap w:val="0"/>
            <w:vAlign w:val="center"/>
          </w:tcPr>
          <w:p w14:paraId="239DC2B2">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28" w:type="pct"/>
            <w:noWrap w:val="0"/>
            <w:vAlign w:val="center"/>
          </w:tcPr>
          <w:p w14:paraId="32BED262">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15" w:type="pct"/>
            <w:noWrap w:val="0"/>
            <w:vAlign w:val="center"/>
          </w:tcPr>
          <w:p w14:paraId="7B07003D">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78" w:type="pct"/>
            <w:noWrap w:val="0"/>
            <w:vAlign w:val="center"/>
          </w:tcPr>
          <w:p w14:paraId="5CA02009">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78799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357" w:type="pct"/>
            <w:noWrap w:val="0"/>
            <w:vAlign w:val="center"/>
          </w:tcPr>
          <w:p w14:paraId="1E5A8CF0">
            <w:pPr>
              <w:snapToGrid w:val="0"/>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w:t>
            </w:r>
          </w:p>
        </w:tc>
        <w:tc>
          <w:tcPr>
            <w:tcW w:w="2058" w:type="pct"/>
            <w:noWrap w:val="0"/>
            <w:vAlign w:val="center"/>
          </w:tcPr>
          <w:p w14:paraId="780E9D3B">
            <w:pPr>
              <w:snapToGrid w:val="0"/>
              <w:jc w:val="left"/>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营业执照或事业单位法人证书或执业许可证等证明文件或自然人的身份证明</w:t>
            </w:r>
          </w:p>
        </w:tc>
        <w:tc>
          <w:tcPr>
            <w:tcW w:w="1062" w:type="pct"/>
            <w:noWrap w:val="0"/>
            <w:vAlign w:val="center"/>
          </w:tcPr>
          <w:p w14:paraId="2736F5DB">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1.按要求提供</w:t>
            </w:r>
          </w:p>
          <w:p w14:paraId="4961A301">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2.合法有效</w:t>
            </w:r>
          </w:p>
        </w:tc>
        <w:tc>
          <w:tcPr>
            <w:tcW w:w="528" w:type="pct"/>
            <w:noWrap w:val="0"/>
            <w:vAlign w:val="center"/>
          </w:tcPr>
          <w:p w14:paraId="37B4AF8C">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15" w:type="pct"/>
            <w:noWrap w:val="0"/>
            <w:vAlign w:val="center"/>
          </w:tcPr>
          <w:p w14:paraId="065F2BD8">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78" w:type="pct"/>
            <w:noWrap w:val="0"/>
            <w:vAlign w:val="center"/>
          </w:tcPr>
          <w:p w14:paraId="492E4128">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201EE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357" w:type="pct"/>
            <w:noWrap w:val="0"/>
            <w:vAlign w:val="center"/>
          </w:tcPr>
          <w:p w14:paraId="596E9D84">
            <w:pPr>
              <w:widowControl/>
              <w:snapToGrid w:val="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2</w:t>
            </w:r>
          </w:p>
        </w:tc>
        <w:tc>
          <w:tcPr>
            <w:tcW w:w="2058" w:type="pct"/>
            <w:noWrap w:val="0"/>
            <w:vAlign w:val="center"/>
          </w:tcPr>
          <w:p w14:paraId="49862D0C">
            <w:pPr>
              <w:widowControl/>
              <w:snapToGrid w:val="0"/>
              <w:jc w:val="left"/>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1"/>
                <w:highlight w:val="none"/>
              </w:rPr>
              <w:t>法定代表人（或非法人组织负责人）身份证明书</w:t>
            </w:r>
          </w:p>
        </w:tc>
        <w:tc>
          <w:tcPr>
            <w:tcW w:w="1062" w:type="pct"/>
            <w:noWrap w:val="0"/>
            <w:vAlign w:val="center"/>
          </w:tcPr>
          <w:p w14:paraId="6B0562EE">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14:paraId="30CBF04F">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2.按规定签章</w:t>
            </w:r>
          </w:p>
        </w:tc>
        <w:tc>
          <w:tcPr>
            <w:tcW w:w="528" w:type="pct"/>
            <w:noWrap w:val="0"/>
            <w:vAlign w:val="top"/>
          </w:tcPr>
          <w:p w14:paraId="5BB0670E">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15" w:type="pct"/>
            <w:noWrap w:val="0"/>
            <w:vAlign w:val="top"/>
          </w:tcPr>
          <w:p w14:paraId="3CBF228D">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78" w:type="pct"/>
            <w:noWrap w:val="0"/>
            <w:vAlign w:val="top"/>
          </w:tcPr>
          <w:p w14:paraId="18BED601">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61553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357" w:type="pct"/>
            <w:noWrap w:val="0"/>
            <w:vAlign w:val="center"/>
          </w:tcPr>
          <w:p w14:paraId="05AEC46F">
            <w:pPr>
              <w:widowControl/>
              <w:snapToGrid w:val="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3</w:t>
            </w:r>
          </w:p>
        </w:tc>
        <w:tc>
          <w:tcPr>
            <w:tcW w:w="2058" w:type="pct"/>
            <w:noWrap w:val="0"/>
            <w:vAlign w:val="center"/>
          </w:tcPr>
          <w:p w14:paraId="136E1F75">
            <w:pPr>
              <w:widowControl/>
              <w:snapToGrid w:val="0"/>
              <w:jc w:val="left"/>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法定代表人（或非法人组织</w:t>
            </w:r>
            <w:r>
              <w:rPr>
                <w:rFonts w:hint="eastAsia" w:ascii="仿宋_GB2312" w:hAnsi="仿宋_GB2312" w:eastAsia="仿宋_GB2312" w:cs="仿宋_GB2312"/>
                <w:color w:val="auto"/>
                <w:szCs w:val="21"/>
                <w:highlight w:val="none"/>
              </w:rPr>
              <w:t>负责人）</w:t>
            </w:r>
            <w:r>
              <w:rPr>
                <w:rFonts w:hint="eastAsia" w:ascii="仿宋_GB2312" w:hAnsi="仿宋_GB2312" w:eastAsia="仿宋_GB2312" w:cs="仿宋_GB2312"/>
                <w:color w:val="auto"/>
                <w:highlight w:val="none"/>
              </w:rPr>
              <w:t>授权委托书</w:t>
            </w:r>
            <w:r>
              <w:rPr>
                <w:rFonts w:hint="eastAsia" w:ascii="仿宋_GB2312" w:hAnsi="仿宋_GB2312" w:eastAsia="仿宋_GB2312" w:cs="仿宋_GB2312"/>
                <w:color w:val="auto"/>
                <w:szCs w:val="21"/>
                <w:highlight w:val="none"/>
              </w:rPr>
              <w:t>（授权委托人参加投标的须提供）</w:t>
            </w:r>
          </w:p>
        </w:tc>
        <w:tc>
          <w:tcPr>
            <w:tcW w:w="1062" w:type="pct"/>
            <w:noWrap w:val="0"/>
            <w:vAlign w:val="center"/>
          </w:tcPr>
          <w:p w14:paraId="595DB862">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14:paraId="67B5B751">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2.按规定签章</w:t>
            </w:r>
          </w:p>
        </w:tc>
        <w:tc>
          <w:tcPr>
            <w:tcW w:w="528" w:type="pct"/>
            <w:noWrap w:val="0"/>
            <w:vAlign w:val="top"/>
          </w:tcPr>
          <w:p w14:paraId="0B423967">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15" w:type="pct"/>
            <w:noWrap w:val="0"/>
            <w:vAlign w:val="top"/>
          </w:tcPr>
          <w:p w14:paraId="61FCAF81">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78" w:type="pct"/>
            <w:noWrap w:val="0"/>
            <w:vAlign w:val="top"/>
          </w:tcPr>
          <w:p w14:paraId="38752540">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56D91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357" w:type="pct"/>
            <w:noWrap w:val="0"/>
            <w:vAlign w:val="center"/>
          </w:tcPr>
          <w:p w14:paraId="5895954A">
            <w:pPr>
              <w:widowControl/>
              <w:snapToGrid w:val="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4</w:t>
            </w:r>
          </w:p>
        </w:tc>
        <w:tc>
          <w:tcPr>
            <w:tcW w:w="2058" w:type="pct"/>
            <w:noWrap w:val="0"/>
            <w:vAlign w:val="center"/>
          </w:tcPr>
          <w:p w14:paraId="4871BD24">
            <w:pPr>
              <w:widowControl/>
              <w:snapToGrid w:val="0"/>
              <w:jc w:val="left"/>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具有良好的商业信誉和健全的财务会计制度的承诺函</w:t>
            </w:r>
          </w:p>
        </w:tc>
        <w:tc>
          <w:tcPr>
            <w:tcW w:w="1062" w:type="pct"/>
            <w:noWrap w:val="0"/>
            <w:vAlign w:val="center"/>
          </w:tcPr>
          <w:p w14:paraId="2B1CE568">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1.信息完整</w:t>
            </w:r>
          </w:p>
          <w:p w14:paraId="1A07C07A">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2.按规定签章</w:t>
            </w:r>
          </w:p>
        </w:tc>
        <w:tc>
          <w:tcPr>
            <w:tcW w:w="528" w:type="pct"/>
            <w:noWrap w:val="0"/>
            <w:vAlign w:val="top"/>
          </w:tcPr>
          <w:p w14:paraId="25A99536">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15" w:type="pct"/>
            <w:noWrap w:val="0"/>
            <w:vAlign w:val="top"/>
          </w:tcPr>
          <w:p w14:paraId="3DD09A56">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78" w:type="pct"/>
            <w:noWrap w:val="0"/>
            <w:vAlign w:val="top"/>
          </w:tcPr>
          <w:p w14:paraId="27949AEA">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448EC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357" w:type="pct"/>
            <w:noWrap w:val="0"/>
            <w:vAlign w:val="center"/>
          </w:tcPr>
          <w:p w14:paraId="0F3FFB3A">
            <w:pPr>
              <w:snapToGrid w:val="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5</w:t>
            </w:r>
          </w:p>
        </w:tc>
        <w:tc>
          <w:tcPr>
            <w:tcW w:w="2058" w:type="pct"/>
            <w:noWrap w:val="0"/>
            <w:vAlign w:val="center"/>
          </w:tcPr>
          <w:p w14:paraId="47738949">
            <w:pPr>
              <w:snapToGrid w:val="0"/>
              <w:jc w:val="left"/>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开标时间前六个月内任一个月的依法缴纳税收的缴款凭据</w:t>
            </w:r>
          </w:p>
        </w:tc>
        <w:tc>
          <w:tcPr>
            <w:tcW w:w="1062" w:type="pct"/>
            <w:noWrap w:val="0"/>
            <w:vAlign w:val="center"/>
          </w:tcPr>
          <w:p w14:paraId="7010529F">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1.按要求提供</w:t>
            </w:r>
          </w:p>
          <w:p w14:paraId="4E481811">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2.合法有效</w:t>
            </w:r>
          </w:p>
        </w:tc>
        <w:tc>
          <w:tcPr>
            <w:tcW w:w="528" w:type="pct"/>
            <w:noWrap w:val="0"/>
            <w:vAlign w:val="top"/>
          </w:tcPr>
          <w:p w14:paraId="156CA161">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15" w:type="pct"/>
            <w:noWrap w:val="0"/>
            <w:vAlign w:val="top"/>
          </w:tcPr>
          <w:p w14:paraId="1933D0F8">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78" w:type="pct"/>
            <w:noWrap w:val="0"/>
            <w:vAlign w:val="top"/>
          </w:tcPr>
          <w:p w14:paraId="45A23D0D">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7555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357" w:type="pct"/>
            <w:noWrap w:val="0"/>
            <w:vAlign w:val="center"/>
          </w:tcPr>
          <w:p w14:paraId="7825E50F">
            <w:pPr>
              <w:snapToGrid w:val="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6</w:t>
            </w:r>
          </w:p>
        </w:tc>
        <w:tc>
          <w:tcPr>
            <w:tcW w:w="2058" w:type="pct"/>
            <w:noWrap w:val="0"/>
            <w:vAlign w:val="center"/>
          </w:tcPr>
          <w:p w14:paraId="7362A078">
            <w:pPr>
              <w:snapToGrid w:val="0"/>
              <w:jc w:val="left"/>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开标时间前六个月内任一个月的依法缴纳社会保障资金的缴款凭据</w:t>
            </w:r>
          </w:p>
        </w:tc>
        <w:tc>
          <w:tcPr>
            <w:tcW w:w="1062" w:type="pct"/>
            <w:noWrap w:val="0"/>
            <w:vAlign w:val="center"/>
          </w:tcPr>
          <w:p w14:paraId="6AF2468F">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1.按要求提供</w:t>
            </w:r>
          </w:p>
          <w:p w14:paraId="5EA52663">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2.合法有效</w:t>
            </w:r>
          </w:p>
        </w:tc>
        <w:tc>
          <w:tcPr>
            <w:tcW w:w="528" w:type="pct"/>
            <w:noWrap w:val="0"/>
            <w:vAlign w:val="top"/>
          </w:tcPr>
          <w:p w14:paraId="40CC97E8">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15" w:type="pct"/>
            <w:noWrap w:val="0"/>
            <w:vAlign w:val="top"/>
          </w:tcPr>
          <w:p w14:paraId="173591BB">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78" w:type="pct"/>
            <w:noWrap w:val="0"/>
            <w:vAlign w:val="top"/>
          </w:tcPr>
          <w:p w14:paraId="3894A3ED">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4494B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357" w:type="pct"/>
            <w:noWrap w:val="0"/>
            <w:vAlign w:val="center"/>
          </w:tcPr>
          <w:p w14:paraId="41C9E36E">
            <w:pPr>
              <w:snapToGrid w:val="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7</w:t>
            </w:r>
          </w:p>
        </w:tc>
        <w:tc>
          <w:tcPr>
            <w:tcW w:w="2058" w:type="pct"/>
            <w:noWrap w:val="0"/>
            <w:vAlign w:val="center"/>
          </w:tcPr>
          <w:p w14:paraId="549CE8D3">
            <w:pPr>
              <w:snapToGrid w:val="0"/>
              <w:jc w:val="left"/>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具备履行合同所必需的设备和专业技术能力声明函</w:t>
            </w:r>
          </w:p>
        </w:tc>
        <w:tc>
          <w:tcPr>
            <w:tcW w:w="1062" w:type="pct"/>
            <w:noWrap w:val="0"/>
            <w:vAlign w:val="center"/>
          </w:tcPr>
          <w:p w14:paraId="57C1E5BA">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1.信息完整</w:t>
            </w:r>
          </w:p>
          <w:p w14:paraId="40838DC4">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2.按规定签章</w:t>
            </w:r>
          </w:p>
        </w:tc>
        <w:tc>
          <w:tcPr>
            <w:tcW w:w="528" w:type="pct"/>
            <w:noWrap w:val="0"/>
            <w:vAlign w:val="top"/>
          </w:tcPr>
          <w:p w14:paraId="70516859">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15" w:type="pct"/>
            <w:noWrap w:val="0"/>
            <w:vAlign w:val="top"/>
          </w:tcPr>
          <w:p w14:paraId="42CEA04F">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78" w:type="pct"/>
            <w:noWrap w:val="0"/>
            <w:vAlign w:val="top"/>
          </w:tcPr>
          <w:p w14:paraId="66A27BE9">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672E1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357" w:type="pct"/>
            <w:noWrap w:val="0"/>
            <w:vAlign w:val="center"/>
          </w:tcPr>
          <w:p w14:paraId="23F560D4">
            <w:pPr>
              <w:snapToGrid w:val="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8</w:t>
            </w:r>
          </w:p>
        </w:tc>
        <w:tc>
          <w:tcPr>
            <w:tcW w:w="2058" w:type="pct"/>
            <w:noWrap w:val="0"/>
            <w:vAlign w:val="center"/>
          </w:tcPr>
          <w:p w14:paraId="114A372C">
            <w:pPr>
              <w:snapToGrid w:val="0"/>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rPr>
              <w:t>参加政府采购活动前3年内在经营活动中没有重大违法记录的书面声明</w:t>
            </w:r>
          </w:p>
        </w:tc>
        <w:tc>
          <w:tcPr>
            <w:tcW w:w="1062" w:type="pct"/>
            <w:noWrap w:val="0"/>
            <w:vAlign w:val="center"/>
          </w:tcPr>
          <w:p w14:paraId="65D41A0D">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14:paraId="07262404">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2.按规定签章</w:t>
            </w:r>
          </w:p>
        </w:tc>
        <w:tc>
          <w:tcPr>
            <w:tcW w:w="528" w:type="pct"/>
            <w:noWrap w:val="0"/>
            <w:vAlign w:val="top"/>
          </w:tcPr>
          <w:p w14:paraId="018D581B">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15" w:type="pct"/>
            <w:noWrap w:val="0"/>
            <w:vAlign w:val="top"/>
          </w:tcPr>
          <w:p w14:paraId="6E11B5F9">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78" w:type="pct"/>
            <w:noWrap w:val="0"/>
            <w:vAlign w:val="top"/>
          </w:tcPr>
          <w:p w14:paraId="1824F7A2">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1A18A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357" w:type="pct"/>
            <w:noWrap w:val="0"/>
            <w:vAlign w:val="center"/>
          </w:tcPr>
          <w:p w14:paraId="43FD13CC">
            <w:pPr>
              <w:snapToGrid w:val="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9</w:t>
            </w:r>
          </w:p>
        </w:tc>
        <w:tc>
          <w:tcPr>
            <w:tcW w:w="2058" w:type="pct"/>
            <w:noWrap w:val="0"/>
            <w:vAlign w:val="center"/>
          </w:tcPr>
          <w:p w14:paraId="09FB5010">
            <w:pPr>
              <w:snapToGrid w:val="0"/>
              <w:jc w:val="left"/>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中小企业声明函（</w:t>
            </w:r>
            <w:r>
              <w:rPr>
                <w:rFonts w:hint="eastAsia" w:ascii="仿宋_GB2312" w:hAnsi="仿宋_GB2312" w:eastAsia="仿宋_GB2312" w:cs="仿宋_GB2312"/>
                <w:color w:val="auto"/>
                <w:szCs w:val="21"/>
                <w:highlight w:val="none"/>
              </w:rPr>
              <w:t>残疾人福利性单位声明函、</w:t>
            </w:r>
            <w:r>
              <w:rPr>
                <w:rFonts w:hint="eastAsia" w:ascii="仿宋_GB2312" w:hAnsi="仿宋_GB2312" w:eastAsia="仿宋_GB2312" w:cs="仿宋_GB2312"/>
                <w:color w:val="auto"/>
                <w:kern w:val="0"/>
                <w:szCs w:val="21"/>
                <w:highlight w:val="none"/>
              </w:rPr>
              <w:t>监狱企业证明文件）</w:t>
            </w:r>
          </w:p>
        </w:tc>
        <w:tc>
          <w:tcPr>
            <w:tcW w:w="1062" w:type="pct"/>
            <w:noWrap w:val="0"/>
            <w:vAlign w:val="center"/>
          </w:tcPr>
          <w:p w14:paraId="331F4D06">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14:paraId="0CB594C3">
            <w:pPr>
              <w:pStyle w:val="4"/>
              <w:adjustRightInd w:val="0"/>
              <w:snapToGrid w:val="0"/>
              <w:spacing w:before="0" w:after="0" w:line="240" w:lineRule="auto"/>
              <w:jc w:val="both"/>
              <w:rPr>
                <w:rFonts w:hint="eastAsia" w:ascii="仿宋_GB2312" w:hAnsi="仿宋_GB2312" w:eastAsia="仿宋_GB2312" w:cs="仿宋_GB2312"/>
                <w:b w:val="0"/>
                <w:bCs/>
                <w:color w:val="auto"/>
                <w:sz w:val="21"/>
                <w:szCs w:val="21"/>
                <w:highlight w:val="none"/>
              </w:rPr>
            </w:pPr>
            <w:r>
              <w:rPr>
                <w:rFonts w:hint="eastAsia" w:ascii="仿宋_GB2312" w:hAnsi="仿宋_GB2312" w:eastAsia="仿宋_GB2312" w:cs="仿宋_GB2312"/>
                <w:b w:val="0"/>
                <w:color w:val="auto"/>
                <w:sz w:val="21"/>
                <w:szCs w:val="21"/>
                <w:highlight w:val="none"/>
              </w:rPr>
              <w:t>2</w:t>
            </w:r>
            <w:r>
              <w:rPr>
                <w:rFonts w:hint="eastAsia" w:ascii="仿宋_GB2312" w:hAnsi="仿宋_GB2312" w:eastAsia="仿宋_GB2312" w:cs="仿宋_GB2312"/>
                <w:color w:val="auto"/>
                <w:sz w:val="21"/>
                <w:szCs w:val="21"/>
                <w:highlight w:val="none"/>
              </w:rPr>
              <w:t>.</w:t>
            </w:r>
            <w:r>
              <w:rPr>
                <w:rFonts w:hint="eastAsia" w:ascii="仿宋_GB2312" w:hAnsi="仿宋_GB2312" w:eastAsia="仿宋_GB2312" w:cs="仿宋_GB2312"/>
                <w:b w:val="0"/>
                <w:bCs/>
                <w:color w:val="auto"/>
                <w:sz w:val="21"/>
                <w:szCs w:val="21"/>
                <w:highlight w:val="none"/>
              </w:rPr>
              <w:t>信息完整无误</w:t>
            </w:r>
          </w:p>
          <w:p w14:paraId="6E788573">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bCs/>
                <w:color w:val="auto"/>
                <w:sz w:val="21"/>
                <w:szCs w:val="21"/>
                <w:highlight w:val="none"/>
              </w:rPr>
              <w:t>3.按规定签章</w:t>
            </w:r>
          </w:p>
        </w:tc>
        <w:tc>
          <w:tcPr>
            <w:tcW w:w="528" w:type="pct"/>
            <w:noWrap w:val="0"/>
            <w:vAlign w:val="top"/>
          </w:tcPr>
          <w:p w14:paraId="2EEA0840">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15" w:type="pct"/>
            <w:noWrap w:val="0"/>
            <w:vAlign w:val="top"/>
          </w:tcPr>
          <w:p w14:paraId="74963D7B">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78" w:type="pct"/>
            <w:noWrap w:val="0"/>
            <w:vAlign w:val="top"/>
          </w:tcPr>
          <w:p w14:paraId="53FAC908">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5B72B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357" w:type="pct"/>
            <w:noWrap w:val="0"/>
            <w:vAlign w:val="center"/>
          </w:tcPr>
          <w:p w14:paraId="3EFE6D38">
            <w:pPr>
              <w:snapToGrid w:val="0"/>
              <w:jc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val="en-US" w:eastAsia="zh-CN"/>
              </w:rPr>
              <w:t>10</w:t>
            </w:r>
          </w:p>
        </w:tc>
        <w:tc>
          <w:tcPr>
            <w:tcW w:w="2058" w:type="pct"/>
            <w:noWrap w:val="0"/>
            <w:vAlign w:val="center"/>
          </w:tcPr>
          <w:p w14:paraId="1FD43BD7">
            <w:pPr>
              <w:snapToGrid w:val="0"/>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信用记录（</w:t>
            </w:r>
            <w:r>
              <w:rPr>
                <w:rFonts w:hint="eastAsia" w:ascii="仿宋_GB2312" w:hAnsi="仿宋_GB2312" w:eastAsia="仿宋_GB2312" w:cs="仿宋_GB2312"/>
                <w:color w:val="auto"/>
                <w:szCs w:val="21"/>
                <w:highlight w:val="none"/>
              </w:rPr>
              <w:t>采购人或采购代理机构将按照招标文件规定的审查期间内进行查询</w:t>
            </w:r>
            <w:r>
              <w:rPr>
                <w:rFonts w:hint="eastAsia" w:ascii="仿宋_GB2312" w:hAnsi="仿宋_GB2312" w:eastAsia="仿宋_GB2312" w:cs="仿宋_GB2312"/>
                <w:color w:val="auto"/>
                <w:highlight w:val="none"/>
              </w:rPr>
              <w:t>）</w:t>
            </w:r>
          </w:p>
        </w:tc>
        <w:tc>
          <w:tcPr>
            <w:tcW w:w="1062" w:type="pct"/>
            <w:noWrap w:val="0"/>
            <w:vAlign w:val="center"/>
          </w:tcPr>
          <w:p w14:paraId="0800C591">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无投标须知22.2.1所述的不良记录</w:t>
            </w:r>
          </w:p>
        </w:tc>
        <w:tc>
          <w:tcPr>
            <w:tcW w:w="528" w:type="pct"/>
            <w:noWrap w:val="0"/>
            <w:vAlign w:val="top"/>
          </w:tcPr>
          <w:p w14:paraId="79AC9B5A">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15" w:type="pct"/>
            <w:noWrap w:val="0"/>
            <w:vAlign w:val="top"/>
          </w:tcPr>
          <w:p w14:paraId="3DF400EB">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78" w:type="pct"/>
            <w:noWrap w:val="0"/>
            <w:vAlign w:val="top"/>
          </w:tcPr>
          <w:p w14:paraId="66940BCD">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0A69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357" w:type="pct"/>
            <w:noWrap w:val="0"/>
            <w:vAlign w:val="center"/>
          </w:tcPr>
          <w:p w14:paraId="2E0CFE41">
            <w:pPr>
              <w:snapToGrid w:val="0"/>
              <w:jc w:val="center"/>
              <w:rPr>
                <w:rFonts w:hint="eastAsia" w:ascii="仿宋_GB2312" w:hAnsi="仿宋_GB2312" w:eastAsia="仿宋_GB2312" w:cs="仿宋_GB2312"/>
                <w:color w:val="auto"/>
                <w:highlight w:val="none"/>
              </w:rPr>
            </w:pPr>
          </w:p>
        </w:tc>
        <w:tc>
          <w:tcPr>
            <w:tcW w:w="2058" w:type="pct"/>
            <w:noWrap w:val="0"/>
            <w:vAlign w:val="center"/>
          </w:tcPr>
          <w:p w14:paraId="2591F9A8">
            <w:pPr>
              <w:snapToGrid w:val="0"/>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结论</w:t>
            </w:r>
          </w:p>
        </w:tc>
        <w:tc>
          <w:tcPr>
            <w:tcW w:w="1062" w:type="pct"/>
            <w:noWrap w:val="0"/>
            <w:vAlign w:val="top"/>
          </w:tcPr>
          <w:p w14:paraId="1C9D774D">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28" w:type="pct"/>
            <w:noWrap w:val="0"/>
            <w:vAlign w:val="top"/>
          </w:tcPr>
          <w:p w14:paraId="1E9F2178">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15" w:type="pct"/>
            <w:noWrap w:val="0"/>
            <w:vAlign w:val="top"/>
          </w:tcPr>
          <w:p w14:paraId="1DCC4B05">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78" w:type="pct"/>
            <w:noWrap w:val="0"/>
            <w:vAlign w:val="top"/>
          </w:tcPr>
          <w:p w14:paraId="596A584D">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bl>
    <w:p w14:paraId="43A4CAE7">
      <w:pPr>
        <w:jc w:val="center"/>
        <w:rPr>
          <w:rFonts w:hint="eastAsia" w:ascii="宋体" w:hAnsi="宋体" w:eastAsia="宋体" w:cs="宋体"/>
          <w:b/>
          <w:color w:val="000000"/>
          <w:sz w:val="32"/>
          <w:szCs w:val="32"/>
          <w:highlight w:val="none"/>
        </w:rPr>
      </w:pPr>
    </w:p>
    <w:p w14:paraId="17F6B969">
      <w:pPr>
        <w:snapToGrid w:val="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bCs/>
          <w:color w:val="000000"/>
          <w:sz w:val="24"/>
          <w:szCs w:val="24"/>
          <w:highlight w:val="none"/>
        </w:rPr>
        <w:t>填表说明</w:t>
      </w:r>
      <w:r>
        <w:rPr>
          <w:rFonts w:hint="eastAsia" w:ascii="仿宋_GB2312" w:hAnsi="仿宋_GB2312" w:eastAsia="仿宋_GB2312" w:cs="仿宋_GB2312"/>
          <w:color w:val="000000"/>
          <w:sz w:val="24"/>
          <w:szCs w:val="24"/>
          <w:highlight w:val="none"/>
        </w:rPr>
        <w:t>：1</w:t>
      </w:r>
      <w:r>
        <w:rPr>
          <w:rFonts w:hint="eastAsia" w:ascii="仿宋_GB2312" w:hAnsi="仿宋_GB2312" w:eastAsia="仿宋_GB2312" w:cs="仿宋_GB2312"/>
          <w:color w:val="000000"/>
          <w:sz w:val="24"/>
          <w:szCs w:val="24"/>
          <w:highlight w:val="none"/>
          <w:lang w:val="en-US" w:eastAsia="zh-CN"/>
        </w:rPr>
        <w:t>.</w:t>
      </w:r>
      <w:r>
        <w:rPr>
          <w:rFonts w:hint="eastAsia" w:ascii="仿宋_GB2312" w:hAnsi="仿宋_GB2312" w:eastAsia="仿宋_GB2312" w:cs="仿宋_GB2312"/>
          <w:color w:val="000000"/>
          <w:sz w:val="24"/>
          <w:szCs w:val="24"/>
          <w:highlight w:val="none"/>
        </w:rPr>
        <w:t>每项内容审查合格，在表中填写“√”；不合格填写“×”</w:t>
      </w:r>
    </w:p>
    <w:p w14:paraId="00B25591">
      <w:pPr>
        <w:snapToGrid w:val="0"/>
        <w:ind w:firstLine="1200" w:firstLineChars="5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2.</w:t>
      </w:r>
      <w:r>
        <w:rPr>
          <w:rFonts w:hint="eastAsia" w:ascii="仿宋_GB2312" w:hAnsi="仿宋_GB2312" w:eastAsia="仿宋_GB2312" w:cs="仿宋_GB2312"/>
          <w:color w:val="000000"/>
          <w:sz w:val="24"/>
          <w:szCs w:val="24"/>
          <w:highlight w:val="none"/>
        </w:rPr>
        <w:t>审查结论填写“通过”或“不通过”</w:t>
      </w:r>
    </w:p>
    <w:p w14:paraId="7F4414AB">
      <w:pPr>
        <w:pStyle w:val="15"/>
        <w:widowControl w:val="0"/>
        <w:snapToGrid w:val="0"/>
        <w:spacing w:before="0" w:beforeAutospacing="0" w:after="0" w:afterAutospacing="0" w:line="480" w:lineRule="auto"/>
        <w:jc w:val="both"/>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审查人签字：</w:t>
      </w:r>
    </w:p>
    <w:p w14:paraId="3127250B">
      <w:pPr>
        <w:pStyle w:val="4"/>
        <w:adjustRightInd w:val="0"/>
        <w:snapToGrid w:val="0"/>
        <w:spacing w:before="0" w:after="0" w:line="240" w:lineRule="auto"/>
        <w:jc w:val="left"/>
        <w:rPr>
          <w:rFonts w:hint="eastAsia" w:ascii="Times New Roman" w:hAnsi="Times New Roman" w:eastAsia="仿宋" w:cs="仿宋"/>
          <w:b/>
          <w:color w:val="000000"/>
          <w:sz w:val="24"/>
          <w:szCs w:val="24"/>
          <w:highlight w:val="none"/>
        </w:rPr>
      </w:pPr>
      <w:r>
        <w:rPr>
          <w:rFonts w:hint="eastAsia" w:ascii="仿宋_GB2312" w:hAnsi="仿宋_GB2312" w:eastAsia="仿宋_GB2312" w:cs="仿宋_GB2312"/>
          <w:b/>
          <w:bCs/>
          <w:color w:val="000000"/>
          <w:kern w:val="0"/>
          <w:sz w:val="24"/>
          <w:szCs w:val="24"/>
          <w:highlight w:val="none"/>
          <w:lang w:val="en-US" w:eastAsia="zh-CN" w:bidi="ar-SA"/>
        </w:rPr>
        <w:t>日期</w:t>
      </w:r>
      <w:r>
        <w:rPr>
          <w:rFonts w:hint="eastAsia" w:ascii="仿宋_GB2312" w:hAnsi="仿宋_GB2312" w:eastAsia="仿宋_GB2312" w:cs="仿宋_GB2312"/>
          <w:b w:val="0"/>
          <w:bCs/>
          <w:color w:val="000000"/>
          <w:sz w:val="24"/>
          <w:szCs w:val="24"/>
          <w:highlight w:val="none"/>
        </w:rPr>
        <w:t>：</w:t>
      </w:r>
      <w:bookmarkStart w:id="140" w:name="_Toc11558_WPSOffice_Level2"/>
      <w:r>
        <w:rPr>
          <w:rFonts w:hint="eastAsia" w:ascii="Times New Roman" w:hAnsi="Times New Roman" w:eastAsia="仿宋" w:cs="仿宋"/>
          <w:color w:val="000000"/>
          <w:szCs w:val="28"/>
          <w:highlight w:val="none"/>
        </w:rPr>
        <w:br w:type="page"/>
      </w:r>
      <w:r>
        <w:rPr>
          <w:rFonts w:hint="eastAsia" w:ascii="Times New Roman" w:hAnsi="Times New Roman" w:eastAsia="仿宋" w:cs="仿宋"/>
          <w:b/>
          <w:color w:val="000000"/>
          <w:sz w:val="24"/>
          <w:szCs w:val="24"/>
          <w:highlight w:val="none"/>
        </w:rPr>
        <w:t>附件2</w:t>
      </w:r>
    </w:p>
    <w:p w14:paraId="2AFB3D7F">
      <w:pPr>
        <w:pStyle w:val="4"/>
        <w:adjustRightInd w:val="0"/>
        <w:snapToGrid w:val="0"/>
        <w:spacing w:before="0" w:after="0" w:line="240"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符合性审查表</w:t>
      </w:r>
      <w:bookmarkEnd w:id="140"/>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2398"/>
        <w:gridCol w:w="2764"/>
        <w:gridCol w:w="1006"/>
        <w:gridCol w:w="906"/>
        <w:gridCol w:w="843"/>
      </w:tblGrid>
      <w:tr w14:paraId="7CD05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350" w:type="pct"/>
            <w:vMerge w:val="restart"/>
            <w:noWrap w:val="0"/>
            <w:vAlign w:val="center"/>
          </w:tcPr>
          <w:p w14:paraId="2F652247">
            <w:pPr>
              <w:ind w:left="-84" w:leftChars="-40" w:right="-75" w:rightChars="-36"/>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序号</w:t>
            </w:r>
          </w:p>
        </w:tc>
        <w:tc>
          <w:tcPr>
            <w:tcW w:w="1408" w:type="pct"/>
            <w:vMerge w:val="restart"/>
            <w:noWrap w:val="0"/>
            <w:vAlign w:val="center"/>
          </w:tcPr>
          <w:p w14:paraId="6C4AF96D">
            <w:pPr>
              <w:ind w:left="-84" w:leftChars="-40" w:right="-75" w:rightChars="-36"/>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审查项目</w:t>
            </w:r>
          </w:p>
        </w:tc>
        <w:tc>
          <w:tcPr>
            <w:tcW w:w="1623" w:type="pct"/>
            <w:vMerge w:val="restart"/>
            <w:noWrap w:val="0"/>
            <w:vAlign w:val="center"/>
          </w:tcPr>
          <w:p w14:paraId="3E6369B0">
            <w:pPr>
              <w:ind w:left="-84" w:leftChars="-40" w:right="-75" w:rightChars="-36"/>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审查标准</w:t>
            </w:r>
          </w:p>
        </w:tc>
        <w:tc>
          <w:tcPr>
            <w:tcW w:w="1618" w:type="pct"/>
            <w:gridSpan w:val="3"/>
            <w:noWrap w:val="0"/>
            <w:vAlign w:val="center"/>
          </w:tcPr>
          <w:p w14:paraId="28378F73">
            <w:pPr>
              <w:ind w:left="-84" w:leftChars="-40" w:right="-75" w:rightChars="-36"/>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投标人名称</w:t>
            </w:r>
          </w:p>
        </w:tc>
      </w:tr>
      <w:tr w14:paraId="24612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350" w:type="pct"/>
            <w:vMerge w:val="continue"/>
            <w:noWrap w:val="0"/>
            <w:vAlign w:val="center"/>
          </w:tcPr>
          <w:p w14:paraId="5BDC716B">
            <w:pPr>
              <w:pStyle w:val="4"/>
              <w:adjustRightInd w:val="0"/>
              <w:snapToGrid w:val="0"/>
              <w:spacing w:before="0" w:after="0" w:line="240" w:lineRule="auto"/>
              <w:rPr>
                <w:rFonts w:hint="eastAsia" w:ascii="仿宋_GB2312" w:hAnsi="仿宋_GB2312" w:eastAsia="仿宋_GB2312" w:cs="仿宋_GB2312"/>
                <w:color w:val="auto"/>
                <w:highlight w:val="none"/>
              </w:rPr>
            </w:pPr>
          </w:p>
        </w:tc>
        <w:tc>
          <w:tcPr>
            <w:tcW w:w="1408" w:type="pct"/>
            <w:vMerge w:val="continue"/>
            <w:noWrap w:val="0"/>
            <w:vAlign w:val="center"/>
          </w:tcPr>
          <w:p w14:paraId="50D73700">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1623" w:type="pct"/>
            <w:vMerge w:val="continue"/>
            <w:noWrap w:val="0"/>
            <w:vAlign w:val="center"/>
          </w:tcPr>
          <w:p w14:paraId="7ECFD890">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91" w:type="pct"/>
            <w:noWrap w:val="0"/>
            <w:vAlign w:val="center"/>
          </w:tcPr>
          <w:p w14:paraId="37ABA041">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32" w:type="pct"/>
            <w:noWrap w:val="0"/>
            <w:vAlign w:val="center"/>
          </w:tcPr>
          <w:p w14:paraId="66E7726A">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94" w:type="pct"/>
            <w:noWrap w:val="0"/>
            <w:vAlign w:val="center"/>
          </w:tcPr>
          <w:p w14:paraId="01ADC307">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281BD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350" w:type="pct"/>
            <w:noWrap w:val="0"/>
            <w:vAlign w:val="center"/>
          </w:tcPr>
          <w:p w14:paraId="2D61BBD7">
            <w:pPr>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kern w:val="0"/>
                <w:sz w:val="20"/>
                <w:szCs w:val="21"/>
                <w:highlight w:val="none"/>
              </w:rPr>
              <w:t>1</w:t>
            </w:r>
          </w:p>
        </w:tc>
        <w:tc>
          <w:tcPr>
            <w:tcW w:w="1408" w:type="pct"/>
            <w:noWrap w:val="0"/>
            <w:vAlign w:val="center"/>
          </w:tcPr>
          <w:p w14:paraId="3F4B7F24">
            <w:pPr>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投标函</w:t>
            </w:r>
          </w:p>
        </w:tc>
        <w:tc>
          <w:tcPr>
            <w:tcW w:w="1623" w:type="pct"/>
            <w:noWrap w:val="0"/>
            <w:vAlign w:val="top"/>
          </w:tcPr>
          <w:p w14:paraId="08D33298">
            <w:pPr>
              <w:pStyle w:val="4"/>
              <w:adjustRightInd w:val="0"/>
              <w:snapToGrid w:val="0"/>
              <w:spacing w:before="0" w:after="0" w:line="240" w:lineRule="auto"/>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14:paraId="7ADFCE35">
            <w:pPr>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0A7BA402">
            <w:pPr>
              <w:pStyle w:val="4"/>
              <w:adjustRightInd w:val="0"/>
              <w:snapToGrid w:val="0"/>
              <w:spacing w:before="0" w:after="0" w:line="240" w:lineRule="auto"/>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591" w:type="pct"/>
            <w:noWrap w:val="0"/>
            <w:vAlign w:val="center"/>
          </w:tcPr>
          <w:p w14:paraId="17825B35">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32" w:type="pct"/>
            <w:noWrap w:val="0"/>
            <w:vAlign w:val="center"/>
          </w:tcPr>
          <w:p w14:paraId="4610AC9D">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94" w:type="pct"/>
            <w:noWrap w:val="0"/>
            <w:vAlign w:val="center"/>
          </w:tcPr>
          <w:p w14:paraId="7FCA576C">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13D73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350" w:type="pct"/>
            <w:noWrap w:val="0"/>
            <w:vAlign w:val="center"/>
          </w:tcPr>
          <w:p w14:paraId="2098EA6D">
            <w:pPr>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kern w:val="0"/>
                <w:szCs w:val="21"/>
                <w:highlight w:val="none"/>
              </w:rPr>
              <w:t>2</w:t>
            </w:r>
          </w:p>
        </w:tc>
        <w:tc>
          <w:tcPr>
            <w:tcW w:w="1408" w:type="pct"/>
            <w:noWrap w:val="0"/>
            <w:vAlign w:val="center"/>
          </w:tcPr>
          <w:p w14:paraId="38860896">
            <w:pPr>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开标一览表</w:t>
            </w:r>
          </w:p>
        </w:tc>
        <w:tc>
          <w:tcPr>
            <w:tcW w:w="1623" w:type="pct"/>
            <w:noWrap w:val="0"/>
            <w:vAlign w:val="top"/>
          </w:tcPr>
          <w:p w14:paraId="4563BF30">
            <w:pPr>
              <w:pStyle w:val="4"/>
              <w:adjustRightInd w:val="0"/>
              <w:snapToGrid w:val="0"/>
              <w:spacing w:before="0" w:after="0" w:line="240" w:lineRule="auto"/>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14:paraId="58178636">
            <w:pPr>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3CAA38CF">
            <w:pPr>
              <w:pStyle w:val="4"/>
              <w:adjustRightInd w:val="0"/>
              <w:snapToGrid w:val="0"/>
              <w:spacing w:before="0" w:after="0" w:line="240" w:lineRule="auto"/>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591" w:type="pct"/>
            <w:noWrap w:val="0"/>
            <w:vAlign w:val="top"/>
          </w:tcPr>
          <w:p w14:paraId="6D73F891">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32" w:type="pct"/>
            <w:noWrap w:val="0"/>
            <w:vAlign w:val="top"/>
          </w:tcPr>
          <w:p w14:paraId="7DCCB19E">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94" w:type="pct"/>
            <w:noWrap w:val="0"/>
            <w:vAlign w:val="top"/>
          </w:tcPr>
          <w:p w14:paraId="0D04A4C2">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6B459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350" w:type="pct"/>
            <w:noWrap w:val="0"/>
            <w:vAlign w:val="center"/>
          </w:tcPr>
          <w:p w14:paraId="5314EA1D">
            <w:pPr>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3</w:t>
            </w:r>
          </w:p>
        </w:tc>
        <w:tc>
          <w:tcPr>
            <w:tcW w:w="1408" w:type="pct"/>
            <w:noWrap w:val="0"/>
            <w:vAlign w:val="center"/>
          </w:tcPr>
          <w:p w14:paraId="26E5DECD">
            <w:pPr>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分项报价表</w:t>
            </w:r>
          </w:p>
        </w:tc>
        <w:tc>
          <w:tcPr>
            <w:tcW w:w="1623" w:type="pct"/>
            <w:noWrap w:val="0"/>
            <w:vAlign w:val="top"/>
          </w:tcPr>
          <w:p w14:paraId="105A29DD">
            <w:pPr>
              <w:pStyle w:val="4"/>
              <w:adjustRightInd w:val="0"/>
              <w:snapToGrid w:val="0"/>
              <w:spacing w:before="0" w:after="0" w:line="240" w:lineRule="auto"/>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1.按给定格式填写，信息完整</w:t>
            </w:r>
          </w:p>
          <w:p w14:paraId="585F96D2">
            <w:pPr>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22189202">
            <w:pPr>
              <w:pStyle w:val="4"/>
              <w:adjustRightInd w:val="0"/>
              <w:snapToGrid w:val="0"/>
              <w:spacing w:before="0" w:after="0" w:line="240" w:lineRule="auto"/>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591" w:type="pct"/>
            <w:noWrap w:val="0"/>
            <w:vAlign w:val="top"/>
          </w:tcPr>
          <w:p w14:paraId="2D3EA753">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32" w:type="pct"/>
            <w:noWrap w:val="0"/>
            <w:vAlign w:val="top"/>
          </w:tcPr>
          <w:p w14:paraId="7D340AC0">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94" w:type="pct"/>
            <w:noWrap w:val="0"/>
            <w:vAlign w:val="top"/>
          </w:tcPr>
          <w:p w14:paraId="6114497C">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3CDBA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350" w:type="pct"/>
            <w:noWrap w:val="0"/>
            <w:vAlign w:val="center"/>
          </w:tcPr>
          <w:p w14:paraId="089DCBAD">
            <w:pPr>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4</w:t>
            </w:r>
          </w:p>
        </w:tc>
        <w:tc>
          <w:tcPr>
            <w:tcW w:w="1408" w:type="pct"/>
            <w:noWrap w:val="0"/>
            <w:vAlign w:val="center"/>
          </w:tcPr>
          <w:p w14:paraId="352E6A0F">
            <w:pPr>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技术规格偏离表</w:t>
            </w:r>
          </w:p>
        </w:tc>
        <w:tc>
          <w:tcPr>
            <w:tcW w:w="1623" w:type="pct"/>
            <w:noWrap w:val="0"/>
            <w:vAlign w:val="top"/>
          </w:tcPr>
          <w:p w14:paraId="68E8A58C">
            <w:pPr>
              <w:pStyle w:val="4"/>
              <w:adjustRightInd w:val="0"/>
              <w:snapToGrid w:val="0"/>
              <w:spacing w:before="0" w:after="0" w:line="240" w:lineRule="auto"/>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1.按给定格式及填表要求填写</w:t>
            </w:r>
          </w:p>
          <w:p w14:paraId="61B93903">
            <w:pPr>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7FED2793">
            <w:pPr>
              <w:pStyle w:val="4"/>
              <w:adjustRightInd w:val="0"/>
              <w:snapToGrid w:val="0"/>
              <w:spacing w:before="0" w:after="0" w:line="240" w:lineRule="auto"/>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591" w:type="pct"/>
            <w:noWrap w:val="0"/>
            <w:vAlign w:val="top"/>
          </w:tcPr>
          <w:p w14:paraId="3DDFC862">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32" w:type="pct"/>
            <w:noWrap w:val="0"/>
            <w:vAlign w:val="top"/>
          </w:tcPr>
          <w:p w14:paraId="50DED30B">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94" w:type="pct"/>
            <w:noWrap w:val="0"/>
            <w:vAlign w:val="top"/>
          </w:tcPr>
          <w:p w14:paraId="1D639C7B">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73443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350" w:type="pct"/>
            <w:noWrap w:val="0"/>
            <w:vAlign w:val="center"/>
          </w:tcPr>
          <w:p w14:paraId="6E1D9E3F">
            <w:pPr>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5</w:t>
            </w:r>
          </w:p>
        </w:tc>
        <w:tc>
          <w:tcPr>
            <w:tcW w:w="1408" w:type="pct"/>
            <w:noWrap w:val="0"/>
            <w:vAlign w:val="center"/>
          </w:tcPr>
          <w:p w14:paraId="3FF2670F">
            <w:pPr>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商务条款偏离表</w:t>
            </w:r>
          </w:p>
        </w:tc>
        <w:tc>
          <w:tcPr>
            <w:tcW w:w="1623" w:type="pct"/>
            <w:noWrap w:val="0"/>
            <w:vAlign w:val="top"/>
          </w:tcPr>
          <w:p w14:paraId="54ED10E3">
            <w:pPr>
              <w:pStyle w:val="4"/>
              <w:adjustRightInd w:val="0"/>
              <w:snapToGrid w:val="0"/>
              <w:spacing w:before="0" w:after="0" w:line="240" w:lineRule="auto"/>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1.按给定格式及填表要求填写</w:t>
            </w:r>
          </w:p>
          <w:p w14:paraId="1754E6CF">
            <w:pPr>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14:paraId="65C953E1">
            <w:pPr>
              <w:pStyle w:val="4"/>
              <w:adjustRightInd w:val="0"/>
              <w:snapToGrid w:val="0"/>
              <w:spacing w:before="0" w:after="0" w:line="240" w:lineRule="auto"/>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591" w:type="pct"/>
            <w:noWrap w:val="0"/>
            <w:vAlign w:val="top"/>
          </w:tcPr>
          <w:p w14:paraId="668A39A7">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32" w:type="pct"/>
            <w:noWrap w:val="0"/>
            <w:vAlign w:val="top"/>
          </w:tcPr>
          <w:p w14:paraId="26FD4E77">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94" w:type="pct"/>
            <w:noWrap w:val="0"/>
            <w:vAlign w:val="top"/>
          </w:tcPr>
          <w:p w14:paraId="7F2FCB52">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2F3D7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350" w:type="pct"/>
            <w:noWrap w:val="0"/>
            <w:vAlign w:val="center"/>
          </w:tcPr>
          <w:p w14:paraId="1BEA33AD">
            <w:pPr>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6</w:t>
            </w:r>
          </w:p>
        </w:tc>
        <w:tc>
          <w:tcPr>
            <w:tcW w:w="1408" w:type="pct"/>
            <w:noWrap w:val="0"/>
            <w:vAlign w:val="center"/>
          </w:tcPr>
          <w:p w14:paraId="4CE5765B">
            <w:pPr>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投标人关联单位说明</w:t>
            </w:r>
          </w:p>
        </w:tc>
        <w:tc>
          <w:tcPr>
            <w:tcW w:w="1623" w:type="pct"/>
            <w:noWrap w:val="0"/>
            <w:vAlign w:val="center"/>
          </w:tcPr>
          <w:p w14:paraId="1D6ABD28">
            <w:pPr>
              <w:pStyle w:val="4"/>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无投标须知1.5所述情形</w:t>
            </w:r>
          </w:p>
        </w:tc>
        <w:tc>
          <w:tcPr>
            <w:tcW w:w="591" w:type="pct"/>
            <w:noWrap w:val="0"/>
            <w:vAlign w:val="top"/>
          </w:tcPr>
          <w:p w14:paraId="78005559">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32" w:type="pct"/>
            <w:noWrap w:val="0"/>
            <w:vAlign w:val="top"/>
          </w:tcPr>
          <w:p w14:paraId="3361DE4E">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94" w:type="pct"/>
            <w:noWrap w:val="0"/>
            <w:vAlign w:val="top"/>
          </w:tcPr>
          <w:p w14:paraId="38139906">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62672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350" w:type="pct"/>
            <w:noWrap w:val="0"/>
            <w:vAlign w:val="center"/>
          </w:tcPr>
          <w:p w14:paraId="7764785D">
            <w:pPr>
              <w:snapToGrid w:val="0"/>
              <w:jc w:val="center"/>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lang w:val="en-US" w:eastAsia="zh-CN"/>
              </w:rPr>
              <w:t>7</w:t>
            </w:r>
          </w:p>
        </w:tc>
        <w:tc>
          <w:tcPr>
            <w:tcW w:w="1408" w:type="pct"/>
            <w:noWrap w:val="0"/>
            <w:vAlign w:val="center"/>
          </w:tcPr>
          <w:p w14:paraId="02DB8689">
            <w:pPr>
              <w:snapToGrid w:val="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投标报价</w:t>
            </w:r>
          </w:p>
        </w:tc>
        <w:tc>
          <w:tcPr>
            <w:tcW w:w="1623" w:type="pct"/>
            <w:noWrap w:val="0"/>
            <w:vAlign w:val="top"/>
          </w:tcPr>
          <w:p w14:paraId="4D697B9D">
            <w:pPr>
              <w:pStyle w:val="4"/>
              <w:adjustRightInd w:val="0"/>
              <w:snapToGrid w:val="0"/>
              <w:spacing w:before="0" w:after="0" w:line="240" w:lineRule="auto"/>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1.响应招标文件实质性要求</w:t>
            </w:r>
          </w:p>
          <w:p w14:paraId="45AFC0BA">
            <w:pPr>
              <w:pStyle w:val="4"/>
              <w:adjustRightInd w:val="0"/>
              <w:snapToGrid w:val="0"/>
              <w:spacing w:before="0" w:after="0" w:line="240" w:lineRule="auto"/>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2.无投标须知26.2所述情形</w:t>
            </w:r>
          </w:p>
        </w:tc>
        <w:tc>
          <w:tcPr>
            <w:tcW w:w="591" w:type="pct"/>
            <w:noWrap w:val="0"/>
            <w:vAlign w:val="top"/>
          </w:tcPr>
          <w:p w14:paraId="2BFDB7A3">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32" w:type="pct"/>
            <w:noWrap w:val="0"/>
            <w:vAlign w:val="top"/>
          </w:tcPr>
          <w:p w14:paraId="7C60F95B">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94" w:type="pct"/>
            <w:noWrap w:val="0"/>
            <w:vAlign w:val="top"/>
          </w:tcPr>
          <w:p w14:paraId="442F0200">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3D4E5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350" w:type="pct"/>
            <w:noWrap w:val="0"/>
            <w:vAlign w:val="center"/>
          </w:tcPr>
          <w:p w14:paraId="4BAFFEDE">
            <w:pPr>
              <w:snapToGrid w:val="0"/>
              <w:jc w:val="center"/>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8</w:t>
            </w:r>
          </w:p>
        </w:tc>
        <w:tc>
          <w:tcPr>
            <w:tcW w:w="1408" w:type="pct"/>
            <w:noWrap w:val="0"/>
            <w:vAlign w:val="center"/>
          </w:tcPr>
          <w:p w14:paraId="0A148944">
            <w:pP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核心产品品牌满足三个及以上</w:t>
            </w:r>
          </w:p>
        </w:tc>
        <w:tc>
          <w:tcPr>
            <w:tcW w:w="1623" w:type="pct"/>
            <w:noWrap w:val="0"/>
            <w:vAlign w:val="center"/>
          </w:tcPr>
          <w:p w14:paraId="37C8C780">
            <w:pPr>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1"/>
                <w:highlight w:val="none"/>
              </w:rPr>
              <w:t>响应招标文件实质性要求</w:t>
            </w:r>
          </w:p>
        </w:tc>
        <w:tc>
          <w:tcPr>
            <w:tcW w:w="591" w:type="pct"/>
            <w:noWrap w:val="0"/>
            <w:vAlign w:val="top"/>
          </w:tcPr>
          <w:p w14:paraId="7D49A6BD">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32" w:type="pct"/>
            <w:noWrap w:val="0"/>
            <w:vAlign w:val="top"/>
          </w:tcPr>
          <w:p w14:paraId="38E46D3F">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94" w:type="pct"/>
            <w:noWrap w:val="0"/>
            <w:vAlign w:val="top"/>
          </w:tcPr>
          <w:p w14:paraId="2AC8CE7D">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48D89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350" w:type="pct"/>
            <w:noWrap w:val="0"/>
            <w:vAlign w:val="center"/>
          </w:tcPr>
          <w:p w14:paraId="50ECBE53">
            <w:pPr>
              <w:snapToGrid w:val="0"/>
              <w:jc w:val="center"/>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9</w:t>
            </w:r>
          </w:p>
        </w:tc>
        <w:tc>
          <w:tcPr>
            <w:tcW w:w="1408" w:type="pct"/>
            <w:noWrap w:val="0"/>
            <w:vAlign w:val="center"/>
          </w:tcPr>
          <w:p w14:paraId="4AA98260">
            <w:pPr>
              <w:rPr>
                <w:rFonts w:hint="eastAsia" w:ascii="仿宋_GB2312" w:hAnsi="仿宋_GB2312" w:eastAsia="仿宋_GB2312" w:cs="仿宋_GB2312"/>
                <w:color w:val="auto"/>
                <w:kern w:val="0"/>
                <w:szCs w:val="21"/>
                <w:highlight w:val="none"/>
                <w:lang w:eastAsia="zh-CN"/>
              </w:rPr>
            </w:pPr>
            <w:r>
              <w:rPr>
                <w:rFonts w:hint="eastAsia" w:ascii="仿宋_GB2312" w:hAnsi="仿宋_GB2312" w:eastAsia="仿宋_GB2312" w:cs="仿宋_GB2312"/>
                <w:color w:val="auto"/>
                <w:kern w:val="0"/>
                <w:szCs w:val="21"/>
                <w:highlight w:val="none"/>
              </w:rPr>
              <w:t>强制节能清单要求</w:t>
            </w:r>
            <w:r>
              <w:rPr>
                <w:rFonts w:hint="eastAsia" w:ascii="仿宋_GB2312" w:hAnsi="仿宋_GB2312" w:eastAsia="仿宋_GB2312" w:cs="仿宋_GB2312"/>
                <w:color w:val="auto"/>
                <w:kern w:val="0"/>
                <w:szCs w:val="21"/>
                <w:highlight w:val="none"/>
                <w:lang w:eastAsia="zh-CN"/>
              </w:rPr>
              <w:t>：台式计算机</w:t>
            </w:r>
          </w:p>
        </w:tc>
        <w:tc>
          <w:tcPr>
            <w:tcW w:w="1623" w:type="pct"/>
            <w:noWrap w:val="0"/>
            <w:vAlign w:val="center"/>
          </w:tcPr>
          <w:p w14:paraId="6A52E9F5">
            <w:pP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响应招标文件实质性要求</w:t>
            </w:r>
          </w:p>
        </w:tc>
        <w:tc>
          <w:tcPr>
            <w:tcW w:w="591" w:type="pct"/>
            <w:noWrap w:val="0"/>
            <w:vAlign w:val="top"/>
          </w:tcPr>
          <w:p w14:paraId="6EB1F737">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32" w:type="pct"/>
            <w:noWrap w:val="0"/>
            <w:vAlign w:val="top"/>
          </w:tcPr>
          <w:p w14:paraId="5B6CEB8C">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94" w:type="pct"/>
            <w:noWrap w:val="0"/>
            <w:vAlign w:val="top"/>
          </w:tcPr>
          <w:p w14:paraId="147595E9">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15B0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350" w:type="pct"/>
            <w:noWrap w:val="0"/>
            <w:vAlign w:val="center"/>
          </w:tcPr>
          <w:p w14:paraId="723F4F31">
            <w:pPr>
              <w:snapToGrid w:val="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rPr>
              <w:t>1</w:t>
            </w:r>
            <w:r>
              <w:rPr>
                <w:rFonts w:hint="eastAsia" w:ascii="仿宋_GB2312" w:hAnsi="仿宋_GB2312" w:eastAsia="仿宋_GB2312" w:cs="仿宋_GB2312"/>
                <w:color w:val="auto"/>
                <w:szCs w:val="21"/>
                <w:highlight w:val="none"/>
                <w:lang w:val="en-US" w:eastAsia="zh-CN"/>
              </w:rPr>
              <w:t>0</w:t>
            </w:r>
          </w:p>
        </w:tc>
        <w:tc>
          <w:tcPr>
            <w:tcW w:w="1408" w:type="pct"/>
            <w:noWrap w:val="0"/>
            <w:vAlign w:val="center"/>
          </w:tcPr>
          <w:p w14:paraId="78E32946">
            <w:pPr>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响应文件中“★”项要求</w:t>
            </w:r>
          </w:p>
        </w:tc>
        <w:tc>
          <w:tcPr>
            <w:tcW w:w="1623" w:type="pct"/>
            <w:noWrap w:val="0"/>
            <w:vAlign w:val="center"/>
          </w:tcPr>
          <w:p w14:paraId="68434BA2">
            <w:pPr>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响应招标文件实质性要求</w:t>
            </w:r>
          </w:p>
        </w:tc>
        <w:tc>
          <w:tcPr>
            <w:tcW w:w="591" w:type="pct"/>
            <w:noWrap w:val="0"/>
            <w:vAlign w:val="top"/>
          </w:tcPr>
          <w:p w14:paraId="49C3C2D0">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32" w:type="pct"/>
            <w:noWrap w:val="0"/>
            <w:vAlign w:val="top"/>
          </w:tcPr>
          <w:p w14:paraId="13878E3C">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94" w:type="pct"/>
            <w:noWrap w:val="0"/>
            <w:vAlign w:val="top"/>
          </w:tcPr>
          <w:p w14:paraId="07BDA31F">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24B07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96" w:type="dxa"/>
            <w:noWrap w:val="0"/>
            <w:vAlign w:val="center"/>
          </w:tcPr>
          <w:p w14:paraId="28575255">
            <w:pPr>
              <w:snapToGrid w:val="0"/>
              <w:jc w:val="center"/>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000000"/>
                <w:sz w:val="21"/>
                <w:szCs w:val="21"/>
                <w:highlight w:val="none"/>
              </w:rPr>
              <w:t>1</w:t>
            </w:r>
            <w:r>
              <w:rPr>
                <w:rFonts w:hint="eastAsia" w:ascii="仿宋_GB2312" w:hAnsi="仿宋_GB2312" w:eastAsia="仿宋_GB2312" w:cs="仿宋_GB2312"/>
                <w:color w:val="000000"/>
                <w:sz w:val="21"/>
                <w:szCs w:val="21"/>
                <w:highlight w:val="none"/>
                <w:lang w:val="en-US" w:eastAsia="zh-CN"/>
              </w:rPr>
              <w:t>1</w:t>
            </w:r>
          </w:p>
        </w:tc>
        <w:tc>
          <w:tcPr>
            <w:tcW w:w="2398" w:type="dxa"/>
            <w:noWrap w:val="0"/>
            <w:vAlign w:val="center"/>
          </w:tcPr>
          <w:p w14:paraId="7A2644DF">
            <w:pPr>
              <w:snapToGrid w:val="0"/>
              <w:jc w:val="left"/>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000000"/>
                <w:sz w:val="21"/>
                <w:szCs w:val="21"/>
                <w:highlight w:val="none"/>
              </w:rPr>
              <w:t>其他</w:t>
            </w:r>
          </w:p>
        </w:tc>
        <w:tc>
          <w:tcPr>
            <w:tcW w:w="2764" w:type="dxa"/>
            <w:noWrap w:val="0"/>
            <w:vAlign w:val="center"/>
          </w:tcPr>
          <w:p w14:paraId="6F31A0FC">
            <w:pPr>
              <w:pStyle w:val="4"/>
              <w:adjustRightInd w:val="0"/>
              <w:snapToGrid w:val="0"/>
              <w:spacing w:before="0" w:after="0" w:line="240" w:lineRule="auto"/>
              <w:jc w:val="left"/>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1.响应招标文件实质性要求</w:t>
            </w:r>
          </w:p>
          <w:p w14:paraId="76DB6CE1">
            <w:pPr>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000000"/>
                <w:sz w:val="21"/>
                <w:szCs w:val="21"/>
                <w:highlight w:val="none"/>
              </w:rPr>
              <w:t>2.无招标文件中所述的其他投标无效情形</w:t>
            </w:r>
          </w:p>
        </w:tc>
        <w:tc>
          <w:tcPr>
            <w:tcW w:w="591" w:type="pct"/>
            <w:noWrap w:val="0"/>
            <w:vAlign w:val="top"/>
          </w:tcPr>
          <w:p w14:paraId="6B7B0905">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32" w:type="pct"/>
            <w:noWrap w:val="0"/>
            <w:vAlign w:val="top"/>
          </w:tcPr>
          <w:p w14:paraId="06E9E901">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94" w:type="pct"/>
            <w:noWrap w:val="0"/>
            <w:vAlign w:val="top"/>
          </w:tcPr>
          <w:p w14:paraId="20DC2F01">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r w14:paraId="60C5F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50" w:type="pct"/>
            <w:noWrap w:val="0"/>
            <w:vAlign w:val="center"/>
          </w:tcPr>
          <w:p w14:paraId="08705B5B">
            <w:pPr>
              <w:snapToGrid w:val="0"/>
              <w:jc w:val="center"/>
              <w:rPr>
                <w:rFonts w:hint="eastAsia" w:ascii="仿宋_GB2312" w:hAnsi="仿宋_GB2312" w:eastAsia="仿宋_GB2312" w:cs="仿宋_GB2312"/>
                <w:color w:val="auto"/>
                <w:highlight w:val="none"/>
              </w:rPr>
            </w:pPr>
          </w:p>
        </w:tc>
        <w:tc>
          <w:tcPr>
            <w:tcW w:w="1408" w:type="pct"/>
            <w:noWrap w:val="0"/>
            <w:vAlign w:val="center"/>
          </w:tcPr>
          <w:p w14:paraId="63CB237E">
            <w:pPr>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结论</w:t>
            </w:r>
          </w:p>
        </w:tc>
        <w:tc>
          <w:tcPr>
            <w:tcW w:w="1623" w:type="pct"/>
            <w:noWrap w:val="0"/>
            <w:vAlign w:val="top"/>
          </w:tcPr>
          <w:p w14:paraId="6ABFD809">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91" w:type="pct"/>
            <w:noWrap w:val="0"/>
            <w:vAlign w:val="top"/>
          </w:tcPr>
          <w:p w14:paraId="472F3D6A">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532" w:type="pct"/>
            <w:noWrap w:val="0"/>
            <w:vAlign w:val="top"/>
          </w:tcPr>
          <w:p w14:paraId="0E6EFAA7">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c>
          <w:tcPr>
            <w:tcW w:w="494" w:type="pct"/>
            <w:noWrap w:val="0"/>
            <w:vAlign w:val="top"/>
          </w:tcPr>
          <w:p w14:paraId="7AEA5108">
            <w:pPr>
              <w:pStyle w:val="4"/>
              <w:adjustRightInd w:val="0"/>
              <w:snapToGrid w:val="0"/>
              <w:spacing w:before="0" w:after="0" w:line="240" w:lineRule="auto"/>
              <w:rPr>
                <w:rFonts w:hint="eastAsia" w:ascii="仿宋_GB2312" w:hAnsi="仿宋_GB2312" w:eastAsia="仿宋_GB2312" w:cs="仿宋_GB2312"/>
                <w:color w:val="auto"/>
                <w:sz w:val="21"/>
                <w:szCs w:val="21"/>
                <w:highlight w:val="none"/>
              </w:rPr>
            </w:pPr>
          </w:p>
        </w:tc>
      </w:tr>
    </w:tbl>
    <w:p w14:paraId="637745FC">
      <w:pPr>
        <w:rPr>
          <w:rFonts w:hint="eastAsia" w:ascii="仿宋_GB2312" w:hAnsi="仿宋_GB2312" w:eastAsia="仿宋_GB2312" w:cs="仿宋_GB2312"/>
          <w:b/>
          <w:bCs/>
          <w:color w:val="000000"/>
          <w:sz w:val="24"/>
          <w:szCs w:val="24"/>
          <w:highlight w:val="none"/>
        </w:rPr>
      </w:pPr>
    </w:p>
    <w:p w14:paraId="0201AE2C">
      <w:pP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bCs/>
          <w:color w:val="000000"/>
          <w:sz w:val="24"/>
          <w:szCs w:val="24"/>
          <w:highlight w:val="none"/>
        </w:rPr>
        <w:t>填表说明</w:t>
      </w:r>
      <w:r>
        <w:rPr>
          <w:rFonts w:hint="eastAsia" w:ascii="仿宋_GB2312" w:hAnsi="仿宋_GB2312" w:eastAsia="仿宋_GB2312" w:cs="仿宋_GB2312"/>
          <w:color w:val="000000"/>
          <w:sz w:val="24"/>
          <w:szCs w:val="24"/>
          <w:highlight w:val="none"/>
        </w:rPr>
        <w:t>：1</w:t>
      </w:r>
      <w:r>
        <w:rPr>
          <w:rFonts w:hint="eastAsia" w:ascii="仿宋_GB2312" w:hAnsi="仿宋_GB2312" w:eastAsia="仿宋_GB2312" w:cs="仿宋_GB2312"/>
          <w:color w:val="000000"/>
          <w:sz w:val="24"/>
          <w:szCs w:val="24"/>
          <w:highlight w:val="none"/>
          <w:lang w:val="en-US" w:eastAsia="zh-CN"/>
        </w:rPr>
        <w:t>.</w:t>
      </w:r>
      <w:r>
        <w:rPr>
          <w:rFonts w:hint="eastAsia" w:ascii="仿宋_GB2312" w:hAnsi="仿宋_GB2312" w:eastAsia="仿宋_GB2312" w:cs="仿宋_GB2312"/>
          <w:color w:val="000000"/>
          <w:sz w:val="24"/>
          <w:szCs w:val="24"/>
          <w:highlight w:val="none"/>
        </w:rPr>
        <w:t>每项内容审查合格，在表中填写“√”；不合格填写“×”</w:t>
      </w:r>
    </w:p>
    <w:p w14:paraId="0FD20593">
      <w:pPr>
        <w:ind w:firstLine="1200" w:firstLineChars="5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w:t>
      </w:r>
      <w:r>
        <w:rPr>
          <w:rFonts w:hint="eastAsia" w:ascii="仿宋_GB2312" w:hAnsi="仿宋_GB2312" w:eastAsia="仿宋_GB2312" w:cs="仿宋_GB2312"/>
          <w:color w:val="000000"/>
          <w:sz w:val="24"/>
          <w:szCs w:val="24"/>
          <w:highlight w:val="none"/>
          <w:lang w:val="en-US" w:eastAsia="zh-CN"/>
        </w:rPr>
        <w:t>.</w:t>
      </w:r>
      <w:r>
        <w:rPr>
          <w:rFonts w:hint="eastAsia" w:ascii="仿宋_GB2312" w:hAnsi="仿宋_GB2312" w:eastAsia="仿宋_GB2312" w:cs="仿宋_GB2312"/>
          <w:color w:val="000000"/>
          <w:sz w:val="24"/>
          <w:szCs w:val="24"/>
          <w:highlight w:val="none"/>
        </w:rPr>
        <w:t>审查结论填写“通过”或“不通过”</w:t>
      </w:r>
    </w:p>
    <w:p w14:paraId="3E681460">
      <w:pPr>
        <w:pStyle w:val="15"/>
        <w:widowControl w:val="0"/>
        <w:snapToGrid w:val="0"/>
        <w:spacing w:before="0" w:beforeAutospacing="0" w:after="0" w:afterAutospacing="0" w:line="480" w:lineRule="auto"/>
        <w:ind w:left="5903" w:hanging="6720" w:hangingChars="2800"/>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审查人签字：</w:t>
      </w:r>
    </w:p>
    <w:p w14:paraId="7BB4C384">
      <w:pPr>
        <w:pStyle w:val="15"/>
        <w:widowControl w:val="0"/>
        <w:snapToGrid w:val="0"/>
        <w:spacing w:before="0" w:beforeAutospacing="0" w:after="0" w:afterAutospacing="0" w:line="480" w:lineRule="auto"/>
        <w:ind w:left="5903" w:hanging="6720" w:hangingChars="2800"/>
        <w:jc w:val="both"/>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日期：</w:t>
      </w:r>
      <w:bookmarkStart w:id="141" w:name="_Toc17433_WPSOffice_Level2"/>
    </w:p>
    <w:p w14:paraId="0A454448">
      <w:pPr>
        <w:pStyle w:val="4"/>
        <w:adjustRightInd w:val="0"/>
        <w:snapToGrid w:val="0"/>
        <w:spacing w:before="0" w:after="0" w:line="240" w:lineRule="auto"/>
        <w:jc w:val="left"/>
        <w:rPr>
          <w:rFonts w:hint="eastAsia" w:ascii="仿宋_GB2312" w:hAnsi="仿宋_GB2312" w:eastAsia="仿宋_GB2312" w:cs="仿宋_GB2312"/>
          <w:b/>
          <w:color w:val="000000"/>
          <w:sz w:val="24"/>
          <w:szCs w:val="24"/>
          <w:highlight w:val="none"/>
        </w:rPr>
        <w:sectPr>
          <w:headerReference r:id="rId4" w:type="default"/>
          <w:footerReference r:id="rId5" w:type="default"/>
          <w:pgSz w:w="11906" w:h="16838"/>
          <w:pgMar w:top="1440" w:right="1803" w:bottom="1440" w:left="1803" w:header="851" w:footer="992" w:gutter="0"/>
          <w:pgNumType w:fmt="decimal" w:start="1"/>
          <w:cols w:space="720" w:num="1"/>
          <w:docGrid w:type="linesAndChars" w:linePitch="319" w:charSpace="0"/>
        </w:sectPr>
      </w:pPr>
    </w:p>
    <w:p w14:paraId="1E751655">
      <w:pPr>
        <w:pStyle w:val="4"/>
        <w:adjustRightInd w:val="0"/>
        <w:snapToGrid w:val="0"/>
        <w:spacing w:before="0" w:after="0" w:line="240" w:lineRule="auto"/>
        <w:jc w:val="left"/>
        <w:rPr>
          <w:rFonts w:hint="eastAsia" w:ascii="Times New Roman" w:hAnsi="Times New Roman" w:eastAsia="仿宋" w:cs="仿宋"/>
          <w:b/>
          <w:color w:val="000000"/>
          <w:szCs w:val="28"/>
          <w:highlight w:val="none"/>
        </w:rPr>
      </w:pPr>
      <w:r>
        <w:rPr>
          <w:rFonts w:hint="eastAsia" w:ascii="Times New Roman" w:hAnsi="Times New Roman" w:eastAsia="仿宋" w:cs="仿宋"/>
          <w:b/>
          <w:color w:val="000000"/>
          <w:szCs w:val="28"/>
          <w:highlight w:val="none"/>
        </w:rPr>
        <w:t>附件3</w:t>
      </w:r>
    </w:p>
    <w:p w14:paraId="48609A31">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评分细则</w:t>
      </w:r>
      <w:bookmarkEnd w:id="141"/>
    </w:p>
    <w:p w14:paraId="379A1CE1">
      <w:pPr>
        <w:jc w:val="center"/>
        <w:rPr>
          <w:rFonts w:hint="eastAsia" w:ascii="仿宋_GB2312" w:hAnsi="仿宋_GB2312" w:eastAsia="仿宋_GB2312" w:cs="仿宋_GB2312"/>
          <w:b/>
          <w:color w:val="000000"/>
          <w:sz w:val="24"/>
          <w:szCs w:val="24"/>
          <w:highlight w:val="none"/>
        </w:rPr>
      </w:pPr>
      <w:bookmarkStart w:id="142" w:name="_Toc28142_WPSOffice_Level2"/>
      <w:r>
        <w:rPr>
          <w:rFonts w:hint="eastAsia" w:ascii="仿宋_GB2312" w:hAnsi="仿宋_GB2312" w:eastAsia="仿宋_GB2312" w:cs="仿宋_GB2312"/>
          <w:b/>
          <w:color w:val="000000"/>
          <w:sz w:val="24"/>
          <w:szCs w:val="24"/>
          <w:highlight w:val="none"/>
        </w:rPr>
        <w:t>（综合评分法适用）</w:t>
      </w:r>
      <w:bookmarkEnd w:id="142"/>
    </w:p>
    <w:p w14:paraId="28B0BEDD">
      <w:pPr>
        <w:numPr>
          <w:ilvl w:val="0"/>
          <w:numId w:val="9"/>
        </w:numPr>
        <w:jc w:val="left"/>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基本评分标准</w:t>
      </w:r>
    </w:p>
    <w:tbl>
      <w:tblPr>
        <w:tblStyle w:val="19"/>
        <w:tblW w:w="53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2"/>
        <w:gridCol w:w="850"/>
        <w:gridCol w:w="6327"/>
        <w:gridCol w:w="810"/>
      </w:tblGrid>
      <w:tr w14:paraId="4B2CB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blHeader/>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1D77BFDD">
            <w:pPr>
              <w:pStyle w:val="15"/>
              <w:keepNext w:val="0"/>
              <w:keepLines w:val="0"/>
              <w:suppressLineNumbers w:val="0"/>
              <w:adjustRightInd w:val="0"/>
              <w:snapToGrid w:val="0"/>
              <w:spacing w:before="0" w:beforeAutospacing="0" w:after="0" w:afterAutospacing="0"/>
              <w:ind w:left="0" w:right="0"/>
              <w:jc w:val="center"/>
              <w:rPr>
                <w:rFonts w:hint="eastAsia" w:ascii="仿宋_GB2312" w:hAnsi="仿宋_GB2312" w:eastAsia="仿宋_GB2312" w:cs="仿宋_GB2312"/>
                <w:b/>
                <w:bCs/>
                <w:color w:val="000000"/>
                <w:sz w:val="21"/>
                <w:szCs w:val="21"/>
                <w:highlight w:val="none"/>
              </w:rPr>
            </w:pPr>
            <w:r>
              <w:rPr>
                <w:rFonts w:hint="eastAsia" w:ascii="仿宋_GB2312" w:hAnsi="仿宋_GB2312" w:eastAsia="仿宋_GB2312" w:cs="仿宋_GB2312"/>
                <w:b/>
                <w:bCs/>
                <w:color w:val="000000"/>
                <w:sz w:val="21"/>
                <w:szCs w:val="21"/>
                <w:highlight w:val="none"/>
              </w:rPr>
              <w:t>项目</w:t>
            </w:r>
          </w:p>
        </w:tc>
        <w:tc>
          <w:tcPr>
            <w:tcW w:w="465" w:type="pct"/>
            <w:tcBorders>
              <w:top w:val="single" w:color="auto" w:sz="4" w:space="0"/>
              <w:left w:val="single" w:color="auto" w:sz="4" w:space="0"/>
              <w:bottom w:val="single" w:color="auto" w:sz="4" w:space="0"/>
              <w:right w:val="single" w:color="auto" w:sz="4" w:space="0"/>
            </w:tcBorders>
            <w:noWrap w:val="0"/>
            <w:vAlign w:val="center"/>
          </w:tcPr>
          <w:p w14:paraId="6A9F0FF0">
            <w:pPr>
              <w:pStyle w:val="15"/>
              <w:keepNext w:val="0"/>
              <w:keepLines w:val="0"/>
              <w:suppressLineNumbers w:val="0"/>
              <w:adjustRightInd w:val="0"/>
              <w:snapToGrid w:val="0"/>
              <w:spacing w:before="0" w:beforeAutospacing="0" w:after="0" w:afterAutospacing="0"/>
              <w:ind w:left="0" w:right="0"/>
              <w:jc w:val="center"/>
              <w:rPr>
                <w:rFonts w:hint="eastAsia" w:ascii="仿宋_GB2312" w:hAnsi="仿宋_GB2312" w:eastAsia="仿宋_GB2312" w:cs="仿宋_GB2312"/>
                <w:b/>
                <w:bCs/>
                <w:color w:val="000000"/>
                <w:sz w:val="21"/>
                <w:szCs w:val="21"/>
                <w:highlight w:val="none"/>
              </w:rPr>
            </w:pPr>
            <w:r>
              <w:rPr>
                <w:rFonts w:hint="eastAsia" w:ascii="仿宋_GB2312" w:hAnsi="仿宋_GB2312" w:eastAsia="仿宋_GB2312" w:cs="仿宋_GB2312"/>
                <w:b/>
                <w:bCs/>
                <w:color w:val="000000"/>
                <w:sz w:val="21"/>
                <w:szCs w:val="21"/>
                <w:highlight w:val="none"/>
              </w:rPr>
              <w:t>分项</w:t>
            </w:r>
          </w:p>
          <w:p w14:paraId="7268D558">
            <w:pPr>
              <w:pStyle w:val="15"/>
              <w:keepNext w:val="0"/>
              <w:keepLines w:val="0"/>
              <w:suppressLineNumbers w:val="0"/>
              <w:adjustRightInd w:val="0"/>
              <w:snapToGrid w:val="0"/>
              <w:spacing w:before="0" w:beforeAutospacing="0" w:after="0" w:afterAutospacing="0"/>
              <w:ind w:left="0" w:right="0"/>
              <w:jc w:val="center"/>
              <w:rPr>
                <w:rFonts w:hint="eastAsia" w:ascii="仿宋_GB2312" w:hAnsi="仿宋_GB2312" w:eastAsia="仿宋_GB2312" w:cs="仿宋_GB2312"/>
                <w:b/>
                <w:bCs/>
                <w:color w:val="000000"/>
                <w:sz w:val="21"/>
                <w:szCs w:val="21"/>
                <w:highlight w:val="none"/>
              </w:rPr>
            </w:pPr>
            <w:r>
              <w:rPr>
                <w:rFonts w:hint="eastAsia" w:ascii="仿宋_GB2312" w:hAnsi="仿宋_GB2312" w:eastAsia="仿宋_GB2312" w:cs="仿宋_GB2312"/>
                <w:b/>
                <w:bCs/>
                <w:color w:val="000000"/>
                <w:sz w:val="21"/>
                <w:szCs w:val="21"/>
                <w:highlight w:val="none"/>
              </w:rPr>
              <w:t>名称</w:t>
            </w:r>
          </w:p>
        </w:tc>
        <w:tc>
          <w:tcPr>
            <w:tcW w:w="3464" w:type="pct"/>
            <w:tcBorders>
              <w:top w:val="single" w:color="auto" w:sz="4" w:space="0"/>
              <w:left w:val="single" w:color="auto" w:sz="4" w:space="0"/>
              <w:bottom w:val="single" w:color="auto" w:sz="4" w:space="0"/>
              <w:right w:val="single" w:color="auto" w:sz="4" w:space="0"/>
            </w:tcBorders>
            <w:noWrap w:val="0"/>
            <w:vAlign w:val="center"/>
          </w:tcPr>
          <w:p w14:paraId="2E6FC3A8">
            <w:pPr>
              <w:pStyle w:val="15"/>
              <w:keepNext w:val="0"/>
              <w:keepLines w:val="0"/>
              <w:suppressLineNumbers w:val="0"/>
              <w:adjustRightInd w:val="0"/>
              <w:snapToGrid w:val="0"/>
              <w:spacing w:before="0" w:beforeAutospacing="0" w:after="0" w:afterAutospacing="0"/>
              <w:ind w:left="0" w:right="0"/>
              <w:jc w:val="center"/>
              <w:rPr>
                <w:rFonts w:hint="eastAsia" w:ascii="仿宋_GB2312" w:hAnsi="仿宋_GB2312" w:eastAsia="仿宋_GB2312" w:cs="仿宋_GB2312"/>
                <w:b/>
                <w:bCs/>
                <w:color w:val="000000"/>
                <w:sz w:val="21"/>
                <w:szCs w:val="21"/>
                <w:highlight w:val="none"/>
              </w:rPr>
            </w:pPr>
            <w:r>
              <w:rPr>
                <w:rFonts w:hint="eastAsia" w:ascii="仿宋_GB2312" w:hAnsi="仿宋_GB2312" w:eastAsia="仿宋_GB2312" w:cs="仿宋_GB2312"/>
                <w:b/>
                <w:bCs/>
                <w:color w:val="000000"/>
                <w:sz w:val="21"/>
                <w:szCs w:val="21"/>
                <w:highlight w:val="none"/>
              </w:rPr>
              <w:t>评分标准</w:t>
            </w:r>
          </w:p>
        </w:tc>
        <w:tc>
          <w:tcPr>
            <w:tcW w:w="443" w:type="pct"/>
            <w:tcBorders>
              <w:top w:val="single" w:color="auto" w:sz="4" w:space="0"/>
              <w:left w:val="single" w:color="auto" w:sz="4" w:space="0"/>
              <w:bottom w:val="single" w:color="auto" w:sz="4" w:space="0"/>
              <w:right w:val="single" w:color="auto" w:sz="4" w:space="0"/>
            </w:tcBorders>
            <w:noWrap w:val="0"/>
            <w:vAlign w:val="center"/>
          </w:tcPr>
          <w:p w14:paraId="3B97A6CD">
            <w:pPr>
              <w:pStyle w:val="15"/>
              <w:keepNext w:val="0"/>
              <w:keepLines w:val="0"/>
              <w:suppressLineNumbers w:val="0"/>
              <w:adjustRightInd w:val="0"/>
              <w:snapToGrid w:val="0"/>
              <w:spacing w:before="0" w:beforeAutospacing="0" w:after="0" w:afterAutospacing="0"/>
              <w:ind w:left="0" w:right="0" w:firstLine="0" w:firstLineChars="0"/>
              <w:jc w:val="both"/>
              <w:rPr>
                <w:rFonts w:hint="eastAsia" w:ascii="仿宋_GB2312" w:hAnsi="仿宋_GB2312" w:eastAsia="仿宋_GB2312" w:cs="仿宋_GB2312"/>
                <w:b/>
                <w:bCs/>
                <w:color w:val="000000"/>
                <w:sz w:val="21"/>
                <w:szCs w:val="21"/>
                <w:highlight w:val="none"/>
              </w:rPr>
            </w:pPr>
            <w:r>
              <w:rPr>
                <w:rFonts w:hint="eastAsia" w:ascii="仿宋_GB2312" w:hAnsi="仿宋_GB2312" w:eastAsia="仿宋_GB2312" w:cs="仿宋_GB2312"/>
                <w:b/>
                <w:bCs/>
                <w:color w:val="000000"/>
                <w:sz w:val="21"/>
                <w:szCs w:val="21"/>
                <w:highlight w:val="none"/>
              </w:rPr>
              <w:t>满分</w:t>
            </w:r>
          </w:p>
        </w:tc>
      </w:tr>
      <w:tr w14:paraId="1DD2E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6CC36C34">
            <w:pPr>
              <w:pStyle w:val="15"/>
              <w:keepNext w:val="0"/>
              <w:keepLines w:val="0"/>
              <w:suppressLineNumbers w:val="0"/>
              <w:adjustRightInd w:val="0"/>
              <w:snapToGrid w:val="0"/>
              <w:spacing w:before="0" w:beforeAutospacing="0" w:after="0" w:afterAutospacing="0"/>
              <w:ind w:left="0" w:right="0" w:firstLine="0" w:firstLineChars="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2"/>
                <w:sz w:val="21"/>
                <w:szCs w:val="21"/>
                <w:highlight w:val="none"/>
              </w:rPr>
              <w:t>价格部分</w:t>
            </w:r>
          </w:p>
        </w:tc>
        <w:tc>
          <w:tcPr>
            <w:tcW w:w="465" w:type="pct"/>
            <w:tcBorders>
              <w:top w:val="single" w:color="auto" w:sz="4" w:space="0"/>
              <w:left w:val="single" w:color="auto" w:sz="4" w:space="0"/>
              <w:bottom w:val="single" w:color="auto" w:sz="4" w:space="0"/>
              <w:right w:val="single" w:color="auto" w:sz="4" w:space="0"/>
            </w:tcBorders>
            <w:noWrap w:val="0"/>
            <w:vAlign w:val="center"/>
          </w:tcPr>
          <w:p w14:paraId="0711A31E">
            <w:pPr>
              <w:pStyle w:val="15"/>
              <w:keepNext w:val="0"/>
              <w:keepLines w:val="0"/>
              <w:suppressLineNumbers w:val="0"/>
              <w:adjustRightInd w:val="0"/>
              <w:snapToGrid w:val="0"/>
              <w:spacing w:before="0" w:beforeAutospacing="0" w:after="0" w:afterAutospacing="0"/>
              <w:ind w:left="0" w:right="0" w:firstLine="0" w:firstLineChars="0"/>
              <w:jc w:val="center"/>
              <w:rPr>
                <w:rFonts w:hint="eastAsia"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投标</w:t>
            </w:r>
          </w:p>
          <w:p w14:paraId="792A2547">
            <w:pPr>
              <w:pStyle w:val="15"/>
              <w:keepNext w:val="0"/>
              <w:keepLines w:val="0"/>
              <w:suppressLineNumbers w:val="0"/>
              <w:adjustRightInd w:val="0"/>
              <w:snapToGrid w:val="0"/>
              <w:spacing w:before="0" w:beforeAutospacing="0" w:after="0" w:afterAutospacing="0"/>
              <w:ind w:left="0" w:right="0" w:firstLine="0" w:firstLineChars="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2"/>
                <w:sz w:val="21"/>
                <w:szCs w:val="21"/>
                <w:highlight w:val="none"/>
              </w:rPr>
              <w:t>报价</w:t>
            </w:r>
          </w:p>
        </w:tc>
        <w:tc>
          <w:tcPr>
            <w:tcW w:w="3464" w:type="pct"/>
            <w:tcBorders>
              <w:top w:val="single" w:color="auto" w:sz="4" w:space="0"/>
              <w:left w:val="single" w:color="auto" w:sz="4" w:space="0"/>
              <w:bottom w:val="single" w:color="auto" w:sz="4" w:space="0"/>
              <w:right w:val="single" w:color="auto" w:sz="4" w:space="0"/>
            </w:tcBorders>
            <w:noWrap w:val="0"/>
            <w:vAlign w:val="center"/>
          </w:tcPr>
          <w:p w14:paraId="5EF4254E">
            <w:pPr>
              <w:pStyle w:val="15"/>
              <w:adjustRightInd w:val="0"/>
              <w:snapToGrid w:val="0"/>
              <w:spacing w:before="0" w:beforeAutospacing="0" w:after="0" w:afterAutospacing="0"/>
              <w:ind w:firstLine="0" w:firstLineChars="0"/>
              <w:rPr>
                <w:rFonts w:hint="eastAsia"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投标人报价得分＝（评标基准价/投标报价）×30</w:t>
            </w:r>
          </w:p>
          <w:p w14:paraId="62D0EE54">
            <w:pPr>
              <w:pStyle w:val="15"/>
              <w:adjustRightInd w:val="0"/>
              <w:snapToGrid w:val="0"/>
              <w:spacing w:before="0" w:beforeAutospacing="0" w:after="0" w:afterAutospacing="0"/>
              <w:ind w:firstLine="0" w:firstLineChars="0"/>
              <w:rPr>
                <w:rFonts w:hint="eastAsia"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注解：</w:t>
            </w:r>
          </w:p>
          <w:p w14:paraId="37287937">
            <w:pPr>
              <w:pStyle w:val="15"/>
              <w:adjustRightInd w:val="0"/>
              <w:snapToGrid w:val="0"/>
              <w:spacing w:before="0" w:beforeAutospacing="0" w:after="0" w:afterAutospacing="0"/>
              <w:ind w:firstLine="0" w:firstLineChars="0"/>
              <w:rPr>
                <w:rFonts w:hint="eastAsia"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1、评标基准价为满足招标文件要求且投标报价最低的投标报价。</w:t>
            </w:r>
          </w:p>
          <w:p w14:paraId="610B3E8E">
            <w:pPr>
              <w:pStyle w:val="15"/>
              <w:adjustRightInd w:val="0"/>
              <w:snapToGrid w:val="0"/>
              <w:spacing w:before="0" w:beforeAutospacing="0" w:after="0" w:afterAutospacing="0"/>
              <w:ind w:firstLine="0" w:firstLineChars="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2"/>
                <w:sz w:val="21"/>
                <w:szCs w:val="21"/>
                <w:highlight w:val="none"/>
              </w:rPr>
              <w:t>2、投标人报价为投标函中投标总价；</w:t>
            </w:r>
          </w:p>
        </w:tc>
        <w:tc>
          <w:tcPr>
            <w:tcW w:w="443" w:type="pct"/>
            <w:tcBorders>
              <w:top w:val="single" w:color="auto" w:sz="4" w:space="0"/>
              <w:left w:val="single" w:color="auto" w:sz="4" w:space="0"/>
              <w:bottom w:val="single" w:color="auto" w:sz="4" w:space="0"/>
              <w:right w:val="single" w:color="auto" w:sz="4" w:space="0"/>
            </w:tcBorders>
            <w:noWrap w:val="0"/>
            <w:vAlign w:val="center"/>
          </w:tcPr>
          <w:p w14:paraId="0F5B0201">
            <w:pPr>
              <w:keepNext w:val="0"/>
              <w:keepLines w:val="0"/>
              <w:suppressLineNumbers w:val="0"/>
              <w:adjustRightInd w:val="0"/>
              <w:snapToGrid w:val="0"/>
              <w:spacing w:before="0" w:beforeAutospacing="0" w:after="0" w:afterAutospacing="0"/>
              <w:ind w:left="0" w:right="0" w:firstLine="0" w:firstLineChars="0"/>
              <w:jc w:val="both"/>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 w:val="21"/>
                <w:szCs w:val="21"/>
                <w:highlight w:val="none"/>
              </w:rPr>
              <w:t>30分</w:t>
            </w:r>
          </w:p>
        </w:tc>
      </w:tr>
      <w:tr w14:paraId="5974B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5" w:type="pct"/>
            <w:vMerge w:val="restart"/>
            <w:tcBorders>
              <w:left w:val="single" w:color="auto" w:sz="4" w:space="0"/>
              <w:right w:val="single" w:color="auto" w:sz="4" w:space="0"/>
            </w:tcBorders>
            <w:noWrap w:val="0"/>
            <w:vAlign w:val="center"/>
          </w:tcPr>
          <w:p w14:paraId="727615C6">
            <w:pPr>
              <w:pStyle w:val="15"/>
              <w:keepNext w:val="0"/>
              <w:keepLines w:val="0"/>
              <w:suppressLineNumbers w:val="0"/>
              <w:adjustRightInd w:val="0"/>
              <w:snapToGrid w:val="0"/>
              <w:spacing w:before="0" w:beforeAutospacing="0" w:after="0" w:afterAutospacing="0"/>
              <w:ind w:left="0" w:right="0" w:firstLine="0" w:firstLineChars="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技术部分</w:t>
            </w:r>
          </w:p>
        </w:tc>
        <w:tc>
          <w:tcPr>
            <w:tcW w:w="465" w:type="pct"/>
            <w:tcBorders>
              <w:top w:val="single" w:color="auto" w:sz="4" w:space="0"/>
              <w:left w:val="single" w:color="auto" w:sz="4" w:space="0"/>
              <w:bottom w:val="single" w:color="auto" w:sz="4" w:space="0"/>
              <w:right w:val="single" w:color="auto" w:sz="4" w:space="0"/>
            </w:tcBorders>
            <w:noWrap w:val="0"/>
            <w:vAlign w:val="center"/>
          </w:tcPr>
          <w:p w14:paraId="733871BA">
            <w:pPr>
              <w:pStyle w:val="15"/>
              <w:keepNext w:val="0"/>
              <w:keepLines w:val="0"/>
              <w:suppressLineNumbers w:val="0"/>
              <w:adjustRightInd w:val="0"/>
              <w:snapToGrid w:val="0"/>
              <w:spacing w:before="0" w:beforeAutospacing="0" w:after="0" w:afterAutospacing="0"/>
              <w:ind w:left="0" w:right="0" w:firstLine="0" w:firstLineChars="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技术功能要求响应程度</w:t>
            </w:r>
          </w:p>
        </w:tc>
        <w:tc>
          <w:tcPr>
            <w:tcW w:w="3464" w:type="pct"/>
            <w:tcBorders>
              <w:top w:val="single" w:color="auto" w:sz="4" w:space="0"/>
              <w:left w:val="single" w:color="auto" w:sz="4" w:space="0"/>
              <w:bottom w:val="single" w:color="auto" w:sz="4" w:space="0"/>
              <w:right w:val="single" w:color="auto" w:sz="4" w:space="0"/>
            </w:tcBorders>
            <w:noWrap w:val="0"/>
            <w:vAlign w:val="center"/>
          </w:tcPr>
          <w:p w14:paraId="755F8B0A">
            <w:pPr>
              <w:pStyle w:val="15"/>
              <w:adjustRightInd w:val="0"/>
              <w:snapToGrid w:val="0"/>
              <w:spacing w:before="0" w:beforeAutospacing="0" w:after="0" w:afterAutospacing="0"/>
              <w:ind w:firstLine="0" w:firstLineChars="0"/>
              <w:rPr>
                <w:rFonts w:hint="eastAsia"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货物技术、功能指标满足招标文件技术、功能指标要求程度：</w:t>
            </w:r>
          </w:p>
          <w:p w14:paraId="4E38EAE7">
            <w:pPr>
              <w:pStyle w:val="15"/>
              <w:adjustRightInd w:val="0"/>
              <w:snapToGrid w:val="0"/>
              <w:spacing w:before="0" w:beforeAutospacing="0" w:after="0" w:afterAutospacing="0"/>
              <w:ind w:firstLine="0" w:firstLineChars="0"/>
              <w:rPr>
                <w:rFonts w:hint="eastAsia"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评标委员会依据投标人对招标文件技参数响应情况进行打分：</w:t>
            </w:r>
          </w:p>
          <w:p w14:paraId="535C2886">
            <w:pPr>
              <w:pStyle w:val="15"/>
              <w:adjustRightInd w:val="0"/>
              <w:snapToGrid w:val="0"/>
              <w:spacing w:before="0" w:beforeAutospacing="0" w:after="0" w:afterAutospacing="0"/>
              <w:ind w:firstLine="0" w:firstLineChars="0"/>
              <w:rPr>
                <w:rFonts w:hint="eastAsia"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lang w:val="en-US" w:eastAsia="zh-CN"/>
              </w:rPr>
              <w:t>本项目技术参数94条，“★”共14条，“▲”条款共3 条，非“★”、非“▲”条款共77条</w:t>
            </w:r>
            <w:r>
              <w:rPr>
                <w:rFonts w:hint="eastAsia" w:ascii="仿宋_GB2312" w:hAnsi="仿宋_GB2312" w:eastAsia="仿宋_GB2312" w:cs="仿宋_GB2312"/>
                <w:color w:val="000000"/>
                <w:kern w:val="2"/>
                <w:sz w:val="21"/>
                <w:szCs w:val="21"/>
                <w:highlight w:val="none"/>
              </w:rPr>
              <w:t>，技术指标参数：</w:t>
            </w:r>
          </w:p>
          <w:p w14:paraId="75B53035">
            <w:pPr>
              <w:pStyle w:val="15"/>
              <w:adjustRightInd w:val="0"/>
              <w:snapToGrid w:val="0"/>
              <w:spacing w:before="0" w:beforeAutospacing="0" w:after="0" w:afterAutospacing="0"/>
              <w:ind w:firstLine="0" w:firstLineChars="0"/>
              <w:rPr>
                <w:rFonts w:hint="eastAsia"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★参数，共1</w:t>
            </w:r>
            <w:r>
              <w:rPr>
                <w:rFonts w:hint="eastAsia" w:ascii="仿宋_GB2312" w:hAnsi="仿宋_GB2312" w:eastAsia="仿宋_GB2312" w:cs="仿宋_GB2312"/>
                <w:color w:val="000000"/>
                <w:kern w:val="2"/>
                <w:sz w:val="21"/>
                <w:szCs w:val="21"/>
                <w:highlight w:val="none"/>
                <w:lang w:val="en-US" w:eastAsia="zh-CN"/>
              </w:rPr>
              <w:t>4</w:t>
            </w:r>
            <w:r>
              <w:rPr>
                <w:rFonts w:hint="eastAsia" w:ascii="仿宋_GB2312" w:hAnsi="仿宋_GB2312" w:eastAsia="仿宋_GB2312" w:cs="仿宋_GB2312"/>
                <w:color w:val="000000"/>
                <w:kern w:val="2"/>
                <w:sz w:val="21"/>
                <w:szCs w:val="21"/>
                <w:highlight w:val="none"/>
              </w:rPr>
              <w:t>条，★条款有负偏离，按投标无效处理。</w:t>
            </w:r>
          </w:p>
          <w:p w14:paraId="79B8DFB0">
            <w:pPr>
              <w:pStyle w:val="15"/>
              <w:adjustRightInd w:val="0"/>
              <w:snapToGrid w:val="0"/>
              <w:spacing w:before="0" w:beforeAutospacing="0" w:after="0" w:afterAutospacing="0"/>
              <w:ind w:firstLine="0" w:firstLineChars="0"/>
              <w:rPr>
                <w:rFonts w:hint="eastAsia"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“▲”条款共3 条</w:t>
            </w:r>
            <w:r>
              <w:rPr>
                <w:rFonts w:hint="eastAsia" w:ascii="仿宋_GB2312" w:hAnsi="仿宋_GB2312" w:eastAsia="仿宋_GB2312" w:cs="仿宋_GB2312"/>
                <w:color w:val="000000"/>
                <w:kern w:val="2"/>
                <w:sz w:val="21"/>
                <w:szCs w:val="21"/>
                <w:highlight w:val="none"/>
                <w:lang w:eastAsia="zh-CN"/>
              </w:rPr>
              <w:t>，</w:t>
            </w:r>
            <w:r>
              <w:rPr>
                <w:rFonts w:hint="eastAsia" w:ascii="仿宋_GB2312" w:hAnsi="仿宋_GB2312" w:eastAsia="仿宋_GB2312" w:cs="仿宋_GB2312"/>
                <w:color w:val="000000"/>
                <w:kern w:val="2"/>
                <w:sz w:val="21"/>
                <w:szCs w:val="21"/>
                <w:highlight w:val="none"/>
              </w:rPr>
              <w:t>每负偏离一项扣</w:t>
            </w:r>
            <w:r>
              <w:rPr>
                <w:rFonts w:hint="eastAsia" w:ascii="仿宋_GB2312" w:hAnsi="仿宋_GB2312" w:eastAsia="仿宋_GB2312" w:cs="仿宋_GB2312"/>
                <w:color w:val="000000"/>
                <w:kern w:val="2"/>
                <w:sz w:val="21"/>
                <w:szCs w:val="21"/>
                <w:highlight w:val="none"/>
                <w:lang w:val="en-US" w:eastAsia="zh-CN"/>
              </w:rPr>
              <w:t>1.4</w:t>
            </w:r>
            <w:r>
              <w:rPr>
                <w:rFonts w:hint="eastAsia" w:ascii="仿宋_GB2312" w:hAnsi="仿宋_GB2312" w:eastAsia="仿宋_GB2312" w:cs="仿宋_GB2312"/>
                <w:color w:val="000000"/>
                <w:kern w:val="2"/>
                <w:sz w:val="21"/>
                <w:szCs w:val="21"/>
                <w:highlight w:val="none"/>
              </w:rPr>
              <w:t>分，</w:t>
            </w:r>
            <w:r>
              <w:rPr>
                <w:rFonts w:hint="eastAsia" w:ascii="仿宋_GB2312" w:hAnsi="仿宋_GB2312" w:eastAsia="仿宋_GB2312" w:cs="仿宋_GB2312"/>
                <w:color w:val="000000"/>
                <w:kern w:val="2"/>
                <w:sz w:val="21"/>
                <w:szCs w:val="21"/>
                <w:highlight w:val="none"/>
                <w:lang w:eastAsia="zh-CN"/>
              </w:rPr>
              <w:t>最低得</w:t>
            </w:r>
            <w:r>
              <w:rPr>
                <w:rFonts w:hint="eastAsia" w:ascii="仿宋_GB2312" w:hAnsi="仿宋_GB2312" w:eastAsia="仿宋_GB2312" w:cs="仿宋_GB2312"/>
                <w:color w:val="000000"/>
                <w:kern w:val="2"/>
                <w:sz w:val="21"/>
                <w:szCs w:val="21"/>
                <w:highlight w:val="none"/>
                <w:lang w:val="en-US" w:eastAsia="zh-CN"/>
              </w:rPr>
              <w:t>0分，无负偏</w:t>
            </w:r>
            <w:r>
              <w:rPr>
                <w:rFonts w:hint="eastAsia" w:ascii="仿宋_GB2312" w:hAnsi="仿宋_GB2312" w:eastAsia="仿宋_GB2312" w:cs="仿宋_GB2312"/>
                <w:color w:val="000000"/>
                <w:kern w:val="2"/>
                <w:sz w:val="21"/>
                <w:szCs w:val="21"/>
                <w:highlight w:val="none"/>
                <w:lang w:eastAsia="zh-CN"/>
              </w:rPr>
              <w:t>或正偏离</w:t>
            </w:r>
            <w:r>
              <w:rPr>
                <w:rFonts w:hint="eastAsia" w:ascii="仿宋_GB2312" w:hAnsi="仿宋_GB2312" w:eastAsia="仿宋_GB2312" w:cs="仿宋_GB2312"/>
                <w:color w:val="000000"/>
                <w:kern w:val="2"/>
                <w:sz w:val="21"/>
                <w:szCs w:val="21"/>
                <w:highlight w:val="none"/>
                <w:lang w:val="en-US" w:eastAsia="zh-CN"/>
              </w:rPr>
              <w:t>得满分4.2分。</w:t>
            </w:r>
          </w:p>
          <w:p w14:paraId="77832320">
            <w:pPr>
              <w:pStyle w:val="15"/>
              <w:adjustRightInd w:val="0"/>
              <w:snapToGrid w:val="0"/>
              <w:spacing w:before="0" w:beforeAutospacing="0" w:after="0" w:afterAutospacing="0"/>
              <w:ind w:firstLine="0" w:firstLineChars="0"/>
              <w:rPr>
                <w:rFonts w:hint="eastAsia" w:ascii="仿宋_GB2312" w:hAnsi="仿宋_GB2312" w:eastAsia="仿宋_GB2312" w:cs="仿宋_GB2312"/>
                <w:color w:val="000000"/>
                <w:kern w:val="2"/>
                <w:sz w:val="21"/>
                <w:szCs w:val="21"/>
                <w:highlight w:val="none"/>
                <w:lang w:val="en-US" w:eastAsia="zh-CN"/>
              </w:rPr>
            </w:pPr>
            <w:r>
              <w:rPr>
                <w:rFonts w:hint="eastAsia" w:ascii="仿宋_GB2312" w:hAnsi="仿宋_GB2312" w:eastAsia="仿宋_GB2312" w:cs="仿宋_GB2312"/>
                <w:color w:val="000000"/>
                <w:kern w:val="2"/>
                <w:sz w:val="21"/>
                <w:szCs w:val="21"/>
                <w:highlight w:val="none"/>
              </w:rPr>
              <w:t>2、</w:t>
            </w:r>
            <w:r>
              <w:rPr>
                <w:rFonts w:hint="eastAsia" w:ascii="仿宋_GB2312" w:hAnsi="仿宋_GB2312" w:eastAsia="仿宋_GB2312" w:cs="仿宋_GB2312"/>
                <w:color w:val="000000"/>
                <w:kern w:val="2"/>
                <w:sz w:val="21"/>
                <w:szCs w:val="21"/>
                <w:highlight w:val="none"/>
                <w:lang w:val="en-US" w:eastAsia="zh-CN"/>
              </w:rPr>
              <w:t>非“★”、非“▲”条款共77条</w:t>
            </w:r>
            <w:r>
              <w:rPr>
                <w:rFonts w:hint="eastAsia" w:ascii="仿宋_GB2312" w:hAnsi="仿宋_GB2312" w:eastAsia="仿宋_GB2312" w:cs="仿宋_GB2312"/>
                <w:color w:val="000000"/>
                <w:kern w:val="2"/>
                <w:sz w:val="21"/>
                <w:szCs w:val="21"/>
                <w:highlight w:val="none"/>
              </w:rPr>
              <w:t>，每负偏离一项扣</w:t>
            </w:r>
            <w:r>
              <w:rPr>
                <w:rFonts w:hint="eastAsia" w:ascii="仿宋_GB2312" w:hAnsi="仿宋_GB2312" w:eastAsia="仿宋_GB2312" w:cs="仿宋_GB2312"/>
                <w:color w:val="000000"/>
                <w:kern w:val="2"/>
                <w:sz w:val="21"/>
                <w:szCs w:val="21"/>
                <w:highlight w:val="none"/>
                <w:lang w:val="en-US" w:eastAsia="zh-CN"/>
              </w:rPr>
              <w:t>0.4</w:t>
            </w:r>
            <w:r>
              <w:rPr>
                <w:rFonts w:hint="eastAsia" w:ascii="仿宋_GB2312" w:hAnsi="仿宋_GB2312" w:eastAsia="仿宋_GB2312" w:cs="仿宋_GB2312"/>
                <w:color w:val="000000"/>
                <w:kern w:val="2"/>
                <w:sz w:val="21"/>
                <w:szCs w:val="21"/>
                <w:highlight w:val="none"/>
              </w:rPr>
              <w:t>分，最低得0分</w:t>
            </w:r>
            <w:r>
              <w:rPr>
                <w:rFonts w:hint="eastAsia" w:ascii="仿宋_GB2312" w:hAnsi="仿宋_GB2312" w:eastAsia="仿宋_GB2312" w:cs="仿宋_GB2312"/>
                <w:color w:val="000000"/>
                <w:kern w:val="2"/>
                <w:sz w:val="21"/>
                <w:szCs w:val="21"/>
                <w:highlight w:val="none"/>
                <w:lang w:eastAsia="zh-CN"/>
              </w:rPr>
              <w:t>，无负偏离或正偏离得满分</w:t>
            </w:r>
            <w:r>
              <w:rPr>
                <w:rFonts w:hint="eastAsia" w:ascii="仿宋_GB2312" w:hAnsi="仿宋_GB2312" w:eastAsia="仿宋_GB2312" w:cs="仿宋_GB2312"/>
                <w:color w:val="000000"/>
                <w:kern w:val="2"/>
                <w:sz w:val="21"/>
                <w:szCs w:val="21"/>
                <w:highlight w:val="none"/>
                <w:lang w:val="en-US" w:eastAsia="zh-CN"/>
              </w:rPr>
              <w:t>30.8分。</w:t>
            </w:r>
          </w:p>
          <w:p w14:paraId="1610F372">
            <w:pPr>
              <w:pStyle w:val="15"/>
              <w:adjustRightInd w:val="0"/>
              <w:snapToGrid w:val="0"/>
              <w:spacing w:before="0" w:beforeAutospacing="0" w:after="0" w:afterAutospacing="0"/>
              <w:ind w:firstLine="0" w:firstLineChars="0"/>
              <w:rPr>
                <w:rFonts w:hint="eastAsia" w:ascii="仿宋_GB2312" w:hAnsi="仿宋_GB2312" w:eastAsia="仿宋_GB2312" w:cs="仿宋_GB2312"/>
                <w:color w:val="000000"/>
                <w:kern w:val="2"/>
                <w:sz w:val="21"/>
                <w:szCs w:val="21"/>
                <w:highlight w:val="none"/>
                <w:lang w:val="en-US" w:eastAsia="zh-CN"/>
              </w:rPr>
            </w:pPr>
            <w:r>
              <w:rPr>
                <w:rFonts w:hint="eastAsia" w:ascii="仿宋_GB2312" w:hAnsi="仿宋_GB2312" w:eastAsia="仿宋_GB2312" w:cs="仿宋_GB2312"/>
                <w:color w:val="000000"/>
                <w:kern w:val="2"/>
                <w:sz w:val="21"/>
                <w:szCs w:val="21"/>
                <w:highlight w:val="none"/>
                <w:lang w:val="en-US" w:eastAsia="zh-CN"/>
              </w:rPr>
              <w:t>3、</w:t>
            </w:r>
            <w:r>
              <w:rPr>
                <w:rFonts w:hint="eastAsia" w:ascii="仿宋_GB2312" w:hAnsi="仿宋_GB2312" w:eastAsia="仿宋_GB2312" w:cs="仿宋_GB2312"/>
                <w:color w:val="000000"/>
                <w:kern w:val="2"/>
                <w:sz w:val="21"/>
                <w:szCs w:val="21"/>
                <w:highlight w:val="none"/>
                <w:lang w:eastAsia="zh-CN"/>
              </w:rPr>
              <w:t>全部参数负偏离，得</w:t>
            </w:r>
            <w:r>
              <w:rPr>
                <w:rFonts w:hint="eastAsia" w:ascii="仿宋_GB2312" w:hAnsi="仿宋_GB2312" w:eastAsia="仿宋_GB2312" w:cs="仿宋_GB2312"/>
                <w:color w:val="000000"/>
                <w:kern w:val="2"/>
                <w:sz w:val="21"/>
                <w:szCs w:val="21"/>
                <w:highlight w:val="none"/>
                <w:lang w:val="en-US" w:eastAsia="zh-CN"/>
              </w:rPr>
              <w:t>0分。</w:t>
            </w:r>
          </w:p>
          <w:p w14:paraId="7F41E4B6">
            <w:pPr>
              <w:pStyle w:val="15"/>
              <w:adjustRightInd w:val="0"/>
              <w:snapToGrid w:val="0"/>
              <w:spacing w:before="0" w:beforeAutospacing="0" w:after="0" w:afterAutospacing="0"/>
              <w:ind w:firstLine="0" w:firstLineChars="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2"/>
                <w:sz w:val="21"/>
                <w:szCs w:val="21"/>
                <w:highlight w:val="none"/>
                <w:lang w:val="en-US" w:eastAsia="zh-CN"/>
              </w:rPr>
              <w:t>4</w:t>
            </w:r>
            <w:r>
              <w:rPr>
                <w:rFonts w:hint="eastAsia" w:ascii="仿宋_GB2312" w:hAnsi="仿宋_GB2312" w:eastAsia="仿宋_GB2312" w:cs="仿宋_GB2312"/>
                <w:color w:val="000000"/>
                <w:kern w:val="2"/>
                <w:sz w:val="21"/>
                <w:szCs w:val="21"/>
                <w:highlight w:val="none"/>
              </w:rPr>
              <w:t>、本单项评分最终保留小数点后两位，四舍五入。</w:t>
            </w:r>
          </w:p>
        </w:tc>
        <w:tc>
          <w:tcPr>
            <w:tcW w:w="443" w:type="pct"/>
            <w:tcBorders>
              <w:top w:val="single" w:color="auto" w:sz="4" w:space="0"/>
              <w:left w:val="single" w:color="auto" w:sz="4" w:space="0"/>
              <w:bottom w:val="single" w:color="auto" w:sz="4" w:space="0"/>
              <w:right w:val="single" w:color="auto" w:sz="4" w:space="0"/>
            </w:tcBorders>
            <w:noWrap w:val="0"/>
            <w:vAlign w:val="center"/>
          </w:tcPr>
          <w:p w14:paraId="259099D1">
            <w:pPr>
              <w:keepNext w:val="0"/>
              <w:keepLines w:val="0"/>
              <w:suppressLineNumbers w:val="0"/>
              <w:adjustRightInd w:val="0"/>
              <w:snapToGrid w:val="0"/>
              <w:spacing w:before="0" w:beforeAutospacing="0" w:after="0" w:afterAutospacing="0"/>
              <w:ind w:left="0" w:right="0" w:firstLine="0" w:firstLineChars="0"/>
              <w:jc w:val="both"/>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 w:val="21"/>
                <w:szCs w:val="21"/>
                <w:highlight w:val="none"/>
                <w:lang w:val="en-US" w:eastAsia="zh-CN"/>
              </w:rPr>
              <w:t>35</w:t>
            </w:r>
            <w:r>
              <w:rPr>
                <w:rFonts w:hint="eastAsia" w:ascii="仿宋_GB2312" w:hAnsi="仿宋_GB2312" w:eastAsia="仿宋_GB2312" w:cs="仿宋_GB2312"/>
                <w:color w:val="000000"/>
                <w:sz w:val="21"/>
                <w:szCs w:val="21"/>
                <w:highlight w:val="none"/>
              </w:rPr>
              <w:t>分</w:t>
            </w:r>
          </w:p>
        </w:tc>
      </w:tr>
      <w:tr w14:paraId="69D96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5" w:type="pct"/>
            <w:vMerge w:val="continue"/>
            <w:tcBorders>
              <w:left w:val="single" w:color="auto" w:sz="4" w:space="0"/>
              <w:right w:val="single" w:color="auto" w:sz="4" w:space="0"/>
            </w:tcBorders>
            <w:noWrap w:val="0"/>
            <w:vAlign w:val="center"/>
          </w:tcPr>
          <w:p w14:paraId="61E73C62">
            <w:pPr>
              <w:keepNext w:val="0"/>
              <w:keepLines w:val="0"/>
              <w:suppressLineNumbers w:val="0"/>
              <w:adjustRightInd w:val="0"/>
              <w:snapToGrid w:val="0"/>
              <w:spacing w:before="0" w:beforeAutospacing="0" w:after="0" w:afterAutospacing="0"/>
              <w:ind w:left="0" w:right="0"/>
              <w:rPr>
                <w:rFonts w:hint="eastAsia" w:ascii="仿宋_GB2312" w:hAnsi="仿宋_GB2312" w:eastAsia="仿宋_GB2312" w:cs="仿宋_GB2312"/>
                <w:color w:val="000000"/>
                <w:szCs w:val="21"/>
                <w:highlight w:val="none"/>
              </w:rPr>
            </w:pPr>
          </w:p>
        </w:tc>
        <w:tc>
          <w:tcPr>
            <w:tcW w:w="465" w:type="pct"/>
            <w:tcBorders>
              <w:top w:val="single" w:color="auto" w:sz="4" w:space="0"/>
              <w:left w:val="single" w:color="auto" w:sz="4" w:space="0"/>
              <w:right w:val="single" w:color="auto" w:sz="4" w:space="0"/>
            </w:tcBorders>
            <w:noWrap w:val="0"/>
            <w:vAlign w:val="center"/>
          </w:tcPr>
          <w:p w14:paraId="5F282D6F">
            <w:pPr>
              <w:pStyle w:val="15"/>
              <w:ind w:firstLine="0" w:firstLineChars="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2"/>
                <w:sz w:val="21"/>
                <w:szCs w:val="21"/>
                <w:highlight w:val="none"/>
              </w:rPr>
              <w:t>供货及安装实施方案</w:t>
            </w:r>
          </w:p>
        </w:tc>
        <w:tc>
          <w:tcPr>
            <w:tcW w:w="3464" w:type="pct"/>
            <w:tcBorders>
              <w:top w:val="single" w:color="auto" w:sz="4" w:space="0"/>
              <w:left w:val="single" w:color="auto" w:sz="4" w:space="0"/>
              <w:bottom w:val="single" w:color="auto" w:sz="4" w:space="0"/>
              <w:right w:val="single" w:color="auto" w:sz="4" w:space="0"/>
            </w:tcBorders>
            <w:noWrap w:val="0"/>
            <w:vAlign w:val="center"/>
          </w:tcPr>
          <w:p w14:paraId="226278B5">
            <w:pPr>
              <w:pStyle w:val="15"/>
              <w:adjustRightInd w:val="0"/>
              <w:snapToGrid w:val="0"/>
              <w:spacing w:before="0" w:beforeAutospacing="0" w:after="0" w:afterAutospacing="0"/>
              <w:ind w:firstLine="0" w:firstLineChars="0"/>
              <w:rPr>
                <w:rFonts w:hint="eastAsia"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投标人应根据采购需求，结合项目实际，提供供货及安装实施方案，至少包括如下内容①</w:t>
            </w:r>
            <w:r>
              <w:rPr>
                <w:rFonts w:hint="eastAsia" w:ascii="仿宋_GB2312" w:hAnsi="仿宋_GB2312" w:eastAsia="仿宋_GB2312" w:cs="仿宋_GB2312"/>
                <w:color w:val="000000"/>
                <w:sz w:val="21"/>
                <w:szCs w:val="21"/>
                <w:highlight w:val="none"/>
                <w:lang w:bidi="ar"/>
              </w:rPr>
              <w:t>实施计划</w:t>
            </w:r>
            <w:r>
              <w:rPr>
                <w:rFonts w:hint="eastAsia" w:ascii="仿宋_GB2312" w:hAnsi="仿宋_GB2312" w:eastAsia="仿宋_GB2312" w:cs="仿宋_GB2312"/>
                <w:color w:val="000000"/>
                <w:kern w:val="2"/>
                <w:sz w:val="21"/>
                <w:szCs w:val="21"/>
                <w:highlight w:val="none"/>
              </w:rPr>
              <w:t>②</w:t>
            </w:r>
            <w:r>
              <w:rPr>
                <w:rFonts w:hint="eastAsia" w:ascii="仿宋_GB2312" w:hAnsi="仿宋_GB2312" w:eastAsia="仿宋_GB2312" w:cs="仿宋_GB2312"/>
                <w:color w:val="000000"/>
                <w:sz w:val="21"/>
                <w:szCs w:val="21"/>
                <w:highlight w:val="none"/>
                <w:lang w:bidi="ar"/>
              </w:rPr>
              <w:t>供货时间保障</w:t>
            </w:r>
            <w:r>
              <w:rPr>
                <w:rFonts w:hint="eastAsia" w:ascii="仿宋_GB2312" w:hAnsi="仿宋_GB2312" w:eastAsia="仿宋_GB2312" w:cs="仿宋_GB2312"/>
                <w:color w:val="000000"/>
                <w:sz w:val="21"/>
                <w:szCs w:val="21"/>
                <w:highlight w:val="none"/>
              </w:rPr>
              <w:t>③</w:t>
            </w:r>
            <w:r>
              <w:rPr>
                <w:rFonts w:hint="eastAsia" w:ascii="仿宋_GB2312" w:hAnsi="仿宋_GB2312" w:eastAsia="仿宋_GB2312" w:cs="仿宋_GB2312"/>
                <w:color w:val="000000"/>
                <w:sz w:val="21"/>
                <w:szCs w:val="21"/>
                <w:highlight w:val="none"/>
                <w:lang w:bidi="ar"/>
              </w:rPr>
              <w:t>货物运输及配送保障</w:t>
            </w:r>
            <w:r>
              <w:rPr>
                <w:rFonts w:hint="eastAsia" w:ascii="仿宋_GB2312" w:hAnsi="仿宋_GB2312" w:eastAsia="仿宋_GB2312" w:cs="仿宋_GB2312"/>
                <w:color w:val="000000"/>
                <w:kern w:val="2"/>
                <w:sz w:val="21"/>
                <w:szCs w:val="21"/>
                <w:highlight w:val="none"/>
              </w:rPr>
              <w:t>④</w:t>
            </w:r>
            <w:r>
              <w:rPr>
                <w:rFonts w:hint="eastAsia" w:ascii="仿宋_GB2312" w:hAnsi="仿宋_GB2312" w:eastAsia="仿宋_GB2312" w:cs="仿宋_GB2312"/>
                <w:color w:val="000000"/>
                <w:sz w:val="21"/>
                <w:szCs w:val="21"/>
                <w:highlight w:val="none"/>
                <w:lang w:bidi="ar"/>
              </w:rPr>
              <w:t>安装实施</w:t>
            </w:r>
            <w:r>
              <w:rPr>
                <w:rFonts w:hint="eastAsia" w:ascii="仿宋_GB2312" w:hAnsi="仿宋_GB2312" w:eastAsia="仿宋_GB2312" w:cs="仿宋_GB2312"/>
                <w:color w:val="000000"/>
                <w:kern w:val="2"/>
                <w:sz w:val="21"/>
                <w:szCs w:val="21"/>
                <w:highlight w:val="none"/>
              </w:rPr>
              <w:t>⑤</w:t>
            </w:r>
            <w:r>
              <w:rPr>
                <w:rFonts w:hint="eastAsia" w:ascii="仿宋_GB2312" w:hAnsi="仿宋_GB2312" w:eastAsia="仿宋_GB2312" w:cs="仿宋_GB2312"/>
                <w:color w:val="000000"/>
                <w:sz w:val="21"/>
                <w:szCs w:val="21"/>
                <w:highlight w:val="none"/>
                <w:lang w:bidi="ar"/>
              </w:rPr>
              <w:t>安装技术人员简介及证明材料</w:t>
            </w:r>
            <w:r>
              <w:rPr>
                <w:rFonts w:hint="eastAsia" w:ascii="仿宋_GB2312" w:hAnsi="仿宋_GB2312" w:eastAsia="仿宋_GB2312" w:cs="仿宋_GB2312"/>
                <w:color w:val="000000"/>
                <w:kern w:val="2"/>
                <w:sz w:val="21"/>
                <w:szCs w:val="21"/>
                <w:highlight w:val="none"/>
              </w:rPr>
              <w:t>⑥</w:t>
            </w:r>
            <w:r>
              <w:rPr>
                <w:rFonts w:hint="eastAsia" w:ascii="仿宋_GB2312" w:hAnsi="仿宋_GB2312" w:eastAsia="仿宋_GB2312" w:cs="仿宋_GB2312"/>
                <w:color w:val="000000"/>
                <w:sz w:val="21"/>
                <w:szCs w:val="21"/>
                <w:highlight w:val="none"/>
                <w:lang w:bidi="ar"/>
              </w:rPr>
              <w:t>突发情况应急</w:t>
            </w:r>
            <w:r>
              <w:rPr>
                <w:rFonts w:hint="eastAsia" w:ascii="仿宋_GB2312" w:hAnsi="仿宋_GB2312" w:eastAsia="仿宋_GB2312" w:cs="仿宋_GB2312"/>
                <w:color w:val="000000"/>
                <w:kern w:val="2"/>
                <w:sz w:val="21"/>
                <w:szCs w:val="21"/>
                <w:highlight w:val="none"/>
              </w:rPr>
              <w:t>。</w:t>
            </w:r>
          </w:p>
          <w:p w14:paraId="3F472F9E">
            <w:pPr>
              <w:pStyle w:val="15"/>
              <w:adjustRightInd w:val="0"/>
              <w:snapToGrid w:val="0"/>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 xml:space="preserve">方案整体优于采购需求，内容完整无瑕疵，得 </w:t>
            </w:r>
            <w:r>
              <w:rPr>
                <w:rFonts w:hint="eastAsia" w:ascii="仿宋" w:hAnsi="仿宋" w:cs="仿宋_GB2312"/>
                <w:kern w:val="2"/>
                <w:sz w:val="21"/>
                <w:szCs w:val="21"/>
                <w:highlight w:val="none"/>
                <w:lang w:val="en-US" w:eastAsia="zh-CN"/>
              </w:rPr>
              <w:t>10</w:t>
            </w:r>
            <w:r>
              <w:rPr>
                <w:rFonts w:hint="eastAsia" w:ascii="仿宋" w:hAnsi="仿宋" w:eastAsia="仿宋" w:cs="仿宋_GB2312"/>
                <w:kern w:val="2"/>
                <w:sz w:val="21"/>
                <w:szCs w:val="21"/>
                <w:highlight w:val="none"/>
              </w:rPr>
              <w:t>分</w:t>
            </w:r>
            <w:r>
              <w:rPr>
                <w:rFonts w:hint="eastAsia" w:ascii="仿宋" w:hAnsi="仿宋" w:eastAsia="仿宋" w:cs="仿宋_GB2312"/>
                <w:kern w:val="2"/>
                <w:sz w:val="21"/>
                <w:szCs w:val="21"/>
                <w:highlight w:val="none"/>
                <w:lang w:eastAsia="zh-CN"/>
              </w:rPr>
              <w:t>；</w:t>
            </w:r>
            <w:r>
              <w:rPr>
                <w:rFonts w:hint="eastAsia" w:ascii="仿宋" w:hAnsi="仿宋" w:eastAsia="仿宋" w:cs="仿宋_GB2312"/>
                <w:kern w:val="2"/>
                <w:sz w:val="21"/>
                <w:szCs w:val="21"/>
                <w:highlight w:val="none"/>
              </w:rPr>
              <w:t xml:space="preserve"> </w:t>
            </w:r>
          </w:p>
          <w:p w14:paraId="05775304">
            <w:pPr>
              <w:pStyle w:val="15"/>
              <w:adjustRightInd w:val="0"/>
              <w:snapToGrid w:val="0"/>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 xml:space="preserve">方案完全契合采购需求，内容完整，仅存在细微缺陷，得 </w:t>
            </w:r>
            <w:r>
              <w:rPr>
                <w:rFonts w:hint="eastAsia" w:ascii="仿宋" w:hAnsi="仿宋" w:cs="仿宋_GB2312"/>
                <w:kern w:val="2"/>
                <w:sz w:val="21"/>
                <w:szCs w:val="21"/>
                <w:highlight w:val="none"/>
                <w:lang w:val="en-US" w:eastAsia="zh-CN"/>
              </w:rPr>
              <w:t>8</w:t>
            </w:r>
            <w:r>
              <w:rPr>
                <w:rFonts w:hint="eastAsia" w:ascii="仿宋" w:hAnsi="仿宋" w:eastAsia="仿宋" w:cs="仿宋_GB2312"/>
                <w:kern w:val="2"/>
                <w:sz w:val="21"/>
                <w:szCs w:val="21"/>
                <w:highlight w:val="none"/>
              </w:rPr>
              <w:t>分</w:t>
            </w:r>
            <w:r>
              <w:rPr>
                <w:rFonts w:hint="eastAsia" w:ascii="仿宋" w:hAnsi="仿宋" w:eastAsia="仿宋" w:cs="仿宋_GB2312"/>
                <w:kern w:val="2"/>
                <w:sz w:val="21"/>
                <w:szCs w:val="21"/>
                <w:highlight w:val="none"/>
                <w:lang w:eastAsia="zh-CN"/>
              </w:rPr>
              <w:t>；</w:t>
            </w:r>
            <w:r>
              <w:rPr>
                <w:rFonts w:hint="eastAsia" w:ascii="仿宋" w:hAnsi="仿宋" w:eastAsia="仿宋" w:cs="仿宋_GB2312"/>
                <w:kern w:val="2"/>
                <w:sz w:val="21"/>
                <w:szCs w:val="21"/>
                <w:highlight w:val="none"/>
              </w:rPr>
              <w:t xml:space="preserve"> </w:t>
            </w:r>
          </w:p>
          <w:p w14:paraId="75408DC0">
            <w:pPr>
              <w:pStyle w:val="15"/>
              <w:adjustRightInd w:val="0"/>
              <w:snapToGrid w:val="0"/>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 xml:space="preserve">方案内容完整，少量非关键内容与项目需求不符或少量次要内容缺失，得 </w:t>
            </w:r>
            <w:r>
              <w:rPr>
                <w:rFonts w:hint="eastAsia" w:ascii="仿宋" w:hAnsi="仿宋" w:cs="仿宋_GB2312"/>
                <w:kern w:val="2"/>
                <w:sz w:val="21"/>
                <w:szCs w:val="21"/>
                <w:highlight w:val="none"/>
                <w:lang w:val="en-US" w:eastAsia="zh-CN"/>
              </w:rPr>
              <w:t>6</w:t>
            </w:r>
            <w:r>
              <w:rPr>
                <w:rFonts w:hint="eastAsia" w:ascii="仿宋" w:hAnsi="仿宋" w:eastAsia="仿宋" w:cs="仿宋_GB2312"/>
                <w:kern w:val="2"/>
                <w:sz w:val="21"/>
                <w:szCs w:val="21"/>
                <w:highlight w:val="none"/>
              </w:rPr>
              <w:t>分</w:t>
            </w:r>
            <w:r>
              <w:rPr>
                <w:rFonts w:hint="eastAsia" w:ascii="仿宋" w:hAnsi="仿宋" w:eastAsia="仿宋" w:cs="仿宋_GB2312"/>
                <w:kern w:val="2"/>
                <w:sz w:val="21"/>
                <w:szCs w:val="21"/>
                <w:highlight w:val="none"/>
                <w:lang w:eastAsia="zh-CN"/>
              </w:rPr>
              <w:t>；</w:t>
            </w:r>
            <w:r>
              <w:rPr>
                <w:rFonts w:hint="eastAsia" w:ascii="仿宋" w:hAnsi="仿宋" w:eastAsia="仿宋" w:cs="仿宋_GB2312"/>
                <w:kern w:val="2"/>
                <w:sz w:val="21"/>
                <w:szCs w:val="21"/>
                <w:highlight w:val="none"/>
              </w:rPr>
              <w:t xml:space="preserve"> </w:t>
            </w:r>
          </w:p>
          <w:p w14:paraId="74C354D9">
            <w:pPr>
              <w:pStyle w:val="15"/>
              <w:adjustRightInd w:val="0"/>
              <w:snapToGrid w:val="0"/>
              <w:spacing w:before="0" w:beforeAutospacing="0" w:after="0" w:afterAutospacing="0"/>
              <w:ind w:firstLine="0" w:firstLineChars="0"/>
              <w:rPr>
                <w:rFonts w:hint="eastAsia" w:ascii="仿宋" w:hAnsi="仿宋" w:eastAsia="仿宋" w:cs="仿宋_GB2312"/>
                <w:kern w:val="2"/>
                <w:sz w:val="21"/>
                <w:szCs w:val="21"/>
                <w:highlight w:val="none"/>
                <w:lang w:eastAsia="zh-CN"/>
              </w:rPr>
            </w:pPr>
            <w:r>
              <w:rPr>
                <w:rFonts w:hint="eastAsia" w:ascii="仿宋" w:hAnsi="仿宋" w:eastAsia="仿宋" w:cs="仿宋_GB2312"/>
                <w:kern w:val="2"/>
                <w:sz w:val="21"/>
                <w:szCs w:val="21"/>
                <w:highlight w:val="none"/>
              </w:rPr>
              <w:t>方案完整性不足，部分关键内容与项目实际需求不符或存在单项关键内容缺失，得</w:t>
            </w:r>
            <w:r>
              <w:rPr>
                <w:rFonts w:hint="eastAsia" w:ascii="仿宋" w:hAnsi="仿宋" w:cs="仿宋_GB2312"/>
                <w:kern w:val="2"/>
                <w:sz w:val="21"/>
                <w:szCs w:val="21"/>
                <w:highlight w:val="none"/>
                <w:lang w:val="en-US" w:eastAsia="zh-CN"/>
              </w:rPr>
              <w:t>4</w:t>
            </w:r>
            <w:r>
              <w:rPr>
                <w:rFonts w:hint="eastAsia" w:ascii="仿宋" w:hAnsi="仿宋" w:eastAsia="仿宋" w:cs="仿宋_GB2312"/>
                <w:kern w:val="2"/>
                <w:sz w:val="21"/>
                <w:szCs w:val="21"/>
                <w:highlight w:val="none"/>
              </w:rPr>
              <w:t xml:space="preserve"> 分</w:t>
            </w:r>
            <w:r>
              <w:rPr>
                <w:rFonts w:hint="eastAsia" w:ascii="仿宋" w:hAnsi="仿宋" w:eastAsia="仿宋" w:cs="仿宋_GB2312"/>
                <w:kern w:val="2"/>
                <w:sz w:val="21"/>
                <w:szCs w:val="21"/>
                <w:highlight w:val="none"/>
                <w:lang w:eastAsia="zh-CN"/>
              </w:rPr>
              <w:t>；</w:t>
            </w:r>
          </w:p>
          <w:p w14:paraId="518DC988">
            <w:pPr>
              <w:pStyle w:val="15"/>
              <w:adjustRightInd w:val="0"/>
              <w:snapToGrid w:val="0"/>
              <w:spacing w:before="0" w:beforeAutospacing="0" w:after="0" w:afterAutospacing="0"/>
              <w:ind w:firstLine="0" w:firstLineChars="0"/>
              <w:rPr>
                <w:rFonts w:hint="eastAsia" w:ascii="仿宋" w:hAnsi="仿宋" w:eastAsia="仿宋" w:cs="仿宋_GB2312"/>
                <w:kern w:val="2"/>
                <w:sz w:val="21"/>
                <w:szCs w:val="21"/>
                <w:highlight w:val="none"/>
                <w:lang w:eastAsia="zh-CN"/>
              </w:rPr>
            </w:pPr>
            <w:r>
              <w:rPr>
                <w:rFonts w:hint="eastAsia" w:ascii="仿宋" w:hAnsi="仿宋" w:eastAsia="仿宋" w:cs="仿宋_GB2312"/>
                <w:kern w:val="2"/>
                <w:sz w:val="21"/>
                <w:szCs w:val="21"/>
                <w:highlight w:val="none"/>
              </w:rPr>
              <w:t xml:space="preserve">方案完整性严重不足，多项关键内容与项目实际需求不符或多项关键内容缺失，得 </w:t>
            </w:r>
            <w:r>
              <w:rPr>
                <w:rFonts w:hint="eastAsia" w:ascii="仿宋" w:hAnsi="仿宋" w:cs="仿宋_GB2312"/>
                <w:kern w:val="2"/>
                <w:sz w:val="21"/>
                <w:szCs w:val="21"/>
                <w:highlight w:val="none"/>
                <w:lang w:val="en-US" w:eastAsia="zh-CN"/>
              </w:rPr>
              <w:t>2</w:t>
            </w:r>
            <w:r>
              <w:rPr>
                <w:rFonts w:hint="eastAsia" w:ascii="仿宋" w:hAnsi="仿宋" w:eastAsia="仿宋" w:cs="仿宋_GB2312"/>
                <w:kern w:val="2"/>
                <w:sz w:val="21"/>
                <w:szCs w:val="21"/>
                <w:highlight w:val="none"/>
              </w:rPr>
              <w:t xml:space="preserve"> 分</w:t>
            </w:r>
            <w:r>
              <w:rPr>
                <w:rFonts w:hint="eastAsia" w:ascii="仿宋" w:hAnsi="仿宋" w:eastAsia="仿宋" w:cs="仿宋_GB2312"/>
                <w:kern w:val="2"/>
                <w:sz w:val="21"/>
                <w:szCs w:val="21"/>
                <w:highlight w:val="none"/>
                <w:lang w:eastAsia="zh-CN"/>
              </w:rPr>
              <w:t>；</w:t>
            </w:r>
          </w:p>
          <w:p w14:paraId="5687FFE2">
            <w:pPr>
              <w:pStyle w:val="15"/>
              <w:adjustRightInd w:val="0"/>
              <w:snapToGrid w:val="0"/>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未提交方案、缺失指定 6 项内容、照搬采购文件模板，得 0 分</w:t>
            </w:r>
          </w:p>
          <w:p w14:paraId="26BF78D8">
            <w:pPr>
              <w:pStyle w:val="15"/>
              <w:adjustRightInd w:val="0"/>
              <w:snapToGrid w:val="0"/>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注:</w:t>
            </w:r>
            <w:r>
              <w:rPr>
                <w:rFonts w:hint="eastAsia" w:ascii="仿宋" w:hAnsi="仿宋" w:eastAsia="仿宋" w:cs="仿宋_GB2312"/>
                <w:b/>
                <w:bCs/>
                <w:kern w:val="2"/>
                <w:sz w:val="21"/>
                <w:szCs w:val="21"/>
                <w:highlight w:val="none"/>
              </w:rPr>
              <w:t>完整</w:t>
            </w:r>
            <w:r>
              <w:rPr>
                <w:rFonts w:hint="eastAsia" w:ascii="仿宋" w:hAnsi="仿宋" w:eastAsia="仿宋" w:cs="仿宋_GB2312"/>
                <w:kern w:val="2"/>
                <w:sz w:val="21"/>
                <w:szCs w:val="21"/>
                <w:highlight w:val="none"/>
              </w:rPr>
              <w:t>指包括但不限于上述</w:t>
            </w:r>
            <w:r>
              <w:rPr>
                <w:rFonts w:hint="eastAsia" w:ascii="仿宋" w:hAnsi="仿宋" w:cs="仿宋_GB2312"/>
                <w:kern w:val="2"/>
                <w:sz w:val="21"/>
                <w:szCs w:val="21"/>
                <w:highlight w:val="none"/>
                <w:lang w:val="en-US" w:eastAsia="zh-CN"/>
              </w:rPr>
              <w:t>6</w:t>
            </w:r>
            <w:r>
              <w:rPr>
                <w:rFonts w:hint="eastAsia" w:ascii="仿宋" w:hAnsi="仿宋" w:eastAsia="仿宋" w:cs="仿宋_GB2312"/>
                <w:kern w:val="2"/>
                <w:sz w:val="21"/>
                <w:szCs w:val="21"/>
                <w:highlight w:val="none"/>
              </w:rPr>
              <w:t>项全部内容且不能机械复制采购需求内容。</w:t>
            </w:r>
          </w:p>
          <w:p w14:paraId="32F238E9">
            <w:pPr>
              <w:pStyle w:val="15"/>
              <w:adjustRightInd w:val="0"/>
              <w:snapToGrid w:val="0"/>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b/>
                <w:bCs/>
                <w:kern w:val="2"/>
                <w:sz w:val="21"/>
                <w:szCs w:val="21"/>
                <w:highlight w:val="none"/>
              </w:rPr>
              <w:t>优于</w:t>
            </w:r>
            <w:r>
              <w:rPr>
                <w:rFonts w:hint="eastAsia" w:ascii="仿宋" w:hAnsi="仿宋" w:eastAsia="仿宋" w:cs="仿宋_GB2312"/>
                <w:kern w:val="2"/>
                <w:sz w:val="21"/>
                <w:szCs w:val="21"/>
                <w:highlight w:val="none"/>
              </w:rPr>
              <w:t>采购需求是指投标人所提供的方案能够保障投标人在实际工作中达成的效果高于采购需求要求（采购需求中的时间要求、人数要求、服务内容要求等方面）。</w:t>
            </w:r>
          </w:p>
          <w:p w14:paraId="6E009D87">
            <w:pPr>
              <w:pStyle w:val="15"/>
              <w:spacing w:before="0" w:beforeAutospacing="0" w:after="0" w:afterAutospacing="0"/>
              <w:ind w:firstLine="0" w:firstLineChars="0"/>
              <w:jc w:val="left"/>
              <w:rPr>
                <w:rFonts w:hint="eastAsia" w:ascii="仿宋" w:hAnsi="仿宋" w:eastAsia="仿宋" w:cs="仿宋_GB2312"/>
                <w:kern w:val="2"/>
                <w:sz w:val="21"/>
                <w:szCs w:val="21"/>
                <w:highlight w:val="none"/>
              </w:rPr>
            </w:pPr>
            <w:r>
              <w:rPr>
                <w:rFonts w:hint="eastAsia" w:ascii="仿宋" w:hAnsi="仿宋" w:eastAsia="仿宋" w:cs="仿宋_GB2312"/>
                <w:b/>
                <w:bCs/>
                <w:kern w:val="2"/>
                <w:sz w:val="21"/>
                <w:szCs w:val="21"/>
                <w:highlight w:val="none"/>
              </w:rPr>
              <w:t>缺陷</w:t>
            </w:r>
            <w:r>
              <w:rPr>
                <w:rFonts w:hint="eastAsia" w:ascii="仿宋" w:hAnsi="仿宋" w:eastAsia="仿宋" w:cs="仿宋_GB2312"/>
                <w:kern w:val="2"/>
                <w:sz w:val="21"/>
                <w:szCs w:val="21"/>
                <w:highlight w:val="none"/>
              </w:rPr>
              <w:t>是指方案内容与项目需求不一致、存在相互矛盾内容、不符合客观逻辑以及未针对本项目编写的任意一种情形。</w:t>
            </w:r>
          </w:p>
          <w:p w14:paraId="49BB769C">
            <w:pPr>
              <w:pStyle w:val="15"/>
              <w:spacing w:before="0" w:beforeAutospacing="0" w:after="0" w:afterAutospacing="0"/>
              <w:ind w:firstLine="0" w:firstLineChars="0"/>
              <w:jc w:val="left"/>
              <w:rPr>
                <w:rFonts w:hint="eastAsia" w:ascii="仿宋_GB2312" w:hAnsi="仿宋_GB2312" w:eastAsia="仿宋_GB2312" w:cs="仿宋_GB2312"/>
                <w:color w:val="000000"/>
                <w:sz w:val="21"/>
                <w:szCs w:val="21"/>
                <w:highlight w:val="none"/>
                <w:lang w:bidi="ar"/>
              </w:rPr>
            </w:pPr>
            <w:r>
              <w:rPr>
                <w:rFonts w:hint="eastAsia" w:ascii="仿宋" w:hAnsi="仿宋" w:eastAsia="仿宋" w:cs="仿宋_GB2312"/>
                <w:b/>
                <w:bCs/>
                <w:kern w:val="2"/>
                <w:sz w:val="21"/>
                <w:szCs w:val="21"/>
                <w:highlight w:val="none"/>
              </w:rPr>
              <w:t>不符合</w:t>
            </w:r>
            <w:r>
              <w:rPr>
                <w:rFonts w:hint="eastAsia" w:ascii="仿宋" w:hAnsi="仿宋" w:eastAsia="仿宋" w:cs="仿宋_GB2312"/>
                <w:kern w:val="2"/>
                <w:sz w:val="21"/>
                <w:szCs w:val="21"/>
                <w:highlight w:val="none"/>
              </w:rPr>
              <w:t>项目需求是指存在与本项目执行无关的内容、存在相关内容在实际操作中不能运用的任意一种情形。</w:t>
            </w:r>
          </w:p>
        </w:tc>
        <w:tc>
          <w:tcPr>
            <w:tcW w:w="443" w:type="pct"/>
            <w:tcBorders>
              <w:top w:val="single" w:color="auto" w:sz="4" w:space="0"/>
              <w:left w:val="single" w:color="auto" w:sz="4" w:space="0"/>
              <w:right w:val="single" w:color="auto" w:sz="4" w:space="0"/>
            </w:tcBorders>
            <w:noWrap w:val="0"/>
            <w:vAlign w:val="center"/>
          </w:tcPr>
          <w:p w14:paraId="70296E3C">
            <w:pPr>
              <w:keepNext w:val="0"/>
              <w:keepLines w:val="0"/>
              <w:suppressLineNumbers w:val="0"/>
              <w:adjustRightInd w:val="0"/>
              <w:snapToGrid w:val="0"/>
              <w:spacing w:before="0" w:beforeAutospacing="0" w:after="0" w:afterAutospacing="0"/>
              <w:ind w:left="0" w:right="0" w:firstLine="0" w:firstLineChars="0"/>
              <w:jc w:val="both"/>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 w:val="21"/>
                <w:szCs w:val="21"/>
                <w:highlight w:val="none"/>
                <w:lang w:val="en-US" w:eastAsia="zh-CN" w:bidi="ar-SA"/>
              </w:rPr>
              <w:t>10</w:t>
            </w:r>
            <w:r>
              <w:rPr>
                <w:rFonts w:hint="eastAsia" w:ascii="仿宋_GB2312" w:hAnsi="仿宋_GB2312" w:eastAsia="仿宋_GB2312" w:cs="仿宋_GB2312"/>
                <w:color w:val="000000"/>
                <w:sz w:val="21"/>
                <w:szCs w:val="21"/>
                <w:highlight w:val="none"/>
              </w:rPr>
              <w:t>分</w:t>
            </w:r>
          </w:p>
        </w:tc>
      </w:tr>
      <w:tr w14:paraId="7AAAC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625" w:type="pct"/>
            <w:vMerge w:val="continue"/>
            <w:tcBorders>
              <w:left w:val="single" w:color="auto" w:sz="4" w:space="0"/>
              <w:right w:val="single" w:color="auto" w:sz="4" w:space="0"/>
            </w:tcBorders>
            <w:noWrap w:val="0"/>
            <w:vAlign w:val="center"/>
          </w:tcPr>
          <w:p w14:paraId="18BD3A8E">
            <w:pPr>
              <w:keepNext w:val="0"/>
              <w:keepLines w:val="0"/>
              <w:suppressLineNumbers w:val="0"/>
              <w:adjustRightInd w:val="0"/>
              <w:snapToGrid w:val="0"/>
              <w:spacing w:before="0" w:beforeAutospacing="0" w:after="0" w:afterAutospacing="0"/>
              <w:ind w:left="0" w:right="0"/>
              <w:rPr>
                <w:rFonts w:hint="eastAsia" w:ascii="仿宋_GB2312" w:hAnsi="仿宋_GB2312" w:eastAsia="仿宋_GB2312" w:cs="仿宋_GB2312"/>
                <w:color w:val="000000"/>
                <w:szCs w:val="21"/>
                <w:highlight w:val="none"/>
              </w:rPr>
            </w:pPr>
          </w:p>
        </w:tc>
        <w:tc>
          <w:tcPr>
            <w:tcW w:w="465" w:type="pct"/>
            <w:tcBorders>
              <w:left w:val="single" w:color="auto" w:sz="4" w:space="0"/>
              <w:right w:val="single" w:color="auto" w:sz="4" w:space="0"/>
            </w:tcBorders>
            <w:noWrap w:val="0"/>
            <w:vAlign w:val="center"/>
          </w:tcPr>
          <w:p w14:paraId="6F096E4B">
            <w:pPr>
              <w:pStyle w:val="15"/>
              <w:keepNext w:val="0"/>
              <w:keepLines w:val="0"/>
              <w:suppressLineNumbers w:val="0"/>
              <w:adjustRightInd w:val="0"/>
              <w:snapToGrid w:val="0"/>
              <w:spacing w:before="0" w:beforeAutospacing="0" w:after="0" w:afterAutospacing="0"/>
              <w:ind w:left="0" w:right="0" w:firstLine="0" w:firstLineChars="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产品质量控制保障措施方案</w:t>
            </w:r>
          </w:p>
        </w:tc>
        <w:tc>
          <w:tcPr>
            <w:tcW w:w="3464" w:type="pct"/>
            <w:tcBorders>
              <w:top w:val="single" w:color="auto" w:sz="4" w:space="0"/>
              <w:left w:val="single" w:color="auto" w:sz="4" w:space="0"/>
              <w:right w:val="single" w:color="auto" w:sz="4" w:space="0"/>
            </w:tcBorders>
            <w:noWrap w:val="0"/>
            <w:vAlign w:val="center"/>
          </w:tcPr>
          <w:p w14:paraId="4C0F4EE4">
            <w:pPr>
              <w:pStyle w:val="15"/>
              <w:spacing w:before="0" w:beforeAutospacing="0" w:after="0" w:afterAutospacing="0"/>
              <w:ind w:firstLine="0" w:firstLineChars="0"/>
              <w:rPr>
                <w:rFonts w:hint="eastAsia"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投标人应根据采购需求，结合项目实际，提供产品质量控制保障措施方案，至少包括如下内容①产品质量检查②检查技术人员简介及证明材料③检测设备配备④检查流程⑤质量控制管理制度。</w:t>
            </w:r>
          </w:p>
          <w:p w14:paraId="1FCF7E1B">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 xml:space="preserve">方案整体优于采购需求，内容完整无瑕疵，得 </w:t>
            </w:r>
            <w:r>
              <w:rPr>
                <w:rFonts w:hint="eastAsia" w:ascii="仿宋" w:hAnsi="仿宋" w:cs="仿宋_GB2312"/>
                <w:kern w:val="2"/>
                <w:sz w:val="21"/>
                <w:szCs w:val="21"/>
                <w:highlight w:val="none"/>
                <w:lang w:val="en-US" w:eastAsia="zh-CN"/>
              </w:rPr>
              <w:t>10</w:t>
            </w:r>
            <w:r>
              <w:rPr>
                <w:rFonts w:hint="eastAsia" w:ascii="仿宋" w:hAnsi="仿宋" w:eastAsia="仿宋" w:cs="仿宋_GB2312"/>
                <w:kern w:val="2"/>
                <w:sz w:val="21"/>
                <w:szCs w:val="21"/>
                <w:highlight w:val="none"/>
              </w:rPr>
              <w:t>分</w:t>
            </w:r>
            <w:r>
              <w:rPr>
                <w:rFonts w:hint="eastAsia" w:ascii="仿宋" w:hAnsi="仿宋" w:eastAsia="仿宋" w:cs="仿宋_GB2312"/>
                <w:kern w:val="2"/>
                <w:sz w:val="21"/>
                <w:szCs w:val="21"/>
                <w:highlight w:val="none"/>
                <w:lang w:eastAsia="zh-CN"/>
              </w:rPr>
              <w:t>；</w:t>
            </w:r>
            <w:r>
              <w:rPr>
                <w:rFonts w:hint="eastAsia" w:ascii="仿宋" w:hAnsi="仿宋" w:eastAsia="仿宋" w:cs="仿宋_GB2312"/>
                <w:kern w:val="2"/>
                <w:sz w:val="21"/>
                <w:szCs w:val="21"/>
                <w:highlight w:val="none"/>
              </w:rPr>
              <w:t xml:space="preserve"> </w:t>
            </w:r>
          </w:p>
          <w:p w14:paraId="5E2B1CA9">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 xml:space="preserve">方案完全契合采购需求，内容完整，仅存在细微缺陷，得 </w:t>
            </w:r>
            <w:r>
              <w:rPr>
                <w:rFonts w:hint="eastAsia" w:ascii="仿宋" w:hAnsi="仿宋" w:cs="仿宋_GB2312"/>
                <w:kern w:val="2"/>
                <w:sz w:val="21"/>
                <w:szCs w:val="21"/>
                <w:highlight w:val="none"/>
                <w:lang w:val="en-US" w:eastAsia="zh-CN"/>
              </w:rPr>
              <w:t>8</w:t>
            </w:r>
            <w:r>
              <w:rPr>
                <w:rFonts w:hint="eastAsia" w:ascii="仿宋" w:hAnsi="仿宋" w:eastAsia="仿宋" w:cs="仿宋_GB2312"/>
                <w:kern w:val="2"/>
                <w:sz w:val="21"/>
                <w:szCs w:val="21"/>
                <w:highlight w:val="none"/>
              </w:rPr>
              <w:t>分</w:t>
            </w:r>
            <w:r>
              <w:rPr>
                <w:rFonts w:hint="eastAsia" w:ascii="仿宋" w:hAnsi="仿宋" w:eastAsia="仿宋" w:cs="仿宋_GB2312"/>
                <w:kern w:val="2"/>
                <w:sz w:val="21"/>
                <w:szCs w:val="21"/>
                <w:highlight w:val="none"/>
                <w:lang w:eastAsia="zh-CN"/>
              </w:rPr>
              <w:t>；</w:t>
            </w:r>
            <w:r>
              <w:rPr>
                <w:rFonts w:hint="eastAsia" w:ascii="仿宋" w:hAnsi="仿宋" w:eastAsia="仿宋" w:cs="仿宋_GB2312"/>
                <w:kern w:val="2"/>
                <w:sz w:val="21"/>
                <w:szCs w:val="21"/>
                <w:highlight w:val="none"/>
              </w:rPr>
              <w:t xml:space="preserve"> </w:t>
            </w:r>
          </w:p>
          <w:p w14:paraId="1DBA5472">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 xml:space="preserve">方案内容完整，少量非关键内容与项目需求不符或少量次要内容缺失，得 </w:t>
            </w:r>
            <w:r>
              <w:rPr>
                <w:rFonts w:hint="eastAsia" w:ascii="仿宋" w:hAnsi="仿宋" w:cs="仿宋_GB2312"/>
                <w:kern w:val="2"/>
                <w:sz w:val="21"/>
                <w:szCs w:val="21"/>
                <w:highlight w:val="none"/>
                <w:lang w:val="en-US" w:eastAsia="zh-CN"/>
              </w:rPr>
              <w:t>6</w:t>
            </w:r>
            <w:r>
              <w:rPr>
                <w:rFonts w:hint="eastAsia" w:ascii="仿宋" w:hAnsi="仿宋" w:eastAsia="仿宋" w:cs="仿宋_GB2312"/>
                <w:kern w:val="2"/>
                <w:sz w:val="21"/>
                <w:szCs w:val="21"/>
                <w:highlight w:val="none"/>
              </w:rPr>
              <w:t>分</w:t>
            </w:r>
            <w:r>
              <w:rPr>
                <w:rFonts w:hint="eastAsia" w:ascii="仿宋" w:hAnsi="仿宋" w:eastAsia="仿宋" w:cs="仿宋_GB2312"/>
                <w:kern w:val="2"/>
                <w:sz w:val="21"/>
                <w:szCs w:val="21"/>
                <w:highlight w:val="none"/>
                <w:lang w:eastAsia="zh-CN"/>
              </w:rPr>
              <w:t>；</w:t>
            </w:r>
            <w:r>
              <w:rPr>
                <w:rFonts w:hint="eastAsia" w:ascii="仿宋" w:hAnsi="仿宋" w:eastAsia="仿宋" w:cs="仿宋_GB2312"/>
                <w:kern w:val="2"/>
                <w:sz w:val="21"/>
                <w:szCs w:val="21"/>
                <w:highlight w:val="none"/>
              </w:rPr>
              <w:t xml:space="preserve"> </w:t>
            </w:r>
          </w:p>
          <w:p w14:paraId="612744EA">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lang w:eastAsia="zh-CN"/>
              </w:rPr>
            </w:pPr>
            <w:r>
              <w:rPr>
                <w:rFonts w:hint="eastAsia" w:ascii="仿宋" w:hAnsi="仿宋" w:eastAsia="仿宋" w:cs="仿宋_GB2312"/>
                <w:kern w:val="2"/>
                <w:sz w:val="21"/>
                <w:szCs w:val="21"/>
                <w:highlight w:val="none"/>
              </w:rPr>
              <w:t>方案完整性不足，部分关键内容与项目实际需求不符或存在单项关键内容缺失，得</w:t>
            </w:r>
            <w:r>
              <w:rPr>
                <w:rFonts w:hint="eastAsia" w:ascii="仿宋" w:hAnsi="仿宋" w:cs="仿宋_GB2312"/>
                <w:kern w:val="2"/>
                <w:sz w:val="21"/>
                <w:szCs w:val="21"/>
                <w:highlight w:val="none"/>
                <w:lang w:val="en-US" w:eastAsia="zh-CN"/>
              </w:rPr>
              <w:t>4</w:t>
            </w:r>
            <w:r>
              <w:rPr>
                <w:rFonts w:hint="eastAsia" w:ascii="仿宋" w:hAnsi="仿宋" w:eastAsia="仿宋" w:cs="仿宋_GB2312"/>
                <w:kern w:val="2"/>
                <w:sz w:val="21"/>
                <w:szCs w:val="21"/>
                <w:highlight w:val="none"/>
              </w:rPr>
              <w:t xml:space="preserve"> 分</w:t>
            </w:r>
            <w:r>
              <w:rPr>
                <w:rFonts w:hint="eastAsia" w:ascii="仿宋" w:hAnsi="仿宋" w:eastAsia="仿宋" w:cs="仿宋_GB2312"/>
                <w:kern w:val="2"/>
                <w:sz w:val="21"/>
                <w:szCs w:val="21"/>
                <w:highlight w:val="none"/>
                <w:lang w:eastAsia="zh-CN"/>
              </w:rPr>
              <w:t>；</w:t>
            </w:r>
          </w:p>
          <w:p w14:paraId="79D0E93A">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lang w:eastAsia="zh-CN"/>
              </w:rPr>
            </w:pPr>
            <w:r>
              <w:rPr>
                <w:rFonts w:hint="eastAsia" w:ascii="仿宋" w:hAnsi="仿宋" w:eastAsia="仿宋" w:cs="仿宋_GB2312"/>
                <w:kern w:val="2"/>
                <w:sz w:val="21"/>
                <w:szCs w:val="21"/>
                <w:highlight w:val="none"/>
              </w:rPr>
              <w:t xml:space="preserve">方案完整性严重不足，多项关键内容与项目实际需求不符或多项关键内容缺失，得 </w:t>
            </w:r>
            <w:r>
              <w:rPr>
                <w:rFonts w:hint="eastAsia" w:ascii="仿宋" w:hAnsi="仿宋" w:cs="仿宋_GB2312"/>
                <w:kern w:val="2"/>
                <w:sz w:val="21"/>
                <w:szCs w:val="21"/>
                <w:highlight w:val="none"/>
                <w:lang w:val="en-US" w:eastAsia="zh-CN"/>
              </w:rPr>
              <w:t>2</w:t>
            </w:r>
            <w:r>
              <w:rPr>
                <w:rFonts w:hint="eastAsia" w:ascii="仿宋" w:hAnsi="仿宋" w:eastAsia="仿宋" w:cs="仿宋_GB2312"/>
                <w:kern w:val="2"/>
                <w:sz w:val="21"/>
                <w:szCs w:val="21"/>
                <w:highlight w:val="none"/>
              </w:rPr>
              <w:t xml:space="preserve"> 分</w:t>
            </w:r>
            <w:r>
              <w:rPr>
                <w:rFonts w:hint="eastAsia" w:ascii="仿宋" w:hAnsi="仿宋" w:eastAsia="仿宋" w:cs="仿宋_GB2312"/>
                <w:kern w:val="2"/>
                <w:sz w:val="21"/>
                <w:szCs w:val="21"/>
                <w:highlight w:val="none"/>
                <w:lang w:eastAsia="zh-CN"/>
              </w:rPr>
              <w:t>；</w:t>
            </w:r>
          </w:p>
          <w:p w14:paraId="51799295">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 xml:space="preserve">未提交方案、缺失指定 </w:t>
            </w:r>
            <w:r>
              <w:rPr>
                <w:rFonts w:hint="eastAsia" w:ascii="仿宋" w:hAnsi="仿宋" w:cs="仿宋_GB2312"/>
                <w:kern w:val="2"/>
                <w:sz w:val="21"/>
                <w:szCs w:val="21"/>
                <w:highlight w:val="none"/>
                <w:lang w:val="en-US" w:eastAsia="zh-CN"/>
              </w:rPr>
              <w:t>5</w:t>
            </w:r>
            <w:r>
              <w:rPr>
                <w:rFonts w:hint="eastAsia" w:ascii="仿宋" w:hAnsi="仿宋" w:eastAsia="仿宋" w:cs="仿宋_GB2312"/>
                <w:kern w:val="2"/>
                <w:sz w:val="21"/>
                <w:szCs w:val="21"/>
                <w:highlight w:val="none"/>
              </w:rPr>
              <w:t>项内容、照搬采购文件模板，得 0 分</w:t>
            </w:r>
          </w:p>
          <w:p w14:paraId="2DC4F6A8">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注:</w:t>
            </w:r>
            <w:r>
              <w:rPr>
                <w:rFonts w:hint="eastAsia" w:ascii="仿宋" w:hAnsi="仿宋" w:eastAsia="仿宋" w:cs="仿宋_GB2312"/>
                <w:b/>
                <w:bCs/>
                <w:kern w:val="2"/>
                <w:sz w:val="21"/>
                <w:szCs w:val="21"/>
                <w:highlight w:val="none"/>
              </w:rPr>
              <w:t>完整</w:t>
            </w:r>
            <w:r>
              <w:rPr>
                <w:rFonts w:hint="eastAsia" w:ascii="仿宋" w:hAnsi="仿宋" w:eastAsia="仿宋" w:cs="仿宋_GB2312"/>
                <w:kern w:val="2"/>
                <w:sz w:val="21"/>
                <w:szCs w:val="21"/>
                <w:highlight w:val="none"/>
              </w:rPr>
              <w:t>指包括但不限于上述</w:t>
            </w:r>
            <w:r>
              <w:rPr>
                <w:rFonts w:hint="eastAsia" w:ascii="仿宋" w:hAnsi="仿宋" w:cs="仿宋_GB2312"/>
                <w:kern w:val="2"/>
                <w:sz w:val="21"/>
                <w:szCs w:val="21"/>
                <w:highlight w:val="none"/>
                <w:lang w:val="en-US" w:eastAsia="zh-CN"/>
              </w:rPr>
              <w:t>5</w:t>
            </w:r>
            <w:r>
              <w:rPr>
                <w:rFonts w:hint="eastAsia" w:ascii="仿宋" w:hAnsi="仿宋" w:eastAsia="仿宋" w:cs="仿宋_GB2312"/>
                <w:kern w:val="2"/>
                <w:sz w:val="21"/>
                <w:szCs w:val="21"/>
                <w:highlight w:val="none"/>
              </w:rPr>
              <w:t>项全部内容且不能机械复制采购需求内容。</w:t>
            </w:r>
          </w:p>
          <w:p w14:paraId="0188983B">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b/>
                <w:bCs/>
                <w:kern w:val="2"/>
                <w:sz w:val="21"/>
                <w:szCs w:val="21"/>
                <w:highlight w:val="none"/>
              </w:rPr>
              <w:t>优于</w:t>
            </w:r>
            <w:r>
              <w:rPr>
                <w:rFonts w:hint="eastAsia" w:ascii="仿宋" w:hAnsi="仿宋" w:eastAsia="仿宋" w:cs="仿宋_GB2312"/>
                <w:kern w:val="2"/>
                <w:sz w:val="21"/>
                <w:szCs w:val="21"/>
                <w:highlight w:val="none"/>
              </w:rPr>
              <w:t>采购需求是指投标人所提供的方案能够保障投标人在实际工作中达成的效果高于采购需求要求（采购需求中的时间要求、人数要求、服务内容要求等方面）。</w:t>
            </w:r>
          </w:p>
          <w:p w14:paraId="3A698DB0">
            <w:pPr>
              <w:pStyle w:val="15"/>
              <w:spacing w:before="0" w:beforeAutospacing="0" w:after="0" w:afterAutospacing="0"/>
              <w:ind w:firstLine="0" w:firstLineChars="0"/>
              <w:jc w:val="left"/>
              <w:rPr>
                <w:rFonts w:hint="eastAsia" w:ascii="仿宋" w:hAnsi="仿宋" w:eastAsia="仿宋" w:cs="仿宋_GB2312"/>
                <w:kern w:val="2"/>
                <w:sz w:val="21"/>
                <w:szCs w:val="21"/>
                <w:highlight w:val="none"/>
              </w:rPr>
            </w:pPr>
            <w:r>
              <w:rPr>
                <w:rFonts w:hint="eastAsia" w:ascii="仿宋" w:hAnsi="仿宋" w:eastAsia="仿宋" w:cs="仿宋_GB2312"/>
                <w:b/>
                <w:bCs/>
                <w:kern w:val="2"/>
                <w:sz w:val="21"/>
                <w:szCs w:val="21"/>
                <w:highlight w:val="none"/>
              </w:rPr>
              <w:t>缺陷</w:t>
            </w:r>
            <w:r>
              <w:rPr>
                <w:rFonts w:hint="eastAsia" w:ascii="仿宋" w:hAnsi="仿宋" w:eastAsia="仿宋" w:cs="仿宋_GB2312"/>
                <w:kern w:val="2"/>
                <w:sz w:val="21"/>
                <w:szCs w:val="21"/>
                <w:highlight w:val="none"/>
              </w:rPr>
              <w:t>是指方案内容与项目需求不一致、存在相互矛盾内容、不符合客观逻辑以及未针对本项目编写的任意一种情形。</w:t>
            </w:r>
          </w:p>
          <w:p w14:paraId="60675DC0">
            <w:pPr>
              <w:pStyle w:val="15"/>
              <w:spacing w:before="0" w:beforeAutospacing="0" w:after="0" w:afterAutospacing="0"/>
              <w:ind w:firstLine="0" w:firstLineChars="0"/>
              <w:jc w:val="left"/>
              <w:rPr>
                <w:rFonts w:hint="eastAsia" w:ascii="仿宋_GB2312" w:hAnsi="仿宋_GB2312" w:eastAsia="仿宋_GB2312" w:cs="仿宋_GB2312"/>
                <w:color w:val="000000"/>
                <w:sz w:val="21"/>
                <w:szCs w:val="21"/>
                <w:highlight w:val="none"/>
                <w:lang w:bidi="ar"/>
              </w:rPr>
            </w:pPr>
            <w:r>
              <w:rPr>
                <w:rFonts w:hint="eastAsia" w:ascii="仿宋" w:hAnsi="仿宋" w:eastAsia="仿宋" w:cs="仿宋_GB2312"/>
                <w:b/>
                <w:bCs/>
                <w:kern w:val="2"/>
                <w:sz w:val="21"/>
                <w:szCs w:val="21"/>
                <w:highlight w:val="none"/>
              </w:rPr>
              <w:t>不符合</w:t>
            </w:r>
            <w:r>
              <w:rPr>
                <w:rFonts w:hint="eastAsia" w:ascii="仿宋" w:hAnsi="仿宋" w:eastAsia="仿宋" w:cs="仿宋_GB2312"/>
                <w:kern w:val="2"/>
                <w:sz w:val="21"/>
                <w:szCs w:val="21"/>
                <w:highlight w:val="none"/>
              </w:rPr>
              <w:t>项目需求是指存在与本项目执行无关的内容、存在相关内容在实际操作中不能运用的任意一种情形。</w:t>
            </w:r>
          </w:p>
        </w:tc>
        <w:tc>
          <w:tcPr>
            <w:tcW w:w="443" w:type="pct"/>
            <w:tcBorders>
              <w:left w:val="single" w:color="auto" w:sz="4" w:space="0"/>
              <w:bottom w:val="single" w:color="auto" w:sz="4" w:space="0"/>
              <w:right w:val="single" w:color="auto" w:sz="4" w:space="0"/>
            </w:tcBorders>
            <w:noWrap w:val="0"/>
            <w:vAlign w:val="center"/>
          </w:tcPr>
          <w:p w14:paraId="61F2AE93">
            <w:pPr>
              <w:pStyle w:val="15"/>
              <w:keepNext w:val="0"/>
              <w:keepLines w:val="0"/>
              <w:suppressLineNumbers w:val="0"/>
              <w:adjustRightInd w:val="0"/>
              <w:snapToGrid w:val="0"/>
              <w:spacing w:before="0" w:beforeAutospacing="0" w:after="0" w:afterAutospacing="0"/>
              <w:ind w:left="0" w:right="0" w:firstLine="0" w:firstLineChars="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10</w:t>
            </w:r>
            <w:r>
              <w:rPr>
                <w:rFonts w:hint="eastAsia" w:ascii="仿宋_GB2312" w:hAnsi="仿宋_GB2312" w:eastAsia="仿宋_GB2312" w:cs="仿宋_GB2312"/>
                <w:color w:val="000000"/>
                <w:sz w:val="21"/>
                <w:szCs w:val="21"/>
                <w:highlight w:val="none"/>
              </w:rPr>
              <w:t>分</w:t>
            </w:r>
          </w:p>
        </w:tc>
      </w:tr>
      <w:tr w14:paraId="59735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1" w:hRule="atLeast"/>
          <w:jc w:val="center"/>
        </w:trPr>
        <w:tc>
          <w:tcPr>
            <w:tcW w:w="625" w:type="pct"/>
            <w:vMerge w:val="continue"/>
            <w:tcBorders>
              <w:left w:val="single" w:color="auto" w:sz="4" w:space="0"/>
              <w:right w:val="single" w:color="auto" w:sz="4" w:space="0"/>
            </w:tcBorders>
            <w:noWrap w:val="0"/>
            <w:vAlign w:val="center"/>
          </w:tcPr>
          <w:p w14:paraId="34565C00">
            <w:pPr>
              <w:keepNext w:val="0"/>
              <w:keepLines w:val="0"/>
              <w:suppressLineNumbers w:val="0"/>
              <w:adjustRightInd w:val="0"/>
              <w:snapToGrid w:val="0"/>
              <w:spacing w:before="0" w:beforeAutospacing="0" w:after="0" w:afterAutospacing="0"/>
              <w:ind w:left="0" w:right="0"/>
              <w:rPr>
                <w:rFonts w:hint="eastAsia" w:ascii="仿宋_GB2312" w:hAnsi="仿宋_GB2312" w:eastAsia="仿宋_GB2312" w:cs="仿宋_GB2312"/>
                <w:color w:val="000000"/>
                <w:szCs w:val="21"/>
                <w:highlight w:val="none"/>
              </w:rPr>
            </w:pPr>
          </w:p>
        </w:tc>
        <w:tc>
          <w:tcPr>
            <w:tcW w:w="465" w:type="pct"/>
            <w:tcBorders>
              <w:left w:val="single" w:color="auto" w:sz="4" w:space="0"/>
              <w:right w:val="single" w:color="auto" w:sz="4" w:space="0"/>
            </w:tcBorders>
            <w:noWrap w:val="0"/>
            <w:vAlign w:val="center"/>
          </w:tcPr>
          <w:p w14:paraId="0E2A5F10">
            <w:pPr>
              <w:pStyle w:val="15"/>
              <w:keepNext w:val="0"/>
              <w:keepLines w:val="0"/>
              <w:suppressLineNumbers w:val="0"/>
              <w:adjustRightInd w:val="0"/>
              <w:snapToGrid w:val="0"/>
              <w:spacing w:before="0" w:beforeAutospacing="0" w:after="0" w:afterAutospacing="0"/>
              <w:ind w:left="0" w:right="0" w:firstLine="0" w:firstLineChars="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培训方案</w:t>
            </w:r>
          </w:p>
        </w:tc>
        <w:tc>
          <w:tcPr>
            <w:tcW w:w="3464" w:type="pct"/>
            <w:tcBorders>
              <w:top w:val="single" w:color="auto" w:sz="4" w:space="0"/>
              <w:left w:val="single" w:color="auto" w:sz="4" w:space="0"/>
              <w:right w:val="single" w:color="auto" w:sz="4" w:space="0"/>
            </w:tcBorders>
            <w:noWrap w:val="0"/>
            <w:vAlign w:val="center"/>
          </w:tcPr>
          <w:p w14:paraId="569B6FBA">
            <w:pPr>
              <w:pStyle w:val="15"/>
              <w:adjustRightInd/>
              <w:snapToGrid/>
              <w:spacing w:before="0" w:beforeAutospacing="0" w:after="0" w:afterAutospacing="0"/>
              <w:ind w:firstLine="0" w:firstLineChars="0"/>
              <w:rPr>
                <w:rFonts w:hint="eastAsia" w:ascii="仿宋_GB2312" w:hAnsi="仿宋_GB2312" w:eastAsia="仿宋_GB2312" w:cs="仿宋_GB2312"/>
                <w:color w:val="000000"/>
                <w:kern w:val="2"/>
                <w:sz w:val="21"/>
                <w:szCs w:val="21"/>
                <w:highlight w:val="none"/>
              </w:rPr>
            </w:pPr>
            <w:r>
              <w:rPr>
                <w:rFonts w:hint="eastAsia" w:ascii="仿宋_GB2312" w:hAnsi="仿宋_GB2312" w:eastAsia="仿宋_GB2312" w:cs="仿宋_GB2312"/>
                <w:color w:val="000000"/>
                <w:kern w:val="2"/>
                <w:sz w:val="21"/>
                <w:szCs w:val="21"/>
                <w:highlight w:val="none"/>
              </w:rPr>
              <w:t>投标人应根据采购需求，结合项目实际，提供培训方案，至少包括①</w:t>
            </w:r>
            <w:r>
              <w:rPr>
                <w:rFonts w:hint="eastAsia" w:ascii="仿宋_GB2312" w:hAnsi="仿宋_GB2312" w:eastAsia="仿宋_GB2312" w:cs="仿宋_GB2312"/>
                <w:color w:val="000000"/>
                <w:sz w:val="21"/>
                <w:szCs w:val="21"/>
                <w:highlight w:val="none"/>
                <w:lang w:bidi="ar"/>
              </w:rPr>
              <w:t>培训人员简介及证明材料</w:t>
            </w:r>
            <w:r>
              <w:rPr>
                <w:rFonts w:hint="eastAsia" w:ascii="仿宋_GB2312" w:hAnsi="仿宋_GB2312" w:eastAsia="仿宋_GB2312" w:cs="仿宋_GB2312"/>
                <w:color w:val="000000"/>
                <w:kern w:val="2"/>
                <w:sz w:val="21"/>
                <w:szCs w:val="21"/>
                <w:highlight w:val="none"/>
              </w:rPr>
              <w:t>②</w:t>
            </w:r>
            <w:r>
              <w:rPr>
                <w:rFonts w:hint="eastAsia" w:ascii="仿宋_GB2312" w:hAnsi="仿宋_GB2312" w:eastAsia="仿宋_GB2312" w:cs="仿宋_GB2312"/>
                <w:color w:val="000000"/>
                <w:sz w:val="21"/>
                <w:szCs w:val="21"/>
                <w:highlight w:val="none"/>
                <w:lang w:bidi="ar"/>
              </w:rPr>
              <w:t>培训计划</w:t>
            </w:r>
            <w:r>
              <w:rPr>
                <w:rFonts w:hint="eastAsia" w:ascii="仿宋_GB2312" w:hAnsi="仿宋_GB2312" w:eastAsia="仿宋_GB2312" w:cs="仿宋_GB2312"/>
                <w:color w:val="000000"/>
                <w:sz w:val="21"/>
                <w:szCs w:val="21"/>
                <w:highlight w:val="none"/>
              </w:rPr>
              <w:t>③</w:t>
            </w:r>
            <w:r>
              <w:rPr>
                <w:rFonts w:hint="eastAsia" w:ascii="仿宋_GB2312" w:hAnsi="仿宋_GB2312" w:eastAsia="仿宋_GB2312" w:cs="仿宋_GB2312"/>
                <w:color w:val="000000"/>
                <w:sz w:val="21"/>
                <w:szCs w:val="21"/>
                <w:highlight w:val="none"/>
                <w:lang w:bidi="ar"/>
              </w:rPr>
              <w:t>培训内容</w:t>
            </w:r>
            <w:r>
              <w:rPr>
                <w:rFonts w:hint="eastAsia" w:ascii="仿宋_GB2312" w:hAnsi="仿宋_GB2312" w:eastAsia="仿宋_GB2312" w:cs="仿宋_GB2312"/>
                <w:color w:val="000000"/>
                <w:kern w:val="2"/>
                <w:sz w:val="21"/>
                <w:szCs w:val="21"/>
                <w:highlight w:val="none"/>
              </w:rPr>
              <w:t>④</w:t>
            </w:r>
            <w:r>
              <w:rPr>
                <w:rFonts w:hint="eastAsia" w:ascii="仿宋_GB2312" w:hAnsi="仿宋_GB2312" w:eastAsia="仿宋_GB2312" w:cs="仿宋_GB2312"/>
                <w:color w:val="000000"/>
                <w:sz w:val="21"/>
                <w:szCs w:val="21"/>
                <w:highlight w:val="none"/>
                <w:lang w:bidi="ar"/>
              </w:rPr>
              <w:t>培训目标</w:t>
            </w:r>
            <w:r>
              <w:rPr>
                <w:rFonts w:hint="eastAsia" w:ascii="仿宋_GB2312" w:hAnsi="仿宋_GB2312" w:eastAsia="仿宋_GB2312" w:cs="仿宋_GB2312"/>
                <w:color w:val="000000"/>
                <w:kern w:val="2"/>
                <w:sz w:val="21"/>
                <w:szCs w:val="21"/>
                <w:highlight w:val="none"/>
              </w:rPr>
              <w:t>⑤</w:t>
            </w:r>
            <w:r>
              <w:rPr>
                <w:rFonts w:hint="eastAsia" w:ascii="仿宋_GB2312" w:hAnsi="仿宋_GB2312" w:eastAsia="仿宋_GB2312" w:cs="仿宋_GB2312"/>
                <w:color w:val="000000"/>
                <w:sz w:val="21"/>
                <w:szCs w:val="21"/>
                <w:highlight w:val="none"/>
                <w:lang w:bidi="ar"/>
              </w:rPr>
              <w:t>培训资源</w:t>
            </w:r>
            <w:r>
              <w:rPr>
                <w:rFonts w:hint="eastAsia" w:ascii="仿宋_GB2312" w:hAnsi="仿宋_GB2312" w:eastAsia="仿宋_GB2312" w:cs="仿宋_GB2312"/>
                <w:color w:val="000000"/>
                <w:kern w:val="2"/>
                <w:sz w:val="21"/>
                <w:szCs w:val="21"/>
                <w:highlight w:val="none"/>
              </w:rPr>
              <w:t>。</w:t>
            </w:r>
          </w:p>
          <w:p w14:paraId="5F139092">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 xml:space="preserve">方案整体优于采购需求，内容完整无瑕疵，得 </w:t>
            </w:r>
            <w:r>
              <w:rPr>
                <w:rFonts w:hint="eastAsia" w:ascii="仿宋" w:hAnsi="仿宋" w:cs="仿宋_GB2312"/>
                <w:kern w:val="2"/>
                <w:sz w:val="21"/>
                <w:szCs w:val="21"/>
                <w:highlight w:val="none"/>
                <w:lang w:val="en-US" w:eastAsia="zh-CN"/>
              </w:rPr>
              <w:t>5</w:t>
            </w:r>
            <w:r>
              <w:rPr>
                <w:rFonts w:hint="eastAsia" w:ascii="仿宋" w:hAnsi="仿宋" w:eastAsia="仿宋" w:cs="仿宋_GB2312"/>
                <w:kern w:val="2"/>
                <w:sz w:val="21"/>
                <w:szCs w:val="21"/>
                <w:highlight w:val="none"/>
              </w:rPr>
              <w:t>分</w:t>
            </w:r>
            <w:r>
              <w:rPr>
                <w:rFonts w:hint="eastAsia" w:ascii="仿宋" w:hAnsi="仿宋" w:eastAsia="仿宋" w:cs="仿宋_GB2312"/>
                <w:kern w:val="2"/>
                <w:sz w:val="21"/>
                <w:szCs w:val="21"/>
                <w:highlight w:val="none"/>
                <w:lang w:eastAsia="zh-CN"/>
              </w:rPr>
              <w:t>；</w:t>
            </w:r>
            <w:r>
              <w:rPr>
                <w:rFonts w:hint="eastAsia" w:ascii="仿宋" w:hAnsi="仿宋" w:eastAsia="仿宋" w:cs="仿宋_GB2312"/>
                <w:kern w:val="2"/>
                <w:sz w:val="21"/>
                <w:szCs w:val="21"/>
                <w:highlight w:val="none"/>
              </w:rPr>
              <w:t xml:space="preserve"> </w:t>
            </w:r>
          </w:p>
          <w:p w14:paraId="4E3D1527">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 xml:space="preserve">方案完全契合采购需求，内容完整，仅存在细微缺陷，得 </w:t>
            </w:r>
            <w:r>
              <w:rPr>
                <w:rFonts w:hint="eastAsia" w:ascii="仿宋" w:hAnsi="仿宋" w:cs="仿宋_GB2312"/>
                <w:kern w:val="2"/>
                <w:sz w:val="21"/>
                <w:szCs w:val="21"/>
                <w:highlight w:val="none"/>
                <w:lang w:val="en-US" w:eastAsia="zh-CN"/>
              </w:rPr>
              <w:t>4</w:t>
            </w:r>
            <w:r>
              <w:rPr>
                <w:rFonts w:hint="eastAsia" w:ascii="仿宋" w:hAnsi="仿宋" w:eastAsia="仿宋" w:cs="仿宋_GB2312"/>
                <w:kern w:val="2"/>
                <w:sz w:val="21"/>
                <w:szCs w:val="21"/>
                <w:highlight w:val="none"/>
              </w:rPr>
              <w:t>分</w:t>
            </w:r>
            <w:r>
              <w:rPr>
                <w:rFonts w:hint="eastAsia" w:ascii="仿宋" w:hAnsi="仿宋" w:eastAsia="仿宋" w:cs="仿宋_GB2312"/>
                <w:kern w:val="2"/>
                <w:sz w:val="21"/>
                <w:szCs w:val="21"/>
                <w:highlight w:val="none"/>
                <w:lang w:eastAsia="zh-CN"/>
              </w:rPr>
              <w:t>；</w:t>
            </w:r>
            <w:r>
              <w:rPr>
                <w:rFonts w:hint="eastAsia" w:ascii="仿宋" w:hAnsi="仿宋" w:eastAsia="仿宋" w:cs="仿宋_GB2312"/>
                <w:kern w:val="2"/>
                <w:sz w:val="21"/>
                <w:szCs w:val="21"/>
                <w:highlight w:val="none"/>
              </w:rPr>
              <w:t xml:space="preserve"> </w:t>
            </w:r>
          </w:p>
          <w:p w14:paraId="7480BAE7">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 xml:space="preserve">方案内容完整，少量非关键内容与项目需求不符或少量次要内容缺失，得 </w:t>
            </w:r>
            <w:r>
              <w:rPr>
                <w:rFonts w:hint="eastAsia" w:ascii="仿宋" w:hAnsi="仿宋" w:cs="仿宋_GB2312"/>
                <w:kern w:val="2"/>
                <w:sz w:val="21"/>
                <w:szCs w:val="21"/>
                <w:highlight w:val="none"/>
                <w:lang w:val="en-US" w:eastAsia="zh-CN"/>
              </w:rPr>
              <w:t>3</w:t>
            </w:r>
            <w:r>
              <w:rPr>
                <w:rFonts w:hint="eastAsia" w:ascii="仿宋" w:hAnsi="仿宋" w:eastAsia="仿宋" w:cs="仿宋_GB2312"/>
                <w:kern w:val="2"/>
                <w:sz w:val="21"/>
                <w:szCs w:val="21"/>
                <w:highlight w:val="none"/>
              </w:rPr>
              <w:t>分</w:t>
            </w:r>
            <w:r>
              <w:rPr>
                <w:rFonts w:hint="eastAsia" w:ascii="仿宋" w:hAnsi="仿宋" w:eastAsia="仿宋" w:cs="仿宋_GB2312"/>
                <w:kern w:val="2"/>
                <w:sz w:val="21"/>
                <w:szCs w:val="21"/>
                <w:highlight w:val="none"/>
                <w:lang w:eastAsia="zh-CN"/>
              </w:rPr>
              <w:t>；</w:t>
            </w:r>
            <w:r>
              <w:rPr>
                <w:rFonts w:hint="eastAsia" w:ascii="仿宋" w:hAnsi="仿宋" w:eastAsia="仿宋" w:cs="仿宋_GB2312"/>
                <w:kern w:val="2"/>
                <w:sz w:val="21"/>
                <w:szCs w:val="21"/>
                <w:highlight w:val="none"/>
              </w:rPr>
              <w:t xml:space="preserve"> </w:t>
            </w:r>
          </w:p>
          <w:p w14:paraId="56561047">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lang w:eastAsia="zh-CN"/>
              </w:rPr>
            </w:pPr>
            <w:r>
              <w:rPr>
                <w:rFonts w:hint="eastAsia" w:ascii="仿宋" w:hAnsi="仿宋" w:eastAsia="仿宋" w:cs="仿宋_GB2312"/>
                <w:kern w:val="2"/>
                <w:sz w:val="21"/>
                <w:szCs w:val="21"/>
                <w:highlight w:val="none"/>
              </w:rPr>
              <w:t>方案完整性不足，部分关键内容与项目实际需求不符或存在单项关键内容缺失，得</w:t>
            </w:r>
            <w:r>
              <w:rPr>
                <w:rFonts w:hint="eastAsia" w:ascii="仿宋" w:hAnsi="仿宋" w:cs="仿宋_GB2312"/>
                <w:kern w:val="2"/>
                <w:sz w:val="21"/>
                <w:szCs w:val="21"/>
                <w:highlight w:val="none"/>
                <w:lang w:val="en-US" w:eastAsia="zh-CN"/>
              </w:rPr>
              <w:t>2</w:t>
            </w:r>
            <w:r>
              <w:rPr>
                <w:rFonts w:hint="eastAsia" w:ascii="仿宋" w:hAnsi="仿宋" w:eastAsia="仿宋" w:cs="仿宋_GB2312"/>
                <w:kern w:val="2"/>
                <w:sz w:val="21"/>
                <w:szCs w:val="21"/>
                <w:highlight w:val="none"/>
              </w:rPr>
              <w:t xml:space="preserve"> 分</w:t>
            </w:r>
            <w:r>
              <w:rPr>
                <w:rFonts w:hint="eastAsia" w:ascii="仿宋" w:hAnsi="仿宋" w:eastAsia="仿宋" w:cs="仿宋_GB2312"/>
                <w:kern w:val="2"/>
                <w:sz w:val="21"/>
                <w:szCs w:val="21"/>
                <w:highlight w:val="none"/>
                <w:lang w:eastAsia="zh-CN"/>
              </w:rPr>
              <w:t>；</w:t>
            </w:r>
          </w:p>
          <w:p w14:paraId="1FF76933">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lang w:eastAsia="zh-CN"/>
              </w:rPr>
            </w:pPr>
            <w:r>
              <w:rPr>
                <w:rFonts w:hint="eastAsia" w:ascii="仿宋" w:hAnsi="仿宋" w:eastAsia="仿宋" w:cs="仿宋_GB2312"/>
                <w:kern w:val="2"/>
                <w:sz w:val="21"/>
                <w:szCs w:val="21"/>
                <w:highlight w:val="none"/>
              </w:rPr>
              <w:t xml:space="preserve">方案完整性严重不足，多项关键内容与项目实际需求不符或多项关键内容缺失，得 </w:t>
            </w:r>
            <w:r>
              <w:rPr>
                <w:rFonts w:hint="eastAsia" w:ascii="仿宋" w:hAnsi="仿宋" w:cs="仿宋_GB2312"/>
                <w:kern w:val="2"/>
                <w:sz w:val="21"/>
                <w:szCs w:val="21"/>
                <w:highlight w:val="none"/>
                <w:lang w:val="en-US" w:eastAsia="zh-CN"/>
              </w:rPr>
              <w:t>1</w:t>
            </w:r>
            <w:r>
              <w:rPr>
                <w:rFonts w:hint="eastAsia" w:ascii="仿宋" w:hAnsi="仿宋" w:eastAsia="仿宋" w:cs="仿宋_GB2312"/>
                <w:kern w:val="2"/>
                <w:sz w:val="21"/>
                <w:szCs w:val="21"/>
                <w:highlight w:val="none"/>
              </w:rPr>
              <w:t xml:space="preserve"> 分</w:t>
            </w:r>
            <w:r>
              <w:rPr>
                <w:rFonts w:hint="eastAsia" w:ascii="仿宋" w:hAnsi="仿宋" w:eastAsia="仿宋" w:cs="仿宋_GB2312"/>
                <w:kern w:val="2"/>
                <w:sz w:val="21"/>
                <w:szCs w:val="21"/>
                <w:highlight w:val="none"/>
                <w:lang w:eastAsia="zh-CN"/>
              </w:rPr>
              <w:t>；</w:t>
            </w:r>
          </w:p>
          <w:p w14:paraId="40639EE8">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 xml:space="preserve">未提交方案、缺失指定 </w:t>
            </w:r>
            <w:r>
              <w:rPr>
                <w:rFonts w:hint="eastAsia" w:ascii="仿宋" w:hAnsi="仿宋" w:cs="仿宋_GB2312"/>
                <w:kern w:val="2"/>
                <w:sz w:val="21"/>
                <w:szCs w:val="21"/>
                <w:highlight w:val="none"/>
                <w:lang w:val="en-US" w:eastAsia="zh-CN"/>
              </w:rPr>
              <w:t>5</w:t>
            </w:r>
            <w:r>
              <w:rPr>
                <w:rFonts w:hint="eastAsia" w:ascii="仿宋" w:hAnsi="仿宋" w:eastAsia="仿宋" w:cs="仿宋_GB2312"/>
                <w:kern w:val="2"/>
                <w:sz w:val="21"/>
                <w:szCs w:val="21"/>
                <w:highlight w:val="none"/>
              </w:rPr>
              <w:t>项内容、照搬采购文件模板，得 0 分</w:t>
            </w:r>
          </w:p>
          <w:p w14:paraId="066E7B97">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注:</w:t>
            </w:r>
            <w:r>
              <w:rPr>
                <w:rFonts w:hint="eastAsia" w:ascii="仿宋" w:hAnsi="仿宋" w:eastAsia="仿宋" w:cs="仿宋_GB2312"/>
                <w:b/>
                <w:bCs/>
                <w:kern w:val="2"/>
                <w:sz w:val="21"/>
                <w:szCs w:val="21"/>
                <w:highlight w:val="none"/>
              </w:rPr>
              <w:t>完整</w:t>
            </w:r>
            <w:r>
              <w:rPr>
                <w:rFonts w:hint="eastAsia" w:ascii="仿宋" w:hAnsi="仿宋" w:eastAsia="仿宋" w:cs="仿宋_GB2312"/>
                <w:kern w:val="2"/>
                <w:sz w:val="21"/>
                <w:szCs w:val="21"/>
                <w:highlight w:val="none"/>
              </w:rPr>
              <w:t>指包括但不限于上述</w:t>
            </w:r>
            <w:r>
              <w:rPr>
                <w:rFonts w:hint="eastAsia" w:ascii="仿宋" w:hAnsi="仿宋" w:cs="仿宋_GB2312"/>
                <w:kern w:val="2"/>
                <w:sz w:val="21"/>
                <w:szCs w:val="21"/>
                <w:highlight w:val="none"/>
                <w:lang w:val="en-US" w:eastAsia="zh-CN"/>
              </w:rPr>
              <w:t>5</w:t>
            </w:r>
            <w:r>
              <w:rPr>
                <w:rFonts w:hint="eastAsia" w:ascii="仿宋" w:hAnsi="仿宋" w:eastAsia="仿宋" w:cs="仿宋_GB2312"/>
                <w:kern w:val="2"/>
                <w:sz w:val="21"/>
                <w:szCs w:val="21"/>
                <w:highlight w:val="none"/>
              </w:rPr>
              <w:t>项全部内容且不能机械复制采购需求内容。</w:t>
            </w:r>
          </w:p>
          <w:p w14:paraId="77095A15">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b/>
                <w:bCs/>
                <w:kern w:val="2"/>
                <w:sz w:val="21"/>
                <w:szCs w:val="21"/>
                <w:highlight w:val="none"/>
              </w:rPr>
              <w:t>优于</w:t>
            </w:r>
            <w:r>
              <w:rPr>
                <w:rFonts w:hint="eastAsia" w:ascii="仿宋" w:hAnsi="仿宋" w:eastAsia="仿宋" w:cs="仿宋_GB2312"/>
                <w:kern w:val="2"/>
                <w:sz w:val="21"/>
                <w:szCs w:val="21"/>
                <w:highlight w:val="none"/>
              </w:rPr>
              <w:t>采购需求是指投标人所提供的方案能够保障投标人在实际工作中达成的效果高于采购需求要求（采购需求中的时间要求、人数要求、服务内容要求等方面）。</w:t>
            </w:r>
          </w:p>
          <w:p w14:paraId="62C3DADC">
            <w:pPr>
              <w:pStyle w:val="15"/>
              <w:spacing w:before="0" w:beforeAutospacing="0" w:after="0" w:afterAutospacing="0"/>
              <w:ind w:firstLine="0" w:firstLineChars="0"/>
              <w:jc w:val="left"/>
              <w:rPr>
                <w:rFonts w:hint="eastAsia" w:ascii="仿宋" w:hAnsi="仿宋" w:eastAsia="仿宋" w:cs="仿宋_GB2312"/>
                <w:kern w:val="2"/>
                <w:sz w:val="21"/>
                <w:szCs w:val="21"/>
                <w:highlight w:val="none"/>
              </w:rPr>
            </w:pPr>
            <w:r>
              <w:rPr>
                <w:rFonts w:hint="eastAsia" w:ascii="仿宋" w:hAnsi="仿宋" w:eastAsia="仿宋" w:cs="仿宋_GB2312"/>
                <w:b/>
                <w:bCs/>
                <w:kern w:val="2"/>
                <w:sz w:val="21"/>
                <w:szCs w:val="21"/>
                <w:highlight w:val="none"/>
              </w:rPr>
              <w:t>缺陷</w:t>
            </w:r>
            <w:r>
              <w:rPr>
                <w:rFonts w:hint="eastAsia" w:ascii="仿宋" w:hAnsi="仿宋" w:eastAsia="仿宋" w:cs="仿宋_GB2312"/>
                <w:kern w:val="2"/>
                <w:sz w:val="21"/>
                <w:szCs w:val="21"/>
                <w:highlight w:val="none"/>
              </w:rPr>
              <w:t>是指方案内容与项目需求不一致、存在相互矛盾内容、不符合客观逻辑以及未针对本项目编写的任意一种情形。</w:t>
            </w:r>
          </w:p>
          <w:p w14:paraId="7A797CFE">
            <w:pPr>
              <w:pStyle w:val="15"/>
              <w:spacing w:before="0" w:beforeAutospacing="0" w:after="0" w:afterAutospacing="0"/>
              <w:ind w:firstLine="0" w:firstLineChars="0"/>
              <w:jc w:val="left"/>
              <w:rPr>
                <w:rFonts w:hint="eastAsia" w:ascii="仿宋_GB2312" w:hAnsi="仿宋_GB2312" w:eastAsia="仿宋_GB2312" w:cs="仿宋_GB2312"/>
                <w:color w:val="000000"/>
                <w:sz w:val="21"/>
                <w:szCs w:val="21"/>
                <w:highlight w:val="none"/>
                <w:lang w:bidi="ar"/>
              </w:rPr>
            </w:pPr>
            <w:r>
              <w:rPr>
                <w:rFonts w:hint="eastAsia" w:ascii="仿宋" w:hAnsi="仿宋" w:eastAsia="仿宋" w:cs="仿宋_GB2312"/>
                <w:b/>
                <w:bCs/>
                <w:kern w:val="2"/>
                <w:sz w:val="21"/>
                <w:szCs w:val="21"/>
                <w:highlight w:val="none"/>
              </w:rPr>
              <w:t>不符合</w:t>
            </w:r>
            <w:r>
              <w:rPr>
                <w:rFonts w:hint="eastAsia" w:ascii="仿宋" w:hAnsi="仿宋" w:eastAsia="仿宋" w:cs="仿宋_GB2312"/>
                <w:kern w:val="2"/>
                <w:sz w:val="21"/>
                <w:szCs w:val="21"/>
                <w:highlight w:val="none"/>
              </w:rPr>
              <w:t>项目需求是指存在与本项目执行无关的内容、存在相关内容在实际操作中不能运用的任意一种情形。</w:t>
            </w:r>
          </w:p>
        </w:tc>
        <w:tc>
          <w:tcPr>
            <w:tcW w:w="443" w:type="pct"/>
            <w:tcBorders>
              <w:left w:val="single" w:color="auto" w:sz="4" w:space="0"/>
              <w:bottom w:val="single" w:color="auto" w:sz="4" w:space="0"/>
              <w:right w:val="single" w:color="auto" w:sz="4" w:space="0"/>
            </w:tcBorders>
            <w:noWrap w:val="0"/>
            <w:vAlign w:val="center"/>
          </w:tcPr>
          <w:p w14:paraId="0A0EAB91">
            <w:pPr>
              <w:pStyle w:val="15"/>
              <w:keepNext w:val="0"/>
              <w:keepLines w:val="0"/>
              <w:suppressLineNumbers w:val="0"/>
              <w:adjustRightInd w:val="0"/>
              <w:snapToGrid w:val="0"/>
              <w:spacing w:before="0" w:beforeAutospacing="0" w:after="0" w:afterAutospacing="0"/>
              <w:ind w:left="0" w:right="0" w:firstLine="0" w:firstLineChars="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5</w:t>
            </w:r>
            <w:r>
              <w:rPr>
                <w:rFonts w:hint="eastAsia" w:ascii="仿宋_GB2312" w:hAnsi="仿宋_GB2312" w:eastAsia="仿宋_GB2312" w:cs="仿宋_GB2312"/>
                <w:color w:val="000000"/>
                <w:sz w:val="21"/>
                <w:szCs w:val="21"/>
                <w:highlight w:val="none"/>
              </w:rPr>
              <w:t>分</w:t>
            </w:r>
          </w:p>
        </w:tc>
      </w:tr>
      <w:tr w14:paraId="3541D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4" w:hRule="atLeast"/>
          <w:jc w:val="center"/>
        </w:trPr>
        <w:tc>
          <w:tcPr>
            <w:tcW w:w="625" w:type="pct"/>
            <w:vMerge w:val="continue"/>
            <w:tcBorders>
              <w:left w:val="single" w:color="auto" w:sz="4" w:space="0"/>
              <w:right w:val="single" w:color="auto" w:sz="4" w:space="0"/>
            </w:tcBorders>
            <w:noWrap w:val="0"/>
            <w:vAlign w:val="center"/>
          </w:tcPr>
          <w:p w14:paraId="529E5409">
            <w:pPr>
              <w:pStyle w:val="15"/>
              <w:keepNext w:val="0"/>
              <w:keepLines w:val="0"/>
              <w:suppressLineNumbers w:val="0"/>
              <w:adjustRightInd w:val="0"/>
              <w:snapToGrid w:val="0"/>
              <w:spacing w:before="0" w:beforeAutospacing="0" w:after="0" w:afterAutospacing="0"/>
              <w:ind w:left="0" w:right="0"/>
              <w:jc w:val="center"/>
              <w:rPr>
                <w:rFonts w:hint="eastAsia" w:ascii="仿宋_GB2312" w:hAnsi="仿宋_GB2312" w:eastAsia="仿宋_GB2312" w:cs="仿宋_GB2312"/>
                <w:color w:val="000000"/>
                <w:sz w:val="21"/>
                <w:szCs w:val="21"/>
                <w:highlight w:val="none"/>
              </w:rPr>
            </w:pPr>
          </w:p>
        </w:tc>
        <w:tc>
          <w:tcPr>
            <w:tcW w:w="465" w:type="pct"/>
            <w:tcBorders>
              <w:top w:val="single" w:color="auto" w:sz="4" w:space="0"/>
              <w:left w:val="single" w:color="auto" w:sz="4" w:space="0"/>
              <w:bottom w:val="single" w:color="auto" w:sz="4" w:space="0"/>
              <w:right w:val="single" w:color="auto" w:sz="4" w:space="0"/>
            </w:tcBorders>
            <w:noWrap w:val="0"/>
            <w:vAlign w:val="center"/>
          </w:tcPr>
          <w:p w14:paraId="0FF7AC12">
            <w:pPr>
              <w:pStyle w:val="15"/>
              <w:keepNext w:val="0"/>
              <w:keepLines w:val="0"/>
              <w:suppressLineNumbers w:val="0"/>
              <w:adjustRightInd w:val="0"/>
              <w:snapToGrid w:val="0"/>
              <w:spacing w:before="0" w:beforeAutospacing="0" w:after="0" w:afterAutospacing="0"/>
              <w:ind w:left="0" w:right="0" w:firstLine="0" w:firstLineChars="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售后服务保障方案</w:t>
            </w:r>
          </w:p>
        </w:tc>
        <w:tc>
          <w:tcPr>
            <w:tcW w:w="3464" w:type="pct"/>
            <w:tcBorders>
              <w:top w:val="single" w:color="auto" w:sz="4" w:space="0"/>
              <w:left w:val="single" w:color="auto" w:sz="4" w:space="0"/>
              <w:bottom w:val="single" w:color="auto" w:sz="4" w:space="0"/>
              <w:right w:val="single" w:color="auto" w:sz="4" w:space="0"/>
            </w:tcBorders>
            <w:noWrap w:val="0"/>
            <w:vAlign w:val="center"/>
          </w:tcPr>
          <w:p w14:paraId="52C6AF6D">
            <w:pPr>
              <w:pStyle w:val="15"/>
              <w:spacing w:before="0" w:beforeAutospacing="0" w:after="0" w:afterAutospacing="0"/>
              <w:ind w:firstLine="0" w:firstLineChars="0"/>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kern w:val="2"/>
                <w:sz w:val="21"/>
                <w:szCs w:val="21"/>
                <w:highlight w:val="none"/>
              </w:rPr>
              <w:t>投标人应根据采购需求，结合项目实际，提供</w:t>
            </w:r>
            <w:r>
              <w:rPr>
                <w:rFonts w:hint="eastAsia" w:ascii="仿宋_GB2312" w:hAnsi="仿宋_GB2312" w:eastAsia="仿宋_GB2312" w:cs="仿宋_GB2312"/>
                <w:color w:val="000000"/>
                <w:sz w:val="21"/>
                <w:szCs w:val="21"/>
                <w:highlight w:val="none"/>
              </w:rPr>
              <w:t>售后服务方案，至少包括</w:t>
            </w:r>
            <w:r>
              <w:rPr>
                <w:rFonts w:hint="eastAsia" w:ascii="仿宋_GB2312" w:hAnsi="仿宋_GB2312" w:eastAsia="仿宋_GB2312" w:cs="仿宋_GB2312"/>
                <w:color w:val="000000"/>
                <w:kern w:val="2"/>
                <w:sz w:val="21"/>
                <w:szCs w:val="21"/>
                <w:highlight w:val="none"/>
              </w:rPr>
              <w:t>①</w:t>
            </w:r>
            <w:r>
              <w:rPr>
                <w:rFonts w:hint="eastAsia" w:ascii="仿宋_GB2312" w:hAnsi="仿宋_GB2312" w:eastAsia="仿宋_GB2312" w:cs="仿宋_GB2312"/>
                <w:color w:val="000000"/>
                <w:sz w:val="21"/>
                <w:szCs w:val="21"/>
                <w:highlight w:val="none"/>
                <w:lang w:bidi="ar"/>
              </w:rPr>
              <w:t>售后服务人员简介及证明材料</w:t>
            </w:r>
            <w:r>
              <w:rPr>
                <w:rFonts w:hint="eastAsia" w:ascii="仿宋_GB2312" w:hAnsi="仿宋_GB2312" w:eastAsia="仿宋_GB2312" w:cs="仿宋_GB2312"/>
                <w:color w:val="000000"/>
                <w:kern w:val="2"/>
                <w:sz w:val="21"/>
                <w:szCs w:val="21"/>
                <w:highlight w:val="none"/>
              </w:rPr>
              <w:t>②</w:t>
            </w:r>
            <w:r>
              <w:rPr>
                <w:rFonts w:hint="eastAsia" w:ascii="仿宋_GB2312" w:hAnsi="仿宋_GB2312" w:eastAsia="仿宋_GB2312" w:cs="仿宋_GB2312"/>
                <w:color w:val="000000"/>
                <w:sz w:val="21"/>
                <w:szCs w:val="21"/>
                <w:highlight w:val="none"/>
                <w:lang w:bidi="ar"/>
              </w:rPr>
              <w:t>人员岗位职责</w:t>
            </w:r>
            <w:r>
              <w:rPr>
                <w:rFonts w:hint="eastAsia" w:ascii="仿宋_GB2312" w:hAnsi="仿宋_GB2312" w:eastAsia="仿宋_GB2312" w:cs="仿宋_GB2312"/>
                <w:color w:val="000000"/>
                <w:sz w:val="21"/>
                <w:szCs w:val="21"/>
                <w:highlight w:val="none"/>
              </w:rPr>
              <w:t>③</w:t>
            </w:r>
            <w:r>
              <w:rPr>
                <w:rFonts w:hint="eastAsia" w:ascii="仿宋_GB2312" w:hAnsi="仿宋_GB2312" w:eastAsia="仿宋_GB2312" w:cs="仿宋_GB2312"/>
                <w:color w:val="000000"/>
                <w:sz w:val="21"/>
                <w:szCs w:val="21"/>
                <w:highlight w:val="none"/>
                <w:lang w:bidi="ar"/>
              </w:rPr>
              <w:t>服务响应时间</w:t>
            </w:r>
            <w:r>
              <w:rPr>
                <w:rFonts w:hint="eastAsia" w:ascii="仿宋_GB2312" w:hAnsi="仿宋_GB2312" w:eastAsia="仿宋_GB2312" w:cs="仿宋_GB2312"/>
                <w:color w:val="000000"/>
                <w:kern w:val="2"/>
                <w:sz w:val="21"/>
                <w:szCs w:val="21"/>
                <w:highlight w:val="none"/>
              </w:rPr>
              <w:t>④</w:t>
            </w:r>
            <w:r>
              <w:rPr>
                <w:rFonts w:hint="eastAsia" w:ascii="仿宋_GB2312" w:hAnsi="仿宋_GB2312" w:eastAsia="仿宋_GB2312" w:cs="仿宋_GB2312"/>
                <w:color w:val="000000"/>
                <w:sz w:val="21"/>
                <w:szCs w:val="21"/>
                <w:highlight w:val="none"/>
                <w:lang w:bidi="ar"/>
              </w:rPr>
              <w:t>售后服务人员的管理制度</w:t>
            </w:r>
            <w:r>
              <w:rPr>
                <w:rFonts w:hint="eastAsia" w:ascii="仿宋_GB2312" w:hAnsi="仿宋_GB2312" w:eastAsia="仿宋_GB2312" w:cs="仿宋_GB2312"/>
                <w:color w:val="000000"/>
                <w:kern w:val="2"/>
                <w:sz w:val="21"/>
                <w:szCs w:val="21"/>
                <w:highlight w:val="none"/>
              </w:rPr>
              <w:t>⑤</w:t>
            </w:r>
            <w:r>
              <w:rPr>
                <w:rFonts w:hint="eastAsia" w:ascii="仿宋_GB2312" w:hAnsi="仿宋_GB2312" w:eastAsia="仿宋_GB2312" w:cs="仿宋_GB2312"/>
                <w:color w:val="000000"/>
                <w:sz w:val="21"/>
                <w:szCs w:val="21"/>
                <w:highlight w:val="none"/>
                <w:lang w:bidi="ar"/>
              </w:rPr>
              <w:t>常用备品备件的准备</w:t>
            </w:r>
            <w:r>
              <w:rPr>
                <w:rFonts w:hint="eastAsia" w:ascii="仿宋_GB2312" w:hAnsi="仿宋_GB2312" w:eastAsia="仿宋_GB2312" w:cs="仿宋_GB2312"/>
                <w:color w:val="000000"/>
                <w:kern w:val="2"/>
                <w:sz w:val="21"/>
                <w:szCs w:val="21"/>
                <w:highlight w:val="none"/>
              </w:rPr>
              <w:t>⑥</w:t>
            </w:r>
            <w:r>
              <w:rPr>
                <w:rFonts w:hint="eastAsia" w:ascii="仿宋_GB2312" w:hAnsi="仿宋_GB2312" w:eastAsia="仿宋_GB2312" w:cs="仿宋_GB2312"/>
                <w:color w:val="000000"/>
                <w:sz w:val="21"/>
                <w:szCs w:val="21"/>
                <w:highlight w:val="none"/>
                <w:lang w:bidi="ar"/>
              </w:rPr>
              <w:t>巡检巡修的方式、频率</w:t>
            </w:r>
            <w:r>
              <w:rPr>
                <w:rFonts w:hint="eastAsia" w:ascii="仿宋_GB2312" w:hAnsi="仿宋_GB2312" w:eastAsia="仿宋_GB2312" w:cs="仿宋_GB2312"/>
                <w:color w:val="000000"/>
                <w:kern w:val="2"/>
                <w:sz w:val="21"/>
                <w:szCs w:val="21"/>
                <w:highlight w:val="none"/>
              </w:rPr>
              <w:t>⑦</w:t>
            </w:r>
            <w:r>
              <w:rPr>
                <w:rFonts w:hint="eastAsia" w:ascii="仿宋_GB2312" w:hAnsi="仿宋_GB2312" w:eastAsia="仿宋_GB2312" w:cs="仿宋_GB2312"/>
                <w:color w:val="000000"/>
                <w:sz w:val="21"/>
                <w:szCs w:val="21"/>
                <w:highlight w:val="none"/>
                <w:lang w:bidi="ar"/>
              </w:rPr>
              <w:t>巡检保养情况档案记录整理⑧优化及合理建议</w:t>
            </w:r>
            <w:r>
              <w:rPr>
                <w:rFonts w:hint="eastAsia" w:ascii="仿宋_GB2312" w:hAnsi="仿宋_GB2312" w:eastAsia="仿宋_GB2312" w:cs="仿宋_GB2312"/>
                <w:color w:val="000000"/>
                <w:sz w:val="21"/>
                <w:szCs w:val="21"/>
                <w:highlight w:val="none"/>
              </w:rPr>
              <w:t>。</w:t>
            </w:r>
          </w:p>
          <w:p w14:paraId="44AA662A">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 xml:space="preserve">方案整体优于采购需求，内容完整无瑕疵，得 </w:t>
            </w:r>
            <w:r>
              <w:rPr>
                <w:rFonts w:hint="eastAsia" w:ascii="仿宋" w:hAnsi="仿宋" w:cs="仿宋_GB2312"/>
                <w:kern w:val="2"/>
                <w:sz w:val="21"/>
                <w:szCs w:val="21"/>
                <w:highlight w:val="none"/>
                <w:lang w:val="en-US" w:eastAsia="zh-CN"/>
              </w:rPr>
              <w:t>5</w:t>
            </w:r>
            <w:r>
              <w:rPr>
                <w:rFonts w:hint="eastAsia" w:ascii="仿宋" w:hAnsi="仿宋" w:eastAsia="仿宋" w:cs="仿宋_GB2312"/>
                <w:kern w:val="2"/>
                <w:sz w:val="21"/>
                <w:szCs w:val="21"/>
                <w:highlight w:val="none"/>
              </w:rPr>
              <w:t>分</w:t>
            </w:r>
            <w:r>
              <w:rPr>
                <w:rFonts w:hint="eastAsia" w:ascii="仿宋" w:hAnsi="仿宋" w:eastAsia="仿宋" w:cs="仿宋_GB2312"/>
                <w:kern w:val="2"/>
                <w:sz w:val="21"/>
                <w:szCs w:val="21"/>
                <w:highlight w:val="none"/>
                <w:lang w:eastAsia="zh-CN"/>
              </w:rPr>
              <w:t>；</w:t>
            </w:r>
            <w:r>
              <w:rPr>
                <w:rFonts w:hint="eastAsia" w:ascii="仿宋" w:hAnsi="仿宋" w:eastAsia="仿宋" w:cs="仿宋_GB2312"/>
                <w:kern w:val="2"/>
                <w:sz w:val="21"/>
                <w:szCs w:val="21"/>
                <w:highlight w:val="none"/>
              </w:rPr>
              <w:t xml:space="preserve"> </w:t>
            </w:r>
          </w:p>
          <w:p w14:paraId="64D7E5CE">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 xml:space="preserve">方案完全契合采购需求，内容完整，仅存在细微缺陷，得 </w:t>
            </w:r>
            <w:r>
              <w:rPr>
                <w:rFonts w:hint="eastAsia" w:ascii="仿宋" w:hAnsi="仿宋" w:cs="仿宋_GB2312"/>
                <w:kern w:val="2"/>
                <w:sz w:val="21"/>
                <w:szCs w:val="21"/>
                <w:highlight w:val="none"/>
                <w:lang w:val="en-US" w:eastAsia="zh-CN"/>
              </w:rPr>
              <w:t>4</w:t>
            </w:r>
            <w:r>
              <w:rPr>
                <w:rFonts w:hint="eastAsia" w:ascii="仿宋" w:hAnsi="仿宋" w:eastAsia="仿宋" w:cs="仿宋_GB2312"/>
                <w:kern w:val="2"/>
                <w:sz w:val="21"/>
                <w:szCs w:val="21"/>
                <w:highlight w:val="none"/>
              </w:rPr>
              <w:t>分</w:t>
            </w:r>
            <w:r>
              <w:rPr>
                <w:rFonts w:hint="eastAsia" w:ascii="仿宋" w:hAnsi="仿宋" w:eastAsia="仿宋" w:cs="仿宋_GB2312"/>
                <w:kern w:val="2"/>
                <w:sz w:val="21"/>
                <w:szCs w:val="21"/>
                <w:highlight w:val="none"/>
                <w:lang w:eastAsia="zh-CN"/>
              </w:rPr>
              <w:t>；</w:t>
            </w:r>
            <w:r>
              <w:rPr>
                <w:rFonts w:hint="eastAsia" w:ascii="仿宋" w:hAnsi="仿宋" w:eastAsia="仿宋" w:cs="仿宋_GB2312"/>
                <w:kern w:val="2"/>
                <w:sz w:val="21"/>
                <w:szCs w:val="21"/>
                <w:highlight w:val="none"/>
              </w:rPr>
              <w:t xml:space="preserve"> </w:t>
            </w:r>
          </w:p>
          <w:p w14:paraId="32A1DAE0">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 xml:space="preserve">方案内容完整，少量非关键内容与项目需求不符或少量次要内容缺失，得 </w:t>
            </w:r>
            <w:r>
              <w:rPr>
                <w:rFonts w:hint="eastAsia" w:ascii="仿宋" w:hAnsi="仿宋" w:cs="仿宋_GB2312"/>
                <w:kern w:val="2"/>
                <w:sz w:val="21"/>
                <w:szCs w:val="21"/>
                <w:highlight w:val="none"/>
                <w:lang w:val="en-US" w:eastAsia="zh-CN"/>
              </w:rPr>
              <w:t>3</w:t>
            </w:r>
            <w:r>
              <w:rPr>
                <w:rFonts w:hint="eastAsia" w:ascii="仿宋" w:hAnsi="仿宋" w:eastAsia="仿宋" w:cs="仿宋_GB2312"/>
                <w:kern w:val="2"/>
                <w:sz w:val="21"/>
                <w:szCs w:val="21"/>
                <w:highlight w:val="none"/>
              </w:rPr>
              <w:t>分</w:t>
            </w:r>
            <w:r>
              <w:rPr>
                <w:rFonts w:hint="eastAsia" w:ascii="仿宋" w:hAnsi="仿宋" w:eastAsia="仿宋" w:cs="仿宋_GB2312"/>
                <w:kern w:val="2"/>
                <w:sz w:val="21"/>
                <w:szCs w:val="21"/>
                <w:highlight w:val="none"/>
                <w:lang w:eastAsia="zh-CN"/>
              </w:rPr>
              <w:t>；</w:t>
            </w:r>
            <w:r>
              <w:rPr>
                <w:rFonts w:hint="eastAsia" w:ascii="仿宋" w:hAnsi="仿宋" w:eastAsia="仿宋" w:cs="仿宋_GB2312"/>
                <w:kern w:val="2"/>
                <w:sz w:val="21"/>
                <w:szCs w:val="21"/>
                <w:highlight w:val="none"/>
              </w:rPr>
              <w:t xml:space="preserve"> </w:t>
            </w:r>
          </w:p>
          <w:p w14:paraId="51CA8D3E">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lang w:eastAsia="zh-CN"/>
              </w:rPr>
            </w:pPr>
            <w:r>
              <w:rPr>
                <w:rFonts w:hint="eastAsia" w:ascii="仿宋" w:hAnsi="仿宋" w:eastAsia="仿宋" w:cs="仿宋_GB2312"/>
                <w:kern w:val="2"/>
                <w:sz w:val="21"/>
                <w:szCs w:val="21"/>
                <w:highlight w:val="none"/>
              </w:rPr>
              <w:t>方案完整性不足，部分关键内容与项目实际需求不符或存在单项关键内容缺失，得</w:t>
            </w:r>
            <w:r>
              <w:rPr>
                <w:rFonts w:hint="eastAsia" w:ascii="仿宋" w:hAnsi="仿宋" w:cs="仿宋_GB2312"/>
                <w:kern w:val="2"/>
                <w:sz w:val="21"/>
                <w:szCs w:val="21"/>
                <w:highlight w:val="none"/>
                <w:lang w:val="en-US" w:eastAsia="zh-CN"/>
              </w:rPr>
              <w:t>2</w:t>
            </w:r>
            <w:r>
              <w:rPr>
                <w:rFonts w:hint="eastAsia" w:ascii="仿宋" w:hAnsi="仿宋" w:eastAsia="仿宋" w:cs="仿宋_GB2312"/>
                <w:kern w:val="2"/>
                <w:sz w:val="21"/>
                <w:szCs w:val="21"/>
                <w:highlight w:val="none"/>
              </w:rPr>
              <w:t xml:space="preserve"> 分</w:t>
            </w:r>
            <w:r>
              <w:rPr>
                <w:rFonts w:hint="eastAsia" w:ascii="仿宋" w:hAnsi="仿宋" w:eastAsia="仿宋" w:cs="仿宋_GB2312"/>
                <w:kern w:val="2"/>
                <w:sz w:val="21"/>
                <w:szCs w:val="21"/>
                <w:highlight w:val="none"/>
                <w:lang w:eastAsia="zh-CN"/>
              </w:rPr>
              <w:t>；</w:t>
            </w:r>
          </w:p>
          <w:p w14:paraId="5A347909">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lang w:eastAsia="zh-CN"/>
              </w:rPr>
            </w:pPr>
            <w:r>
              <w:rPr>
                <w:rFonts w:hint="eastAsia" w:ascii="仿宋" w:hAnsi="仿宋" w:eastAsia="仿宋" w:cs="仿宋_GB2312"/>
                <w:kern w:val="2"/>
                <w:sz w:val="21"/>
                <w:szCs w:val="21"/>
                <w:highlight w:val="none"/>
              </w:rPr>
              <w:t xml:space="preserve">方案完整性严重不足，多项关键内容与项目实际需求不符或多项关键内容缺失，得 </w:t>
            </w:r>
            <w:r>
              <w:rPr>
                <w:rFonts w:hint="eastAsia" w:ascii="仿宋" w:hAnsi="仿宋" w:cs="仿宋_GB2312"/>
                <w:kern w:val="2"/>
                <w:sz w:val="21"/>
                <w:szCs w:val="21"/>
                <w:highlight w:val="none"/>
                <w:lang w:val="en-US" w:eastAsia="zh-CN"/>
              </w:rPr>
              <w:t>1</w:t>
            </w:r>
            <w:r>
              <w:rPr>
                <w:rFonts w:hint="eastAsia" w:ascii="仿宋" w:hAnsi="仿宋" w:eastAsia="仿宋" w:cs="仿宋_GB2312"/>
                <w:kern w:val="2"/>
                <w:sz w:val="21"/>
                <w:szCs w:val="21"/>
                <w:highlight w:val="none"/>
              </w:rPr>
              <w:t xml:space="preserve"> 分</w:t>
            </w:r>
            <w:r>
              <w:rPr>
                <w:rFonts w:hint="eastAsia" w:ascii="仿宋" w:hAnsi="仿宋" w:eastAsia="仿宋" w:cs="仿宋_GB2312"/>
                <w:kern w:val="2"/>
                <w:sz w:val="21"/>
                <w:szCs w:val="21"/>
                <w:highlight w:val="none"/>
                <w:lang w:eastAsia="zh-CN"/>
              </w:rPr>
              <w:t>；</w:t>
            </w:r>
          </w:p>
          <w:p w14:paraId="2E47FA81">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未提交方案、缺失指定</w:t>
            </w:r>
            <w:r>
              <w:rPr>
                <w:rFonts w:hint="eastAsia" w:ascii="仿宋" w:hAnsi="仿宋" w:cs="仿宋_GB2312"/>
                <w:kern w:val="2"/>
                <w:sz w:val="21"/>
                <w:szCs w:val="21"/>
                <w:highlight w:val="none"/>
                <w:lang w:val="en-US" w:eastAsia="zh-CN"/>
              </w:rPr>
              <w:t>8</w:t>
            </w:r>
            <w:r>
              <w:rPr>
                <w:rFonts w:hint="eastAsia" w:ascii="仿宋" w:hAnsi="仿宋" w:eastAsia="仿宋" w:cs="仿宋_GB2312"/>
                <w:kern w:val="2"/>
                <w:sz w:val="21"/>
                <w:szCs w:val="21"/>
                <w:highlight w:val="none"/>
              </w:rPr>
              <w:t>项内容、照搬采购文件模板，得 0 分</w:t>
            </w:r>
          </w:p>
          <w:p w14:paraId="59F9303B">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kern w:val="2"/>
                <w:sz w:val="21"/>
                <w:szCs w:val="21"/>
                <w:highlight w:val="none"/>
              </w:rPr>
              <w:t>注:</w:t>
            </w:r>
            <w:r>
              <w:rPr>
                <w:rFonts w:hint="eastAsia" w:ascii="仿宋" w:hAnsi="仿宋" w:eastAsia="仿宋" w:cs="仿宋_GB2312"/>
                <w:b/>
                <w:bCs/>
                <w:kern w:val="2"/>
                <w:sz w:val="21"/>
                <w:szCs w:val="21"/>
                <w:highlight w:val="none"/>
              </w:rPr>
              <w:t>完整</w:t>
            </w:r>
            <w:r>
              <w:rPr>
                <w:rFonts w:hint="eastAsia" w:ascii="仿宋" w:hAnsi="仿宋" w:eastAsia="仿宋" w:cs="仿宋_GB2312"/>
                <w:kern w:val="2"/>
                <w:sz w:val="21"/>
                <w:szCs w:val="21"/>
                <w:highlight w:val="none"/>
              </w:rPr>
              <w:t>指包括但不限于上述</w:t>
            </w:r>
            <w:r>
              <w:rPr>
                <w:rFonts w:hint="eastAsia" w:ascii="仿宋" w:hAnsi="仿宋" w:cs="仿宋_GB2312"/>
                <w:kern w:val="2"/>
                <w:sz w:val="21"/>
                <w:szCs w:val="21"/>
                <w:highlight w:val="none"/>
                <w:lang w:val="en-US" w:eastAsia="zh-CN"/>
              </w:rPr>
              <w:t>8</w:t>
            </w:r>
            <w:r>
              <w:rPr>
                <w:rFonts w:hint="eastAsia" w:ascii="仿宋" w:hAnsi="仿宋" w:eastAsia="仿宋" w:cs="仿宋_GB2312"/>
                <w:kern w:val="2"/>
                <w:sz w:val="21"/>
                <w:szCs w:val="21"/>
                <w:highlight w:val="none"/>
              </w:rPr>
              <w:t>项全部内容且不能机械复制采购需求内容。</w:t>
            </w:r>
          </w:p>
          <w:p w14:paraId="7BA27572">
            <w:pPr>
              <w:pStyle w:val="15"/>
              <w:adjustRightInd/>
              <w:snapToGrid/>
              <w:spacing w:before="0" w:beforeAutospacing="0" w:after="0" w:afterAutospacing="0"/>
              <w:ind w:firstLine="0" w:firstLineChars="0"/>
              <w:rPr>
                <w:rFonts w:hint="eastAsia" w:ascii="仿宋" w:hAnsi="仿宋" w:eastAsia="仿宋" w:cs="仿宋_GB2312"/>
                <w:kern w:val="2"/>
                <w:sz w:val="21"/>
                <w:szCs w:val="21"/>
                <w:highlight w:val="none"/>
              </w:rPr>
            </w:pPr>
            <w:r>
              <w:rPr>
                <w:rFonts w:hint="eastAsia" w:ascii="仿宋" w:hAnsi="仿宋" w:eastAsia="仿宋" w:cs="仿宋_GB2312"/>
                <w:b/>
                <w:bCs/>
                <w:kern w:val="2"/>
                <w:sz w:val="21"/>
                <w:szCs w:val="21"/>
                <w:highlight w:val="none"/>
              </w:rPr>
              <w:t>优于</w:t>
            </w:r>
            <w:r>
              <w:rPr>
                <w:rFonts w:hint="eastAsia" w:ascii="仿宋" w:hAnsi="仿宋" w:eastAsia="仿宋" w:cs="仿宋_GB2312"/>
                <w:kern w:val="2"/>
                <w:sz w:val="21"/>
                <w:szCs w:val="21"/>
                <w:highlight w:val="none"/>
              </w:rPr>
              <w:t>采购需求是指投标人所提供的方案能够保障投标人在实际工作中达成的效果高于采购需求要求（采购需求中的时间要求、人数要求、服务内容要求等方面）。</w:t>
            </w:r>
          </w:p>
          <w:p w14:paraId="6CE829D8">
            <w:pPr>
              <w:pStyle w:val="15"/>
              <w:spacing w:before="0" w:beforeAutospacing="0" w:after="0" w:afterAutospacing="0"/>
              <w:ind w:firstLine="0" w:firstLineChars="0"/>
              <w:jc w:val="left"/>
              <w:rPr>
                <w:rFonts w:hint="eastAsia" w:ascii="仿宋" w:hAnsi="仿宋" w:eastAsia="仿宋" w:cs="仿宋_GB2312"/>
                <w:kern w:val="2"/>
                <w:sz w:val="21"/>
                <w:szCs w:val="21"/>
                <w:highlight w:val="none"/>
              </w:rPr>
            </w:pPr>
            <w:r>
              <w:rPr>
                <w:rFonts w:hint="eastAsia" w:ascii="仿宋" w:hAnsi="仿宋" w:eastAsia="仿宋" w:cs="仿宋_GB2312"/>
                <w:b/>
                <w:bCs/>
                <w:kern w:val="2"/>
                <w:sz w:val="21"/>
                <w:szCs w:val="21"/>
                <w:highlight w:val="none"/>
              </w:rPr>
              <w:t>缺陷</w:t>
            </w:r>
            <w:r>
              <w:rPr>
                <w:rFonts w:hint="eastAsia" w:ascii="仿宋" w:hAnsi="仿宋" w:eastAsia="仿宋" w:cs="仿宋_GB2312"/>
                <w:kern w:val="2"/>
                <w:sz w:val="21"/>
                <w:szCs w:val="21"/>
                <w:highlight w:val="none"/>
              </w:rPr>
              <w:t>是指方案内容与项目需求不一致、存在相互矛盾内容、不符合客观逻辑以及未针对本项目编写的任意一种情形。</w:t>
            </w:r>
          </w:p>
          <w:p w14:paraId="526C6C62">
            <w:pPr>
              <w:pStyle w:val="15"/>
              <w:spacing w:before="0" w:beforeAutospacing="0" w:after="0" w:afterAutospacing="0"/>
              <w:ind w:firstLine="0" w:firstLineChars="0"/>
              <w:jc w:val="left"/>
              <w:rPr>
                <w:rFonts w:hint="eastAsia" w:ascii="仿宋_GB2312" w:hAnsi="仿宋_GB2312" w:eastAsia="仿宋_GB2312" w:cs="仿宋_GB2312"/>
                <w:color w:val="000000"/>
                <w:sz w:val="21"/>
                <w:szCs w:val="21"/>
                <w:highlight w:val="none"/>
                <w:lang w:bidi="ar"/>
              </w:rPr>
            </w:pPr>
            <w:r>
              <w:rPr>
                <w:rFonts w:hint="eastAsia" w:ascii="仿宋" w:hAnsi="仿宋" w:eastAsia="仿宋" w:cs="仿宋_GB2312"/>
                <w:b/>
                <w:bCs/>
                <w:kern w:val="2"/>
                <w:sz w:val="21"/>
                <w:szCs w:val="21"/>
                <w:highlight w:val="none"/>
              </w:rPr>
              <w:t>不符合</w:t>
            </w:r>
            <w:r>
              <w:rPr>
                <w:rFonts w:hint="eastAsia" w:ascii="仿宋" w:hAnsi="仿宋" w:eastAsia="仿宋" w:cs="仿宋_GB2312"/>
                <w:kern w:val="2"/>
                <w:sz w:val="21"/>
                <w:szCs w:val="21"/>
                <w:highlight w:val="none"/>
              </w:rPr>
              <w:t>项目需求是指存在与本项目执行无关的内容、存在相关内容在实际操作中不能运用的任意一种情形。</w:t>
            </w:r>
          </w:p>
        </w:tc>
        <w:tc>
          <w:tcPr>
            <w:tcW w:w="443" w:type="pct"/>
            <w:tcBorders>
              <w:top w:val="single" w:color="auto" w:sz="4" w:space="0"/>
              <w:left w:val="single" w:color="auto" w:sz="4" w:space="0"/>
              <w:bottom w:val="single" w:color="auto" w:sz="4" w:space="0"/>
              <w:right w:val="single" w:color="auto" w:sz="4" w:space="0"/>
            </w:tcBorders>
            <w:noWrap w:val="0"/>
            <w:vAlign w:val="center"/>
          </w:tcPr>
          <w:p w14:paraId="05355BAA">
            <w:pPr>
              <w:pStyle w:val="15"/>
              <w:keepNext w:val="0"/>
              <w:keepLines w:val="0"/>
              <w:suppressLineNumbers w:val="0"/>
              <w:adjustRightInd w:val="0"/>
              <w:snapToGrid w:val="0"/>
              <w:spacing w:before="0" w:beforeAutospacing="0" w:after="0" w:afterAutospacing="0"/>
              <w:ind w:left="0" w:right="0" w:firstLine="0" w:firstLineChars="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5</w:t>
            </w:r>
            <w:r>
              <w:rPr>
                <w:rFonts w:hint="eastAsia" w:ascii="仿宋_GB2312" w:hAnsi="仿宋_GB2312" w:eastAsia="仿宋_GB2312" w:cs="仿宋_GB2312"/>
                <w:color w:val="000000"/>
                <w:sz w:val="21"/>
                <w:szCs w:val="21"/>
                <w:highlight w:val="none"/>
              </w:rPr>
              <w:t>分</w:t>
            </w:r>
          </w:p>
        </w:tc>
      </w:tr>
      <w:tr w14:paraId="4AC9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625" w:type="pct"/>
            <w:tcBorders>
              <w:left w:val="single" w:color="auto" w:sz="4" w:space="0"/>
              <w:right w:val="single" w:color="auto" w:sz="4" w:space="0"/>
            </w:tcBorders>
            <w:noWrap w:val="0"/>
            <w:vAlign w:val="center"/>
          </w:tcPr>
          <w:p w14:paraId="78FB6DED">
            <w:pPr>
              <w:pStyle w:val="15"/>
              <w:ind w:firstLine="0" w:firstLineChars="0"/>
              <w:jc w:val="both"/>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2"/>
                <w:sz w:val="21"/>
                <w:szCs w:val="21"/>
                <w:highlight w:val="none"/>
              </w:rPr>
              <w:t>商务部分</w:t>
            </w:r>
          </w:p>
        </w:tc>
        <w:tc>
          <w:tcPr>
            <w:tcW w:w="465" w:type="pct"/>
            <w:tcBorders>
              <w:top w:val="single" w:color="auto" w:sz="4" w:space="0"/>
              <w:left w:val="single" w:color="auto" w:sz="4" w:space="0"/>
              <w:right w:val="single" w:color="auto" w:sz="4" w:space="0"/>
            </w:tcBorders>
            <w:noWrap w:val="0"/>
            <w:vAlign w:val="center"/>
          </w:tcPr>
          <w:p w14:paraId="787B6C14">
            <w:pPr>
              <w:pStyle w:val="15"/>
              <w:keepNext w:val="0"/>
              <w:keepLines w:val="0"/>
              <w:suppressLineNumbers w:val="0"/>
              <w:adjustRightInd w:val="0"/>
              <w:snapToGrid w:val="0"/>
              <w:spacing w:before="0" w:beforeAutospacing="0" w:after="0" w:afterAutospacing="0"/>
              <w:ind w:left="0" w:right="0" w:firstLine="0" w:firstLineChars="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投标人</w:t>
            </w:r>
          </w:p>
          <w:p w14:paraId="3E5248D6">
            <w:pPr>
              <w:pStyle w:val="15"/>
              <w:keepNext w:val="0"/>
              <w:keepLines w:val="0"/>
              <w:suppressLineNumbers w:val="0"/>
              <w:adjustRightInd w:val="0"/>
              <w:snapToGrid w:val="0"/>
              <w:spacing w:before="0" w:beforeAutospacing="0" w:after="0" w:afterAutospacing="0"/>
              <w:ind w:left="0" w:right="0" w:firstLine="0" w:firstLineChars="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业绩</w:t>
            </w:r>
          </w:p>
        </w:tc>
        <w:tc>
          <w:tcPr>
            <w:tcW w:w="3464" w:type="pct"/>
            <w:tcBorders>
              <w:top w:val="single" w:color="auto" w:sz="4" w:space="0"/>
              <w:left w:val="single" w:color="auto" w:sz="4" w:space="0"/>
              <w:right w:val="single" w:color="auto" w:sz="4" w:space="0"/>
            </w:tcBorders>
            <w:noWrap w:val="0"/>
            <w:vAlign w:val="center"/>
          </w:tcPr>
          <w:p w14:paraId="158A4B9D">
            <w:pPr>
              <w:pStyle w:val="15"/>
              <w:ind w:firstLine="0" w:firstLineChars="0"/>
              <w:jc w:val="both"/>
              <w:rPr>
                <w:rFonts w:hint="eastAsia" w:ascii="仿宋_GB2312" w:hAnsi="仿宋_GB2312" w:eastAsia="仿宋_GB2312" w:cs="仿宋_GB2312"/>
                <w:color w:val="000000"/>
                <w:sz w:val="21"/>
                <w:szCs w:val="21"/>
                <w:highlight w:val="none"/>
                <w:lang w:bidi="ar"/>
              </w:rPr>
            </w:pPr>
            <w:r>
              <w:rPr>
                <w:rFonts w:hint="eastAsia" w:ascii="仿宋_GB2312" w:hAnsi="仿宋_GB2312" w:eastAsia="仿宋_GB2312" w:cs="仿宋_GB2312"/>
                <w:color w:val="000000"/>
                <w:sz w:val="21"/>
                <w:szCs w:val="21"/>
                <w:highlight w:val="none"/>
                <w:lang w:bidi="ar"/>
              </w:rPr>
              <w:t>评标委员会根据投标人提供的202</w:t>
            </w:r>
            <w:r>
              <w:rPr>
                <w:rFonts w:hint="eastAsia" w:ascii="仿宋_GB2312" w:hAnsi="仿宋_GB2312" w:eastAsia="仿宋_GB2312" w:cs="仿宋_GB2312"/>
                <w:color w:val="000000"/>
                <w:sz w:val="21"/>
                <w:szCs w:val="21"/>
                <w:highlight w:val="none"/>
                <w:lang w:val="en-US" w:eastAsia="zh-CN" w:bidi="ar"/>
              </w:rPr>
              <w:t>3</w:t>
            </w:r>
            <w:r>
              <w:rPr>
                <w:rFonts w:hint="eastAsia" w:ascii="仿宋_GB2312" w:hAnsi="仿宋_GB2312" w:eastAsia="仿宋_GB2312" w:cs="仿宋_GB2312"/>
                <w:color w:val="000000"/>
                <w:sz w:val="21"/>
                <w:szCs w:val="21"/>
                <w:highlight w:val="none"/>
                <w:lang w:bidi="ar"/>
              </w:rPr>
              <w:t>年1月1日至今投标人的类似项目业绩证明材料情况进行评定，每提供一个202</w:t>
            </w:r>
            <w:r>
              <w:rPr>
                <w:rFonts w:hint="eastAsia" w:ascii="仿宋_GB2312" w:hAnsi="仿宋_GB2312" w:eastAsia="仿宋_GB2312" w:cs="仿宋_GB2312"/>
                <w:color w:val="000000"/>
                <w:sz w:val="21"/>
                <w:szCs w:val="21"/>
                <w:highlight w:val="none"/>
                <w:lang w:val="en-US" w:eastAsia="zh-CN" w:bidi="ar"/>
              </w:rPr>
              <w:t>3</w:t>
            </w:r>
            <w:r>
              <w:rPr>
                <w:rFonts w:hint="eastAsia" w:ascii="仿宋_GB2312" w:hAnsi="仿宋_GB2312" w:eastAsia="仿宋_GB2312" w:cs="仿宋_GB2312"/>
                <w:color w:val="000000"/>
                <w:sz w:val="21"/>
                <w:szCs w:val="21"/>
                <w:highlight w:val="none"/>
                <w:lang w:bidi="ar"/>
              </w:rPr>
              <w:t>年1月1日至今投标人的类似项目业绩得</w:t>
            </w:r>
            <w:r>
              <w:rPr>
                <w:rFonts w:hint="eastAsia" w:ascii="仿宋_GB2312" w:hAnsi="仿宋_GB2312" w:eastAsia="仿宋_GB2312" w:cs="仿宋_GB2312"/>
                <w:color w:val="000000"/>
                <w:sz w:val="21"/>
                <w:szCs w:val="21"/>
                <w:highlight w:val="none"/>
                <w:lang w:val="en-US" w:eastAsia="zh-CN" w:bidi="ar"/>
              </w:rPr>
              <w:t>1</w:t>
            </w:r>
            <w:r>
              <w:rPr>
                <w:rFonts w:hint="eastAsia" w:ascii="仿宋_GB2312" w:hAnsi="仿宋_GB2312" w:eastAsia="仿宋_GB2312" w:cs="仿宋_GB2312"/>
                <w:color w:val="000000"/>
                <w:sz w:val="21"/>
                <w:szCs w:val="21"/>
                <w:highlight w:val="none"/>
                <w:lang w:bidi="ar"/>
              </w:rPr>
              <w:t>分，满分</w:t>
            </w:r>
            <w:r>
              <w:rPr>
                <w:rFonts w:hint="eastAsia" w:ascii="仿宋_GB2312" w:hAnsi="仿宋_GB2312" w:eastAsia="仿宋_GB2312" w:cs="仿宋_GB2312"/>
                <w:color w:val="000000"/>
                <w:sz w:val="21"/>
                <w:szCs w:val="21"/>
                <w:highlight w:val="none"/>
                <w:lang w:val="en-US" w:eastAsia="zh-CN" w:bidi="ar"/>
              </w:rPr>
              <w:t>5</w:t>
            </w:r>
            <w:r>
              <w:rPr>
                <w:rFonts w:hint="eastAsia" w:ascii="仿宋_GB2312" w:hAnsi="仿宋_GB2312" w:eastAsia="仿宋_GB2312" w:cs="仿宋_GB2312"/>
                <w:color w:val="000000"/>
                <w:sz w:val="21"/>
                <w:szCs w:val="21"/>
                <w:highlight w:val="none"/>
                <w:lang w:bidi="ar"/>
              </w:rPr>
              <w:t>分。注：业绩以合同或中标通知书复印件加盖公章为准，业绩时间以合同签订时间或中标通知书日期为准。注：未提供证明材料得0分。</w:t>
            </w:r>
          </w:p>
        </w:tc>
        <w:tc>
          <w:tcPr>
            <w:tcW w:w="443" w:type="pct"/>
            <w:tcBorders>
              <w:top w:val="single" w:color="auto" w:sz="4" w:space="0"/>
              <w:left w:val="single" w:color="auto" w:sz="4" w:space="0"/>
              <w:bottom w:val="single" w:color="auto" w:sz="4" w:space="0"/>
              <w:right w:val="single" w:color="auto" w:sz="4" w:space="0"/>
            </w:tcBorders>
            <w:noWrap w:val="0"/>
            <w:vAlign w:val="center"/>
          </w:tcPr>
          <w:p w14:paraId="5A220CE3">
            <w:pPr>
              <w:pStyle w:val="15"/>
              <w:keepNext w:val="0"/>
              <w:keepLines w:val="0"/>
              <w:suppressLineNumbers w:val="0"/>
              <w:adjustRightInd w:val="0"/>
              <w:snapToGrid w:val="0"/>
              <w:spacing w:before="0" w:beforeAutospacing="0" w:after="0" w:afterAutospacing="0"/>
              <w:ind w:left="0" w:right="0" w:firstLine="0" w:firstLineChars="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lang w:val="en-US" w:eastAsia="zh-CN"/>
              </w:rPr>
              <w:t>5</w:t>
            </w:r>
            <w:r>
              <w:rPr>
                <w:rFonts w:hint="eastAsia" w:ascii="仿宋_GB2312" w:hAnsi="仿宋_GB2312" w:eastAsia="仿宋_GB2312" w:cs="仿宋_GB2312"/>
                <w:color w:val="000000"/>
                <w:sz w:val="21"/>
                <w:szCs w:val="21"/>
                <w:highlight w:val="none"/>
              </w:rPr>
              <w:t>分</w:t>
            </w:r>
          </w:p>
        </w:tc>
      </w:tr>
      <w:tr w14:paraId="55A2C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625" w:type="pct"/>
            <w:tcBorders>
              <w:top w:val="single" w:color="auto" w:sz="4" w:space="0"/>
              <w:left w:val="single" w:color="auto" w:sz="4" w:space="0"/>
              <w:bottom w:val="single" w:color="auto" w:sz="4" w:space="0"/>
              <w:right w:val="single" w:color="auto" w:sz="4" w:space="0"/>
            </w:tcBorders>
            <w:noWrap w:val="0"/>
            <w:vAlign w:val="center"/>
          </w:tcPr>
          <w:p w14:paraId="5C4E27F1">
            <w:pPr>
              <w:pStyle w:val="15"/>
              <w:keepNext w:val="0"/>
              <w:keepLines w:val="0"/>
              <w:suppressLineNumbers w:val="0"/>
              <w:adjustRightInd w:val="0"/>
              <w:snapToGrid w:val="0"/>
              <w:spacing w:before="0" w:beforeAutospacing="0" w:after="0" w:afterAutospacing="0"/>
              <w:ind w:left="0" w:right="0" w:firstLine="0" w:firstLineChars="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合  计</w:t>
            </w:r>
          </w:p>
        </w:tc>
        <w:tc>
          <w:tcPr>
            <w:tcW w:w="465" w:type="pct"/>
            <w:tcBorders>
              <w:top w:val="single" w:color="auto" w:sz="4" w:space="0"/>
              <w:left w:val="single" w:color="auto" w:sz="4" w:space="0"/>
              <w:bottom w:val="single" w:color="auto" w:sz="4" w:space="0"/>
              <w:right w:val="single" w:color="auto" w:sz="4" w:space="0"/>
            </w:tcBorders>
            <w:noWrap w:val="0"/>
            <w:vAlign w:val="center"/>
          </w:tcPr>
          <w:p w14:paraId="015A0E31">
            <w:pPr>
              <w:pStyle w:val="15"/>
              <w:keepNext w:val="0"/>
              <w:keepLines w:val="0"/>
              <w:suppressLineNumbers w:val="0"/>
              <w:adjustRightInd w:val="0"/>
              <w:snapToGrid w:val="0"/>
              <w:spacing w:before="0" w:beforeAutospacing="0" w:after="0" w:afterAutospacing="0"/>
              <w:ind w:left="0" w:right="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w:t>
            </w:r>
          </w:p>
        </w:tc>
        <w:tc>
          <w:tcPr>
            <w:tcW w:w="3464" w:type="pct"/>
            <w:tcBorders>
              <w:top w:val="single" w:color="auto" w:sz="4" w:space="0"/>
              <w:left w:val="single" w:color="auto" w:sz="4" w:space="0"/>
              <w:bottom w:val="single" w:color="auto" w:sz="4" w:space="0"/>
              <w:right w:val="single" w:color="auto" w:sz="4" w:space="0"/>
            </w:tcBorders>
            <w:noWrap w:val="0"/>
            <w:vAlign w:val="center"/>
          </w:tcPr>
          <w:p w14:paraId="6996323B">
            <w:pPr>
              <w:pStyle w:val="15"/>
              <w:keepNext w:val="0"/>
              <w:keepLines w:val="0"/>
              <w:suppressLineNumbers w:val="0"/>
              <w:adjustRightInd w:val="0"/>
              <w:snapToGrid w:val="0"/>
              <w:spacing w:before="0" w:beforeAutospacing="0" w:after="0" w:afterAutospacing="0"/>
              <w:ind w:left="0" w:right="0"/>
              <w:jc w:val="center"/>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w:t>
            </w:r>
          </w:p>
        </w:tc>
        <w:tc>
          <w:tcPr>
            <w:tcW w:w="443" w:type="pct"/>
            <w:tcBorders>
              <w:top w:val="single" w:color="auto" w:sz="4" w:space="0"/>
              <w:left w:val="single" w:color="auto" w:sz="4" w:space="0"/>
              <w:bottom w:val="single" w:color="auto" w:sz="4" w:space="0"/>
              <w:right w:val="single" w:color="auto" w:sz="4" w:space="0"/>
            </w:tcBorders>
            <w:noWrap w:val="0"/>
            <w:vAlign w:val="center"/>
          </w:tcPr>
          <w:p w14:paraId="57167D67">
            <w:pPr>
              <w:pStyle w:val="15"/>
              <w:keepNext w:val="0"/>
              <w:keepLines w:val="0"/>
              <w:suppressLineNumbers w:val="0"/>
              <w:adjustRightInd w:val="0"/>
              <w:snapToGrid w:val="0"/>
              <w:spacing w:before="0" w:beforeAutospacing="0" w:after="0" w:afterAutospacing="0"/>
              <w:ind w:left="0" w:right="0" w:firstLine="0" w:firstLineChars="0"/>
              <w:jc w:val="both"/>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100分</w:t>
            </w:r>
          </w:p>
        </w:tc>
      </w:tr>
    </w:tbl>
    <w:p w14:paraId="1CA52E77">
      <w:pPr>
        <w:numPr>
          <w:ilvl w:val="0"/>
          <w:numId w:val="0"/>
        </w:numPr>
        <w:jc w:val="left"/>
        <w:rPr>
          <w:rFonts w:hint="eastAsia" w:ascii="仿宋_GB2312" w:hAnsi="仿宋_GB2312" w:eastAsia="仿宋_GB2312" w:cs="仿宋_GB2312"/>
          <w:b/>
          <w:color w:val="000000"/>
          <w:sz w:val="24"/>
          <w:szCs w:val="24"/>
          <w:highlight w:val="none"/>
        </w:rPr>
      </w:pPr>
    </w:p>
    <w:p w14:paraId="43A02CF0">
      <w:pPr>
        <w:widowControl/>
        <w:shd w:val="clear" w:color="auto" w:fill="FFFFFF"/>
        <w:spacing w:line="240" w:lineRule="exact"/>
        <w:jc w:val="left"/>
        <w:rPr>
          <w:rFonts w:hint="eastAsia" w:ascii="Times New Roman" w:hAnsi="Times New Roman" w:eastAsia="仿宋" w:cs="仿宋"/>
          <w:color w:val="000000"/>
          <w:kern w:val="0"/>
          <w:szCs w:val="21"/>
          <w:highlight w:val="none"/>
        </w:rPr>
      </w:pPr>
    </w:p>
    <w:p w14:paraId="42892212">
      <w:pPr>
        <w:numPr>
          <w:ilvl w:val="0"/>
          <w:numId w:val="9"/>
        </w:numPr>
        <w:ind w:left="0" w:leftChars="0" w:firstLine="0" w:firstLineChars="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加分项评分标准</w:t>
      </w:r>
    </w:p>
    <w:tbl>
      <w:tblPr>
        <w:tblStyle w:val="19"/>
        <w:tblW w:w="5348" w:type="pct"/>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6"/>
        <w:gridCol w:w="8043"/>
      </w:tblGrid>
      <w:tr w14:paraId="49BFE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585" w:type="pct"/>
            <w:tcBorders>
              <w:top w:val="single" w:color="auto" w:sz="4" w:space="0"/>
              <w:left w:val="single" w:color="auto" w:sz="4" w:space="0"/>
              <w:bottom w:val="single" w:color="auto" w:sz="4" w:space="0"/>
              <w:right w:val="single" w:color="auto" w:sz="4" w:space="0"/>
            </w:tcBorders>
            <w:noWrap w:val="0"/>
            <w:vAlign w:val="center"/>
          </w:tcPr>
          <w:p w14:paraId="49921486">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加分</w:t>
            </w:r>
          </w:p>
          <w:p w14:paraId="736C95A3">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因素</w:t>
            </w:r>
          </w:p>
        </w:tc>
        <w:tc>
          <w:tcPr>
            <w:tcW w:w="4414" w:type="pct"/>
            <w:tcBorders>
              <w:top w:val="single" w:color="auto" w:sz="4" w:space="0"/>
              <w:left w:val="single" w:color="auto" w:sz="4" w:space="0"/>
              <w:bottom w:val="single" w:color="auto" w:sz="4" w:space="0"/>
              <w:right w:val="single" w:color="auto" w:sz="4" w:space="0"/>
            </w:tcBorders>
            <w:noWrap w:val="0"/>
            <w:vAlign w:val="center"/>
          </w:tcPr>
          <w:p w14:paraId="2F97583D">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说明</w:t>
            </w:r>
          </w:p>
        </w:tc>
      </w:tr>
      <w:tr w14:paraId="47113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0" w:hRule="atLeast"/>
        </w:trPr>
        <w:tc>
          <w:tcPr>
            <w:tcW w:w="585" w:type="pct"/>
            <w:noWrap w:val="0"/>
            <w:vAlign w:val="center"/>
          </w:tcPr>
          <w:p w14:paraId="1953715E">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节能</w:t>
            </w:r>
          </w:p>
          <w:p w14:paraId="50E9141A">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w:t>
            </w:r>
          </w:p>
        </w:tc>
        <w:tc>
          <w:tcPr>
            <w:tcW w:w="4414" w:type="pct"/>
            <w:noWrap w:val="0"/>
            <w:vAlign w:val="center"/>
          </w:tcPr>
          <w:p w14:paraId="19B90BB1">
            <w:pP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对于清单品目中的投标产品（非强制节能）价格给予价格部分总分值</w:t>
            </w:r>
            <w:r>
              <w:rPr>
                <w:rFonts w:hint="eastAsia" w:ascii="仿宋_GB2312" w:hAnsi="仿宋_GB2312" w:eastAsia="仿宋_GB2312" w:cs="仿宋_GB2312"/>
                <w:color w:val="auto"/>
                <w:kern w:val="0"/>
                <w:szCs w:val="21"/>
                <w:highlight w:val="none"/>
                <w:u w:val="single"/>
              </w:rPr>
              <w:t>3</w:t>
            </w:r>
            <w:r>
              <w:rPr>
                <w:rFonts w:hint="eastAsia" w:ascii="仿宋_GB2312" w:hAnsi="仿宋_GB2312" w:eastAsia="仿宋_GB2312" w:cs="仿宋_GB2312"/>
                <w:color w:val="auto"/>
                <w:kern w:val="0"/>
                <w:szCs w:val="21"/>
                <w:highlight w:val="none"/>
              </w:rPr>
              <w:t>%</w:t>
            </w:r>
            <w:r>
              <w:rPr>
                <w:rFonts w:hint="eastAsia" w:ascii="仿宋_GB2312" w:hAnsi="仿宋_GB2312" w:eastAsia="仿宋_GB2312" w:cs="仿宋_GB2312"/>
                <w:color w:val="auto"/>
                <w:szCs w:val="21"/>
                <w:highlight w:val="none"/>
              </w:rPr>
              <w:t>的加分，计算公式如下：</w:t>
            </w:r>
          </w:p>
          <w:p w14:paraId="0229B65A">
            <w:pP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节能产品加分＝（节能产品投标报价之和/投标总价）×价格部分总分值×</w:t>
            </w:r>
            <w:r>
              <w:rPr>
                <w:rFonts w:hint="eastAsia" w:ascii="仿宋_GB2312" w:hAnsi="仿宋_GB2312" w:eastAsia="仿宋_GB2312" w:cs="仿宋_GB2312"/>
                <w:color w:val="auto"/>
                <w:szCs w:val="21"/>
                <w:highlight w:val="none"/>
                <w:u w:val="single"/>
              </w:rPr>
              <w:t>3</w:t>
            </w:r>
            <w:r>
              <w:rPr>
                <w:rFonts w:hint="eastAsia" w:ascii="仿宋_GB2312" w:hAnsi="仿宋_GB2312" w:eastAsia="仿宋_GB2312" w:cs="仿宋_GB2312"/>
                <w:color w:val="auto"/>
                <w:szCs w:val="21"/>
                <w:highlight w:val="none"/>
              </w:rPr>
              <w:t>%。</w:t>
            </w:r>
          </w:p>
        </w:tc>
      </w:tr>
      <w:tr w14:paraId="654FB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4" w:hRule="atLeast"/>
        </w:trPr>
        <w:tc>
          <w:tcPr>
            <w:tcW w:w="585" w:type="pct"/>
            <w:noWrap w:val="0"/>
            <w:vAlign w:val="center"/>
          </w:tcPr>
          <w:p w14:paraId="558E327E">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环保</w:t>
            </w:r>
          </w:p>
          <w:p w14:paraId="0078A731">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产品</w:t>
            </w:r>
          </w:p>
        </w:tc>
        <w:tc>
          <w:tcPr>
            <w:tcW w:w="4414" w:type="pct"/>
            <w:noWrap w:val="0"/>
            <w:vAlign w:val="center"/>
          </w:tcPr>
          <w:p w14:paraId="567E85D3">
            <w:pP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对于清单品目中的投标产品价格给予价格部分总分值</w:t>
            </w:r>
            <w:r>
              <w:rPr>
                <w:rFonts w:hint="eastAsia" w:ascii="仿宋_GB2312" w:hAnsi="仿宋_GB2312" w:eastAsia="仿宋_GB2312" w:cs="仿宋_GB2312"/>
                <w:color w:val="auto"/>
                <w:szCs w:val="21"/>
                <w:highlight w:val="none"/>
                <w:u w:val="single"/>
              </w:rPr>
              <w:t>3</w:t>
            </w:r>
            <w:r>
              <w:rPr>
                <w:rFonts w:hint="eastAsia" w:ascii="仿宋_GB2312" w:hAnsi="仿宋_GB2312" w:eastAsia="仿宋_GB2312" w:cs="仿宋_GB2312"/>
                <w:color w:val="auto"/>
                <w:szCs w:val="21"/>
                <w:highlight w:val="none"/>
              </w:rPr>
              <w:t>%的加分，计算公式如下：</w:t>
            </w:r>
          </w:p>
          <w:p w14:paraId="29BC3273">
            <w:pP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环保产品加分＝（环保产品投标报价之和/投标总价）×价格部分总分值×</w:t>
            </w:r>
            <w:r>
              <w:rPr>
                <w:rFonts w:hint="eastAsia" w:ascii="仿宋_GB2312" w:hAnsi="仿宋_GB2312" w:eastAsia="仿宋_GB2312" w:cs="仿宋_GB2312"/>
                <w:color w:val="auto"/>
                <w:szCs w:val="21"/>
                <w:highlight w:val="none"/>
                <w:u w:val="single"/>
              </w:rPr>
              <w:t>3</w:t>
            </w:r>
            <w:r>
              <w:rPr>
                <w:rFonts w:hint="eastAsia" w:ascii="仿宋_GB2312" w:hAnsi="仿宋_GB2312" w:eastAsia="仿宋_GB2312" w:cs="仿宋_GB2312"/>
                <w:color w:val="auto"/>
                <w:szCs w:val="21"/>
                <w:highlight w:val="none"/>
              </w:rPr>
              <w:t>%。</w:t>
            </w:r>
          </w:p>
        </w:tc>
      </w:tr>
      <w:tr w14:paraId="70D03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4" w:hRule="atLeast"/>
        </w:trPr>
        <w:tc>
          <w:tcPr>
            <w:tcW w:w="585" w:type="pct"/>
            <w:noWrap w:val="0"/>
            <w:vAlign w:val="center"/>
          </w:tcPr>
          <w:p w14:paraId="7228D16D">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000000"/>
                <w:szCs w:val="21"/>
                <w:highlight w:val="none"/>
              </w:rPr>
              <w:t>创新产品</w:t>
            </w:r>
          </w:p>
        </w:tc>
        <w:tc>
          <w:tcPr>
            <w:tcW w:w="4414" w:type="pct"/>
            <w:noWrap w:val="0"/>
            <w:vAlign w:val="center"/>
          </w:tcPr>
          <w:p w14:paraId="6F65EB75">
            <w:pP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对《创新产品和服务目录》中的投标产品价格给予价格部分总分值</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u w:val="single"/>
                <w:lang w:val="en-US" w:eastAsia="zh-CN"/>
              </w:rPr>
              <w:t>6</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%的加分，计算公式如下：</w:t>
            </w:r>
          </w:p>
          <w:p w14:paraId="6A77A59D">
            <w:pP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000000"/>
                <w:szCs w:val="21"/>
                <w:highlight w:val="none"/>
              </w:rPr>
              <w:t>创新产品加分＝（《创新产品和服务目录》中投标产品报价之和/投标总价）×价格部分总分值</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u w:val="single"/>
                <w:lang w:val="en-US" w:eastAsia="zh-CN"/>
              </w:rPr>
              <w:t>30</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u w:val="single"/>
                <w:lang w:val="en-US" w:eastAsia="zh-CN"/>
              </w:rPr>
              <w:t>6</w:t>
            </w:r>
            <w:r>
              <w:rPr>
                <w:rFonts w:hint="eastAsia" w:ascii="仿宋_GB2312" w:hAnsi="仿宋_GB2312" w:eastAsia="仿宋_GB2312" w:cs="仿宋_GB2312"/>
                <w:color w:val="000000"/>
                <w:szCs w:val="21"/>
                <w:highlight w:val="none"/>
                <w:u w:val="single"/>
              </w:rPr>
              <w:t xml:space="preserve"> </w:t>
            </w:r>
            <w:r>
              <w:rPr>
                <w:rFonts w:hint="eastAsia" w:ascii="仿宋_GB2312" w:hAnsi="仿宋_GB2312" w:eastAsia="仿宋_GB2312" w:cs="仿宋_GB2312"/>
                <w:color w:val="000000"/>
                <w:szCs w:val="21"/>
                <w:highlight w:val="none"/>
              </w:rPr>
              <w:t>%。</w:t>
            </w:r>
          </w:p>
        </w:tc>
      </w:tr>
    </w:tbl>
    <w:p w14:paraId="58701FDD">
      <w:pPr>
        <w:numPr>
          <w:ilvl w:val="0"/>
          <w:numId w:val="0"/>
        </w:numPr>
        <w:ind w:leftChars="0"/>
        <w:rPr>
          <w:rFonts w:hint="eastAsia" w:ascii="仿宋_GB2312" w:hAnsi="仿宋_GB2312" w:eastAsia="仿宋_GB2312" w:cs="仿宋_GB2312"/>
          <w:b/>
          <w:color w:val="000000"/>
          <w:sz w:val="24"/>
          <w:szCs w:val="24"/>
          <w:highlight w:val="none"/>
        </w:rPr>
      </w:pPr>
    </w:p>
    <w:p w14:paraId="5AD8D1F9">
      <w:pPr>
        <w:wordWrap w:val="0"/>
        <w:adjustRightInd w:val="0"/>
        <w:snapToGrid w:val="0"/>
        <w:spacing w:line="360" w:lineRule="auto"/>
        <w:jc w:val="right"/>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br w:type="page"/>
      </w:r>
    </w:p>
    <w:p w14:paraId="3F60EFE1">
      <w:pPr>
        <w:rPr>
          <w:rFonts w:hint="eastAsia" w:ascii="Times New Roman" w:hAnsi="Times New Roman" w:eastAsia="仿宋" w:cs="仿宋"/>
          <w:color w:val="000000"/>
          <w:highlight w:val="none"/>
        </w:rPr>
      </w:pPr>
      <w:bookmarkStart w:id="143" w:name="_Toc25922_WPSOffice_Level1"/>
    </w:p>
    <w:p w14:paraId="3DCA4332">
      <w:pPr>
        <w:rPr>
          <w:rFonts w:hint="eastAsia" w:ascii="Times New Roman" w:hAnsi="Times New Roman" w:eastAsia="仿宋" w:cs="仿宋"/>
          <w:color w:val="000000"/>
          <w:highlight w:val="none"/>
        </w:rPr>
      </w:pPr>
    </w:p>
    <w:p w14:paraId="0C5D5F2A">
      <w:pPr>
        <w:rPr>
          <w:rFonts w:hint="eastAsia" w:ascii="Times New Roman" w:hAnsi="Times New Roman" w:eastAsia="仿宋" w:cs="仿宋"/>
          <w:color w:val="000000"/>
          <w:highlight w:val="none"/>
        </w:rPr>
      </w:pPr>
    </w:p>
    <w:p w14:paraId="2BD9BF1B">
      <w:pPr>
        <w:rPr>
          <w:rFonts w:hint="eastAsia" w:ascii="Times New Roman" w:hAnsi="Times New Roman" w:eastAsia="仿宋" w:cs="仿宋"/>
          <w:color w:val="000000"/>
          <w:highlight w:val="none"/>
        </w:rPr>
      </w:pPr>
    </w:p>
    <w:p w14:paraId="75293024">
      <w:pPr>
        <w:rPr>
          <w:rFonts w:hint="eastAsia" w:ascii="Times New Roman" w:hAnsi="Times New Roman" w:eastAsia="仿宋" w:cs="仿宋"/>
          <w:color w:val="000000"/>
          <w:highlight w:val="none"/>
        </w:rPr>
      </w:pPr>
    </w:p>
    <w:p w14:paraId="67C4F929">
      <w:pPr>
        <w:rPr>
          <w:rFonts w:hint="eastAsia" w:ascii="Times New Roman" w:hAnsi="Times New Roman" w:eastAsia="仿宋" w:cs="仿宋"/>
          <w:color w:val="000000"/>
          <w:highlight w:val="none"/>
        </w:rPr>
      </w:pPr>
    </w:p>
    <w:p w14:paraId="2D64DA2A">
      <w:pPr>
        <w:rPr>
          <w:rFonts w:hint="eastAsia" w:ascii="Times New Roman" w:hAnsi="Times New Roman" w:eastAsia="仿宋" w:cs="仿宋"/>
          <w:color w:val="000000"/>
          <w:highlight w:val="none"/>
        </w:rPr>
      </w:pPr>
    </w:p>
    <w:p w14:paraId="4D454634">
      <w:pPr>
        <w:rPr>
          <w:rFonts w:hint="eastAsia" w:ascii="Times New Roman" w:hAnsi="Times New Roman" w:eastAsia="仿宋" w:cs="仿宋"/>
          <w:color w:val="000000"/>
          <w:highlight w:val="none"/>
        </w:rPr>
      </w:pPr>
    </w:p>
    <w:p w14:paraId="5F18A161">
      <w:pPr>
        <w:rPr>
          <w:rFonts w:hint="eastAsia" w:ascii="Times New Roman" w:hAnsi="Times New Roman" w:eastAsia="仿宋" w:cs="仿宋"/>
          <w:color w:val="000000"/>
          <w:highlight w:val="none"/>
        </w:rPr>
      </w:pPr>
    </w:p>
    <w:p w14:paraId="7015BAFB">
      <w:pPr>
        <w:rPr>
          <w:rFonts w:hint="eastAsia" w:ascii="Times New Roman" w:hAnsi="Times New Roman" w:eastAsia="仿宋" w:cs="仿宋"/>
          <w:color w:val="000000"/>
          <w:highlight w:val="none"/>
        </w:rPr>
      </w:pPr>
    </w:p>
    <w:p w14:paraId="7647B181">
      <w:pPr>
        <w:pStyle w:val="3"/>
        <w:adjustRightInd w:val="0"/>
        <w:snapToGrid w:val="0"/>
        <w:spacing w:before="312" w:beforeLines="100" w:after="312" w:afterLines="100"/>
        <w:outlineLvl w:val="0"/>
        <w:rPr>
          <w:rFonts w:hint="eastAsia" w:ascii="黑体" w:hAnsi="黑体" w:eastAsia="黑体" w:cs="黑体"/>
          <w:b w:val="0"/>
          <w:bCs/>
          <w:color w:val="000000"/>
          <w:sz w:val="36"/>
          <w:szCs w:val="36"/>
          <w:highlight w:val="none"/>
        </w:rPr>
      </w:pPr>
      <w:bookmarkStart w:id="144" w:name="_Toc32187"/>
      <w:r>
        <w:rPr>
          <w:rFonts w:hint="eastAsia" w:ascii="黑体" w:hAnsi="黑体" w:eastAsia="黑体" w:cs="黑体"/>
          <w:b w:val="0"/>
          <w:bCs/>
          <w:color w:val="000000"/>
          <w:sz w:val="36"/>
          <w:szCs w:val="36"/>
          <w:highlight w:val="none"/>
        </w:rPr>
        <w:t>第五章 政府采购合同条款</w:t>
      </w:r>
      <w:bookmarkEnd w:id="143"/>
      <w:r>
        <w:rPr>
          <w:rFonts w:hint="eastAsia" w:ascii="黑体" w:hAnsi="黑体" w:eastAsia="黑体" w:cs="黑体"/>
          <w:b w:val="0"/>
          <w:bCs/>
          <w:color w:val="000000"/>
          <w:sz w:val="36"/>
          <w:szCs w:val="36"/>
          <w:highlight w:val="none"/>
        </w:rPr>
        <w:t>及格式</w:t>
      </w:r>
      <w:bookmarkEnd w:id="144"/>
    </w:p>
    <w:p w14:paraId="05627CD9">
      <w:pPr>
        <w:jc w:val="center"/>
        <w:rPr>
          <w:rFonts w:hint="eastAsia" w:ascii="Times New Roman" w:hAnsi="Times New Roman" w:eastAsia="仿宋" w:cs="仿宋"/>
          <w:b w:val="0"/>
          <w:bCs w:val="0"/>
          <w:color w:val="000000"/>
          <w:sz w:val="28"/>
          <w:szCs w:val="36"/>
          <w:highlight w:val="none"/>
        </w:rPr>
      </w:pPr>
      <w:r>
        <w:rPr>
          <w:rFonts w:hint="eastAsia" w:ascii="Times New Roman" w:hAnsi="Times New Roman" w:eastAsia="仿宋" w:cs="仿宋"/>
          <w:b w:val="0"/>
          <w:bCs w:val="0"/>
          <w:color w:val="000000"/>
          <w:sz w:val="28"/>
          <w:szCs w:val="36"/>
          <w:highlight w:val="none"/>
        </w:rPr>
        <w:t>（以下内容仅供参考，采购文件中应提供拟签订的合同文本）</w:t>
      </w:r>
    </w:p>
    <w:p w14:paraId="57D64B62">
      <w:pPr>
        <w:rPr>
          <w:rFonts w:hint="eastAsia" w:ascii="Times New Roman" w:hAnsi="Times New Roman" w:eastAsia="仿宋" w:cs="仿宋"/>
          <w:b w:val="0"/>
          <w:bCs w:val="0"/>
          <w:color w:val="000000"/>
          <w:highlight w:val="none"/>
        </w:rPr>
      </w:pPr>
    </w:p>
    <w:p w14:paraId="24DD5F3F">
      <w:pPr>
        <w:pStyle w:val="2"/>
        <w:spacing w:after="0"/>
        <w:jc w:val="center"/>
        <w:rPr>
          <w:rFonts w:hint="eastAsia" w:ascii="Times New Roman" w:hAnsi="Times New Roman" w:eastAsia="仿宋" w:cs="仿宋"/>
          <w:b/>
          <w:bCs/>
          <w:color w:val="000000"/>
          <w:spacing w:val="-20"/>
          <w:kern w:val="44"/>
          <w:sz w:val="48"/>
          <w:szCs w:val="48"/>
          <w:highlight w:val="none"/>
        </w:rPr>
      </w:pPr>
      <w:bookmarkStart w:id="145" w:name="_Toc23704_WPSOffice_Level1"/>
      <w:r>
        <w:rPr>
          <w:rFonts w:hint="eastAsia" w:ascii="Times New Roman" w:hAnsi="Times New Roman" w:eastAsia="仿宋" w:cs="仿宋"/>
          <w:color w:val="000000"/>
          <w:szCs w:val="28"/>
          <w:highlight w:val="none"/>
        </w:rPr>
        <w:br w:type="page"/>
      </w:r>
      <w:bookmarkEnd w:id="145"/>
      <w:bookmarkStart w:id="146" w:name="_Toc3995"/>
    </w:p>
    <w:p w14:paraId="5E7BC9AD">
      <w:pPr>
        <w:pStyle w:val="2"/>
        <w:spacing w:after="0"/>
        <w:jc w:val="center"/>
        <w:rPr>
          <w:rFonts w:hint="eastAsia" w:ascii="Times New Roman" w:hAnsi="Times New Roman" w:eastAsia="仿宋" w:cs="仿宋"/>
          <w:b/>
          <w:bCs/>
          <w:color w:val="000000"/>
          <w:spacing w:val="-20"/>
          <w:kern w:val="44"/>
          <w:sz w:val="48"/>
          <w:szCs w:val="48"/>
          <w:highlight w:val="none"/>
        </w:rPr>
      </w:pPr>
    </w:p>
    <w:p w14:paraId="289C8A81">
      <w:pPr>
        <w:pStyle w:val="2"/>
        <w:spacing w:after="0"/>
        <w:jc w:val="center"/>
        <w:rPr>
          <w:rFonts w:hint="eastAsia" w:ascii="Times New Roman" w:hAnsi="Times New Roman" w:eastAsia="仿宋" w:cs="仿宋"/>
          <w:b/>
          <w:bCs/>
          <w:color w:val="000000"/>
          <w:spacing w:val="-20"/>
          <w:kern w:val="44"/>
          <w:sz w:val="48"/>
          <w:szCs w:val="48"/>
          <w:highlight w:val="none"/>
        </w:rPr>
      </w:pPr>
    </w:p>
    <w:p w14:paraId="05FD8472">
      <w:pPr>
        <w:pStyle w:val="2"/>
        <w:spacing w:after="0"/>
        <w:jc w:val="center"/>
        <w:rPr>
          <w:rFonts w:hint="eastAsia" w:ascii="Times New Roman" w:hAnsi="Times New Roman" w:eastAsia="仿宋" w:cs="仿宋"/>
          <w:b/>
          <w:bCs/>
          <w:color w:val="000000"/>
          <w:spacing w:val="-20"/>
          <w:kern w:val="44"/>
          <w:sz w:val="48"/>
          <w:szCs w:val="48"/>
          <w:highlight w:val="none"/>
        </w:rPr>
      </w:pPr>
    </w:p>
    <w:p w14:paraId="05D886DC">
      <w:pPr>
        <w:pStyle w:val="2"/>
        <w:spacing w:after="0"/>
        <w:jc w:val="center"/>
        <w:rPr>
          <w:rFonts w:hint="eastAsia" w:ascii="Times New Roman" w:hAnsi="Times New Roman" w:eastAsia="仿宋" w:cs="仿宋"/>
          <w:b/>
          <w:bCs/>
          <w:color w:val="000000"/>
          <w:spacing w:val="-20"/>
          <w:kern w:val="44"/>
          <w:sz w:val="48"/>
          <w:szCs w:val="48"/>
          <w:highlight w:val="none"/>
        </w:rPr>
      </w:pPr>
    </w:p>
    <w:p w14:paraId="1318E6CE">
      <w:pPr>
        <w:pStyle w:val="2"/>
        <w:spacing w:after="0"/>
        <w:jc w:val="center"/>
        <w:rPr>
          <w:rFonts w:hint="eastAsia" w:ascii="宋体" w:hAnsi="宋体" w:eastAsia="宋体" w:cs="宋体"/>
          <w:b/>
          <w:bCs/>
          <w:color w:val="000000"/>
          <w:spacing w:val="-20"/>
          <w:kern w:val="44"/>
          <w:sz w:val="48"/>
          <w:szCs w:val="48"/>
          <w:highlight w:val="none"/>
        </w:rPr>
      </w:pPr>
      <w:r>
        <w:rPr>
          <w:rFonts w:hint="eastAsia" w:ascii="宋体" w:hAnsi="宋体" w:eastAsia="宋体" w:cs="宋体"/>
          <w:b/>
          <w:bCs/>
          <w:color w:val="000000"/>
          <w:spacing w:val="-20"/>
          <w:kern w:val="44"/>
          <w:sz w:val="48"/>
          <w:szCs w:val="48"/>
          <w:highlight w:val="none"/>
        </w:rPr>
        <w:t>政府采购货物买卖合同</w:t>
      </w:r>
    </w:p>
    <w:p w14:paraId="20E27AEF">
      <w:pPr>
        <w:pStyle w:val="2"/>
        <w:spacing w:after="0"/>
        <w:jc w:val="center"/>
        <w:rPr>
          <w:rFonts w:hint="eastAsia" w:ascii="宋体" w:hAnsi="宋体" w:eastAsia="宋体" w:cs="宋体"/>
          <w:b/>
          <w:bCs/>
          <w:color w:val="000000"/>
          <w:spacing w:val="-20"/>
          <w:kern w:val="44"/>
          <w:sz w:val="48"/>
          <w:szCs w:val="48"/>
          <w:highlight w:val="none"/>
        </w:rPr>
      </w:pPr>
      <w:r>
        <w:rPr>
          <w:rFonts w:hint="eastAsia" w:ascii="宋体" w:hAnsi="宋体" w:eastAsia="宋体" w:cs="宋体"/>
          <w:b/>
          <w:bCs/>
          <w:color w:val="000000"/>
          <w:spacing w:val="-20"/>
          <w:kern w:val="44"/>
          <w:sz w:val="48"/>
          <w:szCs w:val="48"/>
          <w:highlight w:val="none"/>
        </w:rPr>
        <w:t>（试行）</w:t>
      </w:r>
    </w:p>
    <w:p w14:paraId="6BE322D6">
      <w:pPr>
        <w:rPr>
          <w:rFonts w:hint="eastAsia" w:ascii="Times New Roman" w:hAnsi="Times New Roman" w:eastAsia="仿宋" w:cs="仿宋"/>
          <w:b/>
          <w:bCs/>
          <w:color w:val="000000"/>
          <w:spacing w:val="-20"/>
          <w:kern w:val="44"/>
          <w:sz w:val="40"/>
          <w:szCs w:val="40"/>
          <w:highlight w:val="none"/>
        </w:rPr>
      </w:pPr>
    </w:p>
    <w:p w14:paraId="44963FB6">
      <w:pPr>
        <w:rPr>
          <w:rFonts w:hint="eastAsia" w:ascii="Times New Roman" w:hAnsi="Times New Roman" w:eastAsia="仿宋" w:cs="仿宋"/>
          <w:b/>
          <w:bCs/>
          <w:color w:val="000000"/>
          <w:spacing w:val="-20"/>
          <w:kern w:val="44"/>
          <w:sz w:val="40"/>
          <w:szCs w:val="40"/>
          <w:highlight w:val="none"/>
        </w:rPr>
      </w:pPr>
    </w:p>
    <w:p w14:paraId="2AFBB3D7">
      <w:pPr>
        <w:rPr>
          <w:rFonts w:hint="eastAsia" w:ascii="Times New Roman" w:hAnsi="Times New Roman" w:eastAsia="仿宋" w:cs="仿宋"/>
          <w:b/>
          <w:bCs/>
          <w:color w:val="000000"/>
          <w:spacing w:val="-20"/>
          <w:kern w:val="44"/>
          <w:sz w:val="40"/>
          <w:szCs w:val="40"/>
          <w:highlight w:val="none"/>
        </w:rPr>
      </w:pPr>
    </w:p>
    <w:p w14:paraId="5B7F3673">
      <w:pPr>
        <w:spacing w:line="360" w:lineRule="auto"/>
        <w:ind w:left="420" w:leftChars="20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kern w:val="0"/>
          <w:sz w:val="32"/>
          <w:szCs w:val="32"/>
          <w:highlight w:val="none"/>
        </w:rPr>
        <w:t>项目名称：</w:t>
      </w:r>
      <w:r>
        <w:rPr>
          <w:rFonts w:hint="eastAsia" w:ascii="仿宋_GB2312" w:hAnsi="仿宋_GB2312" w:eastAsia="仿宋_GB2312" w:cs="仿宋_GB2312"/>
          <w:color w:val="000000"/>
          <w:sz w:val="32"/>
          <w:szCs w:val="32"/>
          <w:highlight w:val="none"/>
          <w:u w:val="single"/>
        </w:rPr>
        <w:t xml:space="preserve"> 大连医科大学保种质量控制系统设备购置项目  </w:t>
      </w:r>
    </w:p>
    <w:p w14:paraId="118D68FD">
      <w:pPr>
        <w:spacing w:line="360" w:lineRule="auto"/>
        <w:ind w:left="420" w:leftChars="200"/>
        <w:rPr>
          <w:rFonts w:hint="eastAsia" w:ascii="仿宋_GB2312" w:hAnsi="仿宋_GB2312" w:eastAsia="仿宋_GB2312" w:cs="仿宋_GB2312"/>
          <w:color w:val="000000"/>
          <w:sz w:val="32"/>
          <w:szCs w:val="32"/>
          <w:highlight w:val="none"/>
          <w:u w:val="single"/>
        </w:rPr>
      </w:pPr>
      <w:r>
        <w:rPr>
          <w:rFonts w:hint="eastAsia" w:ascii="仿宋_GB2312" w:hAnsi="仿宋_GB2312" w:eastAsia="仿宋_GB2312" w:cs="仿宋_GB2312"/>
          <w:color w:val="000000"/>
          <w:sz w:val="32"/>
          <w:szCs w:val="32"/>
          <w:highlight w:val="none"/>
        </w:rPr>
        <w:t>合同编号：</w:t>
      </w:r>
      <w:r>
        <w:rPr>
          <w:rFonts w:hint="eastAsia" w:ascii="仿宋_GB2312" w:hAnsi="仿宋_GB2312" w:eastAsia="仿宋_GB2312" w:cs="仿宋_GB2312"/>
          <w:b w:val="0"/>
          <w:bCs/>
          <w:color w:val="auto"/>
          <w:sz w:val="36"/>
          <w:szCs w:val="36"/>
          <w:highlight w:val="none"/>
          <w:u w:val="single"/>
        </w:rPr>
        <w:t>JH26-210000-43661</w:t>
      </w:r>
      <w:r>
        <w:rPr>
          <w:rFonts w:hint="eastAsia" w:ascii="仿宋_GB2312" w:hAnsi="仿宋_GB2312" w:eastAsia="仿宋_GB2312" w:cs="仿宋_GB2312"/>
          <w:color w:val="000000"/>
          <w:sz w:val="32"/>
          <w:szCs w:val="32"/>
          <w:highlight w:val="none"/>
          <w:u w:val="single"/>
        </w:rPr>
        <w:t xml:space="preserve">                             </w:t>
      </w:r>
    </w:p>
    <w:p w14:paraId="123D6140">
      <w:pPr>
        <w:spacing w:line="360" w:lineRule="auto"/>
        <w:ind w:left="420" w:leftChars="20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甲    方：</w:t>
      </w:r>
      <w:r>
        <w:rPr>
          <w:rFonts w:hint="eastAsia" w:ascii="仿宋_GB2312" w:hAnsi="仿宋_GB2312" w:eastAsia="仿宋_GB2312" w:cs="仿宋_GB2312"/>
          <w:color w:val="000000"/>
          <w:sz w:val="32"/>
          <w:szCs w:val="32"/>
          <w:highlight w:val="none"/>
          <w:u w:val="single"/>
        </w:rPr>
        <w:t xml:space="preserve">  大连医科大学                           </w:t>
      </w:r>
    </w:p>
    <w:p w14:paraId="7ADC123A">
      <w:pPr>
        <w:spacing w:line="360" w:lineRule="auto"/>
        <w:ind w:left="420" w:leftChars="200"/>
        <w:rPr>
          <w:rFonts w:hint="eastAsia" w:ascii="仿宋_GB2312" w:hAnsi="仿宋_GB2312" w:eastAsia="仿宋_GB2312" w:cs="仿宋_GB2312"/>
          <w:color w:val="000000"/>
          <w:sz w:val="32"/>
          <w:szCs w:val="32"/>
          <w:highlight w:val="none"/>
          <w:u w:val="single"/>
        </w:rPr>
      </w:pPr>
      <w:r>
        <w:rPr>
          <w:rFonts w:hint="eastAsia" w:ascii="仿宋_GB2312" w:hAnsi="仿宋_GB2312" w:eastAsia="仿宋_GB2312" w:cs="仿宋_GB2312"/>
          <w:color w:val="000000"/>
          <w:sz w:val="32"/>
          <w:szCs w:val="32"/>
          <w:highlight w:val="none"/>
        </w:rPr>
        <w:t>乙    方：</w:t>
      </w:r>
      <w:r>
        <w:rPr>
          <w:rFonts w:hint="eastAsia" w:ascii="仿宋_GB2312" w:hAnsi="仿宋_GB2312" w:eastAsia="仿宋_GB2312" w:cs="仿宋_GB2312"/>
          <w:color w:val="000000"/>
          <w:sz w:val="32"/>
          <w:szCs w:val="32"/>
          <w:highlight w:val="none"/>
          <w:u w:val="single"/>
        </w:rPr>
        <w:t xml:space="preserve">                             </w:t>
      </w:r>
    </w:p>
    <w:p w14:paraId="03CA995E">
      <w:pPr>
        <w:spacing w:line="360" w:lineRule="auto"/>
        <w:ind w:left="420" w:leftChars="20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签订时间：</w:t>
      </w:r>
      <w:r>
        <w:rPr>
          <w:rFonts w:hint="eastAsia" w:ascii="仿宋_GB2312" w:hAnsi="仿宋_GB2312" w:eastAsia="仿宋_GB2312" w:cs="仿宋_GB2312"/>
          <w:color w:val="000000"/>
          <w:sz w:val="32"/>
          <w:szCs w:val="32"/>
          <w:highlight w:val="none"/>
          <w:u w:val="single"/>
        </w:rPr>
        <w:t xml:space="preserve">                             </w:t>
      </w:r>
    </w:p>
    <w:p w14:paraId="0037C02A">
      <w:pPr>
        <w:rPr>
          <w:rFonts w:hint="eastAsia" w:ascii="Times New Roman" w:hAnsi="Times New Roman" w:eastAsia="仿宋" w:cs="仿宋"/>
          <w:color w:val="000000"/>
          <w:highlight w:val="none"/>
        </w:rPr>
      </w:pPr>
    </w:p>
    <w:p w14:paraId="0E712C5F">
      <w:pPr>
        <w:rPr>
          <w:rFonts w:hint="eastAsia" w:ascii="Times New Roman" w:hAnsi="Times New Roman" w:eastAsia="仿宋" w:cs="仿宋"/>
          <w:color w:val="000000"/>
          <w:sz w:val="44"/>
          <w:szCs w:val="44"/>
          <w:highlight w:val="none"/>
        </w:rPr>
      </w:pPr>
      <w:r>
        <w:rPr>
          <w:rFonts w:hint="eastAsia" w:ascii="Times New Roman" w:hAnsi="Times New Roman" w:eastAsia="仿宋" w:cs="仿宋"/>
          <w:color w:val="000000"/>
          <w:sz w:val="44"/>
          <w:szCs w:val="44"/>
          <w:highlight w:val="none"/>
        </w:rPr>
        <w:br w:type="page"/>
      </w:r>
    </w:p>
    <w:p w14:paraId="239687B1">
      <w:pPr>
        <w:rPr>
          <w:rFonts w:hint="eastAsia" w:ascii="Times New Roman" w:hAnsi="Times New Roman" w:eastAsia="仿宋" w:cs="仿宋"/>
          <w:color w:val="000000"/>
          <w:sz w:val="44"/>
          <w:szCs w:val="44"/>
          <w:highlight w:val="none"/>
        </w:rPr>
      </w:pPr>
    </w:p>
    <w:p w14:paraId="3C1C11FB">
      <w:pPr>
        <w:rPr>
          <w:rFonts w:hint="eastAsia" w:ascii="Times New Roman" w:hAnsi="Times New Roman" w:eastAsia="仿宋" w:cs="仿宋"/>
          <w:color w:val="000000"/>
          <w:sz w:val="44"/>
          <w:szCs w:val="44"/>
          <w:highlight w:val="none"/>
        </w:rPr>
      </w:pPr>
    </w:p>
    <w:p w14:paraId="74A814C0">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使 用 说 明</w:t>
      </w:r>
    </w:p>
    <w:p w14:paraId="1ADFFB36">
      <w:pPr>
        <w:ind w:firstLine="640" w:firstLineChars="200"/>
        <w:rPr>
          <w:rFonts w:hint="eastAsia" w:ascii="Times New Roman" w:hAnsi="Times New Roman" w:eastAsia="仿宋" w:cs="仿宋"/>
          <w:color w:val="000000"/>
          <w:sz w:val="32"/>
          <w:szCs w:val="32"/>
          <w:highlight w:val="none"/>
        </w:rPr>
      </w:pPr>
    </w:p>
    <w:p w14:paraId="0FA359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1.本合同标准文本适用于购买现成货物的采购项目，不包括需要供应商定制开发、创新研发的货物采购项目。</w:t>
      </w:r>
    </w:p>
    <w:p w14:paraId="0403EB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2.本合同标准文本为政府采购货物买卖合同编制提供参考，可以结合采购项目具体情况，对文本作必要的调整修订后使用。</w:t>
      </w:r>
    </w:p>
    <w:p w14:paraId="787C80D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3.本合同标准文本各条款中，如涉及填写多家供应商、制造商，多种采购标的、分包主要内容等信息的，可根据采购项目具体情况添加信息项。</w:t>
      </w:r>
    </w:p>
    <w:bookmarkEnd w:id="146"/>
    <w:p w14:paraId="7AF4C18F">
      <w:pPr>
        <w:rPr>
          <w:rFonts w:hint="eastAsia" w:ascii="Times New Roman" w:hAnsi="Times New Roman" w:eastAsia="仿宋" w:cs="仿宋"/>
          <w:color w:val="000000"/>
          <w:highlight w:val="none"/>
        </w:rPr>
      </w:pPr>
      <w:bookmarkStart w:id="147" w:name="_Toc22209"/>
      <w:r>
        <w:rPr>
          <w:rFonts w:hint="eastAsia" w:ascii="Times New Roman" w:hAnsi="Times New Roman" w:eastAsia="仿宋" w:cs="仿宋"/>
          <w:color w:val="000000"/>
          <w:highlight w:val="none"/>
        </w:rPr>
        <w:br w:type="page"/>
      </w:r>
    </w:p>
    <w:p w14:paraId="5EF3756E">
      <w:pPr>
        <w:pStyle w:val="4"/>
        <w:adjustRightInd w:val="0"/>
        <w:snapToGrid w:val="0"/>
        <w:spacing w:line="400" w:lineRule="exact"/>
        <w:rPr>
          <w:rFonts w:hint="eastAsia" w:ascii="黑体" w:hAnsi="黑体" w:eastAsia="黑体" w:cs="黑体"/>
          <w:b w:val="0"/>
          <w:bCs w:val="0"/>
          <w:color w:val="000000"/>
          <w:szCs w:val="28"/>
          <w:highlight w:val="none"/>
        </w:rPr>
      </w:pPr>
      <w:r>
        <w:rPr>
          <w:rFonts w:hint="eastAsia" w:ascii="黑体" w:hAnsi="黑体" w:eastAsia="黑体" w:cs="黑体"/>
          <w:b w:val="0"/>
          <w:bCs w:val="0"/>
          <w:color w:val="000000"/>
          <w:szCs w:val="28"/>
          <w:highlight w:val="none"/>
        </w:rPr>
        <w:t>第一节 政府采购合同协议书</w:t>
      </w:r>
      <w:bookmarkEnd w:id="147"/>
    </w:p>
    <w:p w14:paraId="55EA3AAA">
      <w:pPr>
        <w:rPr>
          <w:rFonts w:hint="eastAsia" w:ascii="Times New Roman" w:hAnsi="Times New Roman" w:eastAsia="仿宋" w:cs="仿宋"/>
          <w:color w:val="000000"/>
          <w:highlight w:val="none"/>
        </w:rPr>
      </w:pPr>
    </w:p>
    <w:p w14:paraId="380AFB1C">
      <w:pPr>
        <w:adjustRightInd w:val="0"/>
        <w:snapToGrid w:val="0"/>
        <w:spacing w:line="400" w:lineRule="exac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甲方（全称）：</w:t>
      </w:r>
      <w:r>
        <w:rPr>
          <w:rFonts w:hint="eastAsia" w:ascii="仿宋_GB2312" w:hAnsi="仿宋_GB2312" w:eastAsia="仿宋_GB2312" w:cs="仿宋_GB2312"/>
          <w:color w:val="000000"/>
          <w:sz w:val="24"/>
          <w:szCs w:val="24"/>
          <w:highlight w:val="none"/>
          <w:u w:val="single"/>
        </w:rPr>
        <w:t xml:space="preserve">   大连医科大学     </w:t>
      </w:r>
      <w:r>
        <w:rPr>
          <w:rFonts w:hint="eastAsia" w:ascii="仿宋_GB2312" w:hAnsi="仿宋_GB2312" w:eastAsia="仿宋_GB2312" w:cs="仿宋_GB2312"/>
          <w:color w:val="000000"/>
          <w:sz w:val="24"/>
          <w:szCs w:val="24"/>
          <w:highlight w:val="none"/>
        </w:rPr>
        <w:t>（采购人、受采购人委托签订合同的单位或采购文件约定的合同甲方）</w:t>
      </w:r>
    </w:p>
    <w:p w14:paraId="22D28F39">
      <w:pPr>
        <w:adjustRightInd w:val="0"/>
        <w:snapToGrid w:val="0"/>
        <w:spacing w:line="400" w:lineRule="exac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乙方1（全称）：</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（供应商）</w:t>
      </w:r>
    </w:p>
    <w:p w14:paraId="0DCA4A8E">
      <w:pPr>
        <w:spacing w:line="400" w:lineRule="exact"/>
        <w:rPr>
          <w:rFonts w:hint="eastAsia" w:ascii="仿宋_GB2312" w:hAnsi="仿宋_GB2312" w:eastAsia="仿宋_GB2312" w:cs="仿宋_GB2312"/>
          <w:color w:val="000000"/>
          <w:sz w:val="24"/>
          <w:szCs w:val="24"/>
          <w:highlight w:val="none"/>
        </w:rPr>
      </w:pPr>
    </w:p>
    <w:p w14:paraId="3CD7C10A">
      <w:pPr>
        <w:pStyle w:val="8"/>
        <w:adjustRightInd w:val="0"/>
        <w:snapToGrid w:val="0"/>
        <w:spacing w:after="0" w:line="400" w:lineRule="exact"/>
        <w:ind w:left="0" w:leftChars="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729CC45A">
      <w:pPr>
        <w:numPr>
          <w:ilvl w:val="0"/>
          <w:numId w:val="10"/>
        </w:numPr>
        <w:adjustRightInd w:val="0"/>
        <w:snapToGrid w:val="0"/>
        <w:spacing w:line="400" w:lineRule="exact"/>
        <w:ind w:firstLine="480" w:firstLineChars="2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项目信息</w:t>
      </w:r>
    </w:p>
    <w:p w14:paraId="0A067673">
      <w:pPr>
        <w:pStyle w:val="8"/>
        <w:numPr>
          <w:ilvl w:val="0"/>
          <w:numId w:val="11"/>
        </w:numPr>
        <w:adjustRightInd w:val="0"/>
        <w:snapToGrid w:val="0"/>
        <w:spacing w:after="0" w:line="400" w:lineRule="exact"/>
        <w:ind w:left="0" w:leftChars="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采购项目名称：</w:t>
      </w:r>
      <w:r>
        <w:rPr>
          <w:rFonts w:hint="eastAsia" w:ascii="仿宋_GB2312" w:hAnsi="仿宋_GB2312" w:eastAsia="仿宋_GB2312" w:cs="仿宋_GB2312"/>
          <w:color w:val="000000"/>
          <w:sz w:val="24"/>
          <w:szCs w:val="24"/>
          <w:highlight w:val="none"/>
          <w:u w:val="single"/>
        </w:rPr>
        <w:t xml:space="preserve"> 大连医科大学保种质量控制系统设备购置项目                                         </w:t>
      </w:r>
    </w:p>
    <w:p w14:paraId="1977F8A1">
      <w:pPr>
        <w:pStyle w:val="8"/>
        <w:adjustRightInd w:val="0"/>
        <w:snapToGrid w:val="0"/>
        <w:spacing w:after="0"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采购项目编号：</w:t>
      </w:r>
      <w:r>
        <w:rPr>
          <w:rFonts w:hint="eastAsia" w:ascii="仿宋_GB2312" w:hAnsi="仿宋_GB2312" w:eastAsia="仿宋_GB2312" w:cs="仿宋_GB2312"/>
          <w:color w:val="000000"/>
          <w:sz w:val="24"/>
          <w:szCs w:val="24"/>
          <w:highlight w:val="none"/>
          <w:u w:val="single"/>
        </w:rPr>
        <w:t xml:space="preserve">JH26-210000-43661                                          </w:t>
      </w:r>
    </w:p>
    <w:p w14:paraId="6C8E7073">
      <w:pPr>
        <w:pStyle w:val="8"/>
        <w:adjustRightInd w:val="0"/>
        <w:snapToGrid w:val="0"/>
        <w:spacing w:after="0" w:line="400" w:lineRule="exact"/>
        <w:ind w:left="0" w:leftChars="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（2）采购计划编号：</w:t>
      </w:r>
      <w:r>
        <w:rPr>
          <w:rFonts w:hint="eastAsia" w:ascii="仿宋_GB2312" w:hAnsi="仿宋_GB2312" w:eastAsia="仿宋_GB2312" w:cs="仿宋_GB2312"/>
          <w:color w:val="000000"/>
          <w:sz w:val="24"/>
          <w:szCs w:val="24"/>
          <w:highlight w:val="none"/>
          <w:u w:val="single"/>
        </w:rPr>
        <w:t xml:space="preserve">JH26-210000-43661                                          </w:t>
      </w:r>
      <w:r>
        <w:rPr>
          <w:rFonts w:hint="eastAsia" w:ascii="仿宋_GB2312" w:hAnsi="仿宋_GB2312" w:eastAsia="仿宋_GB2312" w:cs="仿宋_GB2312"/>
          <w:color w:val="000000"/>
          <w:sz w:val="24"/>
          <w:szCs w:val="24"/>
          <w:highlight w:val="none"/>
        </w:rPr>
        <w:t xml:space="preserve"> </w:t>
      </w:r>
    </w:p>
    <w:p w14:paraId="29D52CBF">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（3）项目内容：</w:t>
      </w:r>
    </w:p>
    <w:p w14:paraId="1A20C6CC">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采购标的及数量（台/套</w:t>
      </w:r>
      <w:r>
        <w:rPr>
          <w:rFonts w:hint="eastAsia" w:ascii="仿宋_GB2312" w:hAnsi="仿宋_GB2312" w:eastAsia="仿宋_GB2312" w:cs="仿宋_GB2312"/>
          <w:color w:val="000000"/>
          <w:sz w:val="24"/>
          <w:szCs w:val="24"/>
          <w:highlight w:val="none"/>
          <w:lang w:val="en"/>
        </w:rPr>
        <w:t>/个/架/组等</w:t>
      </w:r>
      <w:r>
        <w:rPr>
          <w:rFonts w:hint="eastAsia" w:ascii="仿宋_GB2312" w:hAnsi="仿宋_GB2312" w:eastAsia="仿宋_GB2312" w:cs="仿宋_GB2312"/>
          <w:color w:val="000000"/>
          <w:sz w:val="24"/>
          <w:szCs w:val="24"/>
          <w:highlight w:val="none"/>
        </w:rPr>
        <w:t xml:space="preserve">）：                        </w:t>
      </w:r>
    </w:p>
    <w:p w14:paraId="749FE9E7">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lang w:val="en"/>
        </w:rPr>
      </w:pPr>
      <w:r>
        <w:rPr>
          <w:rFonts w:hint="eastAsia" w:ascii="仿宋_GB2312" w:hAnsi="仿宋_GB2312" w:eastAsia="仿宋_GB2312" w:cs="仿宋_GB2312"/>
          <w:color w:val="000000"/>
          <w:sz w:val="24"/>
          <w:szCs w:val="24"/>
          <w:highlight w:val="none"/>
        </w:rPr>
        <w:t>品牌：</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val="en"/>
        </w:rPr>
        <w:t xml:space="preserve">   </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val="en"/>
        </w:rPr>
        <w:t xml:space="preserve"> </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lang w:val="en"/>
        </w:rPr>
        <w:t xml:space="preserve">     </w:t>
      </w:r>
      <w:r>
        <w:rPr>
          <w:rFonts w:hint="eastAsia" w:ascii="仿宋_GB2312" w:hAnsi="仿宋_GB2312" w:eastAsia="仿宋_GB2312" w:cs="仿宋_GB2312"/>
          <w:color w:val="000000"/>
          <w:sz w:val="24"/>
          <w:szCs w:val="24"/>
          <w:highlight w:val="none"/>
        </w:rPr>
        <w:t>规格型号：</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val="en"/>
        </w:rPr>
        <w:t xml:space="preserve">  </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val="en"/>
        </w:rPr>
        <w:t xml:space="preserve">   </w:t>
      </w:r>
    </w:p>
    <w:p w14:paraId="63DFD37F">
      <w:pPr>
        <w:adjustRightInd w:val="0"/>
        <w:snapToGrid w:val="0"/>
        <w:spacing w:line="400" w:lineRule="exact"/>
        <w:ind w:firstLine="1080" w:firstLineChars="45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采购标的的技术要求、商务要求具体见附件。</w:t>
      </w:r>
    </w:p>
    <w:p w14:paraId="52FBE434">
      <w:pPr>
        <w:adjustRightInd w:val="0"/>
        <w:snapToGrid w:val="0"/>
        <w:spacing w:line="400" w:lineRule="exact"/>
        <w:ind w:firstLine="729" w:firstLineChars="3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①涉及信息类产品，请填写该产品关键部件的品牌、型号：</w:t>
      </w:r>
    </w:p>
    <w:p w14:paraId="15185DD0">
      <w:pPr>
        <w:adjustRightInd w:val="0"/>
        <w:snapToGrid w:val="0"/>
        <w:spacing w:line="400" w:lineRule="exact"/>
        <w:ind w:firstLine="960" w:firstLineChars="400"/>
        <w:jc w:val="left"/>
        <w:rPr>
          <w:rFonts w:hint="eastAsia" w:ascii="仿宋_GB2312" w:hAnsi="仿宋_GB2312" w:eastAsia="仿宋_GB2312" w:cs="仿宋_GB2312"/>
          <w:color w:val="000000"/>
          <w:kern w:val="0"/>
          <w:sz w:val="24"/>
          <w:szCs w:val="24"/>
          <w:highlight w:val="none"/>
          <w:u w:val="single"/>
        </w:rPr>
      </w:pPr>
      <w:r>
        <w:rPr>
          <w:rFonts w:hint="eastAsia" w:ascii="仿宋_GB2312" w:hAnsi="仿宋_GB2312" w:eastAsia="仿宋_GB2312" w:cs="仿宋_GB2312"/>
          <w:color w:val="000000"/>
          <w:sz w:val="24"/>
          <w:szCs w:val="24"/>
          <w:highlight w:val="none"/>
        </w:rPr>
        <w:t>标的名称：</w:t>
      </w:r>
    </w:p>
    <w:p w14:paraId="0D56EAE3">
      <w:pPr>
        <w:adjustRightInd w:val="0"/>
        <w:snapToGrid w:val="0"/>
        <w:spacing w:line="400" w:lineRule="exact"/>
        <w:ind w:firstLine="960" w:firstLineChars="4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关键部件：</w:t>
      </w:r>
      <w:r>
        <w:rPr>
          <w:rFonts w:hint="eastAsia" w:ascii="仿宋_GB2312" w:hAnsi="仿宋_GB2312" w:eastAsia="仿宋_GB2312" w:cs="仿宋_GB2312"/>
          <w:color w:val="000000"/>
          <w:kern w:val="0"/>
          <w:sz w:val="24"/>
          <w:szCs w:val="24"/>
          <w:highlight w:val="none"/>
          <w:u w:val="single"/>
        </w:rPr>
        <w:t xml:space="preserve">          </w:t>
      </w:r>
      <w:r>
        <w:rPr>
          <w:rFonts w:hint="eastAsia" w:ascii="仿宋_GB2312" w:hAnsi="仿宋_GB2312" w:eastAsia="仿宋_GB2312" w:cs="仿宋_GB2312"/>
          <w:color w:val="000000"/>
          <w:kern w:val="0"/>
          <w:sz w:val="24"/>
          <w:szCs w:val="24"/>
          <w:highlight w:val="none"/>
        </w:rPr>
        <w:t xml:space="preserve"> </w:t>
      </w:r>
      <w:r>
        <w:rPr>
          <w:rFonts w:hint="eastAsia" w:ascii="仿宋_GB2312" w:hAnsi="仿宋_GB2312" w:eastAsia="仿宋_GB2312" w:cs="仿宋_GB2312"/>
          <w:color w:val="000000"/>
          <w:sz w:val="24"/>
          <w:szCs w:val="24"/>
          <w:highlight w:val="none"/>
        </w:rPr>
        <w:t>品牌：</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型号：</w:t>
      </w:r>
    </w:p>
    <w:p w14:paraId="7C85D96A">
      <w:pPr>
        <w:pStyle w:val="34"/>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kern w:val="2"/>
          <w:sz w:val="24"/>
          <w:szCs w:val="24"/>
          <w:highlight w:val="none"/>
        </w:rPr>
        <w:t>关键部件</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品牌：</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型号：</w:t>
      </w:r>
    </w:p>
    <w:p w14:paraId="5BA21971">
      <w:pPr>
        <w:pStyle w:val="34"/>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关键部件：</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品牌：</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型号：</w:t>
      </w:r>
    </w:p>
    <w:p w14:paraId="3E4EACE3">
      <w:pPr>
        <w:pStyle w:val="34"/>
        <w:snapToGrid w:val="0"/>
        <w:ind w:firstLine="0" w:firstLine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（注：关键部件是指财政部会同有关部门发布的政府采购需求标准规定的需要通过国家有关部门指定的测评机构开展的安全可靠测评的软硬件，如CPU芯片、操作系统、数据库等。）</w:t>
      </w:r>
    </w:p>
    <w:p w14:paraId="2B15D825">
      <w:pPr>
        <w:adjustRightInd w:val="0"/>
        <w:snapToGrid w:val="0"/>
        <w:spacing w:line="400" w:lineRule="exact"/>
        <w:ind w:firstLine="729" w:firstLineChars="3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②涉及车辆采购，请填写是否属于新能源汽车：</w:t>
      </w:r>
    </w:p>
    <w:p w14:paraId="46DBC078">
      <w:pPr>
        <w:pStyle w:val="34"/>
        <w:snapToGrid w:val="0"/>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是，《政府采购品目分类目录》底级品目名称：</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数量：</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金额：</w:t>
      </w:r>
      <w:r>
        <w:rPr>
          <w:rFonts w:hint="eastAsia" w:ascii="仿宋_GB2312" w:hAnsi="仿宋_GB2312" w:eastAsia="仿宋_GB2312" w:cs="仿宋_GB2312"/>
          <w:color w:val="000000"/>
          <w:sz w:val="24"/>
          <w:szCs w:val="24"/>
          <w:highlight w:val="none"/>
          <w:u w:val="single"/>
        </w:rPr>
        <w:t xml:space="preserve">    </w:t>
      </w:r>
    </w:p>
    <w:p w14:paraId="66731399">
      <w:pPr>
        <w:pStyle w:val="34"/>
        <w:snapToGrid w:val="0"/>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sym w:font="Wingdings" w:char="00FE"/>
      </w:r>
      <w:r>
        <w:rPr>
          <w:rFonts w:hint="eastAsia" w:ascii="仿宋_GB2312" w:hAnsi="仿宋_GB2312" w:eastAsia="仿宋_GB2312" w:cs="仿宋_GB2312"/>
          <w:color w:val="000000"/>
          <w:sz w:val="24"/>
          <w:szCs w:val="24"/>
          <w:highlight w:val="none"/>
        </w:rPr>
        <w:t>否</w:t>
      </w:r>
    </w:p>
    <w:p w14:paraId="4BBC63C1">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val="en"/>
        </w:rPr>
        <w:t>4</w:t>
      </w:r>
      <w:r>
        <w:rPr>
          <w:rFonts w:hint="eastAsia" w:ascii="仿宋_GB2312" w:hAnsi="仿宋_GB2312" w:eastAsia="仿宋_GB2312" w:cs="仿宋_GB2312"/>
          <w:color w:val="000000"/>
          <w:sz w:val="24"/>
          <w:szCs w:val="24"/>
          <w:highlight w:val="none"/>
        </w:rPr>
        <w:t>）政府采购组织形式：</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 xml:space="preserve">政府集中采购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 xml:space="preserve">部门集中采购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分散采购</w:t>
      </w:r>
    </w:p>
    <w:p w14:paraId="0BC5B9B4">
      <w:pPr>
        <w:pStyle w:val="34"/>
        <w:snapToGrid w:val="0"/>
        <w:ind w:firstLine="420" w:firstLine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val="en"/>
        </w:rPr>
        <w:t>5</w:t>
      </w:r>
      <w:r>
        <w:rPr>
          <w:rFonts w:hint="eastAsia" w:ascii="仿宋_GB2312" w:hAnsi="仿宋_GB2312" w:eastAsia="仿宋_GB2312" w:cs="仿宋_GB2312"/>
          <w:color w:val="000000"/>
          <w:sz w:val="24"/>
          <w:szCs w:val="24"/>
          <w:highlight w:val="none"/>
        </w:rPr>
        <w:t>）政府采购方式：</w:t>
      </w:r>
      <w:r>
        <w:rPr>
          <w:rFonts w:hint="eastAsia" w:ascii="仿宋_GB2312" w:hAnsi="仿宋_GB2312" w:eastAsia="仿宋_GB2312" w:cs="仿宋_GB2312"/>
          <w:color w:val="000000"/>
          <w:sz w:val="24"/>
          <w:szCs w:val="24"/>
          <w:highlight w:val="none"/>
        </w:rPr>
        <w:sym w:font="Wingdings" w:char="00FE"/>
      </w:r>
      <w:r>
        <w:rPr>
          <w:rFonts w:hint="eastAsia" w:ascii="仿宋_GB2312" w:hAnsi="仿宋_GB2312" w:eastAsia="仿宋_GB2312" w:cs="仿宋_GB2312"/>
          <w:color w:val="000000"/>
          <w:sz w:val="24"/>
          <w:szCs w:val="24"/>
          <w:highlight w:val="none"/>
        </w:rPr>
        <w:t xml:space="preserve">公开招标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 xml:space="preserve">邀请招标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 xml:space="preserve">竞争性谈判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竞争性磋商</w:t>
      </w:r>
    </w:p>
    <w:p w14:paraId="7BF86657">
      <w:pPr>
        <w:pStyle w:val="34"/>
        <w:snapToGrid w:val="0"/>
        <w:ind w:firstLine="2320" w:firstLineChars="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 xml:space="preserve">询价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 xml:space="preserve">单一来源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 xml:space="preserve">框架协议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其他：</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w:t>
      </w:r>
    </w:p>
    <w:p w14:paraId="4D9EC65C">
      <w:pPr>
        <w:pStyle w:val="34"/>
        <w:snapToGrid w:val="0"/>
        <w:ind w:firstLine="420" w:firstLine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（注：在框架协议采购的第二阶段，可选择使用该合同文本）</w:t>
      </w:r>
    </w:p>
    <w:p w14:paraId="1C8C7B9B">
      <w:pPr>
        <w:pStyle w:val="34"/>
        <w:snapToGrid w:val="0"/>
        <w:ind w:firstLine="420"/>
        <w:rPr>
          <w:rFonts w:hint="eastAsia" w:ascii="仿宋_GB2312" w:hAnsi="仿宋_GB2312" w:eastAsia="仿宋_GB2312" w:cs="仿宋_GB2312"/>
          <w:color w:val="000000"/>
          <w:kern w:val="2"/>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val="en"/>
        </w:rPr>
        <w:t>6</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kern w:val="2"/>
          <w:sz w:val="24"/>
          <w:szCs w:val="24"/>
          <w:highlight w:val="none"/>
        </w:rPr>
        <w:t>中标（成交）采购标的制造商是否为中小企业：</w:t>
      </w:r>
      <w:r>
        <w:rPr>
          <w:rFonts w:hint="eastAsia" w:ascii="仿宋_GB2312" w:hAnsi="仿宋_GB2312" w:eastAsia="仿宋_GB2312" w:cs="仿宋_GB2312"/>
          <w:color w:val="000000"/>
          <w:kern w:val="2"/>
          <w:sz w:val="24"/>
          <w:szCs w:val="24"/>
          <w:highlight w:val="none"/>
        </w:rPr>
        <w:sym w:font="Wingdings" w:char="00FE"/>
      </w:r>
      <w:r>
        <w:rPr>
          <w:rFonts w:hint="eastAsia" w:ascii="仿宋_GB2312" w:hAnsi="仿宋_GB2312" w:eastAsia="仿宋_GB2312" w:cs="仿宋_GB2312"/>
          <w:color w:val="000000"/>
          <w:kern w:val="2"/>
          <w:sz w:val="24"/>
          <w:szCs w:val="24"/>
          <w:highlight w:val="none"/>
        </w:rPr>
        <w:t xml:space="preserve">是      </w:t>
      </w:r>
      <w:r>
        <w:rPr>
          <w:rFonts w:hint="eastAsia" w:ascii="仿宋_GB2312" w:hAnsi="仿宋_GB2312" w:eastAsia="仿宋_GB2312" w:cs="仿宋_GB2312"/>
          <w:color w:val="000000"/>
          <w:kern w:val="2"/>
          <w:sz w:val="24"/>
          <w:szCs w:val="24"/>
          <w:highlight w:val="none"/>
        </w:rPr>
        <w:sym w:font="Wingdings" w:char="00A8"/>
      </w:r>
      <w:r>
        <w:rPr>
          <w:rFonts w:hint="eastAsia" w:ascii="仿宋_GB2312" w:hAnsi="仿宋_GB2312" w:eastAsia="仿宋_GB2312" w:cs="仿宋_GB2312"/>
          <w:color w:val="000000"/>
          <w:kern w:val="2"/>
          <w:sz w:val="24"/>
          <w:szCs w:val="24"/>
          <w:highlight w:val="none"/>
        </w:rPr>
        <w:t>否</w:t>
      </w:r>
    </w:p>
    <w:p w14:paraId="5E47CE8E">
      <w:pPr>
        <w:adjustRightInd w:val="0"/>
        <w:snapToGrid w:val="0"/>
        <w:spacing w:line="400" w:lineRule="exact"/>
        <w:ind w:firstLine="960" w:firstLineChars="400"/>
        <w:jc w:val="left"/>
        <w:rPr>
          <w:rFonts w:hint="eastAsia" w:ascii="仿宋_GB2312" w:hAnsi="仿宋_GB2312" w:eastAsia="仿宋_GB2312" w:cs="仿宋_GB2312"/>
          <w:iCs/>
          <w:color w:val="000000"/>
          <w:sz w:val="24"/>
          <w:szCs w:val="24"/>
          <w:highlight w:val="none"/>
        </w:rPr>
      </w:pPr>
      <w:r>
        <w:rPr>
          <w:rFonts w:hint="eastAsia" w:ascii="仿宋_GB2312" w:hAnsi="仿宋_GB2312" w:eastAsia="仿宋_GB2312" w:cs="仿宋_GB2312"/>
          <w:color w:val="000000"/>
          <w:sz w:val="24"/>
          <w:szCs w:val="24"/>
          <w:highlight w:val="none"/>
        </w:rPr>
        <w:t>本合同是否为专门面向中小企业的采购合同（中小企业预留合同）：</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 xml:space="preserve">是    </w:t>
      </w:r>
      <w:r>
        <w:rPr>
          <w:rFonts w:hint="eastAsia" w:ascii="仿宋_GB2312" w:hAnsi="仿宋_GB2312" w:eastAsia="仿宋_GB2312" w:cs="仿宋_GB2312"/>
          <w:iCs/>
          <w:color w:val="000000"/>
          <w:sz w:val="24"/>
          <w:szCs w:val="24"/>
          <w:highlight w:val="none"/>
        </w:rPr>
        <w:sym w:font="Wingdings" w:char="00FE"/>
      </w:r>
      <w:r>
        <w:rPr>
          <w:rFonts w:hint="eastAsia" w:ascii="仿宋_GB2312" w:hAnsi="仿宋_GB2312" w:eastAsia="仿宋_GB2312" w:cs="仿宋_GB2312"/>
          <w:iCs/>
          <w:color w:val="000000"/>
          <w:sz w:val="24"/>
          <w:szCs w:val="24"/>
          <w:highlight w:val="none"/>
        </w:rPr>
        <w:t>否</w:t>
      </w:r>
    </w:p>
    <w:p w14:paraId="43A5CE7A">
      <w:pPr>
        <w:adjustRightInd w:val="0"/>
        <w:snapToGrid w:val="0"/>
        <w:spacing w:line="400" w:lineRule="exact"/>
        <w:ind w:firstLine="960" w:firstLineChars="400"/>
        <w:jc w:val="left"/>
        <w:rPr>
          <w:rFonts w:hint="eastAsia" w:ascii="仿宋_GB2312" w:hAnsi="仿宋_GB2312" w:eastAsia="仿宋_GB2312" w:cs="仿宋_GB2312"/>
          <w:iCs/>
          <w:color w:val="000000"/>
          <w:sz w:val="24"/>
          <w:szCs w:val="24"/>
          <w:highlight w:val="none"/>
        </w:rPr>
      </w:pPr>
      <w:r>
        <w:rPr>
          <w:rFonts w:hint="eastAsia" w:ascii="仿宋_GB2312" w:hAnsi="仿宋_GB2312" w:eastAsia="仿宋_GB2312" w:cs="仿宋_GB2312"/>
          <w:color w:val="000000"/>
          <w:sz w:val="24"/>
          <w:szCs w:val="24"/>
          <w:highlight w:val="none"/>
        </w:rPr>
        <w:t>若本项目不专门面向中小企业采购，是否给予小微企业评审优惠：</w:t>
      </w:r>
      <w:r>
        <w:rPr>
          <w:rFonts w:hint="eastAsia" w:ascii="仿宋_GB2312" w:hAnsi="仿宋_GB2312" w:eastAsia="仿宋_GB2312" w:cs="仿宋_GB2312"/>
          <w:iCs/>
          <w:color w:val="000000"/>
          <w:sz w:val="24"/>
          <w:szCs w:val="24"/>
          <w:highlight w:val="none"/>
        </w:rPr>
        <w:sym w:font="Wingdings" w:char="00FE"/>
      </w:r>
      <w:r>
        <w:rPr>
          <w:rFonts w:hint="eastAsia" w:ascii="仿宋_GB2312" w:hAnsi="仿宋_GB2312" w:eastAsia="仿宋_GB2312" w:cs="仿宋_GB2312"/>
          <w:iCs/>
          <w:color w:val="000000"/>
          <w:sz w:val="24"/>
          <w:szCs w:val="24"/>
          <w:highlight w:val="none"/>
        </w:rPr>
        <w:t xml:space="preserve">是   </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否</w:t>
      </w:r>
    </w:p>
    <w:p w14:paraId="3992E1C1">
      <w:pPr>
        <w:adjustRightInd w:val="0"/>
        <w:snapToGrid w:val="0"/>
        <w:spacing w:line="400" w:lineRule="exact"/>
        <w:ind w:firstLine="960" w:firstLineChars="400"/>
        <w:jc w:val="left"/>
        <w:rPr>
          <w:rFonts w:hint="eastAsia" w:ascii="仿宋_GB2312" w:hAnsi="仿宋_GB2312" w:eastAsia="仿宋_GB2312" w:cs="仿宋_GB2312"/>
          <w:iCs/>
          <w:color w:val="000000"/>
          <w:sz w:val="24"/>
          <w:szCs w:val="24"/>
          <w:highlight w:val="none"/>
        </w:rPr>
      </w:pPr>
      <w:r>
        <w:rPr>
          <w:rFonts w:hint="eastAsia" w:ascii="仿宋_GB2312" w:hAnsi="仿宋_GB2312" w:eastAsia="仿宋_GB2312" w:cs="仿宋_GB2312"/>
          <w:color w:val="000000"/>
          <w:sz w:val="24"/>
          <w:szCs w:val="24"/>
          <w:highlight w:val="none"/>
        </w:rPr>
        <w:t>中标（成交）采购标的制造商是否为残疾人福利性单位：</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 xml:space="preserve">是   </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否</w:t>
      </w:r>
    </w:p>
    <w:p w14:paraId="417B552F">
      <w:pPr>
        <w:snapToGrid w:val="0"/>
        <w:spacing w:line="400" w:lineRule="exact"/>
        <w:ind w:firstLine="960" w:firstLineChars="4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中标（成交）采购标的制造商是否为监狱企业：</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 xml:space="preserve">是       </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否</w:t>
      </w:r>
    </w:p>
    <w:p w14:paraId="0392A79D">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val="en"/>
        </w:rPr>
        <w:t>7</w:t>
      </w:r>
      <w:r>
        <w:rPr>
          <w:rFonts w:hint="eastAsia" w:ascii="仿宋_GB2312" w:hAnsi="仿宋_GB2312" w:eastAsia="仿宋_GB2312" w:cs="仿宋_GB2312"/>
          <w:color w:val="000000"/>
          <w:sz w:val="24"/>
          <w:szCs w:val="24"/>
          <w:highlight w:val="none"/>
        </w:rPr>
        <w:t>）合同是否分包：</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 xml:space="preserve">是       </w:t>
      </w:r>
      <w:r>
        <w:rPr>
          <w:rFonts w:hint="eastAsia" w:ascii="仿宋_GB2312" w:hAnsi="仿宋_GB2312" w:eastAsia="仿宋_GB2312" w:cs="仿宋_GB2312"/>
          <w:iCs/>
          <w:color w:val="000000"/>
          <w:sz w:val="24"/>
          <w:szCs w:val="24"/>
          <w:highlight w:val="none"/>
        </w:rPr>
        <w:sym w:font="Wingdings" w:char="00FE"/>
      </w:r>
      <w:r>
        <w:rPr>
          <w:rFonts w:hint="eastAsia" w:ascii="仿宋_GB2312" w:hAnsi="仿宋_GB2312" w:eastAsia="仿宋_GB2312" w:cs="仿宋_GB2312"/>
          <w:iCs/>
          <w:color w:val="000000"/>
          <w:sz w:val="24"/>
          <w:szCs w:val="24"/>
          <w:highlight w:val="none"/>
        </w:rPr>
        <w:t>否</w:t>
      </w:r>
    </w:p>
    <w:p w14:paraId="5453B763">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分包主要内容：</w:t>
      </w:r>
      <w:r>
        <w:rPr>
          <w:rFonts w:hint="eastAsia" w:ascii="仿宋_GB2312" w:hAnsi="仿宋_GB2312" w:eastAsia="仿宋_GB2312" w:cs="仿宋_GB2312"/>
          <w:color w:val="000000"/>
          <w:sz w:val="24"/>
          <w:szCs w:val="24"/>
          <w:highlight w:val="none"/>
          <w:u w:val="single"/>
        </w:rPr>
        <w:t xml:space="preserve">                                            </w:t>
      </w:r>
    </w:p>
    <w:p w14:paraId="0FB0BE16">
      <w:pPr>
        <w:adjustRightInd w:val="0"/>
        <w:snapToGrid w:val="0"/>
        <w:spacing w:line="400" w:lineRule="exact"/>
        <w:ind w:firstLine="960" w:firstLineChars="4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分包供应商/制造商名称（如供应商和制造商不同，请分别填写）：</w:t>
      </w:r>
    </w:p>
    <w:p w14:paraId="1744C139">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u w:val="single"/>
        </w:rPr>
        <w:t xml:space="preserve">                                                          </w:t>
      </w:r>
    </w:p>
    <w:p w14:paraId="5DF87371">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分包供应商/制造商类型（如果供应商和制造商不同，只填写制造商类型）：</w:t>
      </w:r>
    </w:p>
    <w:p w14:paraId="16EBC426">
      <w:pPr>
        <w:adjustRightInd w:val="0"/>
        <w:snapToGrid w:val="0"/>
        <w:spacing w:line="400" w:lineRule="exact"/>
        <w:ind w:firstLine="960" w:firstLineChars="400"/>
        <w:rPr>
          <w:rFonts w:hint="eastAsia" w:ascii="仿宋_GB2312" w:hAnsi="仿宋_GB2312" w:eastAsia="仿宋_GB2312" w:cs="仿宋_GB2312"/>
          <w:iCs/>
          <w:color w:val="000000"/>
          <w:sz w:val="24"/>
          <w:szCs w:val="24"/>
          <w:highlight w:val="none"/>
        </w:rPr>
      </w:pP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 xml:space="preserve">大型企业  </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 xml:space="preserve">中型企业  </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 xml:space="preserve">小微型企业  </w:t>
      </w:r>
    </w:p>
    <w:p w14:paraId="7C0384F4">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 xml:space="preserve">残疾人福利性单位 </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 xml:space="preserve">监狱企业 </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其他</w:t>
      </w:r>
    </w:p>
    <w:p w14:paraId="26C56ECC">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val="en"/>
        </w:rPr>
        <w:t>8</w:t>
      </w:r>
      <w:r>
        <w:rPr>
          <w:rFonts w:hint="eastAsia" w:ascii="仿宋_GB2312" w:hAnsi="仿宋_GB2312" w:eastAsia="仿宋_GB2312" w:cs="仿宋_GB2312"/>
          <w:color w:val="000000"/>
          <w:sz w:val="24"/>
          <w:szCs w:val="24"/>
          <w:highlight w:val="none"/>
        </w:rPr>
        <w:t>）中标（成交）供应商是否为外商投资企业：</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 xml:space="preserve">是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否</w:t>
      </w:r>
    </w:p>
    <w:p w14:paraId="0D505632">
      <w:pPr>
        <w:adjustRightInd w:val="0"/>
        <w:snapToGrid w:val="0"/>
        <w:spacing w:line="400" w:lineRule="exact"/>
        <w:ind w:firstLine="960" w:firstLineChars="400"/>
        <w:jc w:val="left"/>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外商投资企业类型：</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 xml:space="preserve">全部由外国投资者投资  </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部分由外国投资者投资</w:t>
      </w:r>
    </w:p>
    <w:p w14:paraId="49BEB385">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val="en"/>
        </w:rPr>
        <w:t>9</w:t>
      </w:r>
      <w:r>
        <w:rPr>
          <w:rFonts w:hint="eastAsia" w:ascii="仿宋_GB2312" w:hAnsi="仿宋_GB2312" w:eastAsia="仿宋_GB2312" w:cs="仿宋_GB2312"/>
          <w:color w:val="000000"/>
          <w:sz w:val="24"/>
          <w:szCs w:val="24"/>
          <w:highlight w:val="none"/>
        </w:rPr>
        <w:t>）是否涉及进口产品：</w:t>
      </w:r>
    </w:p>
    <w:p w14:paraId="283EF14A">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是，《政府采购品目分类目录》底级品目名称：</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金额：</w:t>
      </w:r>
      <w:r>
        <w:rPr>
          <w:rFonts w:hint="eastAsia" w:ascii="仿宋_GB2312" w:hAnsi="仿宋_GB2312" w:eastAsia="仿宋_GB2312" w:cs="仿宋_GB2312"/>
          <w:color w:val="000000"/>
          <w:sz w:val="24"/>
          <w:szCs w:val="24"/>
          <w:highlight w:val="none"/>
          <w:u w:val="single"/>
        </w:rPr>
        <w:t xml:space="preserve">        </w:t>
      </w:r>
    </w:p>
    <w:p w14:paraId="61AD2647">
      <w:pPr>
        <w:adjustRightInd w:val="0"/>
        <w:snapToGrid w:val="0"/>
        <w:spacing w:line="400" w:lineRule="exact"/>
        <w:ind w:firstLine="1689" w:firstLineChars="704"/>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国别：</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品牌：</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规格型号：</w:t>
      </w:r>
    </w:p>
    <w:p w14:paraId="584781AD">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sym w:font="Wingdings" w:char="00FE"/>
      </w:r>
      <w:r>
        <w:rPr>
          <w:rFonts w:hint="eastAsia" w:ascii="仿宋_GB2312" w:hAnsi="仿宋_GB2312" w:eastAsia="仿宋_GB2312" w:cs="仿宋_GB2312"/>
          <w:color w:val="000000"/>
          <w:sz w:val="24"/>
          <w:szCs w:val="24"/>
          <w:highlight w:val="none"/>
        </w:rPr>
        <w:t>否</w:t>
      </w:r>
    </w:p>
    <w:p w14:paraId="7447454B">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w:t>
      </w:r>
      <w:r>
        <w:rPr>
          <w:rFonts w:hint="eastAsia" w:ascii="仿宋_GB2312" w:hAnsi="仿宋_GB2312" w:eastAsia="仿宋_GB2312" w:cs="仿宋_GB2312"/>
          <w:color w:val="000000"/>
          <w:sz w:val="24"/>
          <w:szCs w:val="24"/>
          <w:highlight w:val="none"/>
          <w:lang w:val="en"/>
        </w:rPr>
        <w:t>0</w:t>
      </w:r>
      <w:r>
        <w:rPr>
          <w:rFonts w:hint="eastAsia" w:ascii="仿宋_GB2312" w:hAnsi="仿宋_GB2312" w:eastAsia="仿宋_GB2312" w:cs="仿宋_GB2312"/>
          <w:color w:val="000000"/>
          <w:sz w:val="24"/>
          <w:szCs w:val="24"/>
          <w:highlight w:val="none"/>
        </w:rPr>
        <w:t>）是否涉及节能产品：</w:t>
      </w:r>
    </w:p>
    <w:p w14:paraId="3258A493">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rPr>
        <w:sym w:font="Wingdings" w:char="00FE"/>
      </w:r>
      <w:r>
        <w:rPr>
          <w:rFonts w:hint="eastAsia" w:ascii="仿宋_GB2312" w:hAnsi="仿宋_GB2312" w:eastAsia="仿宋_GB2312" w:cs="仿宋_GB2312"/>
          <w:color w:val="000000"/>
          <w:sz w:val="24"/>
          <w:szCs w:val="24"/>
          <w:highlight w:val="none"/>
        </w:rPr>
        <w:t>是，《节能产品政府采购品目清单》的底级品目名称：</w:t>
      </w:r>
      <w:r>
        <w:rPr>
          <w:rFonts w:hint="eastAsia" w:ascii="仿宋_GB2312" w:hAnsi="仿宋_GB2312" w:eastAsia="仿宋_GB2312" w:cs="仿宋_GB2312"/>
          <w:color w:val="000000"/>
          <w:sz w:val="24"/>
          <w:szCs w:val="24"/>
          <w:highlight w:val="none"/>
          <w:lang w:val="en-US" w:eastAsia="zh-CN"/>
        </w:rPr>
        <w:t>台式计算机</w:t>
      </w:r>
    </w:p>
    <w:p w14:paraId="30EA376C">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sym w:font="Wingdings" w:char="00FE"/>
      </w:r>
      <w:r>
        <w:rPr>
          <w:rFonts w:hint="eastAsia" w:ascii="仿宋_GB2312" w:hAnsi="仿宋_GB2312" w:eastAsia="仿宋_GB2312" w:cs="仿宋_GB2312"/>
          <w:color w:val="000000"/>
          <w:sz w:val="24"/>
          <w:szCs w:val="24"/>
          <w:highlight w:val="none"/>
        </w:rPr>
        <w:t xml:space="preserve">强制采购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优先采购</w:t>
      </w:r>
    </w:p>
    <w:p w14:paraId="33C194BE">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否</w:t>
      </w:r>
    </w:p>
    <w:p w14:paraId="713647D1">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是否涉及环境标志产品：</w:t>
      </w:r>
    </w:p>
    <w:p w14:paraId="7CE44699">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是，《环境标志产品政府采购品目清单》的底级品目名称：</w:t>
      </w:r>
    </w:p>
    <w:p w14:paraId="2137906C">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 xml:space="preserve">强制采购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优先采购</w:t>
      </w:r>
    </w:p>
    <w:p w14:paraId="5F6B911F">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否</w:t>
      </w:r>
    </w:p>
    <w:p w14:paraId="5CFE7730">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是否涉及绿色产品：</w:t>
      </w:r>
    </w:p>
    <w:p w14:paraId="5905525D">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是，绿色产品政府采购相关政策确定的底级品目名称：</w:t>
      </w:r>
    </w:p>
    <w:p w14:paraId="035C65DD">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 xml:space="preserve">强制采购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优先采购</w:t>
      </w:r>
    </w:p>
    <w:p w14:paraId="0EA2C214">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否</w:t>
      </w:r>
    </w:p>
    <w:p w14:paraId="2268B36A">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w:t>
      </w:r>
      <w:r>
        <w:rPr>
          <w:rFonts w:hint="eastAsia" w:ascii="仿宋_GB2312" w:hAnsi="仿宋_GB2312" w:eastAsia="仿宋_GB2312" w:cs="仿宋_GB2312"/>
          <w:color w:val="000000"/>
          <w:sz w:val="24"/>
          <w:szCs w:val="24"/>
          <w:highlight w:val="none"/>
          <w:lang w:val="en"/>
        </w:rPr>
        <w:t>1</w:t>
      </w:r>
      <w:r>
        <w:rPr>
          <w:rFonts w:hint="eastAsia" w:ascii="仿宋_GB2312" w:hAnsi="仿宋_GB2312" w:eastAsia="仿宋_GB2312" w:cs="仿宋_GB2312"/>
          <w:color w:val="000000"/>
          <w:sz w:val="24"/>
          <w:szCs w:val="24"/>
          <w:highlight w:val="none"/>
        </w:rPr>
        <w:t>）涉及商品包装和快递包装的，是否参考《商品包装政府采购需求标准（试行）》、《快递包装政府采购需求标准（试行）》明确产品及相关快递服务的具体包装要求：</w:t>
      </w:r>
    </w:p>
    <w:p w14:paraId="5423BF54">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 xml:space="preserve">是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 xml:space="preserve">否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不涉及</w:t>
      </w:r>
    </w:p>
    <w:p w14:paraId="2CA3070E">
      <w:pPr>
        <w:numPr>
          <w:ilvl w:val="0"/>
          <w:numId w:val="10"/>
        </w:numPr>
        <w:adjustRightInd w:val="0"/>
        <w:snapToGrid w:val="0"/>
        <w:spacing w:line="400" w:lineRule="exact"/>
        <w:ind w:firstLine="480" w:firstLineChars="2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合同金额</w:t>
      </w:r>
    </w:p>
    <w:p w14:paraId="6662574C">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（1）合同金额小写：</w:t>
      </w:r>
      <w:r>
        <w:rPr>
          <w:rFonts w:hint="eastAsia" w:ascii="仿宋_GB2312" w:hAnsi="仿宋_GB2312" w:eastAsia="仿宋_GB2312" w:cs="仿宋_GB2312"/>
          <w:color w:val="000000"/>
          <w:sz w:val="24"/>
          <w:szCs w:val="24"/>
          <w:highlight w:val="none"/>
          <w:u w:val="single"/>
        </w:rPr>
        <w:t xml:space="preserve">                           </w:t>
      </w:r>
    </w:p>
    <w:p w14:paraId="68566F17">
      <w:pPr>
        <w:adjustRightInd w:val="0"/>
        <w:snapToGrid w:val="0"/>
        <w:spacing w:line="400" w:lineRule="exact"/>
        <w:ind w:firstLine="1920" w:firstLineChars="8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大写：</w:t>
      </w:r>
      <w:r>
        <w:rPr>
          <w:rFonts w:hint="eastAsia" w:ascii="仿宋_GB2312" w:hAnsi="仿宋_GB2312" w:eastAsia="仿宋_GB2312" w:cs="仿宋_GB2312"/>
          <w:color w:val="000000"/>
          <w:sz w:val="24"/>
          <w:szCs w:val="24"/>
          <w:highlight w:val="none"/>
          <w:u w:val="single"/>
        </w:rPr>
        <w:t xml:space="preserve">                           </w:t>
      </w:r>
    </w:p>
    <w:p w14:paraId="3D900CF5">
      <w:pPr>
        <w:adjustRightInd w:val="0"/>
        <w:snapToGrid w:val="0"/>
        <w:spacing w:line="400" w:lineRule="exact"/>
        <w:ind w:firstLine="1209" w:firstLineChars="5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分包金额（如有）小写：</w:t>
      </w:r>
      <w:r>
        <w:rPr>
          <w:rFonts w:hint="eastAsia" w:ascii="仿宋_GB2312" w:hAnsi="仿宋_GB2312" w:eastAsia="仿宋_GB2312" w:cs="仿宋_GB2312"/>
          <w:color w:val="000000"/>
          <w:sz w:val="24"/>
          <w:szCs w:val="24"/>
          <w:highlight w:val="none"/>
          <w:u w:val="single"/>
        </w:rPr>
        <w:t xml:space="preserve">                           </w:t>
      </w:r>
    </w:p>
    <w:p w14:paraId="2016FFB9">
      <w:pPr>
        <w:adjustRightInd w:val="0"/>
        <w:snapToGrid w:val="0"/>
        <w:spacing w:line="400" w:lineRule="exact"/>
        <w:ind w:firstLine="3129" w:firstLineChars="13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大写：</w:t>
      </w:r>
      <w:r>
        <w:rPr>
          <w:rFonts w:hint="eastAsia" w:ascii="仿宋_GB2312" w:hAnsi="仿宋_GB2312" w:eastAsia="仿宋_GB2312" w:cs="仿宋_GB2312"/>
          <w:color w:val="000000"/>
          <w:sz w:val="24"/>
          <w:szCs w:val="24"/>
          <w:highlight w:val="none"/>
          <w:u w:val="single"/>
        </w:rPr>
        <w:t xml:space="preserve">                           </w:t>
      </w:r>
    </w:p>
    <w:p w14:paraId="56C1B063">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（注：固定单价合同应填写单价和最高限价）</w:t>
      </w:r>
    </w:p>
    <w:p w14:paraId="7802DE61">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（2）合同定价方式（采用组合定价方式的，可以勾选多项）：</w:t>
      </w:r>
    </w:p>
    <w:p w14:paraId="465712CB">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iCs/>
          <w:color w:val="000000"/>
          <w:sz w:val="24"/>
          <w:szCs w:val="24"/>
          <w:highlight w:val="none"/>
        </w:rPr>
        <w:sym w:font="Wingdings" w:char="00FE"/>
      </w:r>
      <w:r>
        <w:rPr>
          <w:rFonts w:hint="eastAsia" w:ascii="仿宋_GB2312" w:hAnsi="仿宋_GB2312" w:eastAsia="仿宋_GB2312" w:cs="仿宋_GB2312"/>
          <w:iCs/>
          <w:color w:val="000000"/>
          <w:sz w:val="24"/>
          <w:szCs w:val="24"/>
          <w:highlight w:val="none"/>
        </w:rPr>
        <w:t xml:space="preserve">固定总价 </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 xml:space="preserve">固定单价 </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 xml:space="preserve">固定费率 </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 xml:space="preserve">成本补偿 </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 xml:space="preserve">绩效激励 </w:t>
      </w:r>
      <w:r>
        <w:rPr>
          <w:rFonts w:hint="eastAsia" w:ascii="仿宋_GB2312" w:hAnsi="仿宋_GB2312" w:eastAsia="仿宋_GB2312" w:cs="仿宋_GB2312"/>
          <w:iCs/>
          <w:color w:val="000000"/>
          <w:sz w:val="24"/>
          <w:szCs w:val="24"/>
          <w:highlight w:val="none"/>
        </w:rPr>
        <w:sym w:font="Wingdings" w:char="00A8"/>
      </w:r>
      <w:r>
        <w:rPr>
          <w:rFonts w:hint="eastAsia" w:ascii="仿宋_GB2312" w:hAnsi="仿宋_GB2312" w:eastAsia="仿宋_GB2312" w:cs="仿宋_GB2312"/>
          <w:iCs/>
          <w:color w:val="000000"/>
          <w:sz w:val="24"/>
          <w:szCs w:val="24"/>
          <w:highlight w:val="none"/>
        </w:rPr>
        <w:t>其他</w:t>
      </w:r>
    </w:p>
    <w:p w14:paraId="2F84D7C4">
      <w:pPr>
        <w:pStyle w:val="45"/>
        <w:spacing w:line="400" w:lineRule="exac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（3）付款方式（按项目实际勾选填写）：</w:t>
      </w:r>
    </w:p>
    <w:p w14:paraId="2DA947DB">
      <w:pPr>
        <w:adjustRightInd w:val="0"/>
        <w:snapToGrid w:val="0"/>
        <w:spacing w:line="400" w:lineRule="exact"/>
        <w:ind w:firstLine="960" w:firstLineChars="4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全额付款：</w:t>
      </w:r>
      <w:r>
        <w:rPr>
          <w:rFonts w:hint="eastAsia" w:ascii="仿宋_GB2312" w:hAnsi="仿宋_GB2312" w:eastAsia="仿宋_GB2312" w:cs="仿宋_GB2312"/>
          <w:color w:val="000000"/>
          <w:sz w:val="24"/>
          <w:szCs w:val="24"/>
          <w:highlight w:val="none"/>
          <w:u w:val="single"/>
        </w:rPr>
        <w:t xml:space="preserve">     （应明确一次性支付合同款项的条件）                    </w:t>
      </w:r>
    </w:p>
    <w:p w14:paraId="4F8BD265">
      <w:pPr>
        <w:snapToGrid w:val="0"/>
        <w:spacing w:line="400" w:lineRule="exact"/>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分期付款：</w:t>
      </w:r>
      <w:r>
        <w:rPr>
          <w:rFonts w:hint="eastAsia" w:ascii="仿宋_GB2312" w:hAnsi="仿宋_GB2312" w:eastAsia="仿宋_GB2312" w:cs="仿宋_GB2312"/>
          <w:color w:val="000000"/>
          <w:sz w:val="24"/>
          <w:szCs w:val="24"/>
          <w:highlight w:val="none"/>
          <w:u w:val="single"/>
        </w:rPr>
        <w:t xml:space="preserve">  （应明确分期支付合同款项的各期比例和支付条件，各期支付条件应与分期履约验收情况挂钩） </w:t>
      </w:r>
      <w:r>
        <w:rPr>
          <w:rFonts w:hint="eastAsia" w:ascii="仿宋_GB2312" w:hAnsi="仿宋_GB2312" w:eastAsia="仿宋_GB2312" w:cs="仿宋_GB2312"/>
          <w:color w:val="000000"/>
          <w:sz w:val="24"/>
          <w:szCs w:val="24"/>
          <w:highlight w:val="none"/>
        </w:rPr>
        <w:t>，其中涉及预付款的：</w:t>
      </w:r>
      <w:r>
        <w:rPr>
          <w:rFonts w:hint="eastAsia" w:ascii="仿宋_GB2312" w:hAnsi="仿宋_GB2312" w:eastAsia="仿宋_GB2312" w:cs="仿宋_GB2312"/>
          <w:color w:val="000000"/>
          <w:sz w:val="24"/>
          <w:szCs w:val="24"/>
          <w:highlight w:val="none"/>
          <w:u w:val="single"/>
        </w:rPr>
        <w:t xml:space="preserve"> （应明确预付款的支付比例和支付条件） </w:t>
      </w:r>
    </w:p>
    <w:p w14:paraId="6783351B">
      <w:pPr>
        <w:adjustRightInd w:val="0"/>
        <w:snapToGrid w:val="0"/>
        <w:spacing w:line="400" w:lineRule="exact"/>
        <w:ind w:firstLine="720" w:firstLineChars="3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成本补偿：</w:t>
      </w:r>
      <w:r>
        <w:rPr>
          <w:rFonts w:hint="eastAsia" w:ascii="仿宋_GB2312" w:hAnsi="仿宋_GB2312" w:eastAsia="仿宋_GB2312" w:cs="仿宋_GB2312"/>
          <w:color w:val="000000"/>
          <w:sz w:val="24"/>
          <w:szCs w:val="24"/>
          <w:highlight w:val="none"/>
          <w:u w:val="single"/>
        </w:rPr>
        <w:t xml:space="preserve">      （应明确按照成本补偿方式的支付方式和支付条件）   </w:t>
      </w:r>
    </w:p>
    <w:p w14:paraId="0D35C792">
      <w:pPr>
        <w:adjustRightInd w:val="0"/>
        <w:snapToGrid w:val="0"/>
        <w:spacing w:line="400" w:lineRule="exact"/>
        <w:ind w:firstLine="720" w:firstLineChars="3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绩效激励：</w:t>
      </w:r>
      <w:r>
        <w:rPr>
          <w:rFonts w:hint="eastAsia" w:ascii="仿宋_GB2312" w:hAnsi="仿宋_GB2312" w:eastAsia="仿宋_GB2312" w:cs="仿宋_GB2312"/>
          <w:color w:val="000000"/>
          <w:sz w:val="24"/>
          <w:szCs w:val="24"/>
          <w:highlight w:val="none"/>
          <w:u w:val="single"/>
        </w:rPr>
        <w:t xml:space="preserve">      （应明确按照绩效激励方式的支付方式和支付条件）   </w:t>
      </w:r>
    </w:p>
    <w:p w14:paraId="3FDC07A7">
      <w:pPr>
        <w:numPr>
          <w:ilvl w:val="0"/>
          <w:numId w:val="10"/>
        </w:numPr>
        <w:adjustRightInd w:val="0"/>
        <w:snapToGrid w:val="0"/>
        <w:spacing w:line="400" w:lineRule="exact"/>
        <w:ind w:firstLine="480" w:firstLineChars="200"/>
        <w:rPr>
          <w:rFonts w:hint="eastAsia" w:ascii="仿宋_GB2312" w:hAnsi="仿宋_GB2312" w:eastAsia="仿宋_GB2312" w:cs="仿宋_GB2312"/>
          <w:b/>
          <w:color w:val="000000"/>
          <w:sz w:val="24"/>
          <w:szCs w:val="24"/>
          <w:highlight w:val="none"/>
          <w:u w:val="single"/>
        </w:rPr>
      </w:pPr>
      <w:r>
        <w:rPr>
          <w:rFonts w:hint="eastAsia" w:ascii="仿宋_GB2312" w:hAnsi="仿宋_GB2312" w:eastAsia="仿宋_GB2312" w:cs="仿宋_GB2312"/>
          <w:b/>
          <w:color w:val="000000"/>
          <w:sz w:val="24"/>
          <w:szCs w:val="24"/>
          <w:highlight w:val="none"/>
        </w:rPr>
        <w:t>合同履行</w:t>
      </w:r>
    </w:p>
    <w:p w14:paraId="2757986D">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（1）起始日期：</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年</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月</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日，完成日期：</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年</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月</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日。</w:t>
      </w:r>
    </w:p>
    <w:p w14:paraId="249FC23D">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（2）履约地点</w:t>
      </w:r>
      <w:r>
        <w:rPr>
          <w:rFonts w:hint="eastAsia" w:ascii="仿宋_GB2312" w:hAnsi="仿宋_GB2312" w:eastAsia="仿宋_GB2312" w:cs="仿宋_GB2312"/>
          <w:bCs/>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22B2684C">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Cs/>
          <w:color w:val="000000"/>
          <w:sz w:val="24"/>
          <w:szCs w:val="24"/>
          <w:highlight w:val="none"/>
        </w:rPr>
        <w:t>（3）履约担保：</w:t>
      </w:r>
      <w:r>
        <w:rPr>
          <w:rFonts w:hint="eastAsia" w:ascii="仿宋_GB2312" w:hAnsi="仿宋_GB2312" w:eastAsia="仿宋_GB2312" w:cs="仿宋_GB2312"/>
          <w:color w:val="000000"/>
          <w:sz w:val="24"/>
          <w:szCs w:val="24"/>
          <w:highlight w:val="none"/>
        </w:rPr>
        <w:t>是否收取履约保证金：</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 xml:space="preserve">是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color w:val="000000"/>
          <w:sz w:val="24"/>
          <w:szCs w:val="24"/>
          <w:highlight w:val="none"/>
        </w:rPr>
        <w:t>否</w:t>
      </w:r>
    </w:p>
    <w:p w14:paraId="054D44B6">
      <w:pPr>
        <w:pStyle w:val="34"/>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收取履约保证金形式：</w:t>
      </w:r>
      <w:r>
        <w:rPr>
          <w:rFonts w:hint="eastAsia" w:ascii="仿宋_GB2312" w:hAnsi="仿宋_GB2312" w:eastAsia="仿宋_GB2312" w:cs="仿宋_GB2312"/>
          <w:bCs/>
          <w:color w:val="000000"/>
          <w:sz w:val="24"/>
          <w:szCs w:val="24"/>
          <w:highlight w:val="none"/>
          <w:u w:val="single"/>
        </w:rPr>
        <w:t xml:space="preserve">                            </w:t>
      </w:r>
    </w:p>
    <w:p w14:paraId="30F24AC2">
      <w:pPr>
        <w:pStyle w:val="34"/>
        <w:ind w:firstLine="960" w:firstLineChars="4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收取履约保证金金额：</w:t>
      </w:r>
      <w:r>
        <w:rPr>
          <w:rFonts w:hint="eastAsia" w:ascii="仿宋_GB2312" w:hAnsi="仿宋_GB2312" w:eastAsia="仿宋_GB2312" w:cs="仿宋_GB2312"/>
          <w:bCs/>
          <w:color w:val="000000"/>
          <w:sz w:val="24"/>
          <w:szCs w:val="24"/>
          <w:highlight w:val="none"/>
          <w:u w:val="single"/>
        </w:rPr>
        <w:t xml:space="preserve">                            </w:t>
      </w:r>
    </w:p>
    <w:p w14:paraId="784B97A7">
      <w:pPr>
        <w:snapToGrid w:val="0"/>
        <w:spacing w:line="400" w:lineRule="exact"/>
        <w:ind w:firstLine="960" w:firstLineChars="4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Cs/>
          <w:color w:val="000000"/>
          <w:sz w:val="24"/>
          <w:szCs w:val="24"/>
          <w:highlight w:val="none"/>
        </w:rPr>
        <w:t>履约担保期限：</w:t>
      </w:r>
      <w:r>
        <w:rPr>
          <w:rFonts w:hint="eastAsia" w:ascii="仿宋_GB2312" w:hAnsi="仿宋_GB2312" w:eastAsia="仿宋_GB2312" w:cs="仿宋_GB2312"/>
          <w:bCs/>
          <w:color w:val="000000"/>
          <w:sz w:val="24"/>
          <w:szCs w:val="24"/>
          <w:highlight w:val="none"/>
          <w:u w:val="single"/>
        </w:rPr>
        <w:t xml:space="preserve">                                  </w:t>
      </w:r>
    </w:p>
    <w:p w14:paraId="3CE64D45">
      <w:pPr>
        <w:adjustRightInd w:val="0"/>
        <w:snapToGrid w:val="0"/>
        <w:spacing w:line="40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（4）分期履行要求：</w:t>
      </w:r>
      <w:r>
        <w:rPr>
          <w:rFonts w:hint="eastAsia" w:ascii="仿宋_GB2312" w:hAnsi="仿宋_GB2312" w:eastAsia="仿宋_GB2312" w:cs="仿宋_GB2312"/>
          <w:bCs/>
          <w:color w:val="000000"/>
          <w:sz w:val="24"/>
          <w:szCs w:val="24"/>
          <w:highlight w:val="none"/>
          <w:u w:val="single"/>
        </w:rPr>
        <w:t xml:space="preserve">                                                  </w:t>
      </w:r>
    </w:p>
    <w:p w14:paraId="31C1AECB">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bCs/>
          <w:color w:val="000000"/>
          <w:sz w:val="24"/>
          <w:szCs w:val="24"/>
          <w:highlight w:val="none"/>
        </w:rPr>
        <w:t>（5）风险处置措施和替代方案：</w:t>
      </w:r>
      <w:r>
        <w:rPr>
          <w:rFonts w:hint="eastAsia" w:ascii="仿宋_GB2312" w:hAnsi="仿宋_GB2312" w:eastAsia="仿宋_GB2312" w:cs="仿宋_GB2312"/>
          <w:color w:val="000000"/>
          <w:sz w:val="24"/>
          <w:szCs w:val="24"/>
          <w:highlight w:val="none"/>
          <w:u w:val="single"/>
        </w:rPr>
        <w:t xml:space="preserve">                                        </w:t>
      </w:r>
    </w:p>
    <w:p w14:paraId="1184BF69">
      <w:pPr>
        <w:numPr>
          <w:ilvl w:val="0"/>
          <w:numId w:val="10"/>
        </w:numPr>
        <w:adjustRightInd w:val="0"/>
        <w:snapToGrid w:val="0"/>
        <w:spacing w:line="400" w:lineRule="exact"/>
        <w:ind w:firstLine="480" w:firstLineChars="2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合同验收</w:t>
      </w:r>
    </w:p>
    <w:p w14:paraId="463A0C9B">
      <w:pPr>
        <w:numPr>
          <w:ilvl w:val="0"/>
          <w:numId w:val="12"/>
        </w:numPr>
        <w:adjustRightInd w:val="0"/>
        <w:snapToGrid w:val="0"/>
        <w:spacing w:line="40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验收组织方式：</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 xml:space="preserve">自行组织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委托第三方组织</w:t>
      </w:r>
    </w:p>
    <w:p w14:paraId="0D543303">
      <w:pPr>
        <w:adjustRightInd w:val="0"/>
        <w:snapToGrid w:val="0"/>
        <w:spacing w:line="400" w:lineRule="exact"/>
        <w:ind w:firstLine="960" w:firstLineChars="400"/>
        <w:jc w:val="left"/>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验收主体：</w:t>
      </w:r>
      <w:r>
        <w:rPr>
          <w:rFonts w:hint="eastAsia" w:ascii="仿宋_GB2312" w:hAnsi="仿宋_GB2312" w:eastAsia="仿宋_GB2312" w:cs="仿宋_GB2312"/>
          <w:bCs/>
          <w:color w:val="000000"/>
          <w:sz w:val="24"/>
          <w:szCs w:val="24"/>
          <w:highlight w:val="none"/>
          <w:u w:val="single"/>
        </w:rPr>
        <w:t xml:space="preserve">                </w:t>
      </w:r>
    </w:p>
    <w:p w14:paraId="7339A187">
      <w:pPr>
        <w:adjustRightInd w:val="0"/>
        <w:snapToGrid w:val="0"/>
        <w:spacing w:line="400" w:lineRule="exact"/>
        <w:ind w:firstLine="960" w:firstLineChars="400"/>
        <w:jc w:val="left"/>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是否邀请本项目的其他供应商参加验收：</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 xml:space="preserve">是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否</w:t>
      </w:r>
    </w:p>
    <w:p w14:paraId="5B5F65A9">
      <w:pPr>
        <w:adjustRightInd w:val="0"/>
        <w:snapToGrid w:val="0"/>
        <w:spacing w:line="400" w:lineRule="exact"/>
        <w:ind w:firstLine="960" w:firstLineChars="4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是否邀请专家参加验收：</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 xml:space="preserve">是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否</w:t>
      </w:r>
    </w:p>
    <w:p w14:paraId="7476C87A">
      <w:pPr>
        <w:adjustRightInd w:val="0"/>
        <w:snapToGrid w:val="0"/>
        <w:spacing w:line="400" w:lineRule="exact"/>
        <w:ind w:firstLine="960" w:firstLineChars="4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是否邀请服务对象参加验收：</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 xml:space="preserve">是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否</w:t>
      </w:r>
    </w:p>
    <w:p w14:paraId="3BC699ED">
      <w:pPr>
        <w:adjustRightInd w:val="0"/>
        <w:snapToGrid w:val="0"/>
        <w:spacing w:line="400" w:lineRule="exact"/>
        <w:ind w:firstLine="960" w:firstLineChars="4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是否邀请第三方检测机构参加验收：</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 xml:space="preserve">是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否</w:t>
      </w:r>
    </w:p>
    <w:p w14:paraId="4495579B">
      <w:pPr>
        <w:adjustRightInd w:val="0"/>
        <w:snapToGrid w:val="0"/>
        <w:spacing w:line="400" w:lineRule="exact"/>
        <w:ind w:firstLine="960" w:firstLineChars="4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是否进行抽查检测：</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是，抽查比例：</w:t>
      </w:r>
      <w:r>
        <w:rPr>
          <w:rFonts w:hint="eastAsia" w:ascii="仿宋_GB2312" w:hAnsi="仿宋_GB2312" w:eastAsia="仿宋_GB2312" w:cs="仿宋_GB2312"/>
          <w:bCs/>
          <w:color w:val="000000"/>
          <w:sz w:val="24"/>
          <w:szCs w:val="24"/>
          <w:highlight w:val="none"/>
          <w:u w:val="single"/>
        </w:rPr>
        <w:t xml:space="preserve">        </w:t>
      </w:r>
      <w:r>
        <w:rPr>
          <w:rFonts w:hint="eastAsia" w:ascii="仿宋_GB2312" w:hAnsi="仿宋_GB2312" w:eastAsia="仿宋_GB2312" w:cs="仿宋_GB2312"/>
          <w:bCs/>
          <w:color w:val="000000"/>
          <w:sz w:val="24"/>
          <w:szCs w:val="24"/>
          <w:highlight w:val="none"/>
        </w:rPr>
        <w:t xml:space="preserve">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否</w:t>
      </w:r>
    </w:p>
    <w:p w14:paraId="6406D9E7">
      <w:pPr>
        <w:adjustRightInd w:val="0"/>
        <w:snapToGrid w:val="0"/>
        <w:spacing w:line="400" w:lineRule="exact"/>
        <w:ind w:firstLine="960" w:firstLineChars="400"/>
        <w:rPr>
          <w:rFonts w:hint="eastAsia" w:ascii="仿宋_GB2312" w:hAnsi="仿宋_GB2312" w:eastAsia="仿宋_GB2312" w:cs="仿宋_GB2312"/>
          <w:bCs/>
          <w:color w:val="000000"/>
          <w:sz w:val="24"/>
          <w:szCs w:val="24"/>
          <w:highlight w:val="none"/>
          <w:u w:val="single"/>
        </w:rPr>
      </w:pPr>
      <w:r>
        <w:rPr>
          <w:rFonts w:hint="eastAsia" w:ascii="仿宋_GB2312" w:hAnsi="仿宋_GB2312" w:eastAsia="仿宋_GB2312" w:cs="仿宋_GB2312"/>
          <w:bCs/>
          <w:color w:val="000000"/>
          <w:sz w:val="24"/>
          <w:szCs w:val="24"/>
          <w:highlight w:val="none"/>
        </w:rPr>
        <w:t>是否存在破坏性检测：</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是，</w:t>
      </w:r>
      <w:r>
        <w:rPr>
          <w:rFonts w:hint="eastAsia" w:ascii="仿宋_GB2312" w:hAnsi="仿宋_GB2312" w:eastAsia="仿宋_GB2312" w:cs="仿宋_GB2312"/>
          <w:bCs/>
          <w:color w:val="000000"/>
          <w:sz w:val="24"/>
          <w:szCs w:val="24"/>
          <w:highlight w:val="none"/>
          <w:u w:val="single"/>
        </w:rPr>
        <w:t>（应明确对被破坏的检测产品的处理方式）</w:t>
      </w:r>
    </w:p>
    <w:p w14:paraId="5CD5AB77">
      <w:pPr>
        <w:adjustRightInd w:val="0"/>
        <w:snapToGrid w:val="0"/>
        <w:spacing w:line="400" w:lineRule="exact"/>
        <w:ind w:firstLine="3360" w:firstLineChars="1400"/>
        <w:jc w:val="left"/>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否</w:t>
      </w:r>
    </w:p>
    <w:p w14:paraId="2AACA14F">
      <w:pPr>
        <w:adjustRightInd w:val="0"/>
        <w:snapToGrid w:val="0"/>
        <w:spacing w:line="400" w:lineRule="exact"/>
        <w:ind w:firstLine="960" w:firstLineChars="400"/>
        <w:rPr>
          <w:rFonts w:hint="eastAsia" w:ascii="仿宋_GB2312" w:hAnsi="仿宋_GB2312" w:eastAsia="仿宋_GB2312" w:cs="仿宋_GB2312"/>
          <w:bCs/>
          <w:color w:val="000000"/>
          <w:sz w:val="24"/>
          <w:szCs w:val="24"/>
          <w:highlight w:val="none"/>
          <w:u w:val="single"/>
        </w:rPr>
      </w:pPr>
      <w:r>
        <w:rPr>
          <w:rFonts w:hint="eastAsia" w:ascii="仿宋_GB2312" w:hAnsi="仿宋_GB2312" w:eastAsia="仿宋_GB2312" w:cs="仿宋_GB2312"/>
          <w:bCs/>
          <w:color w:val="000000"/>
          <w:sz w:val="24"/>
          <w:szCs w:val="24"/>
          <w:highlight w:val="none"/>
        </w:rPr>
        <w:t>验收组织的其他事项：</w:t>
      </w:r>
      <w:r>
        <w:rPr>
          <w:rFonts w:hint="eastAsia" w:ascii="仿宋_GB2312" w:hAnsi="仿宋_GB2312" w:eastAsia="仿宋_GB2312" w:cs="仿宋_GB2312"/>
          <w:bCs/>
          <w:color w:val="000000"/>
          <w:sz w:val="24"/>
          <w:szCs w:val="24"/>
          <w:highlight w:val="none"/>
          <w:u w:val="single"/>
        </w:rPr>
        <w:t xml:space="preserve">                </w:t>
      </w:r>
    </w:p>
    <w:p w14:paraId="05025B9E">
      <w:pPr>
        <w:adjustRightInd w:val="0"/>
        <w:snapToGrid w:val="0"/>
        <w:spacing w:line="400" w:lineRule="exact"/>
        <w:ind w:firstLine="480" w:firstLineChars="200"/>
        <w:rPr>
          <w:rFonts w:hint="eastAsia" w:ascii="仿宋_GB2312" w:hAnsi="仿宋_GB2312" w:eastAsia="仿宋_GB2312" w:cs="仿宋_GB2312"/>
          <w:bCs/>
          <w:color w:val="000000"/>
          <w:sz w:val="24"/>
          <w:szCs w:val="24"/>
          <w:highlight w:val="none"/>
          <w:u w:val="single"/>
        </w:rPr>
      </w:pPr>
      <w:r>
        <w:rPr>
          <w:rFonts w:hint="eastAsia" w:ascii="仿宋_GB2312" w:hAnsi="仿宋_GB2312" w:eastAsia="仿宋_GB2312" w:cs="仿宋_GB2312"/>
          <w:bCs/>
          <w:color w:val="000000"/>
          <w:sz w:val="24"/>
          <w:szCs w:val="24"/>
          <w:highlight w:val="none"/>
        </w:rPr>
        <w:t>（2）履约验收时间：</w:t>
      </w:r>
      <w:r>
        <w:rPr>
          <w:rFonts w:hint="eastAsia" w:ascii="仿宋_GB2312" w:hAnsi="仿宋_GB2312" w:eastAsia="仿宋_GB2312" w:cs="仿宋_GB2312"/>
          <w:bCs/>
          <w:color w:val="000000"/>
          <w:sz w:val="24"/>
          <w:szCs w:val="24"/>
          <w:highlight w:val="none"/>
          <w:u w:val="single"/>
        </w:rPr>
        <w:t xml:space="preserve">（计划于何时验收/供应商提出验收申请之日起   日内组织验收） </w:t>
      </w:r>
    </w:p>
    <w:p w14:paraId="7029E4A5">
      <w:pPr>
        <w:adjustRightInd w:val="0"/>
        <w:snapToGrid w:val="0"/>
        <w:spacing w:line="40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（3）履约验收方式：</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一次性验收</w:t>
      </w:r>
    </w:p>
    <w:p w14:paraId="16008258">
      <w:pPr>
        <w:adjustRightInd w:val="0"/>
        <w:snapToGrid w:val="0"/>
        <w:spacing w:line="400" w:lineRule="exact"/>
        <w:ind w:firstLine="2649" w:firstLineChars="1104"/>
        <w:jc w:val="left"/>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分期/分项验收：</w:t>
      </w:r>
      <w:r>
        <w:rPr>
          <w:rFonts w:hint="eastAsia" w:ascii="仿宋_GB2312" w:hAnsi="仿宋_GB2312" w:eastAsia="仿宋_GB2312" w:cs="仿宋_GB2312"/>
          <w:bCs/>
          <w:color w:val="000000"/>
          <w:sz w:val="24"/>
          <w:szCs w:val="24"/>
          <w:highlight w:val="none"/>
          <w:u w:val="single"/>
        </w:rPr>
        <w:t xml:space="preserve"> （应明确分期</w:t>
      </w:r>
      <w:r>
        <w:rPr>
          <w:rFonts w:hint="eastAsia" w:ascii="仿宋_GB2312" w:hAnsi="仿宋_GB2312" w:eastAsia="仿宋_GB2312" w:cs="仿宋_GB2312"/>
          <w:bCs/>
          <w:color w:val="000000"/>
          <w:sz w:val="24"/>
          <w:szCs w:val="24"/>
          <w:highlight w:val="none"/>
          <w:u w:val="single"/>
          <w:lang w:val="en"/>
        </w:rPr>
        <w:t>/分项验收的工作安排</w:t>
      </w:r>
      <w:r>
        <w:rPr>
          <w:rFonts w:hint="eastAsia" w:ascii="仿宋_GB2312" w:hAnsi="仿宋_GB2312" w:eastAsia="仿宋_GB2312" w:cs="仿宋_GB2312"/>
          <w:bCs/>
          <w:color w:val="000000"/>
          <w:sz w:val="24"/>
          <w:szCs w:val="24"/>
          <w:highlight w:val="none"/>
          <w:u w:val="single"/>
        </w:rPr>
        <w:t>）</w:t>
      </w:r>
    </w:p>
    <w:p w14:paraId="03FB2DB4">
      <w:pPr>
        <w:adjustRightInd w:val="0"/>
        <w:snapToGrid w:val="0"/>
        <w:spacing w:line="40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（4）履约验收程序：</w:t>
      </w:r>
      <w:r>
        <w:rPr>
          <w:rFonts w:hint="eastAsia" w:ascii="仿宋_GB2312" w:hAnsi="仿宋_GB2312" w:eastAsia="仿宋_GB2312" w:cs="仿宋_GB2312"/>
          <w:bCs/>
          <w:color w:val="000000"/>
          <w:sz w:val="24"/>
          <w:szCs w:val="24"/>
          <w:highlight w:val="none"/>
          <w:u w:val="single"/>
        </w:rPr>
        <w:t xml:space="preserve">                                         </w:t>
      </w:r>
    </w:p>
    <w:p w14:paraId="578E8F6A">
      <w:pPr>
        <w:adjustRightInd w:val="0"/>
        <w:snapToGrid w:val="0"/>
        <w:spacing w:line="400" w:lineRule="exact"/>
        <w:ind w:firstLine="480" w:firstLineChars="200"/>
        <w:rPr>
          <w:rFonts w:hint="eastAsia" w:ascii="仿宋_GB2312" w:hAnsi="仿宋_GB2312" w:eastAsia="仿宋_GB2312" w:cs="仿宋_GB2312"/>
          <w:bCs/>
          <w:color w:val="000000"/>
          <w:sz w:val="24"/>
          <w:szCs w:val="24"/>
          <w:highlight w:val="none"/>
          <w:u w:val="single"/>
        </w:rPr>
      </w:pPr>
      <w:r>
        <w:rPr>
          <w:rFonts w:hint="eastAsia" w:ascii="仿宋_GB2312" w:hAnsi="仿宋_GB2312" w:eastAsia="仿宋_GB2312" w:cs="仿宋_GB2312"/>
          <w:bCs/>
          <w:color w:val="000000"/>
          <w:sz w:val="24"/>
          <w:szCs w:val="24"/>
          <w:highlight w:val="none"/>
        </w:rPr>
        <w:t>（5）履约验收的内容：</w:t>
      </w:r>
      <w:r>
        <w:rPr>
          <w:rFonts w:hint="eastAsia" w:ascii="仿宋_GB2312" w:hAnsi="仿宋_GB2312" w:eastAsia="仿宋_GB2312" w:cs="仿宋_GB2312"/>
          <w:bCs/>
          <w:color w:val="000000"/>
          <w:sz w:val="24"/>
          <w:szCs w:val="24"/>
          <w:highlight w:val="none"/>
          <w:u w:val="single"/>
        </w:rPr>
        <w:t xml:space="preserve"> （应当包括每一项技术和商务要求的履约情况，特别是落实政府采购扶持中小企业，支持绿色发展和乡村振兴等政策情况）                         </w:t>
      </w:r>
    </w:p>
    <w:p w14:paraId="49FC789F">
      <w:pPr>
        <w:adjustRightInd w:val="0"/>
        <w:snapToGrid w:val="0"/>
        <w:spacing w:line="400" w:lineRule="exact"/>
        <w:ind w:firstLine="480" w:firstLineChars="200"/>
        <w:rPr>
          <w:rFonts w:hint="eastAsia" w:ascii="仿宋_GB2312" w:hAnsi="仿宋_GB2312" w:eastAsia="仿宋_GB2312" w:cs="仿宋_GB2312"/>
          <w:bCs/>
          <w:color w:val="000000"/>
          <w:sz w:val="24"/>
          <w:szCs w:val="24"/>
          <w:highlight w:val="none"/>
          <w:u w:val="single"/>
        </w:rPr>
      </w:pPr>
      <w:r>
        <w:rPr>
          <w:rFonts w:hint="eastAsia" w:ascii="仿宋_GB2312" w:hAnsi="仿宋_GB2312" w:eastAsia="仿宋_GB2312" w:cs="仿宋_GB2312"/>
          <w:bCs/>
          <w:color w:val="000000"/>
          <w:sz w:val="24"/>
          <w:szCs w:val="24"/>
          <w:highlight w:val="none"/>
        </w:rPr>
        <w:t>（6）履约验收标准：</w:t>
      </w:r>
      <w:r>
        <w:rPr>
          <w:rFonts w:hint="eastAsia" w:ascii="仿宋_GB2312" w:hAnsi="仿宋_GB2312" w:eastAsia="仿宋_GB2312" w:cs="仿宋_GB2312"/>
          <w:bCs/>
          <w:color w:val="000000"/>
          <w:sz w:val="24"/>
          <w:szCs w:val="24"/>
          <w:highlight w:val="none"/>
          <w:u w:val="single"/>
        </w:rPr>
        <w:t xml:space="preserve">                                         </w:t>
      </w:r>
    </w:p>
    <w:p w14:paraId="3184F0BC">
      <w:pPr>
        <w:pStyle w:val="34"/>
        <w:ind w:firstLine="42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Cs/>
          <w:color w:val="000000"/>
          <w:sz w:val="24"/>
          <w:szCs w:val="24"/>
          <w:highlight w:val="none"/>
        </w:rPr>
        <w:t>（7）是否以采购活动中供应商提供的样品作为参考：</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 xml:space="preserve">是  </w:t>
      </w:r>
      <w:r>
        <w:rPr>
          <w:rFonts w:hint="eastAsia" w:ascii="仿宋_GB2312" w:hAnsi="仿宋_GB2312" w:eastAsia="仿宋_GB2312" w:cs="仿宋_GB2312"/>
          <w:color w:val="000000"/>
          <w:sz w:val="24"/>
          <w:szCs w:val="24"/>
          <w:highlight w:val="none"/>
        </w:rPr>
        <w:sym w:font="Wingdings" w:char="00A8"/>
      </w:r>
      <w:r>
        <w:rPr>
          <w:rFonts w:hint="eastAsia" w:ascii="仿宋_GB2312" w:hAnsi="仿宋_GB2312" w:eastAsia="仿宋_GB2312" w:cs="仿宋_GB2312"/>
          <w:bCs/>
          <w:color w:val="000000"/>
          <w:sz w:val="24"/>
          <w:szCs w:val="24"/>
          <w:highlight w:val="none"/>
        </w:rPr>
        <w:t>否</w:t>
      </w:r>
    </w:p>
    <w:p w14:paraId="533261B0">
      <w:pPr>
        <w:adjustRightInd w:val="0"/>
        <w:snapToGrid w:val="0"/>
        <w:spacing w:line="400" w:lineRule="exact"/>
        <w:ind w:firstLine="480" w:firstLineChars="200"/>
        <w:rPr>
          <w:rFonts w:hint="eastAsia" w:ascii="仿宋_GB2312" w:hAnsi="仿宋_GB2312" w:eastAsia="仿宋_GB2312" w:cs="仿宋_GB2312"/>
          <w:bCs/>
          <w:color w:val="000000"/>
          <w:sz w:val="24"/>
          <w:szCs w:val="24"/>
          <w:highlight w:val="none"/>
          <w:u w:val="single"/>
        </w:rPr>
      </w:pPr>
      <w:r>
        <w:rPr>
          <w:rFonts w:hint="eastAsia" w:ascii="仿宋_GB2312" w:hAnsi="仿宋_GB2312" w:eastAsia="仿宋_GB2312" w:cs="仿宋_GB2312"/>
          <w:bCs/>
          <w:color w:val="000000"/>
          <w:sz w:val="24"/>
          <w:szCs w:val="24"/>
          <w:highlight w:val="none"/>
        </w:rPr>
        <w:t>（8）履约验收其他事项：</w:t>
      </w:r>
      <w:r>
        <w:rPr>
          <w:rFonts w:hint="eastAsia" w:ascii="仿宋_GB2312" w:hAnsi="仿宋_GB2312" w:eastAsia="仿宋_GB2312" w:cs="仿宋_GB2312"/>
          <w:bCs/>
          <w:color w:val="000000"/>
          <w:sz w:val="24"/>
          <w:szCs w:val="24"/>
          <w:highlight w:val="none"/>
          <w:u w:val="single"/>
        </w:rPr>
        <w:t xml:space="preserve">      （产权过户登记等）          </w:t>
      </w:r>
    </w:p>
    <w:p w14:paraId="5EB57F28">
      <w:pPr>
        <w:numPr>
          <w:ilvl w:val="0"/>
          <w:numId w:val="10"/>
        </w:numPr>
        <w:adjustRightInd w:val="0"/>
        <w:snapToGrid w:val="0"/>
        <w:spacing w:line="400" w:lineRule="exact"/>
        <w:ind w:firstLine="480" w:firstLineChars="2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组成合同的文件</w:t>
      </w:r>
    </w:p>
    <w:p w14:paraId="15C91815">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本协议书与下列文件一起构成合同文件，如下述文件之间有任何抵触、矛盾或歧义，应按以下顺序解释：</w:t>
      </w:r>
    </w:p>
    <w:p w14:paraId="4883650E">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（1）政府采购合同协议书及其变更、补充协议</w:t>
      </w:r>
    </w:p>
    <w:p w14:paraId="0E0DE838">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（2）政府采购合同专用条款</w:t>
      </w:r>
    </w:p>
    <w:p w14:paraId="5ACB8986">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（3）政府采购合同通用条款</w:t>
      </w:r>
    </w:p>
    <w:p w14:paraId="1A2D71B8">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（4）中标（成交）通知书</w:t>
      </w:r>
    </w:p>
    <w:p w14:paraId="4A1A53C3">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（5）投标（响应）文件</w:t>
      </w:r>
    </w:p>
    <w:p w14:paraId="67774F13">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（6）采购文件</w:t>
      </w:r>
    </w:p>
    <w:p w14:paraId="55AEA128">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（7）有关技术文件，图纸</w:t>
      </w:r>
    </w:p>
    <w:p w14:paraId="7E10C13B">
      <w:pPr>
        <w:pStyle w:val="34"/>
        <w:ind w:firstLine="420"/>
        <w:rPr>
          <w:rFonts w:hint="eastAsia" w:ascii="仿宋_GB2312" w:hAnsi="仿宋_GB2312" w:eastAsia="仿宋_GB2312" w:cs="仿宋_GB2312"/>
          <w:color w:val="000000"/>
          <w:kern w:val="2"/>
          <w:sz w:val="24"/>
          <w:szCs w:val="24"/>
          <w:highlight w:val="none"/>
        </w:rPr>
      </w:pPr>
      <w:r>
        <w:rPr>
          <w:rFonts w:hint="eastAsia" w:ascii="仿宋_GB2312" w:hAnsi="仿宋_GB2312" w:eastAsia="仿宋_GB2312" w:cs="仿宋_GB2312"/>
          <w:color w:val="000000"/>
          <w:sz w:val="24"/>
          <w:szCs w:val="24"/>
          <w:highlight w:val="none"/>
        </w:rPr>
        <w:t>（8）</w:t>
      </w:r>
      <w:r>
        <w:rPr>
          <w:rFonts w:hint="eastAsia" w:ascii="仿宋_GB2312" w:hAnsi="仿宋_GB2312" w:eastAsia="仿宋_GB2312" w:cs="仿宋_GB2312"/>
          <w:color w:val="000000"/>
          <w:kern w:val="2"/>
          <w:sz w:val="24"/>
          <w:szCs w:val="24"/>
          <w:highlight w:val="none"/>
        </w:rPr>
        <w:t>国家法律、行政法规和规章制度规定或合同约定的作为合同组成部分的其他文件</w:t>
      </w:r>
    </w:p>
    <w:p w14:paraId="1AB3AA63">
      <w:pPr>
        <w:numPr>
          <w:ilvl w:val="0"/>
          <w:numId w:val="10"/>
        </w:numPr>
        <w:adjustRightInd w:val="0"/>
        <w:snapToGrid w:val="0"/>
        <w:spacing w:line="400" w:lineRule="exact"/>
        <w:ind w:firstLine="480" w:firstLineChars="2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合同生效</w:t>
      </w:r>
    </w:p>
    <w:p w14:paraId="3E0BBCE4">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本合同自</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生效。</w:t>
      </w:r>
    </w:p>
    <w:p w14:paraId="6876DEDF">
      <w:pPr>
        <w:numPr>
          <w:ilvl w:val="0"/>
          <w:numId w:val="10"/>
        </w:numPr>
        <w:adjustRightInd w:val="0"/>
        <w:snapToGrid w:val="0"/>
        <w:spacing w:line="400" w:lineRule="exact"/>
        <w:ind w:firstLine="480" w:firstLineChars="2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合同份数</w:t>
      </w:r>
    </w:p>
    <w:p w14:paraId="7D5C8607">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本合同一式</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份，甲方执</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份，乙方执</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份，均具有同等法律效力。</w:t>
      </w:r>
    </w:p>
    <w:p w14:paraId="044658FF">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合同订立时间：</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年</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月</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日</w:t>
      </w:r>
    </w:p>
    <w:p w14:paraId="363F0005">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合同订立地点：</w:t>
      </w:r>
      <w:r>
        <w:rPr>
          <w:rFonts w:hint="eastAsia" w:ascii="仿宋_GB2312" w:hAnsi="仿宋_GB2312" w:eastAsia="仿宋_GB2312" w:cs="仿宋_GB2312"/>
          <w:color w:val="000000"/>
          <w:sz w:val="24"/>
          <w:szCs w:val="24"/>
          <w:highlight w:val="none"/>
          <w:u w:val="single"/>
        </w:rPr>
        <w:t xml:space="preserve">                           </w:t>
      </w:r>
    </w:p>
    <w:p w14:paraId="794EDCF1">
      <w:pPr>
        <w:adjustRightInd w:val="0"/>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附件：具体标的及其技术要求和商务要求、联合协议、分包意向协议等。</w:t>
      </w:r>
    </w:p>
    <w:p w14:paraId="1BC80E75">
      <w:pPr>
        <w:pStyle w:val="45"/>
        <w:spacing w:line="400" w:lineRule="exact"/>
        <w:rPr>
          <w:rFonts w:hint="eastAsia" w:ascii="Times New Roman" w:hAnsi="Times New Roman" w:eastAsia="仿宋" w:cs="仿宋"/>
          <w:color w:val="000000"/>
          <w:highlight w:val="none"/>
        </w:rPr>
      </w:pPr>
    </w:p>
    <w:p w14:paraId="2C5F1A99">
      <w:pPr>
        <w:rPr>
          <w:rFonts w:hint="eastAsia" w:ascii="Times New Roman" w:hAnsi="Times New Roman" w:eastAsia="仿宋" w:cs="仿宋"/>
          <w:color w:val="000000"/>
          <w:highlight w:val="none"/>
        </w:rPr>
      </w:pPr>
    </w:p>
    <w:p w14:paraId="6C4A16ED">
      <w:pPr>
        <w:pStyle w:val="45"/>
        <w:rPr>
          <w:rFonts w:hint="eastAsia" w:ascii="Times New Roman" w:hAnsi="Times New Roman" w:eastAsia="仿宋" w:cs="仿宋"/>
          <w:color w:val="000000"/>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094"/>
        <w:gridCol w:w="2409"/>
        <w:gridCol w:w="1976"/>
        <w:gridCol w:w="2119"/>
      </w:tblGrid>
      <w:tr w14:paraId="65CE14C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503" w:type="dxa"/>
            <w:gridSpan w:val="2"/>
            <w:tcBorders>
              <w:bottom w:val="single" w:color="auto" w:sz="2" w:space="0"/>
              <w:right w:val="single" w:color="auto" w:sz="2" w:space="0"/>
            </w:tcBorders>
            <w:noWrap w:val="0"/>
            <w:vAlign w:val="center"/>
          </w:tcPr>
          <w:p w14:paraId="2E6B085F">
            <w:pPr>
              <w:adjustRightInd w:val="0"/>
              <w:snapToGrid w:val="0"/>
              <w:spacing w:line="300" w:lineRule="exact"/>
              <w:jc w:val="cente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szCs w:val="21"/>
                <w:highlight w:val="none"/>
              </w:rPr>
              <w:t>甲方（采购人、受采购人委托签订合同的单位或采购文件约定的合同甲方）</w:t>
            </w:r>
          </w:p>
        </w:tc>
        <w:tc>
          <w:tcPr>
            <w:tcW w:w="4095" w:type="dxa"/>
            <w:gridSpan w:val="2"/>
            <w:tcBorders>
              <w:left w:val="single" w:color="auto" w:sz="2" w:space="0"/>
              <w:bottom w:val="single" w:color="auto" w:sz="2" w:space="0"/>
            </w:tcBorders>
            <w:noWrap w:val="0"/>
            <w:vAlign w:val="center"/>
          </w:tcPr>
          <w:p w14:paraId="74D119D5">
            <w:pPr>
              <w:adjustRightInd w:val="0"/>
              <w:snapToGrid w:val="0"/>
              <w:spacing w:line="300" w:lineRule="exact"/>
              <w:jc w:val="cente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szCs w:val="21"/>
                <w:highlight w:val="none"/>
              </w:rPr>
              <w:t>乙方（供应商）</w:t>
            </w:r>
          </w:p>
        </w:tc>
      </w:tr>
      <w:tr w14:paraId="74A17B4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2094" w:type="dxa"/>
            <w:tcBorders>
              <w:top w:val="single" w:color="auto" w:sz="2" w:space="0"/>
              <w:bottom w:val="single" w:color="auto" w:sz="2" w:space="0"/>
              <w:right w:val="single" w:color="auto" w:sz="2" w:space="0"/>
            </w:tcBorders>
            <w:noWrap w:val="0"/>
            <w:vAlign w:val="center"/>
          </w:tcPr>
          <w:p w14:paraId="04D8DA71">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单位名称（公章或合同章）</w:t>
            </w:r>
          </w:p>
        </w:tc>
        <w:tc>
          <w:tcPr>
            <w:tcW w:w="2409" w:type="dxa"/>
            <w:tcBorders>
              <w:top w:val="single" w:color="auto" w:sz="2" w:space="0"/>
              <w:left w:val="single" w:color="auto" w:sz="2" w:space="0"/>
              <w:bottom w:val="single" w:color="auto" w:sz="2" w:space="0"/>
              <w:right w:val="single" w:color="auto" w:sz="2" w:space="0"/>
            </w:tcBorders>
            <w:noWrap w:val="0"/>
            <w:vAlign w:val="center"/>
          </w:tcPr>
          <w:p w14:paraId="747CC002">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1976" w:type="dxa"/>
            <w:tcBorders>
              <w:top w:val="single" w:color="auto" w:sz="2" w:space="0"/>
              <w:left w:val="single" w:color="auto" w:sz="2" w:space="0"/>
              <w:bottom w:val="single" w:color="auto" w:sz="2" w:space="0"/>
              <w:right w:val="single" w:color="auto" w:sz="2" w:space="0"/>
            </w:tcBorders>
            <w:noWrap w:val="0"/>
            <w:vAlign w:val="center"/>
          </w:tcPr>
          <w:p w14:paraId="2736C8A2">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单位名称（公章或合同章）</w:t>
            </w:r>
          </w:p>
        </w:tc>
        <w:tc>
          <w:tcPr>
            <w:tcW w:w="2119" w:type="dxa"/>
            <w:tcBorders>
              <w:top w:val="single" w:color="auto" w:sz="2" w:space="0"/>
              <w:left w:val="single" w:color="auto" w:sz="2" w:space="0"/>
              <w:bottom w:val="single" w:color="auto" w:sz="2" w:space="0"/>
            </w:tcBorders>
            <w:noWrap w:val="0"/>
            <w:vAlign w:val="center"/>
          </w:tcPr>
          <w:p w14:paraId="727327CE">
            <w:pPr>
              <w:adjustRightInd w:val="0"/>
              <w:snapToGrid w:val="0"/>
              <w:spacing w:line="300" w:lineRule="exact"/>
              <w:jc w:val="center"/>
              <w:rPr>
                <w:rFonts w:hint="eastAsia" w:ascii="仿宋_GB2312" w:hAnsi="仿宋_GB2312" w:eastAsia="仿宋_GB2312" w:cs="仿宋_GB2312"/>
                <w:color w:val="000000"/>
                <w:spacing w:val="20"/>
                <w:szCs w:val="21"/>
                <w:highlight w:val="none"/>
              </w:rPr>
            </w:pPr>
          </w:p>
        </w:tc>
      </w:tr>
      <w:tr w14:paraId="357AC06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2094" w:type="dxa"/>
            <w:vMerge w:val="restart"/>
            <w:tcBorders>
              <w:top w:val="single" w:color="auto" w:sz="2" w:space="0"/>
              <w:right w:val="single" w:color="auto" w:sz="2" w:space="0"/>
            </w:tcBorders>
            <w:noWrap w:val="0"/>
            <w:vAlign w:val="center"/>
          </w:tcPr>
          <w:p w14:paraId="31C648F6">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法定代表人</w:t>
            </w:r>
          </w:p>
          <w:p w14:paraId="5CBCAFB8">
            <w:pPr>
              <w:adjustRightInd w:val="0"/>
              <w:snapToGrid w:val="0"/>
              <w:spacing w:line="300" w:lineRule="exact"/>
              <w:ind w:firstLine="100" w:firstLineChars="48"/>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或其委托代理人（签章）</w:t>
            </w:r>
          </w:p>
        </w:tc>
        <w:tc>
          <w:tcPr>
            <w:tcW w:w="2409" w:type="dxa"/>
            <w:vMerge w:val="restart"/>
            <w:tcBorders>
              <w:top w:val="single" w:color="auto" w:sz="2" w:space="0"/>
              <w:left w:val="single" w:color="auto" w:sz="2" w:space="0"/>
              <w:right w:val="single" w:color="auto" w:sz="2" w:space="0"/>
            </w:tcBorders>
            <w:noWrap w:val="0"/>
            <w:vAlign w:val="center"/>
          </w:tcPr>
          <w:p w14:paraId="177979FE">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1976" w:type="dxa"/>
            <w:tcBorders>
              <w:top w:val="single" w:color="auto" w:sz="2" w:space="0"/>
              <w:left w:val="single" w:color="auto" w:sz="2" w:space="0"/>
              <w:right w:val="single" w:color="auto" w:sz="2" w:space="0"/>
            </w:tcBorders>
            <w:noWrap w:val="0"/>
            <w:vAlign w:val="center"/>
          </w:tcPr>
          <w:p w14:paraId="5ED6AD44">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法定代表人</w:t>
            </w:r>
          </w:p>
          <w:p w14:paraId="0F184132">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或其委托代理人（签章）</w:t>
            </w:r>
          </w:p>
        </w:tc>
        <w:tc>
          <w:tcPr>
            <w:tcW w:w="2119" w:type="dxa"/>
            <w:tcBorders>
              <w:top w:val="single" w:color="auto" w:sz="2" w:space="0"/>
              <w:left w:val="single" w:color="auto" w:sz="2" w:space="0"/>
              <w:bottom w:val="single" w:color="auto" w:sz="2" w:space="0"/>
            </w:tcBorders>
            <w:noWrap w:val="0"/>
            <w:vAlign w:val="center"/>
          </w:tcPr>
          <w:p w14:paraId="510DBFA9">
            <w:pPr>
              <w:adjustRightInd w:val="0"/>
              <w:snapToGrid w:val="0"/>
              <w:spacing w:line="300" w:lineRule="exact"/>
              <w:jc w:val="center"/>
              <w:rPr>
                <w:rFonts w:hint="eastAsia" w:ascii="仿宋_GB2312" w:hAnsi="仿宋_GB2312" w:eastAsia="仿宋_GB2312" w:cs="仿宋_GB2312"/>
                <w:color w:val="000000"/>
                <w:szCs w:val="21"/>
                <w:highlight w:val="none"/>
              </w:rPr>
            </w:pPr>
          </w:p>
        </w:tc>
      </w:tr>
      <w:tr w14:paraId="77DB415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vMerge w:val="continue"/>
            <w:tcBorders>
              <w:bottom w:val="single" w:color="auto" w:sz="2" w:space="0"/>
              <w:right w:val="single" w:color="auto" w:sz="2" w:space="0"/>
            </w:tcBorders>
            <w:noWrap w:val="0"/>
            <w:vAlign w:val="center"/>
          </w:tcPr>
          <w:p w14:paraId="13F3FA87">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2409" w:type="dxa"/>
            <w:vMerge w:val="continue"/>
            <w:tcBorders>
              <w:left w:val="single" w:color="auto" w:sz="2" w:space="0"/>
              <w:bottom w:val="single" w:color="auto" w:sz="2" w:space="0"/>
              <w:right w:val="single" w:color="auto" w:sz="2" w:space="0"/>
            </w:tcBorders>
            <w:noWrap w:val="0"/>
            <w:vAlign w:val="center"/>
          </w:tcPr>
          <w:p w14:paraId="0583DC7C">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1976" w:type="dxa"/>
            <w:tcBorders>
              <w:top w:val="single" w:color="auto" w:sz="2" w:space="0"/>
              <w:left w:val="single" w:color="auto" w:sz="2" w:space="0"/>
              <w:bottom w:val="single" w:color="auto" w:sz="2" w:space="0"/>
              <w:right w:val="single" w:color="auto" w:sz="2" w:space="0"/>
            </w:tcBorders>
            <w:noWrap w:val="0"/>
            <w:vAlign w:val="center"/>
          </w:tcPr>
          <w:p w14:paraId="291C8255">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拥有者性别</w:t>
            </w:r>
          </w:p>
        </w:tc>
        <w:tc>
          <w:tcPr>
            <w:tcW w:w="2119" w:type="dxa"/>
            <w:tcBorders>
              <w:top w:val="single" w:color="auto" w:sz="2" w:space="0"/>
              <w:left w:val="single" w:color="auto" w:sz="2" w:space="0"/>
              <w:bottom w:val="single" w:color="auto" w:sz="2" w:space="0"/>
            </w:tcBorders>
            <w:noWrap w:val="0"/>
            <w:vAlign w:val="center"/>
          </w:tcPr>
          <w:p w14:paraId="59A33D4C">
            <w:pPr>
              <w:adjustRightInd w:val="0"/>
              <w:snapToGrid w:val="0"/>
              <w:spacing w:line="300" w:lineRule="exact"/>
              <w:jc w:val="center"/>
              <w:rPr>
                <w:rFonts w:hint="eastAsia" w:ascii="仿宋_GB2312" w:hAnsi="仿宋_GB2312" w:eastAsia="仿宋_GB2312" w:cs="仿宋_GB2312"/>
                <w:color w:val="000000"/>
                <w:spacing w:val="20"/>
                <w:szCs w:val="21"/>
                <w:highlight w:val="none"/>
              </w:rPr>
            </w:pPr>
          </w:p>
        </w:tc>
      </w:tr>
      <w:tr w14:paraId="7A65E6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0"/>
            <w:vAlign w:val="center"/>
          </w:tcPr>
          <w:p w14:paraId="08EA1505">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住  所</w:t>
            </w:r>
          </w:p>
        </w:tc>
        <w:tc>
          <w:tcPr>
            <w:tcW w:w="2409" w:type="dxa"/>
            <w:tcBorders>
              <w:top w:val="single" w:color="auto" w:sz="2" w:space="0"/>
              <w:left w:val="single" w:color="auto" w:sz="2" w:space="0"/>
              <w:bottom w:val="single" w:color="auto" w:sz="2" w:space="0"/>
              <w:right w:val="single" w:color="auto" w:sz="2" w:space="0"/>
            </w:tcBorders>
            <w:noWrap w:val="0"/>
            <w:vAlign w:val="center"/>
          </w:tcPr>
          <w:p w14:paraId="54499B40">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1976" w:type="dxa"/>
            <w:tcBorders>
              <w:top w:val="single" w:color="auto" w:sz="2" w:space="0"/>
              <w:left w:val="single" w:color="auto" w:sz="2" w:space="0"/>
              <w:bottom w:val="single" w:color="auto" w:sz="2" w:space="0"/>
              <w:right w:val="single" w:color="auto" w:sz="2" w:space="0"/>
            </w:tcBorders>
            <w:noWrap w:val="0"/>
            <w:vAlign w:val="center"/>
          </w:tcPr>
          <w:p w14:paraId="5909342F">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住  所</w:t>
            </w:r>
          </w:p>
        </w:tc>
        <w:tc>
          <w:tcPr>
            <w:tcW w:w="2119" w:type="dxa"/>
            <w:tcBorders>
              <w:top w:val="single" w:color="auto" w:sz="2" w:space="0"/>
              <w:left w:val="single" w:color="auto" w:sz="2" w:space="0"/>
              <w:bottom w:val="single" w:color="auto" w:sz="2" w:space="0"/>
            </w:tcBorders>
            <w:noWrap w:val="0"/>
            <w:vAlign w:val="center"/>
          </w:tcPr>
          <w:p w14:paraId="6A1A92F5">
            <w:pPr>
              <w:adjustRightInd w:val="0"/>
              <w:snapToGrid w:val="0"/>
              <w:spacing w:line="300" w:lineRule="exact"/>
              <w:jc w:val="center"/>
              <w:rPr>
                <w:rFonts w:hint="eastAsia" w:ascii="仿宋_GB2312" w:hAnsi="仿宋_GB2312" w:eastAsia="仿宋_GB2312" w:cs="仿宋_GB2312"/>
                <w:color w:val="000000"/>
                <w:spacing w:val="20"/>
                <w:szCs w:val="21"/>
                <w:highlight w:val="none"/>
              </w:rPr>
            </w:pPr>
          </w:p>
        </w:tc>
      </w:tr>
      <w:tr w14:paraId="2716E31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0"/>
            <w:vAlign w:val="center"/>
          </w:tcPr>
          <w:p w14:paraId="18C8A0C4">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联 系 人</w:t>
            </w:r>
          </w:p>
        </w:tc>
        <w:tc>
          <w:tcPr>
            <w:tcW w:w="2409" w:type="dxa"/>
            <w:tcBorders>
              <w:top w:val="single" w:color="auto" w:sz="2" w:space="0"/>
              <w:left w:val="single" w:color="auto" w:sz="2" w:space="0"/>
              <w:bottom w:val="single" w:color="auto" w:sz="2" w:space="0"/>
              <w:right w:val="single" w:color="auto" w:sz="2" w:space="0"/>
            </w:tcBorders>
            <w:noWrap w:val="0"/>
            <w:vAlign w:val="center"/>
          </w:tcPr>
          <w:p w14:paraId="4769807D">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1976" w:type="dxa"/>
            <w:tcBorders>
              <w:top w:val="single" w:color="auto" w:sz="2" w:space="0"/>
              <w:left w:val="single" w:color="auto" w:sz="2" w:space="0"/>
              <w:bottom w:val="single" w:color="auto" w:sz="2" w:space="0"/>
              <w:right w:val="single" w:color="auto" w:sz="2" w:space="0"/>
            </w:tcBorders>
            <w:noWrap w:val="0"/>
            <w:vAlign w:val="center"/>
          </w:tcPr>
          <w:p w14:paraId="38E2C75D">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联 系 人</w:t>
            </w:r>
          </w:p>
        </w:tc>
        <w:tc>
          <w:tcPr>
            <w:tcW w:w="2119" w:type="dxa"/>
            <w:tcBorders>
              <w:top w:val="single" w:color="auto" w:sz="2" w:space="0"/>
              <w:left w:val="single" w:color="auto" w:sz="2" w:space="0"/>
              <w:bottom w:val="single" w:color="auto" w:sz="2" w:space="0"/>
            </w:tcBorders>
            <w:noWrap w:val="0"/>
            <w:vAlign w:val="center"/>
          </w:tcPr>
          <w:p w14:paraId="6BACC8CA">
            <w:pPr>
              <w:adjustRightInd w:val="0"/>
              <w:snapToGrid w:val="0"/>
              <w:spacing w:line="300" w:lineRule="exact"/>
              <w:jc w:val="center"/>
              <w:rPr>
                <w:rFonts w:hint="eastAsia" w:ascii="仿宋_GB2312" w:hAnsi="仿宋_GB2312" w:eastAsia="仿宋_GB2312" w:cs="仿宋_GB2312"/>
                <w:color w:val="000000"/>
                <w:spacing w:val="20"/>
                <w:szCs w:val="21"/>
                <w:highlight w:val="none"/>
              </w:rPr>
            </w:pPr>
          </w:p>
        </w:tc>
      </w:tr>
      <w:tr w14:paraId="44D443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0"/>
            <w:vAlign w:val="center"/>
          </w:tcPr>
          <w:p w14:paraId="31FD0F2B">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联系电话</w:t>
            </w:r>
          </w:p>
        </w:tc>
        <w:tc>
          <w:tcPr>
            <w:tcW w:w="2409" w:type="dxa"/>
            <w:tcBorders>
              <w:top w:val="single" w:color="auto" w:sz="2" w:space="0"/>
              <w:left w:val="single" w:color="auto" w:sz="2" w:space="0"/>
              <w:bottom w:val="single" w:color="auto" w:sz="2" w:space="0"/>
              <w:right w:val="single" w:color="auto" w:sz="2" w:space="0"/>
            </w:tcBorders>
            <w:noWrap w:val="0"/>
            <w:vAlign w:val="center"/>
          </w:tcPr>
          <w:p w14:paraId="502337B3">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1976" w:type="dxa"/>
            <w:tcBorders>
              <w:top w:val="single" w:color="auto" w:sz="2" w:space="0"/>
              <w:left w:val="single" w:color="auto" w:sz="2" w:space="0"/>
              <w:bottom w:val="single" w:color="auto" w:sz="2" w:space="0"/>
              <w:right w:val="single" w:color="auto" w:sz="2" w:space="0"/>
            </w:tcBorders>
            <w:noWrap w:val="0"/>
            <w:vAlign w:val="center"/>
          </w:tcPr>
          <w:p w14:paraId="600F1850">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联系电话</w:t>
            </w:r>
          </w:p>
        </w:tc>
        <w:tc>
          <w:tcPr>
            <w:tcW w:w="2119" w:type="dxa"/>
            <w:tcBorders>
              <w:top w:val="single" w:color="auto" w:sz="2" w:space="0"/>
              <w:left w:val="single" w:color="auto" w:sz="2" w:space="0"/>
              <w:bottom w:val="single" w:color="auto" w:sz="2" w:space="0"/>
            </w:tcBorders>
            <w:noWrap w:val="0"/>
            <w:vAlign w:val="center"/>
          </w:tcPr>
          <w:p w14:paraId="5C5B7E08">
            <w:pPr>
              <w:adjustRightInd w:val="0"/>
              <w:snapToGrid w:val="0"/>
              <w:spacing w:line="300" w:lineRule="exact"/>
              <w:jc w:val="center"/>
              <w:rPr>
                <w:rFonts w:hint="eastAsia" w:ascii="仿宋_GB2312" w:hAnsi="仿宋_GB2312" w:eastAsia="仿宋_GB2312" w:cs="仿宋_GB2312"/>
                <w:color w:val="000000"/>
                <w:spacing w:val="20"/>
                <w:szCs w:val="21"/>
                <w:highlight w:val="none"/>
              </w:rPr>
            </w:pPr>
          </w:p>
        </w:tc>
      </w:tr>
      <w:tr w14:paraId="018BFB4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0"/>
            <w:vAlign w:val="center"/>
          </w:tcPr>
          <w:p w14:paraId="48D3E07E">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通信地址</w:t>
            </w:r>
          </w:p>
        </w:tc>
        <w:tc>
          <w:tcPr>
            <w:tcW w:w="2409" w:type="dxa"/>
            <w:tcBorders>
              <w:top w:val="single" w:color="auto" w:sz="2" w:space="0"/>
              <w:left w:val="single" w:color="auto" w:sz="2" w:space="0"/>
              <w:bottom w:val="single" w:color="auto" w:sz="2" w:space="0"/>
              <w:right w:val="single" w:color="auto" w:sz="2" w:space="0"/>
            </w:tcBorders>
            <w:noWrap w:val="0"/>
            <w:vAlign w:val="center"/>
          </w:tcPr>
          <w:p w14:paraId="6A409EFF">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1976" w:type="dxa"/>
            <w:tcBorders>
              <w:top w:val="single" w:color="auto" w:sz="2" w:space="0"/>
              <w:left w:val="single" w:color="auto" w:sz="2" w:space="0"/>
              <w:bottom w:val="single" w:color="auto" w:sz="2" w:space="0"/>
              <w:right w:val="single" w:color="auto" w:sz="2" w:space="0"/>
            </w:tcBorders>
            <w:noWrap w:val="0"/>
            <w:vAlign w:val="center"/>
          </w:tcPr>
          <w:p w14:paraId="4770C947">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通信地址</w:t>
            </w:r>
          </w:p>
        </w:tc>
        <w:tc>
          <w:tcPr>
            <w:tcW w:w="2119" w:type="dxa"/>
            <w:tcBorders>
              <w:top w:val="single" w:color="auto" w:sz="2" w:space="0"/>
              <w:left w:val="single" w:color="auto" w:sz="2" w:space="0"/>
              <w:bottom w:val="single" w:color="auto" w:sz="2" w:space="0"/>
            </w:tcBorders>
            <w:noWrap w:val="0"/>
            <w:vAlign w:val="center"/>
          </w:tcPr>
          <w:p w14:paraId="79E42454">
            <w:pPr>
              <w:adjustRightInd w:val="0"/>
              <w:snapToGrid w:val="0"/>
              <w:spacing w:line="300" w:lineRule="exact"/>
              <w:jc w:val="center"/>
              <w:rPr>
                <w:rFonts w:hint="eastAsia" w:ascii="仿宋_GB2312" w:hAnsi="仿宋_GB2312" w:eastAsia="仿宋_GB2312" w:cs="仿宋_GB2312"/>
                <w:color w:val="000000"/>
                <w:spacing w:val="20"/>
                <w:szCs w:val="21"/>
                <w:highlight w:val="none"/>
              </w:rPr>
            </w:pPr>
          </w:p>
        </w:tc>
      </w:tr>
      <w:tr w14:paraId="7A86AA4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0"/>
            <w:vAlign w:val="center"/>
          </w:tcPr>
          <w:p w14:paraId="706B380D">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邮政编码</w:t>
            </w:r>
          </w:p>
        </w:tc>
        <w:tc>
          <w:tcPr>
            <w:tcW w:w="2409" w:type="dxa"/>
            <w:tcBorders>
              <w:top w:val="single" w:color="auto" w:sz="2" w:space="0"/>
              <w:left w:val="single" w:color="auto" w:sz="2" w:space="0"/>
              <w:bottom w:val="single" w:color="auto" w:sz="2" w:space="0"/>
              <w:right w:val="single" w:color="auto" w:sz="2" w:space="0"/>
            </w:tcBorders>
            <w:noWrap w:val="0"/>
            <w:vAlign w:val="center"/>
          </w:tcPr>
          <w:p w14:paraId="286CF4AE">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1976" w:type="dxa"/>
            <w:tcBorders>
              <w:top w:val="single" w:color="auto" w:sz="2" w:space="0"/>
              <w:left w:val="single" w:color="auto" w:sz="2" w:space="0"/>
              <w:bottom w:val="single" w:color="auto" w:sz="2" w:space="0"/>
              <w:right w:val="single" w:color="auto" w:sz="2" w:space="0"/>
            </w:tcBorders>
            <w:noWrap w:val="0"/>
            <w:vAlign w:val="center"/>
          </w:tcPr>
          <w:p w14:paraId="5729291F">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邮政编码</w:t>
            </w:r>
          </w:p>
        </w:tc>
        <w:tc>
          <w:tcPr>
            <w:tcW w:w="2119" w:type="dxa"/>
            <w:tcBorders>
              <w:top w:val="single" w:color="auto" w:sz="2" w:space="0"/>
              <w:left w:val="single" w:color="auto" w:sz="2" w:space="0"/>
              <w:bottom w:val="single" w:color="auto" w:sz="2" w:space="0"/>
            </w:tcBorders>
            <w:noWrap w:val="0"/>
            <w:vAlign w:val="center"/>
          </w:tcPr>
          <w:p w14:paraId="7D29E8A6">
            <w:pPr>
              <w:adjustRightInd w:val="0"/>
              <w:snapToGrid w:val="0"/>
              <w:spacing w:line="300" w:lineRule="exact"/>
              <w:jc w:val="center"/>
              <w:rPr>
                <w:rFonts w:hint="eastAsia" w:ascii="仿宋_GB2312" w:hAnsi="仿宋_GB2312" w:eastAsia="仿宋_GB2312" w:cs="仿宋_GB2312"/>
                <w:color w:val="000000"/>
                <w:spacing w:val="20"/>
                <w:szCs w:val="21"/>
                <w:highlight w:val="none"/>
              </w:rPr>
            </w:pPr>
          </w:p>
        </w:tc>
      </w:tr>
      <w:tr w14:paraId="07A9EC0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0"/>
            <w:vAlign w:val="center"/>
          </w:tcPr>
          <w:p w14:paraId="35D1E6BE">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电子邮箱</w:t>
            </w:r>
          </w:p>
        </w:tc>
        <w:tc>
          <w:tcPr>
            <w:tcW w:w="2409" w:type="dxa"/>
            <w:tcBorders>
              <w:top w:val="single" w:color="auto" w:sz="2" w:space="0"/>
              <w:left w:val="single" w:color="auto" w:sz="2" w:space="0"/>
              <w:bottom w:val="single" w:color="auto" w:sz="2" w:space="0"/>
              <w:right w:val="single" w:color="auto" w:sz="2" w:space="0"/>
            </w:tcBorders>
            <w:noWrap w:val="0"/>
            <w:vAlign w:val="center"/>
          </w:tcPr>
          <w:p w14:paraId="696EC44E">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1976" w:type="dxa"/>
            <w:tcBorders>
              <w:top w:val="single" w:color="auto" w:sz="2" w:space="0"/>
              <w:left w:val="single" w:color="auto" w:sz="2" w:space="0"/>
              <w:bottom w:val="single" w:color="auto" w:sz="2" w:space="0"/>
              <w:right w:val="single" w:color="auto" w:sz="2" w:space="0"/>
            </w:tcBorders>
            <w:noWrap w:val="0"/>
            <w:vAlign w:val="center"/>
          </w:tcPr>
          <w:p w14:paraId="12D9C4B2">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电子邮箱</w:t>
            </w:r>
          </w:p>
        </w:tc>
        <w:tc>
          <w:tcPr>
            <w:tcW w:w="2119" w:type="dxa"/>
            <w:tcBorders>
              <w:top w:val="single" w:color="auto" w:sz="2" w:space="0"/>
              <w:left w:val="single" w:color="auto" w:sz="2" w:space="0"/>
              <w:bottom w:val="single" w:color="auto" w:sz="2" w:space="0"/>
            </w:tcBorders>
            <w:noWrap w:val="0"/>
            <w:vAlign w:val="center"/>
          </w:tcPr>
          <w:p w14:paraId="7639B7C1">
            <w:pPr>
              <w:adjustRightInd w:val="0"/>
              <w:snapToGrid w:val="0"/>
              <w:spacing w:line="300" w:lineRule="exact"/>
              <w:jc w:val="center"/>
              <w:rPr>
                <w:rFonts w:hint="eastAsia" w:ascii="仿宋_GB2312" w:hAnsi="仿宋_GB2312" w:eastAsia="仿宋_GB2312" w:cs="仿宋_GB2312"/>
                <w:color w:val="000000"/>
                <w:spacing w:val="20"/>
                <w:szCs w:val="21"/>
                <w:highlight w:val="none"/>
              </w:rPr>
            </w:pPr>
          </w:p>
        </w:tc>
      </w:tr>
      <w:tr w14:paraId="1461FD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0"/>
            <w:vAlign w:val="center"/>
          </w:tcPr>
          <w:p w14:paraId="160231C1">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统一社会信用代码</w:t>
            </w:r>
          </w:p>
        </w:tc>
        <w:tc>
          <w:tcPr>
            <w:tcW w:w="2409" w:type="dxa"/>
            <w:tcBorders>
              <w:top w:val="single" w:color="auto" w:sz="2" w:space="0"/>
              <w:left w:val="single" w:color="auto" w:sz="2" w:space="0"/>
              <w:bottom w:val="single" w:color="auto" w:sz="2" w:space="0"/>
              <w:right w:val="single" w:color="auto" w:sz="2" w:space="0"/>
            </w:tcBorders>
            <w:noWrap w:val="0"/>
            <w:vAlign w:val="center"/>
          </w:tcPr>
          <w:p w14:paraId="6A36753C">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1976" w:type="dxa"/>
            <w:tcBorders>
              <w:top w:val="single" w:color="auto" w:sz="2" w:space="0"/>
              <w:left w:val="single" w:color="auto" w:sz="2" w:space="0"/>
              <w:bottom w:val="single" w:color="auto" w:sz="2" w:space="0"/>
              <w:right w:val="single" w:color="auto" w:sz="2" w:space="0"/>
            </w:tcBorders>
            <w:noWrap w:val="0"/>
            <w:vAlign w:val="center"/>
          </w:tcPr>
          <w:p w14:paraId="2E2E211B">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统一社会信用代码</w:t>
            </w:r>
          </w:p>
        </w:tc>
        <w:tc>
          <w:tcPr>
            <w:tcW w:w="2119" w:type="dxa"/>
            <w:tcBorders>
              <w:top w:val="single" w:color="auto" w:sz="2" w:space="0"/>
              <w:left w:val="single" w:color="auto" w:sz="2" w:space="0"/>
              <w:bottom w:val="single" w:color="auto" w:sz="2" w:space="0"/>
            </w:tcBorders>
            <w:noWrap w:val="0"/>
            <w:vAlign w:val="center"/>
          </w:tcPr>
          <w:p w14:paraId="456C221D">
            <w:pPr>
              <w:adjustRightInd w:val="0"/>
              <w:snapToGrid w:val="0"/>
              <w:spacing w:line="300" w:lineRule="exact"/>
              <w:jc w:val="center"/>
              <w:rPr>
                <w:rFonts w:hint="eastAsia" w:ascii="仿宋_GB2312" w:hAnsi="仿宋_GB2312" w:eastAsia="仿宋_GB2312" w:cs="仿宋_GB2312"/>
                <w:color w:val="000000"/>
                <w:spacing w:val="20"/>
                <w:szCs w:val="21"/>
                <w:highlight w:val="none"/>
              </w:rPr>
            </w:pPr>
          </w:p>
        </w:tc>
      </w:tr>
      <w:tr w14:paraId="7BD798A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0"/>
            <w:vAlign w:val="center"/>
          </w:tcPr>
          <w:p w14:paraId="2348A7BD">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2409" w:type="dxa"/>
            <w:tcBorders>
              <w:top w:val="single" w:color="auto" w:sz="2" w:space="0"/>
              <w:left w:val="single" w:color="auto" w:sz="2" w:space="0"/>
              <w:bottom w:val="single" w:color="auto" w:sz="2" w:space="0"/>
              <w:right w:val="single" w:color="auto" w:sz="2" w:space="0"/>
            </w:tcBorders>
            <w:noWrap w:val="0"/>
            <w:vAlign w:val="center"/>
          </w:tcPr>
          <w:p w14:paraId="53DF43D8">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1976" w:type="dxa"/>
            <w:tcBorders>
              <w:top w:val="single" w:color="auto" w:sz="2" w:space="0"/>
              <w:left w:val="single" w:color="auto" w:sz="2" w:space="0"/>
              <w:bottom w:val="single" w:color="auto" w:sz="2" w:space="0"/>
              <w:right w:val="single" w:color="auto" w:sz="2" w:space="0"/>
            </w:tcBorders>
            <w:noWrap w:val="0"/>
            <w:vAlign w:val="center"/>
          </w:tcPr>
          <w:p w14:paraId="4A5C5DA0">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开户名称</w:t>
            </w:r>
          </w:p>
        </w:tc>
        <w:tc>
          <w:tcPr>
            <w:tcW w:w="2119" w:type="dxa"/>
            <w:tcBorders>
              <w:top w:val="single" w:color="auto" w:sz="2" w:space="0"/>
              <w:left w:val="single" w:color="auto" w:sz="2" w:space="0"/>
              <w:bottom w:val="single" w:color="auto" w:sz="2" w:space="0"/>
            </w:tcBorders>
            <w:noWrap w:val="0"/>
            <w:vAlign w:val="center"/>
          </w:tcPr>
          <w:p w14:paraId="2677F8DA">
            <w:pPr>
              <w:adjustRightInd w:val="0"/>
              <w:snapToGrid w:val="0"/>
              <w:spacing w:line="300" w:lineRule="exact"/>
              <w:jc w:val="center"/>
              <w:rPr>
                <w:rFonts w:hint="eastAsia" w:ascii="仿宋_GB2312" w:hAnsi="仿宋_GB2312" w:eastAsia="仿宋_GB2312" w:cs="仿宋_GB2312"/>
                <w:color w:val="000000"/>
                <w:spacing w:val="20"/>
                <w:szCs w:val="21"/>
                <w:highlight w:val="none"/>
              </w:rPr>
            </w:pPr>
          </w:p>
        </w:tc>
      </w:tr>
      <w:tr w14:paraId="7408CF0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0"/>
            <w:vAlign w:val="center"/>
          </w:tcPr>
          <w:p w14:paraId="0B1201C1">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2409" w:type="dxa"/>
            <w:tcBorders>
              <w:top w:val="single" w:color="auto" w:sz="2" w:space="0"/>
              <w:left w:val="single" w:color="auto" w:sz="2" w:space="0"/>
              <w:bottom w:val="single" w:color="auto" w:sz="2" w:space="0"/>
              <w:right w:val="single" w:color="auto" w:sz="2" w:space="0"/>
            </w:tcBorders>
            <w:noWrap w:val="0"/>
            <w:vAlign w:val="center"/>
          </w:tcPr>
          <w:p w14:paraId="06237CD0">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1976" w:type="dxa"/>
            <w:tcBorders>
              <w:top w:val="single" w:color="auto" w:sz="2" w:space="0"/>
              <w:left w:val="single" w:color="auto" w:sz="2" w:space="0"/>
              <w:bottom w:val="single" w:color="auto" w:sz="2" w:space="0"/>
              <w:right w:val="single" w:color="auto" w:sz="2" w:space="0"/>
            </w:tcBorders>
            <w:noWrap w:val="0"/>
            <w:vAlign w:val="center"/>
          </w:tcPr>
          <w:p w14:paraId="5FFED813">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开户银行</w:t>
            </w:r>
          </w:p>
        </w:tc>
        <w:tc>
          <w:tcPr>
            <w:tcW w:w="2119" w:type="dxa"/>
            <w:tcBorders>
              <w:top w:val="single" w:color="auto" w:sz="2" w:space="0"/>
              <w:left w:val="single" w:color="auto" w:sz="2" w:space="0"/>
              <w:bottom w:val="single" w:color="auto" w:sz="2" w:space="0"/>
            </w:tcBorders>
            <w:noWrap w:val="0"/>
            <w:vAlign w:val="center"/>
          </w:tcPr>
          <w:p w14:paraId="2D784233">
            <w:pPr>
              <w:adjustRightInd w:val="0"/>
              <w:snapToGrid w:val="0"/>
              <w:spacing w:line="300" w:lineRule="exact"/>
              <w:jc w:val="center"/>
              <w:rPr>
                <w:rFonts w:hint="eastAsia" w:ascii="仿宋_GB2312" w:hAnsi="仿宋_GB2312" w:eastAsia="仿宋_GB2312" w:cs="仿宋_GB2312"/>
                <w:color w:val="000000"/>
                <w:spacing w:val="20"/>
                <w:szCs w:val="21"/>
                <w:highlight w:val="none"/>
              </w:rPr>
            </w:pPr>
          </w:p>
        </w:tc>
      </w:tr>
      <w:tr w14:paraId="555AABD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tcBorders>
              <w:top w:val="single" w:color="auto" w:sz="2" w:space="0"/>
              <w:bottom w:val="single" w:color="auto" w:sz="2" w:space="0"/>
              <w:right w:val="single" w:color="auto" w:sz="2" w:space="0"/>
            </w:tcBorders>
            <w:noWrap w:val="0"/>
            <w:vAlign w:val="center"/>
          </w:tcPr>
          <w:p w14:paraId="67948F19">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2409" w:type="dxa"/>
            <w:tcBorders>
              <w:top w:val="single" w:color="auto" w:sz="2" w:space="0"/>
              <w:left w:val="single" w:color="auto" w:sz="2" w:space="0"/>
              <w:bottom w:val="single" w:color="auto" w:sz="2" w:space="0"/>
              <w:right w:val="single" w:color="auto" w:sz="2" w:space="0"/>
            </w:tcBorders>
            <w:noWrap w:val="0"/>
            <w:vAlign w:val="center"/>
          </w:tcPr>
          <w:p w14:paraId="303576C7">
            <w:pPr>
              <w:adjustRightInd w:val="0"/>
              <w:snapToGrid w:val="0"/>
              <w:spacing w:line="300" w:lineRule="exact"/>
              <w:jc w:val="center"/>
              <w:rPr>
                <w:rFonts w:hint="eastAsia" w:ascii="仿宋_GB2312" w:hAnsi="仿宋_GB2312" w:eastAsia="仿宋_GB2312" w:cs="仿宋_GB2312"/>
                <w:color w:val="000000"/>
                <w:szCs w:val="21"/>
                <w:highlight w:val="none"/>
              </w:rPr>
            </w:pPr>
          </w:p>
        </w:tc>
        <w:tc>
          <w:tcPr>
            <w:tcW w:w="1976" w:type="dxa"/>
            <w:tcBorders>
              <w:top w:val="single" w:color="auto" w:sz="2" w:space="0"/>
              <w:left w:val="single" w:color="auto" w:sz="2" w:space="0"/>
              <w:bottom w:val="single" w:color="auto" w:sz="2" w:space="0"/>
              <w:right w:val="single" w:color="auto" w:sz="2" w:space="0"/>
            </w:tcBorders>
            <w:noWrap w:val="0"/>
            <w:vAlign w:val="center"/>
          </w:tcPr>
          <w:p w14:paraId="3D2C9DF1">
            <w:pPr>
              <w:adjustRightInd w:val="0"/>
              <w:snapToGrid w:val="0"/>
              <w:spacing w:line="30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银行账号</w:t>
            </w:r>
          </w:p>
        </w:tc>
        <w:tc>
          <w:tcPr>
            <w:tcW w:w="2119" w:type="dxa"/>
            <w:tcBorders>
              <w:top w:val="single" w:color="auto" w:sz="2" w:space="0"/>
              <w:left w:val="single" w:color="auto" w:sz="2" w:space="0"/>
              <w:bottom w:val="single" w:color="auto" w:sz="2" w:space="0"/>
            </w:tcBorders>
            <w:noWrap w:val="0"/>
            <w:vAlign w:val="center"/>
          </w:tcPr>
          <w:p w14:paraId="658A137E">
            <w:pPr>
              <w:adjustRightInd w:val="0"/>
              <w:snapToGrid w:val="0"/>
              <w:spacing w:line="300" w:lineRule="exact"/>
              <w:jc w:val="center"/>
              <w:rPr>
                <w:rFonts w:hint="eastAsia" w:ascii="仿宋_GB2312" w:hAnsi="仿宋_GB2312" w:eastAsia="仿宋_GB2312" w:cs="仿宋_GB2312"/>
                <w:color w:val="000000"/>
                <w:spacing w:val="20"/>
                <w:szCs w:val="21"/>
                <w:highlight w:val="none"/>
              </w:rPr>
            </w:pPr>
          </w:p>
        </w:tc>
      </w:tr>
      <w:tr w14:paraId="7B9D8FE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598" w:type="dxa"/>
            <w:gridSpan w:val="4"/>
            <w:tcBorders>
              <w:top w:val="single" w:color="auto" w:sz="2" w:space="0"/>
            </w:tcBorders>
            <w:noWrap w:val="0"/>
            <w:vAlign w:val="center"/>
          </w:tcPr>
          <w:p w14:paraId="5620A172">
            <w:pPr>
              <w:pStyle w:val="8"/>
              <w:adjustRightInd w:val="0"/>
              <w:snapToGrid w:val="0"/>
              <w:spacing w:before="159" w:beforeLines="50" w:after="0" w:line="360" w:lineRule="auto"/>
              <w:ind w:left="0" w:leftChars="0"/>
              <w:jc w:val="left"/>
              <w:rPr>
                <w:rFonts w:hint="eastAsia" w:ascii="仿宋_GB2312" w:hAnsi="仿宋_GB2312" w:eastAsia="仿宋_GB2312" w:cs="仿宋_GB2312"/>
                <w:color w:val="000000"/>
                <w:spacing w:val="20"/>
                <w:szCs w:val="21"/>
                <w:highlight w:val="none"/>
              </w:rPr>
            </w:pPr>
            <w:r>
              <w:rPr>
                <w:rFonts w:hint="eastAsia" w:ascii="仿宋_GB2312" w:hAnsi="仿宋_GB2312" w:eastAsia="仿宋_GB2312" w:cs="仿宋_GB2312"/>
                <w:color w:val="000000"/>
                <w:szCs w:val="21"/>
                <w:highlight w:val="none"/>
              </w:rPr>
              <w:t>注：涉及联合体或其他合同主体的信息应按上表格式加列。</w:t>
            </w:r>
          </w:p>
        </w:tc>
      </w:tr>
    </w:tbl>
    <w:p w14:paraId="5A779A41">
      <w:pPr>
        <w:pStyle w:val="3"/>
        <w:adjustRightInd w:val="0"/>
        <w:snapToGrid w:val="0"/>
        <w:spacing w:before="159" w:beforeLines="50"/>
        <w:outlineLvl w:val="0"/>
        <w:rPr>
          <w:rFonts w:hint="eastAsia" w:ascii="黑体" w:hAnsi="黑体" w:eastAsia="黑体" w:cs="黑体"/>
          <w:b w:val="0"/>
          <w:bCs w:val="0"/>
          <w:color w:val="000000"/>
          <w:szCs w:val="28"/>
          <w:highlight w:val="none"/>
        </w:rPr>
      </w:pPr>
      <w:r>
        <w:rPr>
          <w:rFonts w:hint="eastAsia" w:ascii="Times New Roman" w:hAnsi="Times New Roman" w:eastAsia="仿宋" w:cs="仿宋"/>
          <w:color w:val="000000"/>
          <w:sz w:val="21"/>
          <w:szCs w:val="21"/>
          <w:highlight w:val="none"/>
          <w:u w:val="single"/>
        </w:rPr>
        <w:br w:type="page"/>
      </w:r>
      <w:bookmarkStart w:id="148" w:name="_Toc27624"/>
      <w:bookmarkStart w:id="149" w:name="_Toc13052"/>
      <w:r>
        <w:rPr>
          <w:rFonts w:hint="eastAsia" w:ascii="黑体" w:hAnsi="黑体" w:eastAsia="黑体" w:cs="黑体"/>
          <w:b w:val="0"/>
          <w:bCs w:val="0"/>
          <w:color w:val="000000"/>
          <w:szCs w:val="28"/>
          <w:highlight w:val="none"/>
        </w:rPr>
        <w:t>第二节 政府采购合同通用条款</w:t>
      </w:r>
      <w:bookmarkEnd w:id="148"/>
      <w:bookmarkEnd w:id="149"/>
    </w:p>
    <w:p w14:paraId="1CE4B1ED">
      <w:pPr>
        <w:tabs>
          <w:tab w:val="left" w:pos="8820"/>
          <w:tab w:val="left" w:pos="9345"/>
          <w:tab w:val="left" w:pos="9765"/>
        </w:tabs>
        <w:adjustRightInd w:val="0"/>
        <w:snapToGrid w:val="0"/>
        <w:spacing w:line="40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color w:val="000000"/>
          <w:sz w:val="24"/>
          <w:szCs w:val="24"/>
          <w:highlight w:val="none"/>
        </w:rPr>
        <w:t xml:space="preserve">1. </w:t>
      </w:r>
      <w:r>
        <w:rPr>
          <w:rFonts w:hint="eastAsia" w:ascii="仿宋_GB2312" w:hAnsi="仿宋_GB2312" w:eastAsia="仿宋_GB2312" w:cs="仿宋_GB2312"/>
          <w:b/>
          <w:bCs/>
          <w:color w:val="000000"/>
          <w:sz w:val="24"/>
          <w:szCs w:val="24"/>
          <w:highlight w:val="none"/>
        </w:rPr>
        <w:t>定义</w:t>
      </w:r>
    </w:p>
    <w:p w14:paraId="6C259C7C">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1.1合同当事人</w:t>
      </w:r>
    </w:p>
    <w:p w14:paraId="4323D999">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（1）采购人（以下称甲方）是指使用财政性资金，通过政府采购方式向供应商购买货物及其相关服务的国家机关、事业单位、团体组织。</w:t>
      </w:r>
    </w:p>
    <w:p w14:paraId="26FA9458">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（2）供应商（以下称乙方）是指参加政府采购活动并且中标（成交），向采购人提供合同约定的货物及其相关服务的法人、非法人组织或者自然人。</w:t>
      </w:r>
    </w:p>
    <w:p w14:paraId="119DB485">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（3）其他合同主体是指除采购人和供应商以外，</w:t>
      </w:r>
      <w:r>
        <w:rPr>
          <w:rFonts w:hint="eastAsia" w:ascii="仿宋_GB2312" w:hAnsi="仿宋_GB2312" w:eastAsia="仿宋_GB2312" w:cs="仿宋_GB2312"/>
          <w:bCs/>
          <w:color w:val="000000"/>
          <w:sz w:val="24"/>
          <w:szCs w:val="24"/>
          <w:highlight w:val="none"/>
        </w:rPr>
        <w:t>依法参与合同缔结或履行，享有权利、承担义务的合同当事人</w:t>
      </w:r>
      <w:r>
        <w:rPr>
          <w:rFonts w:hint="eastAsia" w:ascii="仿宋_GB2312" w:hAnsi="仿宋_GB2312" w:eastAsia="仿宋_GB2312" w:cs="仿宋_GB2312"/>
          <w:color w:val="000000"/>
          <w:sz w:val="24"/>
          <w:szCs w:val="24"/>
          <w:highlight w:val="none"/>
        </w:rPr>
        <w:t>。</w:t>
      </w:r>
    </w:p>
    <w:p w14:paraId="35C86961">
      <w:pPr>
        <w:tabs>
          <w:tab w:val="left" w:pos="570"/>
          <w:tab w:val="left" w:pos="9240"/>
          <w:tab w:val="left" w:pos="9555"/>
        </w:tabs>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1.2本合同下列术语应解释为：</w:t>
      </w:r>
    </w:p>
    <w:p w14:paraId="44566D68">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（1）“合同”系指</w:t>
      </w:r>
      <w:r>
        <w:rPr>
          <w:rFonts w:hint="eastAsia" w:ascii="仿宋_GB2312" w:hAnsi="仿宋_GB2312" w:eastAsia="仿宋_GB2312" w:cs="仿宋_GB2312"/>
          <w:bCs/>
          <w:color w:val="000000"/>
          <w:sz w:val="24"/>
          <w:szCs w:val="24"/>
          <w:highlight w:val="none"/>
        </w:rPr>
        <w:t>合同当事人意思表示达成一致的任何协议，包括签署的</w:t>
      </w:r>
      <w:r>
        <w:rPr>
          <w:rFonts w:hint="eastAsia" w:ascii="仿宋_GB2312" w:hAnsi="仿宋_GB2312" w:eastAsia="仿宋_GB2312" w:cs="仿宋_GB2312"/>
          <w:color w:val="000000"/>
          <w:sz w:val="24"/>
          <w:szCs w:val="24"/>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53424750">
      <w:pPr>
        <w:tabs>
          <w:tab w:val="left" w:pos="570"/>
          <w:tab w:val="left" w:pos="9240"/>
          <w:tab w:val="left" w:pos="9555"/>
        </w:tabs>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（2）“合同价款”系指根据本合同规定乙方在全面履行合同义务后甲方应支付给乙方的价款。</w:t>
      </w:r>
    </w:p>
    <w:p w14:paraId="382A39E8">
      <w:pPr>
        <w:tabs>
          <w:tab w:val="left" w:pos="570"/>
          <w:tab w:val="left" w:pos="9240"/>
          <w:tab w:val="left" w:pos="9555"/>
        </w:tabs>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（3）“货物”系指乙方根据本合同规定须向甲方提供的各种形态和种类的物品，包括原材料、设备、产品（包括软件）及相关的其备品备件、工具、手册及</w:t>
      </w:r>
      <w:r>
        <w:rPr>
          <w:rFonts w:hint="eastAsia" w:ascii="仿宋_GB2312" w:hAnsi="仿宋_GB2312" w:eastAsia="仿宋_GB2312" w:cs="仿宋_GB2312"/>
          <w:color w:val="000000"/>
          <w:sz w:val="24"/>
          <w:szCs w:val="24"/>
          <w:highlight w:val="none"/>
          <w:lang w:val="en"/>
        </w:rPr>
        <w:t>其他</w:t>
      </w:r>
      <w:r>
        <w:rPr>
          <w:rFonts w:hint="eastAsia" w:ascii="仿宋_GB2312" w:hAnsi="仿宋_GB2312" w:eastAsia="仿宋_GB2312" w:cs="仿宋_GB2312"/>
          <w:color w:val="000000"/>
          <w:sz w:val="24"/>
          <w:szCs w:val="24"/>
          <w:highlight w:val="none"/>
        </w:rPr>
        <w:t>技术资料和材料等。</w:t>
      </w:r>
    </w:p>
    <w:p w14:paraId="24809871">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（4）“相关服务”系指根据合同规定，乙方应提供的与货物有关的技术、管理和</w:t>
      </w:r>
      <w:r>
        <w:rPr>
          <w:rFonts w:hint="eastAsia" w:ascii="仿宋_GB2312" w:hAnsi="仿宋_GB2312" w:eastAsia="仿宋_GB2312" w:cs="仿宋_GB2312"/>
          <w:color w:val="000000"/>
          <w:sz w:val="24"/>
          <w:szCs w:val="24"/>
          <w:highlight w:val="none"/>
          <w:lang w:val="en"/>
        </w:rPr>
        <w:t>其他</w:t>
      </w:r>
      <w:r>
        <w:rPr>
          <w:rFonts w:hint="eastAsia" w:ascii="仿宋_GB2312" w:hAnsi="仿宋_GB2312" w:eastAsia="仿宋_GB2312" w:cs="仿宋_GB2312"/>
          <w:color w:val="000000"/>
          <w:sz w:val="24"/>
          <w:szCs w:val="24"/>
          <w:highlight w:val="none"/>
        </w:rPr>
        <w:t>服务，包括但不限于：管理和质量保证、运输、保险、检验、现场准备、安装、集成、调试、培训、维修、废弃处置、技术支持等以及合同中规定乙方应承担的</w:t>
      </w:r>
      <w:r>
        <w:rPr>
          <w:rFonts w:hint="eastAsia" w:ascii="仿宋_GB2312" w:hAnsi="仿宋_GB2312" w:eastAsia="仿宋_GB2312" w:cs="仿宋_GB2312"/>
          <w:color w:val="000000"/>
          <w:sz w:val="24"/>
          <w:szCs w:val="24"/>
          <w:highlight w:val="none"/>
          <w:lang w:val="en"/>
        </w:rPr>
        <w:t>其他</w:t>
      </w:r>
      <w:r>
        <w:rPr>
          <w:rFonts w:hint="eastAsia" w:ascii="仿宋_GB2312" w:hAnsi="仿宋_GB2312" w:eastAsia="仿宋_GB2312" w:cs="仿宋_GB2312"/>
          <w:color w:val="000000"/>
          <w:sz w:val="24"/>
          <w:szCs w:val="24"/>
          <w:highlight w:val="none"/>
        </w:rPr>
        <w:t>义务。</w:t>
      </w:r>
    </w:p>
    <w:p w14:paraId="00093CC6">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（5）“分包”系指中标（成交）供应商按采购文件、投标（响应）文件的规定，根据分包意向协议，将中标（成交）项目中的部分履约内容，分给具有相应资质条件的供应商履行合同的行为。</w:t>
      </w:r>
    </w:p>
    <w:p w14:paraId="27DC95F7">
      <w:pPr>
        <w:tabs>
          <w:tab w:val="left" w:pos="570"/>
          <w:tab w:val="left" w:pos="9240"/>
          <w:tab w:val="left" w:pos="9555"/>
        </w:tabs>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_GB2312" w:hAnsi="仿宋_GB2312" w:eastAsia="仿宋_GB2312" w:cs="仿宋_GB2312"/>
          <w:b/>
          <w:bCs/>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w:t>
      </w:r>
    </w:p>
    <w:p w14:paraId="07486C64">
      <w:pPr>
        <w:tabs>
          <w:tab w:val="left" w:pos="570"/>
          <w:tab w:val="left" w:pos="9240"/>
          <w:tab w:val="left" w:pos="9555"/>
        </w:tabs>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（7）其他术语解释，见【</w:t>
      </w:r>
      <w:r>
        <w:rPr>
          <w:rFonts w:hint="eastAsia" w:ascii="仿宋_GB2312" w:hAnsi="仿宋_GB2312" w:eastAsia="仿宋_GB2312" w:cs="仿宋_GB2312"/>
          <w:b/>
          <w:bCs/>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w:t>
      </w:r>
    </w:p>
    <w:p w14:paraId="49BBDF29">
      <w:pPr>
        <w:numPr>
          <w:ilvl w:val="0"/>
          <w:numId w:val="13"/>
        </w:num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color w:val="000000"/>
          <w:sz w:val="24"/>
          <w:szCs w:val="24"/>
          <w:highlight w:val="none"/>
        </w:rPr>
        <w:t>合同标的及金额</w:t>
      </w:r>
    </w:p>
    <w:p w14:paraId="3C27EC99">
      <w:pPr>
        <w:autoSpaceDE w:val="0"/>
        <w:autoSpaceDN w:val="0"/>
        <w:adjustRightInd w:val="0"/>
        <w:snapToGrid w:val="0"/>
        <w:spacing w:line="400" w:lineRule="exact"/>
        <w:ind w:firstLine="480" w:firstLineChars="200"/>
        <w:jc w:val="left"/>
        <w:rPr>
          <w:rFonts w:hint="eastAsia" w:ascii="仿宋_GB2312" w:hAnsi="仿宋_GB2312" w:eastAsia="仿宋_GB2312" w:cs="仿宋_GB2312"/>
          <w:b/>
          <w:bCs/>
          <w:i/>
          <w:iCs/>
          <w:color w:val="000000"/>
          <w:sz w:val="24"/>
          <w:szCs w:val="24"/>
          <w:highlight w:val="none"/>
        </w:rPr>
      </w:pPr>
      <w:r>
        <w:rPr>
          <w:rFonts w:hint="eastAsia" w:ascii="仿宋_GB2312" w:hAnsi="仿宋_GB2312" w:eastAsia="仿宋_GB2312" w:cs="仿宋_GB2312"/>
          <w:color w:val="000000"/>
          <w:sz w:val="24"/>
          <w:szCs w:val="24"/>
          <w:highlight w:val="none"/>
        </w:rPr>
        <w:t>2.1 合同标的及金额应与中标（成交）结果一致。乙方为履行本合同而发生的所有费用均应包含在合同价款中，甲方不再另行支付</w:t>
      </w:r>
      <w:r>
        <w:rPr>
          <w:rFonts w:hint="eastAsia" w:ascii="仿宋_GB2312" w:hAnsi="仿宋_GB2312" w:eastAsia="仿宋_GB2312" w:cs="仿宋_GB2312"/>
          <w:color w:val="000000"/>
          <w:sz w:val="24"/>
          <w:szCs w:val="24"/>
          <w:highlight w:val="none"/>
          <w:lang w:val="en"/>
        </w:rPr>
        <w:t>其他</w:t>
      </w:r>
      <w:r>
        <w:rPr>
          <w:rFonts w:hint="eastAsia" w:ascii="仿宋_GB2312" w:hAnsi="仿宋_GB2312" w:eastAsia="仿宋_GB2312" w:cs="仿宋_GB2312"/>
          <w:color w:val="000000"/>
          <w:sz w:val="24"/>
          <w:szCs w:val="24"/>
          <w:highlight w:val="none"/>
        </w:rPr>
        <w:t>任何费用。</w:t>
      </w:r>
    </w:p>
    <w:p w14:paraId="34DA9CB5">
      <w:pPr>
        <w:adjustRightInd w:val="0"/>
        <w:snapToGrid w:val="0"/>
        <w:spacing w:line="400" w:lineRule="exact"/>
        <w:jc w:val="left"/>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3. 履行合同的时间、地点和方式</w:t>
      </w:r>
    </w:p>
    <w:p w14:paraId="422F809A">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3.1 乙方应当在约定的时间、地点，按照约定方式履行合同。</w:t>
      </w:r>
    </w:p>
    <w:p w14:paraId="5F4B0FAE">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4. 甲方的权利和义务</w:t>
      </w:r>
    </w:p>
    <w:p w14:paraId="070DBBB7">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3B88949">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4.2 甲方有权要求乙方按时提交各阶段有关安排计划，并有权定期核对乙方提供货物数量、规格、质量等内容。甲方有权督促乙方工作并要求乙方更换不符合要求的货物。</w:t>
      </w:r>
    </w:p>
    <w:p w14:paraId="06DC4844">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4.3 甲方有权要求乙方对缺陷部分予以修复，并按合同约定享有货物保修及其他合同约定的权利。</w:t>
      </w:r>
    </w:p>
    <w:p w14:paraId="4DE4B6E7">
      <w:pPr>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4.4 甲方应当按照合同约定及时对交付的货物进行验收，未在</w:t>
      </w:r>
      <w:r>
        <w:rPr>
          <w:rFonts w:hint="eastAsia" w:ascii="仿宋_GB2312" w:hAnsi="仿宋_GB2312" w:eastAsia="仿宋_GB2312" w:cs="仿宋_GB2312"/>
          <w:b/>
          <w:bCs/>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约定的期限内对乙方履约提出任何异议或者向乙方作出任何说明的，视为验收通过。</w:t>
      </w:r>
    </w:p>
    <w:p w14:paraId="52FAC079">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4.5 甲方应当根据合同约定及时向乙方支付合同价款，不得以内部人员变更、履行内部付款流程等为由，拒绝或迟延支付。</w:t>
      </w:r>
    </w:p>
    <w:p w14:paraId="6E3A7F72">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4.6 国家法律法规规定及</w:t>
      </w:r>
      <w:r>
        <w:rPr>
          <w:rFonts w:hint="eastAsia" w:ascii="仿宋_GB2312" w:hAnsi="仿宋_GB2312" w:eastAsia="仿宋_GB2312" w:cs="仿宋_GB2312"/>
          <w:b/>
          <w:bCs/>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约定应由甲方承担的其他义务和责任。</w:t>
      </w:r>
    </w:p>
    <w:p w14:paraId="21241BC3">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5. 乙方的权利和义务</w:t>
      </w:r>
    </w:p>
    <w:p w14:paraId="55367693">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5.1 签署合同后，乙方应确定项目负责人（或项目联系人），负责与本合同有关的事务。</w:t>
      </w:r>
    </w:p>
    <w:p w14:paraId="48ACE12C">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0ABC2BF">
      <w:pPr>
        <w:pStyle w:val="2"/>
        <w:spacing w:after="0" w:line="400" w:lineRule="exact"/>
        <w:ind w:firstLine="422" w:firstLineChars="176"/>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5.3乙方有权根据合同约定向甲方收取合同价款。</w:t>
      </w:r>
    </w:p>
    <w:p w14:paraId="413A5B35">
      <w:pPr>
        <w:pStyle w:val="2"/>
        <w:spacing w:after="0" w:line="400" w:lineRule="exact"/>
        <w:ind w:firstLine="422" w:firstLineChars="176"/>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5.4国家法律法规规定及</w:t>
      </w:r>
      <w:r>
        <w:rPr>
          <w:rFonts w:hint="eastAsia" w:ascii="仿宋_GB2312" w:hAnsi="仿宋_GB2312" w:eastAsia="仿宋_GB2312" w:cs="仿宋_GB2312"/>
          <w:b/>
          <w:bCs/>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约定应由乙方承担的其他义务和责任。</w:t>
      </w:r>
    </w:p>
    <w:p w14:paraId="273B92E2">
      <w:pPr>
        <w:numPr>
          <w:ilvl w:val="0"/>
          <w:numId w:val="14"/>
        </w:num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合同履行</w:t>
      </w:r>
    </w:p>
    <w:p w14:paraId="76027015">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6.1 甲乙双方应当按照</w:t>
      </w:r>
      <w:r>
        <w:rPr>
          <w:rFonts w:hint="eastAsia" w:ascii="仿宋_GB2312" w:hAnsi="仿宋_GB2312" w:eastAsia="仿宋_GB2312" w:cs="仿宋_GB2312"/>
          <w:b/>
          <w:bCs/>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约定顺序履行合同义务；如果没有先后顺序的，应当同时履行。</w:t>
      </w:r>
    </w:p>
    <w:p w14:paraId="681B87AC">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4A80FEBE">
      <w:pPr>
        <w:adjustRightInd w:val="0"/>
        <w:snapToGrid w:val="0"/>
        <w:spacing w:line="40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7. 货物包装、运输、保险和交付要求</w:t>
      </w:r>
    </w:p>
    <w:p w14:paraId="68602524">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7.1 本合同</w:t>
      </w:r>
      <w:r>
        <w:rPr>
          <w:rFonts w:hint="eastAsia" w:ascii="仿宋_GB2312" w:hAnsi="仿宋_GB2312" w:eastAsia="仿宋_GB2312" w:cs="仿宋_GB2312"/>
          <w:bCs/>
          <w:color w:val="000000"/>
          <w:sz w:val="24"/>
          <w:szCs w:val="24"/>
          <w:highlight w:val="none"/>
        </w:rPr>
        <w:t>涉及商品包装、快递包装的，</w:t>
      </w:r>
      <w:r>
        <w:rPr>
          <w:rFonts w:hint="eastAsia" w:ascii="仿宋_GB2312" w:hAnsi="仿宋_GB2312" w:eastAsia="仿宋_GB2312" w:cs="仿宋_GB2312"/>
          <w:color w:val="000000"/>
          <w:sz w:val="24"/>
          <w:szCs w:val="24"/>
          <w:highlight w:val="none"/>
        </w:rPr>
        <w:t>除</w:t>
      </w:r>
      <w:r>
        <w:rPr>
          <w:rFonts w:hint="eastAsia" w:ascii="仿宋_GB2312" w:hAnsi="仿宋_GB2312" w:eastAsia="仿宋_GB2312" w:cs="仿宋_GB2312"/>
          <w:b/>
          <w:color w:val="000000"/>
          <w:sz w:val="24"/>
          <w:szCs w:val="24"/>
          <w:highlight w:val="none"/>
        </w:rPr>
        <w:t>【政府采购合同专用条款】</w:t>
      </w:r>
      <w:r>
        <w:rPr>
          <w:rFonts w:hint="eastAsia" w:ascii="仿宋_GB2312" w:hAnsi="仿宋_GB2312" w:eastAsia="仿宋_GB2312" w:cs="仿宋_GB2312"/>
          <w:bCs/>
          <w:color w:val="000000"/>
          <w:sz w:val="24"/>
          <w:szCs w:val="24"/>
          <w:highlight w:val="none"/>
        </w:rPr>
        <w:t>另有约定外，</w:t>
      </w:r>
      <w:r>
        <w:rPr>
          <w:rFonts w:hint="eastAsia" w:ascii="仿宋_GB2312" w:hAnsi="仿宋_GB2312" w:eastAsia="仿宋_GB2312" w:cs="仿宋_GB2312"/>
          <w:color w:val="000000"/>
          <w:sz w:val="24"/>
          <w:szCs w:val="24"/>
          <w:highlight w:val="none"/>
        </w:rPr>
        <w:t>包装应适应远距离运输、防潮、防震、防锈和防野蛮装卸等要求，确保货物安全无损地运抵</w:t>
      </w:r>
      <w:r>
        <w:rPr>
          <w:rFonts w:hint="eastAsia" w:ascii="仿宋_GB2312" w:hAnsi="仿宋_GB2312" w:eastAsia="仿宋_GB2312" w:cs="仿宋_GB2312"/>
          <w:b/>
          <w:color w:val="000000"/>
          <w:sz w:val="24"/>
          <w:szCs w:val="24"/>
          <w:highlight w:val="none"/>
        </w:rPr>
        <w:t>【政府采购合同专用条款】</w:t>
      </w:r>
      <w:r>
        <w:rPr>
          <w:rFonts w:hint="eastAsia" w:ascii="仿宋_GB2312" w:hAnsi="仿宋_GB2312" w:eastAsia="仿宋_GB2312" w:cs="仿宋_GB2312"/>
          <w:bCs/>
          <w:color w:val="000000"/>
          <w:sz w:val="24"/>
          <w:szCs w:val="24"/>
          <w:highlight w:val="none"/>
        </w:rPr>
        <w:t>约定的</w:t>
      </w:r>
      <w:r>
        <w:rPr>
          <w:rFonts w:hint="eastAsia" w:ascii="仿宋_GB2312" w:hAnsi="仿宋_GB2312" w:eastAsia="仿宋_GB2312" w:cs="仿宋_GB2312"/>
          <w:color w:val="000000"/>
          <w:sz w:val="24"/>
          <w:szCs w:val="24"/>
          <w:highlight w:val="none"/>
        </w:rPr>
        <w:t>指定现场。</w:t>
      </w:r>
    </w:p>
    <w:p w14:paraId="35C9E124">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7.2 除</w:t>
      </w:r>
      <w:r>
        <w:rPr>
          <w:rFonts w:hint="eastAsia" w:ascii="仿宋_GB2312" w:hAnsi="仿宋_GB2312" w:eastAsia="仿宋_GB2312" w:cs="仿宋_GB2312"/>
          <w:b/>
          <w:color w:val="000000"/>
          <w:sz w:val="24"/>
          <w:szCs w:val="24"/>
          <w:highlight w:val="none"/>
        </w:rPr>
        <w:t>【政府采购合同专用条款】</w:t>
      </w:r>
      <w:r>
        <w:rPr>
          <w:rFonts w:hint="eastAsia" w:ascii="仿宋_GB2312" w:hAnsi="仿宋_GB2312" w:eastAsia="仿宋_GB2312" w:cs="仿宋_GB2312"/>
          <w:bCs/>
          <w:color w:val="000000"/>
          <w:sz w:val="24"/>
          <w:szCs w:val="24"/>
          <w:highlight w:val="none"/>
        </w:rPr>
        <w:t>另有约定外，</w:t>
      </w:r>
      <w:r>
        <w:rPr>
          <w:rFonts w:hint="eastAsia" w:ascii="仿宋_GB2312" w:hAnsi="仿宋_GB2312" w:eastAsia="仿宋_GB2312" w:cs="仿宋_GB2312"/>
          <w:color w:val="000000"/>
          <w:sz w:val="24"/>
          <w:szCs w:val="24"/>
          <w:highlight w:val="none"/>
        </w:rPr>
        <w:t>乙方负责办理将货物运抵本合同规定的交货地点，并装卸、交付至甲方的一切运输事项，相关费用应包含在合同价款中。</w:t>
      </w:r>
    </w:p>
    <w:p w14:paraId="1E867C14">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7.3 货物保险要求按</w:t>
      </w:r>
      <w:r>
        <w:rPr>
          <w:rFonts w:hint="eastAsia" w:ascii="仿宋_GB2312" w:hAnsi="仿宋_GB2312" w:eastAsia="仿宋_GB2312" w:cs="仿宋_GB2312"/>
          <w:b/>
          <w:color w:val="000000"/>
          <w:sz w:val="24"/>
          <w:szCs w:val="24"/>
          <w:highlight w:val="none"/>
        </w:rPr>
        <w:t>【政府采购合同专用条款】</w:t>
      </w:r>
      <w:r>
        <w:rPr>
          <w:rFonts w:hint="eastAsia" w:ascii="仿宋_GB2312" w:hAnsi="仿宋_GB2312" w:eastAsia="仿宋_GB2312" w:cs="仿宋_GB2312"/>
          <w:bCs/>
          <w:color w:val="000000"/>
          <w:sz w:val="24"/>
          <w:szCs w:val="24"/>
          <w:highlight w:val="none"/>
        </w:rPr>
        <w:t>规定执行</w:t>
      </w:r>
      <w:r>
        <w:rPr>
          <w:rFonts w:hint="eastAsia" w:ascii="仿宋_GB2312" w:hAnsi="仿宋_GB2312" w:eastAsia="仿宋_GB2312" w:cs="仿宋_GB2312"/>
          <w:color w:val="000000"/>
          <w:sz w:val="24"/>
          <w:szCs w:val="24"/>
          <w:highlight w:val="none"/>
        </w:rPr>
        <w:t>。</w:t>
      </w:r>
    </w:p>
    <w:p w14:paraId="6FA8BFC5">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7FE2955">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7.5 乙方在运输到达之前应提前通知甲方，并提示货物运输装卸的注意事项，甲方配合乙方做好货物的接收工作。</w:t>
      </w:r>
    </w:p>
    <w:p w14:paraId="190FDAB6">
      <w:pPr>
        <w:pStyle w:val="34"/>
        <w:ind w:firstLine="42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kern w:val="2"/>
          <w:sz w:val="24"/>
          <w:szCs w:val="24"/>
          <w:highlight w:val="none"/>
        </w:rPr>
        <w:t>7.6 如因包装、运输问题导致货物损毁、丢失或者品质下降，甲方有权要求降价、换货、拒收部分或整批货物，由此产生的费用和损失，均由乙方承担。</w:t>
      </w:r>
    </w:p>
    <w:p w14:paraId="4601615D">
      <w:pPr>
        <w:adjustRightInd w:val="0"/>
        <w:snapToGrid w:val="0"/>
        <w:spacing w:line="400" w:lineRule="exact"/>
        <w:jc w:val="left"/>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8. 质量标准和保证</w:t>
      </w:r>
    </w:p>
    <w:p w14:paraId="76B2ED3D">
      <w:pPr>
        <w:pStyle w:val="9"/>
        <w:adjustRightInd w:val="0"/>
        <w:snapToGrid w:val="0"/>
        <w:spacing w:line="400" w:lineRule="exact"/>
        <w:ind w:firstLine="480" w:firstLineChars="200"/>
        <w:jc w:val="left"/>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color w:val="000000"/>
          <w:sz w:val="24"/>
          <w:szCs w:val="24"/>
          <w:highlight w:val="none"/>
        </w:rPr>
        <w:t>8.1 质量标准</w:t>
      </w:r>
    </w:p>
    <w:p w14:paraId="12397224">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D55247E">
      <w:pPr>
        <w:pStyle w:val="9"/>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（2）采用中华人民共和国法定计量单位。</w:t>
      </w:r>
    </w:p>
    <w:p w14:paraId="57188F39">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（3）乙方所提供的货物应符合国家有关安全、环保、卫生的规定。</w:t>
      </w:r>
    </w:p>
    <w:p w14:paraId="4DA97A60">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（4）乙方应向甲方提交所提供货物的技术文件，包括相应的中文技术文件，如：产品目录、图纸、操作手册、使用说明、维护手册或服务指南等。上述文件应包装好随货物一同发运。</w:t>
      </w:r>
    </w:p>
    <w:p w14:paraId="1B2FD08C">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8.2 保证</w:t>
      </w:r>
    </w:p>
    <w:p w14:paraId="1A176679">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（1）提供</w:t>
      </w:r>
      <w:r>
        <w:rPr>
          <w:rStyle w:val="33"/>
          <w:rFonts w:hint="eastAsia" w:ascii="仿宋_GB2312" w:hAnsi="仿宋_GB2312" w:eastAsia="仿宋_GB2312" w:cs="仿宋_GB2312"/>
          <w:color w:val="000000"/>
          <w:sz w:val="24"/>
          <w:szCs w:val="24"/>
          <w:highlight w:val="none"/>
        </w:rPr>
        <w:t>《关于符合本国产品标准的声明函》或财政部会同有关部门规定的有关证明文件，《关于本国产品比例的声明函》（采购项目或者采购包中含有多种产品的）进行响应的乙方，应保证提供的货物符合声明函及证明文件中的内容。</w:t>
      </w:r>
    </w:p>
    <w:p w14:paraId="40AB3A82">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_GB2312" w:hAnsi="仿宋_GB2312" w:eastAsia="仿宋_GB2312" w:cs="仿宋_GB2312"/>
          <w:b/>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规定或乙方书面承诺（两者以较长的为准）的质量保证期内，本保证保持有效。</w:t>
      </w:r>
    </w:p>
    <w:p w14:paraId="18B37CBB">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（3）在质量保证期内所发现的缺陷，甲方应尽快以书面形式通知乙方。</w:t>
      </w:r>
    </w:p>
    <w:p w14:paraId="648589C0">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（4）乙方收到通知后，应在</w:t>
      </w:r>
      <w:r>
        <w:rPr>
          <w:rFonts w:hint="eastAsia" w:ascii="仿宋_GB2312" w:hAnsi="仿宋_GB2312" w:eastAsia="仿宋_GB2312" w:cs="仿宋_GB2312"/>
          <w:b/>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规定的响应时间内以合理的速度免费维修或更换有缺陷的货物或部件。</w:t>
      </w:r>
    </w:p>
    <w:p w14:paraId="4045E3E9">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（5）在质量保证期内，如果货物的质量或规格与合同不符，或证实货物是有缺陷的，包括潜在的缺陷或使用不符合要求的材料等，甲方可以根据本合同第15.1条规定以书面形式追究乙方的违约责任。</w:t>
      </w:r>
    </w:p>
    <w:p w14:paraId="17E7AA4E">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（6）乙方在约定的时间内未能弥补缺陷，甲方可采取必要的补救措施，但其风险和费用将由乙方承担，甲方根据合同约定对乙方行使的其他权利不受影响。</w:t>
      </w:r>
    </w:p>
    <w:p w14:paraId="6AAA4F3B">
      <w:pPr>
        <w:adjustRightInd w:val="0"/>
        <w:snapToGrid w:val="0"/>
        <w:spacing w:line="40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9. 权利瑕疵担保</w:t>
      </w:r>
    </w:p>
    <w:p w14:paraId="6D03073C">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9.1 乙方保证对其出售的货物享有合法的权利。</w:t>
      </w:r>
    </w:p>
    <w:p w14:paraId="1A0C0629">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9.2 乙方保证在交付的货物上不存在抵押权等担保物权。</w:t>
      </w:r>
    </w:p>
    <w:p w14:paraId="5A51DA98">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9.3 如甲方使用上述货物构成对第三人侵权的，则由乙方承担全部责任。</w:t>
      </w:r>
    </w:p>
    <w:p w14:paraId="26380F0B">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10. 知识产权保护</w:t>
      </w:r>
    </w:p>
    <w:p w14:paraId="2F7C93EB">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10.1 乙方对其所销售的货物应当享有知识产权或经权利人合法授权，保证没有侵犯任何第三人的知识产权等权利。</w:t>
      </w:r>
      <w:bookmarkStart w:id="150" w:name="_Hlk163047038"/>
      <w:r>
        <w:rPr>
          <w:rFonts w:hint="eastAsia" w:ascii="仿宋_GB2312" w:hAnsi="仿宋_GB2312" w:eastAsia="仿宋_GB2312" w:cs="仿宋_GB2312"/>
          <w:color w:val="000000"/>
          <w:sz w:val="24"/>
          <w:szCs w:val="24"/>
          <w:highlight w:val="none"/>
        </w:rPr>
        <w:t>因违反前述约定对第三人构成侵权的，应当由乙方向第三人承担法律责任；甲方依法向第三人赔偿后，有权向乙方追偿。甲方有其他损失的，乙方应当赔偿</w:t>
      </w:r>
      <w:bookmarkEnd w:id="150"/>
      <w:r>
        <w:rPr>
          <w:rFonts w:hint="eastAsia" w:ascii="仿宋_GB2312" w:hAnsi="仿宋_GB2312" w:eastAsia="仿宋_GB2312" w:cs="仿宋_GB2312"/>
          <w:color w:val="000000"/>
          <w:sz w:val="24"/>
          <w:szCs w:val="24"/>
          <w:highlight w:val="none"/>
        </w:rPr>
        <w:t>。</w:t>
      </w:r>
    </w:p>
    <w:p w14:paraId="76A2332A">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11. 保密义务</w:t>
      </w:r>
    </w:p>
    <w:p w14:paraId="2D054251">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_GB2312" w:hAnsi="仿宋_GB2312" w:eastAsia="仿宋_GB2312" w:cs="仿宋_GB2312"/>
          <w:b/>
          <w:bCs/>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中约定。</w:t>
      </w:r>
    </w:p>
    <w:p w14:paraId="23B85B5C">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12. 合同价款支付</w:t>
      </w:r>
    </w:p>
    <w:p w14:paraId="3E2E6CC3">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12.1 合同价款支付按照国库集中支付制度及财政管理相关规定执行。</w:t>
      </w:r>
    </w:p>
    <w:p w14:paraId="69B89DDB">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06F22ABD">
      <w:pPr>
        <w:pStyle w:val="2"/>
        <w:spacing w:after="0" w:line="400" w:lineRule="exac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13. 履约保证金</w:t>
      </w:r>
    </w:p>
    <w:p w14:paraId="742B83C2">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13.1 乙方应当以支票、汇票、本票或者金融机构、担保机构出具的保函等非现金形式提交。</w:t>
      </w:r>
    </w:p>
    <w:p w14:paraId="4DBE8C9D">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13.2 如果乙方出现</w:t>
      </w:r>
      <w:r>
        <w:rPr>
          <w:rFonts w:hint="eastAsia" w:ascii="仿宋_GB2312" w:hAnsi="仿宋_GB2312" w:eastAsia="仿宋_GB2312" w:cs="仿宋_GB2312"/>
          <w:b/>
          <w:bCs/>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4A698349">
      <w:pPr>
        <w:spacing w:line="400" w:lineRule="exact"/>
        <w:ind w:firstLine="42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13.3 甲方在项目通过验收后按照</w:t>
      </w:r>
      <w:r>
        <w:rPr>
          <w:rFonts w:hint="eastAsia" w:ascii="仿宋_GB2312" w:hAnsi="仿宋_GB2312" w:eastAsia="仿宋_GB2312" w:cs="仿宋_GB2312"/>
          <w:b/>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规定的时间内将履约保证金退还乙方；逾期退还的，乙方可要求甲方支付违约金，违约金按照</w:t>
      </w:r>
      <w:r>
        <w:rPr>
          <w:rFonts w:hint="eastAsia" w:ascii="仿宋_GB2312" w:hAnsi="仿宋_GB2312" w:eastAsia="仿宋_GB2312" w:cs="仿宋_GB2312"/>
          <w:b/>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规定支付。</w:t>
      </w:r>
    </w:p>
    <w:p w14:paraId="74AF0986">
      <w:pPr>
        <w:autoSpaceDE w:val="0"/>
        <w:autoSpaceDN w:val="0"/>
        <w:adjustRightInd w:val="0"/>
        <w:snapToGrid w:val="0"/>
        <w:spacing w:line="400" w:lineRule="exact"/>
        <w:jc w:val="left"/>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bCs/>
          <w:color w:val="000000"/>
          <w:sz w:val="24"/>
          <w:szCs w:val="24"/>
          <w:highlight w:val="none"/>
        </w:rPr>
        <w:t xml:space="preserve">14. </w:t>
      </w:r>
      <w:r>
        <w:rPr>
          <w:rFonts w:hint="eastAsia" w:ascii="仿宋_GB2312" w:hAnsi="仿宋_GB2312" w:eastAsia="仿宋_GB2312" w:cs="仿宋_GB2312"/>
          <w:b/>
          <w:color w:val="000000"/>
          <w:sz w:val="24"/>
          <w:szCs w:val="24"/>
          <w:highlight w:val="none"/>
        </w:rPr>
        <w:t>售后服务</w:t>
      </w:r>
    </w:p>
    <w:p w14:paraId="21E5E3CB">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14.1 除项目不涉及或采购活动中明确约定无须承担外，乙方还应提供下列服务：</w:t>
      </w:r>
    </w:p>
    <w:p w14:paraId="2EE54B22">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（1）货物的现场移动、安装、调试、启动监督及技术支持；</w:t>
      </w:r>
    </w:p>
    <w:p w14:paraId="438D49B1">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（2）提供货物组装和维修所需的专用工具和辅助材料；</w:t>
      </w:r>
    </w:p>
    <w:p w14:paraId="49786627">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（3）在</w:t>
      </w:r>
      <w:r>
        <w:rPr>
          <w:rFonts w:hint="eastAsia" w:ascii="仿宋_GB2312" w:hAnsi="仿宋_GB2312" w:eastAsia="仿宋_GB2312" w:cs="仿宋_GB2312"/>
          <w:b/>
          <w:bCs/>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约定的期限内对所有的货物实施运行监督、维修，但前提条件是该服务并不能免除乙方在质量保证期内所承担的义务；</w:t>
      </w:r>
    </w:p>
    <w:p w14:paraId="3A8C7EAC">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（4）在制造商所在地或指定现场就货物的安装、启动、运营、维护、废弃处置等对甲方操作人员进行培训；</w:t>
      </w:r>
    </w:p>
    <w:p w14:paraId="40D2D5BF">
      <w:pPr>
        <w:pStyle w:val="34"/>
        <w:ind w:firstLine="42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（5）依照法律、行政法规的规定或者按照</w:t>
      </w:r>
      <w:r>
        <w:rPr>
          <w:rFonts w:hint="eastAsia" w:ascii="仿宋_GB2312" w:hAnsi="仿宋_GB2312" w:eastAsia="仿宋_GB2312" w:cs="仿宋_GB2312"/>
          <w:b/>
          <w:bCs/>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约定，货物在有效使用年限届满后应予回收的，乙方负有自行或者委托第三人对货物予以回收的义务；</w:t>
      </w:r>
    </w:p>
    <w:p w14:paraId="501A404A">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w:t>
      </w:r>
      <w:r>
        <w:rPr>
          <w:rFonts w:hint="eastAsia" w:ascii="仿宋_GB2312" w:hAnsi="仿宋_GB2312" w:eastAsia="仿宋_GB2312" w:cs="仿宋_GB2312"/>
          <w:b/>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规定由乙方提供的其他服务。</w:t>
      </w:r>
    </w:p>
    <w:p w14:paraId="35786A80">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14.2 乙方提供的售后服务的费用已包含在合同价款中，甲方不再另行支付。</w:t>
      </w:r>
    </w:p>
    <w:p w14:paraId="2348D3E2">
      <w:pPr>
        <w:adjustRightInd w:val="0"/>
        <w:snapToGrid w:val="0"/>
        <w:spacing w:line="40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15. 违约责任</w:t>
      </w:r>
    </w:p>
    <w:p w14:paraId="0623C849">
      <w:pPr>
        <w:adjustRightInd w:val="0"/>
        <w:snapToGrid w:val="0"/>
        <w:spacing w:line="400" w:lineRule="exact"/>
        <w:ind w:firstLine="480" w:firstLineChars="200"/>
        <w:jc w:val="left"/>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15.1质量瑕疵的违约责任</w:t>
      </w:r>
    </w:p>
    <w:p w14:paraId="780EB632">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乙方提供的产品不符合合同约定的质量标准或存在产品质量缺陷，甲方有权要求乙方根据</w:t>
      </w:r>
      <w:r>
        <w:rPr>
          <w:rFonts w:hint="eastAsia" w:ascii="仿宋_GB2312" w:hAnsi="仿宋_GB2312" w:eastAsia="仿宋_GB2312" w:cs="仿宋_GB2312"/>
          <w:b/>
          <w:color w:val="000000"/>
          <w:sz w:val="24"/>
          <w:szCs w:val="24"/>
          <w:highlight w:val="none"/>
        </w:rPr>
        <w:t>【政府采购合同专用条款】</w:t>
      </w:r>
      <w:r>
        <w:rPr>
          <w:rFonts w:hint="eastAsia" w:ascii="仿宋_GB2312" w:hAnsi="仿宋_GB2312" w:eastAsia="仿宋_GB2312" w:cs="仿宋_GB2312"/>
          <w:bCs/>
          <w:color w:val="000000"/>
          <w:sz w:val="24"/>
          <w:szCs w:val="24"/>
          <w:highlight w:val="none"/>
        </w:rPr>
        <w:t>要求</w:t>
      </w:r>
      <w:r>
        <w:rPr>
          <w:rFonts w:hint="eastAsia" w:ascii="仿宋_GB2312" w:hAnsi="仿宋_GB2312" w:eastAsia="仿宋_GB2312" w:cs="仿宋_GB2312"/>
          <w:color w:val="000000"/>
          <w:sz w:val="24"/>
          <w:szCs w:val="24"/>
          <w:highlight w:val="none"/>
        </w:rPr>
        <w:t>及时修理、重作、更换，并承担由此给甲方造成的损失。</w:t>
      </w:r>
    </w:p>
    <w:p w14:paraId="674DEB83">
      <w:pPr>
        <w:autoSpaceDE w:val="0"/>
        <w:autoSpaceDN w:val="0"/>
        <w:adjustRightInd w:val="0"/>
        <w:snapToGrid w:val="0"/>
        <w:spacing w:line="400" w:lineRule="exact"/>
        <w:ind w:firstLine="480" w:firstLineChars="200"/>
        <w:jc w:val="left"/>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15.2 迟延交货的违约责任</w:t>
      </w:r>
    </w:p>
    <w:p w14:paraId="7FBC1C7B">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2107407">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（2）如果乙方没有按照合同规定的时间交货和提供相关服务，甲方有权从货款中扣除误期赔偿费而不影响合同项下的其他补救方法，赔偿费按</w:t>
      </w:r>
      <w:r>
        <w:rPr>
          <w:rFonts w:hint="eastAsia" w:ascii="仿宋_GB2312" w:hAnsi="仿宋_GB2312" w:eastAsia="仿宋_GB2312" w:cs="仿宋_GB2312"/>
          <w:b/>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规定执行。如果涉及公共利益，且赔偿金额无法弥补公共利益损失，甲方可要求继续履行或者采取其他补救措施。</w:t>
      </w:r>
    </w:p>
    <w:p w14:paraId="1F294A62">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15.3 迟延支付的违约责任</w:t>
      </w:r>
    </w:p>
    <w:p w14:paraId="17DBA745">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甲方存在迟延支付乙方合同款项的，应当承担</w:t>
      </w:r>
      <w:r>
        <w:rPr>
          <w:rFonts w:hint="eastAsia" w:ascii="仿宋_GB2312" w:hAnsi="仿宋_GB2312" w:eastAsia="仿宋_GB2312" w:cs="仿宋_GB2312"/>
          <w:b/>
          <w:bCs/>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规定的逾期付款利息。</w:t>
      </w:r>
    </w:p>
    <w:p w14:paraId="62BE4720">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Cs/>
          <w:color w:val="000000"/>
          <w:sz w:val="24"/>
          <w:szCs w:val="24"/>
          <w:highlight w:val="none"/>
        </w:rPr>
        <w:t>15.4其他违约责任根据项目实际需要按</w:t>
      </w:r>
      <w:r>
        <w:rPr>
          <w:rFonts w:hint="eastAsia" w:ascii="仿宋_GB2312" w:hAnsi="仿宋_GB2312" w:eastAsia="仿宋_GB2312" w:cs="仿宋_GB2312"/>
          <w:b/>
          <w:bCs/>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规定执行。</w:t>
      </w:r>
    </w:p>
    <w:p w14:paraId="711B5D5A">
      <w:pPr>
        <w:numPr>
          <w:ilvl w:val="0"/>
          <w:numId w:val="15"/>
        </w:numPr>
        <w:autoSpaceDE w:val="0"/>
        <w:autoSpaceDN w:val="0"/>
        <w:adjustRightInd w:val="0"/>
        <w:snapToGrid w:val="0"/>
        <w:spacing w:line="400" w:lineRule="exact"/>
        <w:jc w:val="left"/>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合同变更、中止与终止</w:t>
      </w:r>
    </w:p>
    <w:p w14:paraId="5BCE82B3">
      <w:pPr>
        <w:adjustRightInd w:val="0"/>
        <w:snapToGrid w:val="0"/>
        <w:spacing w:line="400" w:lineRule="exact"/>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    16.1合同的变更</w:t>
      </w:r>
    </w:p>
    <w:p w14:paraId="0AB0207D">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政府采购合同履行中，在不改变合同其他条款的前提下，甲方可以在合同价款10%的范围内追加与合同标的相同的货物，并就此与乙方协商一致后签订补充协议。</w:t>
      </w:r>
    </w:p>
    <w:p w14:paraId="3B99CDB0">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16.2合同的中止</w:t>
      </w:r>
    </w:p>
    <w:p w14:paraId="58EF4DBD">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（1）合同履行过程中因供应商就采购文件、采购过程或结果提起投诉的，甲方认为有必要的，可以中止合同的履行。</w:t>
      </w:r>
    </w:p>
    <w:p w14:paraId="0730CBF0">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CD97CDC">
      <w:pPr>
        <w:pStyle w:val="34"/>
        <w:ind w:firstLine="420"/>
        <w:jc w:val="both"/>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5733666D">
      <w:pPr>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（4）甲方不得以行政区划调整、政府换届、机构或者职能调整以及相关责任人更替为由中止合同。</w:t>
      </w:r>
    </w:p>
    <w:p w14:paraId="03D12312">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16.3合同的终止</w:t>
      </w:r>
    </w:p>
    <w:p w14:paraId="00BDBA3F">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（1）合同因有效期限届满而终止；</w:t>
      </w:r>
    </w:p>
    <w:p w14:paraId="7B1B098A">
      <w:pPr>
        <w:snapToGrid w:val="0"/>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（2）乙方未按合同约定履行，构成根本性违约的，甲方有权终止合同，并追究乙方的违约责任。</w:t>
      </w:r>
    </w:p>
    <w:p w14:paraId="4F435F20">
      <w:pPr>
        <w:pStyle w:val="3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16.4 </w:t>
      </w:r>
      <w:r>
        <w:rPr>
          <w:rFonts w:hint="eastAsia" w:ascii="仿宋_GB2312" w:hAnsi="仿宋_GB2312" w:eastAsia="仿宋_GB2312" w:cs="仿宋_GB2312"/>
          <w:color w:val="000000"/>
          <w:kern w:val="2"/>
          <w:sz w:val="24"/>
          <w:szCs w:val="24"/>
          <w:highlight w:val="none"/>
        </w:rPr>
        <w:t>涉及国家利益、社会公共利益的情形</w:t>
      </w:r>
    </w:p>
    <w:p w14:paraId="447A1C6A">
      <w:pPr>
        <w:pStyle w:val="34"/>
        <w:ind w:firstLine="420"/>
        <w:jc w:val="both"/>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57DB4C71">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17. 合同分包</w:t>
      </w:r>
    </w:p>
    <w:p w14:paraId="38CF9AF0">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17.1 乙方不得将合同转包给其他供应商。涉及合同分包的，乙方应根据采购文件和投标（响应）文件规定进行合同分包。</w:t>
      </w:r>
    </w:p>
    <w:p w14:paraId="46AC8EC0">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17.2 乙方执行政府采购政策向中小企业依法分包的，乙方应当按采购文件和投标（响应）文件签订分包意向协议，分包意向协议属于本合同组成部分。</w:t>
      </w:r>
    </w:p>
    <w:p w14:paraId="62C13C38">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18. 不可抗力</w:t>
      </w:r>
    </w:p>
    <w:p w14:paraId="39FA9A25">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18.1 不可抗力是指合同双方不能预见、不能避免且不能克服的客观情况。</w:t>
      </w:r>
    </w:p>
    <w:p w14:paraId="068AC1C9">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18.2 任何一方对由于不可抗力造成的部分或全部不能履行合同不承担违约责任。但迟延履行后发生不可抗力的，不能免除责任。</w:t>
      </w:r>
    </w:p>
    <w:p w14:paraId="6CB72927">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39CA3D9">
      <w:pPr>
        <w:autoSpaceDE w:val="0"/>
        <w:autoSpaceDN w:val="0"/>
        <w:adjustRightInd w:val="0"/>
        <w:snapToGrid w:val="0"/>
        <w:spacing w:line="40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19. 解决争议的方法</w:t>
      </w:r>
    </w:p>
    <w:p w14:paraId="12D85CDE">
      <w:pPr>
        <w:pStyle w:val="34"/>
        <w:ind w:firstLine="420"/>
        <w:jc w:val="both"/>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74C68C37">
      <w:pPr>
        <w:pStyle w:val="34"/>
        <w:ind w:firstLine="420"/>
        <w:jc w:val="both"/>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19.2 选择仲裁的，应在</w:t>
      </w:r>
      <w:r>
        <w:rPr>
          <w:rFonts w:hint="eastAsia" w:ascii="仿宋_GB2312" w:hAnsi="仿宋_GB2312" w:eastAsia="仿宋_GB2312" w:cs="仿宋_GB2312"/>
          <w:b/>
          <w:bCs/>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中明确仲裁机构及仲裁地；通过诉讼方式解决的，可以在</w:t>
      </w:r>
      <w:r>
        <w:rPr>
          <w:rFonts w:hint="eastAsia" w:ascii="仿宋_GB2312" w:hAnsi="仿宋_GB2312" w:eastAsia="仿宋_GB2312" w:cs="仿宋_GB2312"/>
          <w:b/>
          <w:bCs/>
          <w:color w:val="000000"/>
          <w:sz w:val="24"/>
          <w:szCs w:val="24"/>
          <w:highlight w:val="none"/>
        </w:rPr>
        <w:t>【政府采购合同专用条款】</w:t>
      </w:r>
      <w:r>
        <w:rPr>
          <w:rFonts w:hint="eastAsia" w:ascii="仿宋_GB2312" w:hAnsi="仿宋_GB2312" w:eastAsia="仿宋_GB2312" w:cs="仿宋_GB2312"/>
          <w:color w:val="000000"/>
          <w:sz w:val="24"/>
          <w:szCs w:val="24"/>
          <w:highlight w:val="none"/>
        </w:rPr>
        <w:t>中进一步约定选择与争议有实际联系的地点的人民法院管辖，但管辖法院的约定不得违反级别管辖和专属管辖的规定。</w:t>
      </w:r>
    </w:p>
    <w:p w14:paraId="5131BEBF">
      <w:pPr>
        <w:pStyle w:val="34"/>
        <w:ind w:firstLine="420"/>
        <w:jc w:val="both"/>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19.3 如甲乙双方有争议的事项不影响合同其他部分的履行，在争议解决期间，合同其他部分应当继续履行。</w:t>
      </w:r>
    </w:p>
    <w:p w14:paraId="148F4947">
      <w:pPr>
        <w:autoSpaceDE w:val="0"/>
        <w:autoSpaceDN w:val="0"/>
        <w:adjustRightInd w:val="0"/>
        <w:snapToGrid w:val="0"/>
        <w:spacing w:line="400" w:lineRule="exact"/>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color w:val="000000"/>
          <w:sz w:val="24"/>
          <w:szCs w:val="24"/>
          <w:highlight w:val="none"/>
        </w:rPr>
        <w:t>20. 政府采购政策</w:t>
      </w:r>
    </w:p>
    <w:p w14:paraId="73FEE930">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20.1 </w:t>
      </w:r>
      <w:r>
        <w:rPr>
          <w:rFonts w:hint="eastAsia" w:ascii="仿宋_GB2312" w:hAnsi="仿宋_GB2312" w:eastAsia="仿宋_GB2312" w:cs="仿宋_GB2312"/>
          <w:color w:val="000000"/>
          <w:sz w:val="24"/>
          <w:szCs w:val="24"/>
          <w:highlight w:val="none"/>
          <w:lang w:val="en-GB"/>
        </w:rPr>
        <w:t>本合同应当按照规定执行政府采购政策。</w:t>
      </w:r>
    </w:p>
    <w:p w14:paraId="2F4B9D48">
      <w:pPr>
        <w:autoSpaceDE w:val="0"/>
        <w:autoSpaceDN w:val="0"/>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20.2 本合同依法执行政府采购政策的方式和内容，属于合同履约验收的范围。甲乙双方</w:t>
      </w:r>
      <w:r>
        <w:rPr>
          <w:rFonts w:hint="eastAsia" w:ascii="仿宋_GB2312" w:hAnsi="仿宋_GB2312" w:eastAsia="仿宋_GB2312" w:cs="仿宋_GB2312"/>
          <w:color w:val="000000"/>
          <w:sz w:val="24"/>
          <w:szCs w:val="24"/>
          <w:highlight w:val="none"/>
          <w:lang w:val="en-GB"/>
        </w:rPr>
        <w:t>未按规定要求执行政府采购政策造成损失的</w:t>
      </w:r>
      <w:r>
        <w:rPr>
          <w:rFonts w:hint="eastAsia" w:ascii="仿宋_GB2312" w:hAnsi="仿宋_GB2312" w:eastAsia="仿宋_GB2312" w:cs="仿宋_GB2312"/>
          <w:color w:val="000000"/>
          <w:sz w:val="24"/>
          <w:szCs w:val="24"/>
          <w:highlight w:val="none"/>
        </w:rPr>
        <w:t>，有过错的一方应当承担赔偿责任，双方都有过错的，各自承担相应的责任。</w:t>
      </w:r>
    </w:p>
    <w:p w14:paraId="555CA118">
      <w:pPr>
        <w:pStyle w:val="2"/>
        <w:spacing w:after="0"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A8AB4F7">
      <w:pPr>
        <w:autoSpaceDE w:val="0"/>
        <w:autoSpaceDN w:val="0"/>
        <w:adjustRightInd w:val="0"/>
        <w:snapToGrid w:val="0"/>
        <w:spacing w:line="400" w:lineRule="exact"/>
        <w:jc w:val="left"/>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21. 法律适用</w:t>
      </w:r>
    </w:p>
    <w:p w14:paraId="47A1A542">
      <w:pPr>
        <w:pStyle w:val="34"/>
        <w:ind w:firstLine="420"/>
        <w:jc w:val="both"/>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21.1 本合同的订立、生效、解释、履行及与本合同有关的争议解决，均适用法律、行政法规。</w:t>
      </w:r>
    </w:p>
    <w:p w14:paraId="5E35748D">
      <w:pPr>
        <w:pStyle w:val="34"/>
        <w:ind w:firstLine="420"/>
        <w:jc w:val="both"/>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21.2 本合同条款与法律、行政法规的强制性规定不一致的，双方当事人应按照法律、行政法规的强制性规定修改本合同的相关条款。</w:t>
      </w:r>
    </w:p>
    <w:p w14:paraId="2E6970C1">
      <w:pPr>
        <w:autoSpaceDE w:val="0"/>
        <w:autoSpaceDN w:val="0"/>
        <w:adjustRightInd w:val="0"/>
        <w:snapToGrid w:val="0"/>
        <w:spacing w:line="400" w:lineRule="exact"/>
        <w:jc w:val="left"/>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22. 通知</w:t>
      </w:r>
    </w:p>
    <w:p w14:paraId="7CC0B50B">
      <w:pPr>
        <w:pStyle w:val="34"/>
        <w:ind w:firstLine="420"/>
        <w:jc w:val="both"/>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22.1 本合同任何一方向对方发出的通知、信件、数据电文等，应当发送至本合同第一部分《政府采购合同协议书》所约定的通讯地址、联系人、联系电话或电子邮箱。</w:t>
      </w:r>
    </w:p>
    <w:p w14:paraId="045FADD4">
      <w:pPr>
        <w:pStyle w:val="34"/>
        <w:ind w:firstLine="0" w:firstLineChars="0"/>
        <w:jc w:val="both"/>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    22.2 一方当事人变更名称、住所、联系人、联系电话或电子邮箱等信息的，应当在变更后3日内及时书面通知对方，对方实际收到变更通知前的送达仍为有效送达。</w:t>
      </w:r>
    </w:p>
    <w:p w14:paraId="1CFDF48B">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22.3本合同一方给另一方的通知均应采用书面形式，传真或快递送到本合同中规定的对方的地址和办理签收手续。</w:t>
      </w:r>
    </w:p>
    <w:p w14:paraId="11037EA0">
      <w:pPr>
        <w:adjustRightInd w:val="0"/>
        <w:snapToGrid w:val="0"/>
        <w:spacing w:line="40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22.4通知以送达之日或通知书中规定的生效之日起生效，两者中以较迟之日为准。</w:t>
      </w:r>
    </w:p>
    <w:p w14:paraId="1C8D21A6">
      <w:pPr>
        <w:numPr>
          <w:ilvl w:val="0"/>
          <w:numId w:val="16"/>
        </w:numPr>
        <w:adjustRightInd w:val="0"/>
        <w:snapToGrid w:val="0"/>
        <w:spacing w:line="400" w:lineRule="exact"/>
        <w:jc w:val="left"/>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合同未尽事项</w:t>
      </w:r>
    </w:p>
    <w:p w14:paraId="1FD6763C">
      <w:pPr>
        <w:adjustRightInd w:val="0"/>
        <w:snapToGrid w:val="0"/>
        <w:spacing w:line="400" w:lineRule="exact"/>
        <w:ind w:firstLine="480" w:firstLineChars="200"/>
        <w:jc w:val="left"/>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23.1合同未尽事项见</w:t>
      </w:r>
      <w:r>
        <w:rPr>
          <w:rFonts w:hint="eastAsia" w:ascii="仿宋_GB2312" w:hAnsi="仿宋_GB2312" w:eastAsia="仿宋_GB2312" w:cs="仿宋_GB2312"/>
          <w:b/>
          <w:color w:val="000000"/>
          <w:sz w:val="24"/>
          <w:szCs w:val="24"/>
          <w:highlight w:val="none"/>
        </w:rPr>
        <w:t>【政府采购合同专用条款】</w:t>
      </w:r>
      <w:r>
        <w:rPr>
          <w:rFonts w:hint="eastAsia" w:ascii="仿宋_GB2312" w:hAnsi="仿宋_GB2312" w:eastAsia="仿宋_GB2312" w:cs="仿宋_GB2312"/>
          <w:bCs/>
          <w:color w:val="000000"/>
          <w:sz w:val="24"/>
          <w:szCs w:val="24"/>
          <w:highlight w:val="none"/>
        </w:rPr>
        <w:t>。</w:t>
      </w:r>
    </w:p>
    <w:p w14:paraId="009D5E45">
      <w:pPr>
        <w:adjustRightInd w:val="0"/>
        <w:snapToGrid w:val="0"/>
        <w:spacing w:line="400" w:lineRule="exact"/>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Cs/>
          <w:color w:val="000000"/>
          <w:sz w:val="24"/>
          <w:szCs w:val="24"/>
          <w:highlight w:val="none"/>
        </w:rPr>
        <w:t xml:space="preserve">    23.2 合同附件与合同正文具有同等的法律效力。</w:t>
      </w:r>
      <w:bookmarkStart w:id="151" w:name="_Toc20313"/>
    </w:p>
    <w:p w14:paraId="1B34B611">
      <w:pPr>
        <w:adjustRightInd w:val="0"/>
        <w:snapToGrid w:val="0"/>
        <w:jc w:val="center"/>
        <w:rPr>
          <w:rFonts w:hint="eastAsia" w:ascii="Times New Roman" w:hAnsi="Times New Roman" w:eastAsia="仿宋" w:cs="仿宋"/>
          <w:color w:val="000000"/>
          <w:sz w:val="28"/>
          <w:szCs w:val="28"/>
          <w:highlight w:val="none"/>
        </w:rPr>
      </w:pPr>
      <w:r>
        <w:rPr>
          <w:rFonts w:hint="eastAsia" w:ascii="仿宋_GB2312" w:hAnsi="仿宋_GB2312" w:eastAsia="仿宋_GB2312" w:cs="仿宋_GB2312"/>
          <w:color w:val="000000"/>
          <w:sz w:val="24"/>
          <w:szCs w:val="24"/>
          <w:highlight w:val="none"/>
        </w:rPr>
        <w:br w:type="page"/>
      </w:r>
    </w:p>
    <w:p w14:paraId="62D83F5D">
      <w:pPr>
        <w:pStyle w:val="4"/>
        <w:adjustRightInd w:val="0"/>
        <w:snapToGrid w:val="0"/>
        <w:rPr>
          <w:rFonts w:hint="eastAsia" w:ascii="黑体" w:hAnsi="黑体" w:eastAsia="黑体" w:cs="黑体"/>
          <w:b w:val="0"/>
          <w:bCs w:val="0"/>
          <w:color w:val="000000"/>
          <w:szCs w:val="28"/>
          <w:highlight w:val="none"/>
        </w:rPr>
      </w:pPr>
      <w:r>
        <w:rPr>
          <w:rFonts w:hint="eastAsia" w:ascii="黑体" w:hAnsi="黑体" w:eastAsia="黑体" w:cs="黑体"/>
          <w:b w:val="0"/>
          <w:bCs w:val="0"/>
          <w:color w:val="000000"/>
          <w:szCs w:val="28"/>
          <w:highlight w:val="none"/>
        </w:rPr>
        <w:t>第三节 政府采购合同专用条款</w:t>
      </w:r>
      <w:bookmarkEnd w:id="151"/>
    </w:p>
    <w:tbl>
      <w:tblPr>
        <w:tblStyle w:val="19"/>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23128B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5DFD74D">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52" w:name="_Toc21939"/>
            <w:r>
              <w:rPr>
                <w:rFonts w:hint="eastAsia" w:ascii="仿宋_GB2312" w:hAnsi="仿宋_GB2312" w:eastAsia="仿宋_GB2312" w:cs="仿宋_GB2312"/>
                <w:color w:val="000000"/>
                <w:sz w:val="21"/>
                <w:szCs w:val="21"/>
                <w:highlight w:val="none"/>
              </w:rPr>
              <w:t>第二节</w:t>
            </w:r>
            <w:bookmarkEnd w:id="152"/>
          </w:p>
          <w:p w14:paraId="577EA85A">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第1.2（6）项</w:t>
            </w:r>
          </w:p>
        </w:tc>
        <w:tc>
          <w:tcPr>
            <w:tcW w:w="1742" w:type="dxa"/>
            <w:noWrap w:val="0"/>
            <w:vAlign w:val="center"/>
          </w:tcPr>
          <w:p w14:paraId="4A58A119">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联合体具体要求</w:t>
            </w:r>
          </w:p>
        </w:tc>
        <w:tc>
          <w:tcPr>
            <w:tcW w:w="5170" w:type="dxa"/>
            <w:noWrap w:val="0"/>
            <w:vAlign w:val="center"/>
          </w:tcPr>
          <w:p w14:paraId="4779A54A">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p>
        </w:tc>
      </w:tr>
      <w:tr w14:paraId="4B6EB2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1EDFFA87">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53" w:name="_Toc16333"/>
            <w:r>
              <w:rPr>
                <w:rFonts w:hint="eastAsia" w:ascii="仿宋_GB2312" w:hAnsi="仿宋_GB2312" w:eastAsia="仿宋_GB2312" w:cs="仿宋_GB2312"/>
                <w:color w:val="000000"/>
                <w:sz w:val="21"/>
                <w:szCs w:val="21"/>
                <w:highlight w:val="none"/>
              </w:rPr>
              <w:t>第二节</w:t>
            </w:r>
            <w:bookmarkEnd w:id="153"/>
          </w:p>
          <w:p w14:paraId="06D26CE6">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第1.2（7）项</w:t>
            </w:r>
          </w:p>
        </w:tc>
        <w:tc>
          <w:tcPr>
            <w:tcW w:w="1742" w:type="dxa"/>
            <w:noWrap w:val="0"/>
            <w:vAlign w:val="center"/>
          </w:tcPr>
          <w:p w14:paraId="587C9380">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其他术语解释</w:t>
            </w:r>
          </w:p>
        </w:tc>
        <w:tc>
          <w:tcPr>
            <w:tcW w:w="5170" w:type="dxa"/>
            <w:noWrap w:val="0"/>
            <w:vAlign w:val="center"/>
          </w:tcPr>
          <w:p w14:paraId="6231D5CA">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p>
        </w:tc>
      </w:tr>
      <w:tr w14:paraId="05DF6B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7D07FCC">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54" w:name="_Toc32174"/>
            <w:r>
              <w:rPr>
                <w:rFonts w:hint="eastAsia" w:ascii="仿宋_GB2312" w:hAnsi="仿宋_GB2312" w:eastAsia="仿宋_GB2312" w:cs="仿宋_GB2312"/>
                <w:color w:val="000000"/>
                <w:sz w:val="21"/>
                <w:szCs w:val="21"/>
                <w:highlight w:val="none"/>
              </w:rPr>
              <w:t>第二节</w:t>
            </w:r>
            <w:bookmarkEnd w:id="154"/>
          </w:p>
          <w:p w14:paraId="2542B393">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第4.4款</w:t>
            </w:r>
          </w:p>
        </w:tc>
        <w:tc>
          <w:tcPr>
            <w:tcW w:w="1742" w:type="dxa"/>
            <w:noWrap w:val="0"/>
            <w:vAlign w:val="center"/>
          </w:tcPr>
          <w:p w14:paraId="6102E0C5">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履约验收中甲方提出异议或作出说明的期限</w:t>
            </w:r>
          </w:p>
        </w:tc>
        <w:tc>
          <w:tcPr>
            <w:tcW w:w="5170" w:type="dxa"/>
            <w:noWrap w:val="0"/>
            <w:vAlign w:val="center"/>
          </w:tcPr>
          <w:p w14:paraId="38BB8BDB">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p>
        </w:tc>
      </w:tr>
      <w:tr w14:paraId="49AEE2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6A771EF">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55" w:name="_Toc13995"/>
            <w:r>
              <w:rPr>
                <w:rFonts w:hint="eastAsia" w:ascii="仿宋_GB2312" w:hAnsi="仿宋_GB2312" w:eastAsia="仿宋_GB2312" w:cs="仿宋_GB2312"/>
                <w:color w:val="000000"/>
                <w:sz w:val="21"/>
                <w:szCs w:val="21"/>
                <w:highlight w:val="none"/>
              </w:rPr>
              <w:t>第二节</w:t>
            </w:r>
            <w:bookmarkEnd w:id="155"/>
          </w:p>
          <w:p w14:paraId="4E67D33F">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第4.6款</w:t>
            </w:r>
          </w:p>
        </w:tc>
        <w:tc>
          <w:tcPr>
            <w:tcW w:w="1742" w:type="dxa"/>
            <w:noWrap w:val="0"/>
            <w:vAlign w:val="center"/>
          </w:tcPr>
          <w:p w14:paraId="3C99C407">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约定甲方承担的其他义务和责任</w:t>
            </w:r>
          </w:p>
        </w:tc>
        <w:tc>
          <w:tcPr>
            <w:tcW w:w="5170" w:type="dxa"/>
            <w:noWrap w:val="0"/>
            <w:vAlign w:val="center"/>
          </w:tcPr>
          <w:p w14:paraId="77C498C1">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p>
        </w:tc>
      </w:tr>
      <w:tr w14:paraId="6FC07E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65019C8">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56" w:name="_Toc15941"/>
            <w:r>
              <w:rPr>
                <w:rFonts w:hint="eastAsia" w:ascii="仿宋_GB2312" w:hAnsi="仿宋_GB2312" w:eastAsia="仿宋_GB2312" w:cs="仿宋_GB2312"/>
                <w:color w:val="000000"/>
                <w:sz w:val="21"/>
                <w:szCs w:val="21"/>
                <w:highlight w:val="none"/>
              </w:rPr>
              <w:t>第二节</w:t>
            </w:r>
            <w:bookmarkEnd w:id="156"/>
          </w:p>
          <w:p w14:paraId="68E1046D">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第5.4款</w:t>
            </w:r>
          </w:p>
        </w:tc>
        <w:tc>
          <w:tcPr>
            <w:tcW w:w="1742" w:type="dxa"/>
            <w:noWrap w:val="0"/>
            <w:vAlign w:val="center"/>
          </w:tcPr>
          <w:p w14:paraId="269DEA77">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约定乙方承担的其他义务和责任</w:t>
            </w:r>
          </w:p>
        </w:tc>
        <w:tc>
          <w:tcPr>
            <w:tcW w:w="5170" w:type="dxa"/>
            <w:noWrap w:val="0"/>
            <w:vAlign w:val="center"/>
          </w:tcPr>
          <w:p w14:paraId="24FC86AE">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p>
        </w:tc>
      </w:tr>
      <w:tr w14:paraId="4815DA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9165551">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57" w:name="_Toc12405"/>
            <w:r>
              <w:rPr>
                <w:rFonts w:hint="eastAsia" w:ascii="仿宋_GB2312" w:hAnsi="仿宋_GB2312" w:eastAsia="仿宋_GB2312" w:cs="仿宋_GB2312"/>
                <w:color w:val="000000"/>
                <w:sz w:val="21"/>
                <w:szCs w:val="21"/>
                <w:highlight w:val="none"/>
              </w:rPr>
              <w:t>第二节</w:t>
            </w:r>
            <w:bookmarkEnd w:id="157"/>
          </w:p>
          <w:p w14:paraId="79670B56">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第6.1款</w:t>
            </w:r>
          </w:p>
        </w:tc>
        <w:tc>
          <w:tcPr>
            <w:tcW w:w="1742" w:type="dxa"/>
            <w:noWrap w:val="0"/>
            <w:vAlign w:val="center"/>
          </w:tcPr>
          <w:p w14:paraId="19B4B1E8">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履行合同义务的顺序</w:t>
            </w:r>
          </w:p>
        </w:tc>
        <w:tc>
          <w:tcPr>
            <w:tcW w:w="5170" w:type="dxa"/>
            <w:noWrap w:val="0"/>
            <w:vAlign w:val="center"/>
          </w:tcPr>
          <w:p w14:paraId="3CD1062E">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p>
        </w:tc>
      </w:tr>
      <w:tr w14:paraId="61E7DF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47A51EF9">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58" w:name="_Toc7386"/>
            <w:r>
              <w:rPr>
                <w:rFonts w:hint="eastAsia" w:ascii="仿宋_GB2312" w:hAnsi="仿宋_GB2312" w:eastAsia="仿宋_GB2312" w:cs="仿宋_GB2312"/>
                <w:color w:val="000000"/>
                <w:sz w:val="21"/>
                <w:szCs w:val="21"/>
                <w:highlight w:val="none"/>
              </w:rPr>
              <w:t>第二节</w:t>
            </w:r>
            <w:bookmarkEnd w:id="158"/>
          </w:p>
          <w:p w14:paraId="0FF33791">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第7.1款</w:t>
            </w:r>
          </w:p>
        </w:tc>
        <w:tc>
          <w:tcPr>
            <w:tcW w:w="1742" w:type="dxa"/>
            <w:noWrap w:val="0"/>
            <w:vAlign w:val="center"/>
          </w:tcPr>
          <w:p w14:paraId="2429F6A1">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包装特殊要求</w:t>
            </w:r>
          </w:p>
        </w:tc>
        <w:tc>
          <w:tcPr>
            <w:tcW w:w="5170" w:type="dxa"/>
            <w:noWrap w:val="0"/>
            <w:vAlign w:val="center"/>
          </w:tcPr>
          <w:p w14:paraId="41E77BF6">
            <w:pPr>
              <w:keepNext w:val="0"/>
              <w:keepLines w:val="0"/>
              <w:pageBreakBefore w:val="0"/>
              <w:kinsoku/>
              <w:wordWrap/>
              <w:overflowPunct/>
              <w:topLinePunct w:val="0"/>
              <w:bidi w:val="0"/>
              <w:adjustRightInd w:val="0"/>
              <w:snapToGrid w:val="0"/>
              <w:spacing w:line="240" w:lineRule="auto"/>
              <w:textAlignment w:val="auto"/>
              <w:rPr>
                <w:rFonts w:hint="eastAsia" w:ascii="仿宋_GB2312" w:hAnsi="仿宋_GB2312" w:eastAsia="仿宋_GB2312" w:cs="仿宋_GB2312"/>
                <w:color w:val="000000"/>
                <w:sz w:val="21"/>
                <w:szCs w:val="21"/>
                <w:highlight w:val="none"/>
              </w:rPr>
            </w:pPr>
          </w:p>
        </w:tc>
      </w:tr>
      <w:tr w14:paraId="033007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26376010">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p>
        </w:tc>
        <w:tc>
          <w:tcPr>
            <w:tcW w:w="1742" w:type="dxa"/>
            <w:noWrap w:val="0"/>
            <w:vAlign w:val="center"/>
          </w:tcPr>
          <w:p w14:paraId="125957A3">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指定现场</w:t>
            </w:r>
          </w:p>
        </w:tc>
        <w:tc>
          <w:tcPr>
            <w:tcW w:w="5170" w:type="dxa"/>
            <w:noWrap w:val="0"/>
            <w:vAlign w:val="center"/>
          </w:tcPr>
          <w:p w14:paraId="3DE35819">
            <w:pPr>
              <w:keepNext w:val="0"/>
              <w:keepLines w:val="0"/>
              <w:pageBreakBefore w:val="0"/>
              <w:kinsoku/>
              <w:wordWrap/>
              <w:overflowPunct/>
              <w:topLinePunct w:val="0"/>
              <w:bidi w:val="0"/>
              <w:adjustRightInd w:val="0"/>
              <w:snapToGrid w:val="0"/>
              <w:spacing w:line="240" w:lineRule="auto"/>
              <w:textAlignment w:val="auto"/>
              <w:rPr>
                <w:rFonts w:hint="eastAsia" w:ascii="仿宋_GB2312" w:hAnsi="仿宋_GB2312" w:eastAsia="仿宋_GB2312" w:cs="仿宋_GB2312"/>
                <w:color w:val="000000"/>
                <w:sz w:val="21"/>
                <w:szCs w:val="21"/>
                <w:highlight w:val="none"/>
              </w:rPr>
            </w:pPr>
          </w:p>
        </w:tc>
      </w:tr>
      <w:tr w14:paraId="17A7B1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557E1323">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59" w:name="_Toc13568"/>
            <w:r>
              <w:rPr>
                <w:rFonts w:hint="eastAsia" w:ascii="仿宋_GB2312" w:hAnsi="仿宋_GB2312" w:eastAsia="仿宋_GB2312" w:cs="仿宋_GB2312"/>
                <w:color w:val="000000"/>
                <w:sz w:val="21"/>
                <w:szCs w:val="21"/>
                <w:highlight w:val="none"/>
              </w:rPr>
              <w:t>第二节</w:t>
            </w:r>
            <w:bookmarkEnd w:id="159"/>
          </w:p>
          <w:p w14:paraId="25968A78">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第7.2款</w:t>
            </w:r>
          </w:p>
        </w:tc>
        <w:tc>
          <w:tcPr>
            <w:tcW w:w="1742" w:type="dxa"/>
            <w:noWrap w:val="0"/>
            <w:vAlign w:val="center"/>
          </w:tcPr>
          <w:p w14:paraId="617D0598">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运输特殊要求</w:t>
            </w:r>
          </w:p>
        </w:tc>
        <w:tc>
          <w:tcPr>
            <w:tcW w:w="5170" w:type="dxa"/>
            <w:noWrap w:val="0"/>
            <w:vAlign w:val="center"/>
          </w:tcPr>
          <w:p w14:paraId="682FA3F4">
            <w:pPr>
              <w:keepNext w:val="0"/>
              <w:keepLines w:val="0"/>
              <w:pageBreakBefore w:val="0"/>
              <w:kinsoku/>
              <w:wordWrap/>
              <w:overflowPunct/>
              <w:topLinePunct w:val="0"/>
              <w:bidi w:val="0"/>
              <w:adjustRightInd w:val="0"/>
              <w:snapToGrid w:val="0"/>
              <w:spacing w:line="240" w:lineRule="auto"/>
              <w:textAlignment w:val="auto"/>
              <w:rPr>
                <w:rFonts w:hint="eastAsia" w:ascii="仿宋_GB2312" w:hAnsi="仿宋_GB2312" w:eastAsia="仿宋_GB2312" w:cs="仿宋_GB2312"/>
                <w:color w:val="000000"/>
                <w:sz w:val="21"/>
                <w:szCs w:val="21"/>
                <w:highlight w:val="none"/>
              </w:rPr>
            </w:pPr>
          </w:p>
        </w:tc>
      </w:tr>
      <w:tr w14:paraId="5531A5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4B4FF01A">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60" w:name="_Toc8703"/>
            <w:r>
              <w:rPr>
                <w:rFonts w:hint="eastAsia" w:ascii="仿宋_GB2312" w:hAnsi="仿宋_GB2312" w:eastAsia="仿宋_GB2312" w:cs="仿宋_GB2312"/>
                <w:color w:val="000000"/>
                <w:sz w:val="21"/>
                <w:szCs w:val="21"/>
                <w:highlight w:val="none"/>
              </w:rPr>
              <w:t>第二节</w:t>
            </w:r>
            <w:bookmarkEnd w:id="160"/>
          </w:p>
          <w:p w14:paraId="318F5893">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第7.3款</w:t>
            </w:r>
          </w:p>
        </w:tc>
        <w:tc>
          <w:tcPr>
            <w:tcW w:w="1742" w:type="dxa"/>
            <w:noWrap w:val="0"/>
            <w:vAlign w:val="center"/>
          </w:tcPr>
          <w:p w14:paraId="570A5650">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保险要求</w:t>
            </w:r>
          </w:p>
        </w:tc>
        <w:tc>
          <w:tcPr>
            <w:tcW w:w="5170" w:type="dxa"/>
            <w:noWrap w:val="0"/>
            <w:vAlign w:val="center"/>
          </w:tcPr>
          <w:p w14:paraId="57600BBB">
            <w:pPr>
              <w:keepNext w:val="0"/>
              <w:keepLines w:val="0"/>
              <w:pageBreakBefore w:val="0"/>
              <w:kinsoku/>
              <w:wordWrap/>
              <w:overflowPunct/>
              <w:topLinePunct w:val="0"/>
              <w:bidi w:val="0"/>
              <w:adjustRightInd w:val="0"/>
              <w:snapToGrid w:val="0"/>
              <w:spacing w:line="240" w:lineRule="auto"/>
              <w:textAlignment w:val="auto"/>
              <w:rPr>
                <w:rFonts w:hint="eastAsia" w:ascii="仿宋_GB2312" w:hAnsi="仿宋_GB2312" w:eastAsia="仿宋_GB2312" w:cs="仿宋_GB2312"/>
                <w:color w:val="000000"/>
                <w:sz w:val="21"/>
                <w:szCs w:val="21"/>
                <w:highlight w:val="none"/>
              </w:rPr>
            </w:pPr>
          </w:p>
        </w:tc>
      </w:tr>
      <w:tr w14:paraId="344D8B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0525A27">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61" w:name="_Toc4700"/>
            <w:r>
              <w:rPr>
                <w:rFonts w:hint="eastAsia" w:ascii="仿宋_GB2312" w:hAnsi="仿宋_GB2312" w:eastAsia="仿宋_GB2312" w:cs="仿宋_GB2312"/>
                <w:color w:val="000000"/>
                <w:sz w:val="21"/>
                <w:szCs w:val="21"/>
                <w:highlight w:val="none"/>
              </w:rPr>
              <w:t>第二节</w:t>
            </w:r>
            <w:bookmarkEnd w:id="161"/>
          </w:p>
          <w:p w14:paraId="1B0BBE16">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第8.2（1）项</w:t>
            </w:r>
          </w:p>
        </w:tc>
        <w:tc>
          <w:tcPr>
            <w:tcW w:w="1742" w:type="dxa"/>
            <w:noWrap w:val="0"/>
            <w:vAlign w:val="center"/>
          </w:tcPr>
          <w:p w14:paraId="10292A0A">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质量保证期</w:t>
            </w:r>
          </w:p>
        </w:tc>
        <w:tc>
          <w:tcPr>
            <w:tcW w:w="5170" w:type="dxa"/>
            <w:noWrap w:val="0"/>
            <w:vAlign w:val="center"/>
          </w:tcPr>
          <w:p w14:paraId="109FAD66">
            <w:pPr>
              <w:keepNext w:val="0"/>
              <w:keepLines w:val="0"/>
              <w:pageBreakBefore w:val="0"/>
              <w:kinsoku/>
              <w:wordWrap/>
              <w:overflowPunct/>
              <w:topLinePunct w:val="0"/>
              <w:autoSpaceDE w:val="0"/>
              <w:autoSpaceDN w:val="0"/>
              <w:bidi w:val="0"/>
              <w:adjustRightInd w:val="0"/>
              <w:snapToGrid w:val="0"/>
              <w:spacing w:line="240" w:lineRule="auto"/>
              <w:ind w:firstLine="420" w:firstLineChars="200"/>
              <w:jc w:val="left"/>
              <w:textAlignment w:val="auto"/>
              <w:rPr>
                <w:rFonts w:hint="eastAsia" w:ascii="仿宋_GB2312" w:hAnsi="仿宋_GB2312" w:eastAsia="仿宋_GB2312" w:cs="仿宋_GB2312"/>
                <w:color w:val="000000"/>
                <w:sz w:val="21"/>
                <w:szCs w:val="21"/>
                <w:highlight w:val="none"/>
              </w:rPr>
            </w:pPr>
          </w:p>
        </w:tc>
      </w:tr>
      <w:tr w14:paraId="6719E0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A6D9B41">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62" w:name="_Toc21544"/>
            <w:r>
              <w:rPr>
                <w:rFonts w:hint="eastAsia" w:ascii="仿宋_GB2312" w:hAnsi="仿宋_GB2312" w:eastAsia="仿宋_GB2312" w:cs="仿宋_GB2312"/>
                <w:color w:val="000000"/>
                <w:sz w:val="21"/>
                <w:szCs w:val="21"/>
                <w:highlight w:val="none"/>
              </w:rPr>
              <w:t>第二节</w:t>
            </w:r>
            <w:bookmarkEnd w:id="162"/>
          </w:p>
          <w:p w14:paraId="3A5B76FB">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第8.2（3）项</w:t>
            </w:r>
          </w:p>
        </w:tc>
        <w:tc>
          <w:tcPr>
            <w:tcW w:w="1742" w:type="dxa"/>
            <w:noWrap w:val="0"/>
            <w:vAlign w:val="center"/>
          </w:tcPr>
          <w:p w14:paraId="1F30A21C">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货物质量缺陷</w:t>
            </w:r>
          </w:p>
          <w:p w14:paraId="4338E294">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响应时间</w:t>
            </w:r>
          </w:p>
        </w:tc>
        <w:tc>
          <w:tcPr>
            <w:tcW w:w="5170" w:type="dxa"/>
            <w:noWrap w:val="0"/>
            <w:vAlign w:val="center"/>
          </w:tcPr>
          <w:p w14:paraId="19CAE65C">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p>
        </w:tc>
      </w:tr>
      <w:tr w14:paraId="1AF956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91F45FE">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63" w:name="_Toc27467"/>
            <w:r>
              <w:rPr>
                <w:rFonts w:hint="eastAsia" w:ascii="仿宋_GB2312" w:hAnsi="仿宋_GB2312" w:eastAsia="仿宋_GB2312" w:cs="仿宋_GB2312"/>
                <w:color w:val="000000"/>
                <w:sz w:val="21"/>
                <w:szCs w:val="21"/>
                <w:highlight w:val="none"/>
              </w:rPr>
              <w:t>第二节</w:t>
            </w:r>
            <w:bookmarkEnd w:id="163"/>
          </w:p>
          <w:p w14:paraId="20AB35DE">
            <w:pPr>
              <w:pStyle w:val="34"/>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第11.1款</w:t>
            </w:r>
          </w:p>
        </w:tc>
        <w:tc>
          <w:tcPr>
            <w:tcW w:w="1742" w:type="dxa"/>
            <w:noWrap w:val="0"/>
            <w:vAlign w:val="center"/>
          </w:tcPr>
          <w:p w14:paraId="39816494">
            <w:pPr>
              <w:keepNext w:val="0"/>
              <w:keepLines w:val="0"/>
              <w:pageBreakBefore w:val="0"/>
              <w:kinsoku/>
              <w:wordWrap/>
              <w:overflowPunct/>
              <w:topLinePunct w:val="0"/>
              <w:bidi w:val="0"/>
              <w:adjustRightInd w:val="0"/>
              <w:snapToGrid w:val="0"/>
              <w:spacing w:line="240" w:lineRule="auto"/>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其他应当保密的信息</w:t>
            </w:r>
          </w:p>
        </w:tc>
        <w:tc>
          <w:tcPr>
            <w:tcW w:w="5170" w:type="dxa"/>
            <w:noWrap w:val="0"/>
            <w:vAlign w:val="center"/>
          </w:tcPr>
          <w:p w14:paraId="77484CE2">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p>
        </w:tc>
      </w:tr>
      <w:tr w14:paraId="722F35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5397DC66">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64" w:name="_Toc4289"/>
            <w:r>
              <w:rPr>
                <w:rFonts w:hint="eastAsia" w:ascii="仿宋_GB2312" w:hAnsi="仿宋_GB2312" w:eastAsia="仿宋_GB2312" w:cs="仿宋_GB2312"/>
                <w:color w:val="000000"/>
                <w:sz w:val="21"/>
                <w:szCs w:val="21"/>
                <w:highlight w:val="none"/>
              </w:rPr>
              <w:t>第二节</w:t>
            </w:r>
            <w:bookmarkEnd w:id="164"/>
          </w:p>
          <w:p w14:paraId="400D1C55">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第12.2款</w:t>
            </w:r>
          </w:p>
        </w:tc>
        <w:tc>
          <w:tcPr>
            <w:tcW w:w="1742" w:type="dxa"/>
            <w:noWrap w:val="0"/>
            <w:vAlign w:val="center"/>
          </w:tcPr>
          <w:p w14:paraId="5F74B025">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合同价款支付时间</w:t>
            </w:r>
          </w:p>
        </w:tc>
        <w:tc>
          <w:tcPr>
            <w:tcW w:w="5170" w:type="dxa"/>
            <w:noWrap w:val="0"/>
            <w:vAlign w:val="center"/>
          </w:tcPr>
          <w:p w14:paraId="72EB8E43">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p>
        </w:tc>
      </w:tr>
      <w:tr w14:paraId="6EC12C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52EC4FB6">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65" w:name="_Toc7792"/>
            <w:r>
              <w:rPr>
                <w:rFonts w:hint="eastAsia" w:ascii="仿宋_GB2312" w:hAnsi="仿宋_GB2312" w:eastAsia="仿宋_GB2312" w:cs="仿宋_GB2312"/>
                <w:color w:val="000000"/>
                <w:sz w:val="21"/>
                <w:szCs w:val="21"/>
                <w:highlight w:val="none"/>
              </w:rPr>
              <w:t>第二节</w:t>
            </w:r>
            <w:bookmarkEnd w:id="165"/>
          </w:p>
          <w:p w14:paraId="53E87591">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第13.2款</w:t>
            </w:r>
          </w:p>
        </w:tc>
        <w:tc>
          <w:tcPr>
            <w:tcW w:w="1742" w:type="dxa"/>
            <w:noWrap w:val="0"/>
            <w:vAlign w:val="center"/>
          </w:tcPr>
          <w:p w14:paraId="706822DA">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履约保证金不予退还的情形</w:t>
            </w:r>
          </w:p>
        </w:tc>
        <w:tc>
          <w:tcPr>
            <w:tcW w:w="5170" w:type="dxa"/>
            <w:noWrap w:val="0"/>
            <w:vAlign w:val="center"/>
          </w:tcPr>
          <w:p w14:paraId="2BE00601">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p>
        </w:tc>
      </w:tr>
      <w:tr w14:paraId="03C16D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4D2EC9E">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66" w:name="_Toc32544"/>
            <w:r>
              <w:rPr>
                <w:rFonts w:hint="eastAsia" w:ascii="仿宋_GB2312" w:hAnsi="仿宋_GB2312" w:eastAsia="仿宋_GB2312" w:cs="仿宋_GB2312"/>
                <w:color w:val="000000"/>
                <w:sz w:val="21"/>
                <w:szCs w:val="21"/>
                <w:highlight w:val="none"/>
              </w:rPr>
              <w:t>第二节</w:t>
            </w:r>
            <w:bookmarkEnd w:id="166"/>
          </w:p>
          <w:p w14:paraId="19FAAF54">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第13.3款</w:t>
            </w:r>
          </w:p>
        </w:tc>
        <w:tc>
          <w:tcPr>
            <w:tcW w:w="1742" w:type="dxa"/>
            <w:noWrap w:val="0"/>
            <w:vAlign w:val="center"/>
          </w:tcPr>
          <w:p w14:paraId="10ADDD9D">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履约保证金退还时间及逾期退还的违约金</w:t>
            </w:r>
          </w:p>
        </w:tc>
        <w:tc>
          <w:tcPr>
            <w:tcW w:w="5170" w:type="dxa"/>
            <w:noWrap w:val="0"/>
            <w:vAlign w:val="center"/>
          </w:tcPr>
          <w:p w14:paraId="744F121A">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p>
        </w:tc>
      </w:tr>
      <w:tr w14:paraId="0C3198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193042AE">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仿宋_GB2312" w:hAnsi="仿宋_GB2312" w:eastAsia="仿宋_GB2312" w:cs="仿宋_GB2312"/>
                <w:color w:val="000000"/>
                <w:sz w:val="21"/>
                <w:szCs w:val="21"/>
                <w:highlight w:val="none"/>
              </w:rPr>
            </w:pPr>
            <w:bookmarkStart w:id="167" w:name="_Toc29700"/>
            <w:r>
              <w:rPr>
                <w:rFonts w:hint="eastAsia" w:ascii="仿宋_GB2312" w:hAnsi="仿宋_GB2312" w:eastAsia="仿宋_GB2312" w:cs="仿宋_GB2312"/>
                <w:color w:val="000000"/>
                <w:sz w:val="21"/>
                <w:szCs w:val="21"/>
                <w:highlight w:val="none"/>
              </w:rPr>
              <w:t>第二节</w:t>
            </w:r>
            <w:bookmarkEnd w:id="167"/>
          </w:p>
          <w:p w14:paraId="5DA3C41F">
            <w:pPr>
              <w:keepNext w:val="0"/>
              <w:keepLines w:val="0"/>
              <w:pageBreakBefore w:val="0"/>
              <w:kinsoku/>
              <w:wordWrap/>
              <w:overflowPunct/>
              <w:topLinePunct w:val="0"/>
              <w:bidi w:val="0"/>
              <w:adjustRightInd w:val="0"/>
              <w:snapToGrid w:val="0"/>
              <w:spacing w:line="240" w:lineRule="auto"/>
              <w:jc w:val="center"/>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第14.1（3）项</w:t>
            </w:r>
          </w:p>
        </w:tc>
        <w:tc>
          <w:tcPr>
            <w:tcW w:w="1742" w:type="dxa"/>
            <w:noWrap w:val="0"/>
            <w:vAlign w:val="center"/>
          </w:tcPr>
          <w:p w14:paraId="50C73D62">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r>
              <w:rPr>
                <w:rFonts w:hint="eastAsia" w:ascii="仿宋_GB2312" w:hAnsi="仿宋_GB2312" w:eastAsia="仿宋_GB2312" w:cs="仿宋_GB2312"/>
                <w:color w:val="000000"/>
                <w:sz w:val="21"/>
                <w:szCs w:val="21"/>
                <w:highlight w:val="none"/>
              </w:rPr>
              <w:t>运行监督、维修期限</w:t>
            </w:r>
          </w:p>
        </w:tc>
        <w:tc>
          <w:tcPr>
            <w:tcW w:w="5170" w:type="dxa"/>
            <w:noWrap w:val="0"/>
            <w:vAlign w:val="center"/>
          </w:tcPr>
          <w:p w14:paraId="1AEAAA03">
            <w:pPr>
              <w:keepNext w:val="0"/>
              <w:keepLines w:val="0"/>
              <w:pageBreakBefore w:val="0"/>
              <w:kinsoku/>
              <w:wordWrap/>
              <w:overflowPunct/>
              <w:topLinePunct w:val="0"/>
              <w:bidi w:val="0"/>
              <w:adjustRightInd w:val="0"/>
              <w:snapToGrid w:val="0"/>
              <w:spacing w:line="240" w:lineRule="auto"/>
              <w:jc w:val="left"/>
              <w:textAlignment w:val="auto"/>
              <w:rPr>
                <w:rFonts w:hint="eastAsia" w:ascii="仿宋_GB2312" w:hAnsi="仿宋_GB2312" w:eastAsia="仿宋_GB2312" w:cs="仿宋_GB2312"/>
                <w:color w:val="000000"/>
                <w:sz w:val="21"/>
                <w:szCs w:val="21"/>
                <w:highlight w:val="none"/>
              </w:rPr>
            </w:pPr>
          </w:p>
        </w:tc>
      </w:tr>
      <w:tr w14:paraId="3191F8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3AA93996">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Times New Roman" w:hAnsi="Times New Roman" w:eastAsia="仿宋" w:cs="仿宋"/>
                <w:color w:val="000000"/>
                <w:szCs w:val="21"/>
                <w:highlight w:val="none"/>
              </w:rPr>
            </w:pPr>
            <w:bookmarkStart w:id="168" w:name="_Toc29682"/>
            <w:r>
              <w:rPr>
                <w:rFonts w:hint="eastAsia" w:ascii="Times New Roman" w:hAnsi="Times New Roman" w:eastAsia="仿宋" w:cs="仿宋"/>
                <w:color w:val="000000"/>
                <w:szCs w:val="21"/>
                <w:highlight w:val="none"/>
              </w:rPr>
              <w:t>第二节</w:t>
            </w:r>
            <w:bookmarkEnd w:id="168"/>
          </w:p>
          <w:p w14:paraId="2620037B">
            <w:pPr>
              <w:keepNext w:val="0"/>
              <w:keepLines w:val="0"/>
              <w:pageBreakBefore w:val="0"/>
              <w:kinsoku/>
              <w:wordWrap/>
              <w:overflowPunct/>
              <w:topLinePunct w:val="0"/>
              <w:bidi w:val="0"/>
              <w:adjustRightInd w:val="0"/>
              <w:snapToGrid w:val="0"/>
              <w:spacing w:line="240" w:lineRule="auto"/>
              <w:jc w:val="center"/>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t>第14.1（5）项</w:t>
            </w:r>
          </w:p>
        </w:tc>
        <w:tc>
          <w:tcPr>
            <w:tcW w:w="1742" w:type="dxa"/>
            <w:noWrap w:val="0"/>
            <w:vAlign w:val="center"/>
          </w:tcPr>
          <w:p w14:paraId="6328EE95">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t>货物回收的约定</w:t>
            </w:r>
          </w:p>
        </w:tc>
        <w:tc>
          <w:tcPr>
            <w:tcW w:w="5170" w:type="dxa"/>
            <w:noWrap w:val="0"/>
            <w:vAlign w:val="center"/>
          </w:tcPr>
          <w:p w14:paraId="16AE47FD">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rPr>
            </w:pPr>
          </w:p>
        </w:tc>
      </w:tr>
      <w:tr w14:paraId="4E20D8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3309670">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Times New Roman" w:hAnsi="Times New Roman" w:eastAsia="仿宋" w:cs="仿宋"/>
                <w:color w:val="000000"/>
                <w:szCs w:val="21"/>
                <w:highlight w:val="none"/>
              </w:rPr>
            </w:pPr>
            <w:bookmarkStart w:id="169" w:name="_Toc11785"/>
            <w:r>
              <w:rPr>
                <w:rFonts w:hint="eastAsia" w:ascii="Times New Roman" w:hAnsi="Times New Roman" w:eastAsia="仿宋" w:cs="仿宋"/>
                <w:color w:val="000000"/>
                <w:szCs w:val="21"/>
                <w:highlight w:val="none"/>
              </w:rPr>
              <w:t>第二节</w:t>
            </w:r>
            <w:bookmarkEnd w:id="169"/>
          </w:p>
          <w:p w14:paraId="2803A402">
            <w:pPr>
              <w:keepNext w:val="0"/>
              <w:keepLines w:val="0"/>
              <w:pageBreakBefore w:val="0"/>
              <w:kinsoku/>
              <w:wordWrap/>
              <w:overflowPunct/>
              <w:topLinePunct w:val="0"/>
              <w:bidi w:val="0"/>
              <w:adjustRightInd w:val="0"/>
              <w:snapToGrid w:val="0"/>
              <w:spacing w:line="240" w:lineRule="auto"/>
              <w:jc w:val="center"/>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t>第14.1（6）项</w:t>
            </w:r>
          </w:p>
        </w:tc>
        <w:tc>
          <w:tcPr>
            <w:tcW w:w="1742" w:type="dxa"/>
            <w:noWrap w:val="0"/>
            <w:vAlign w:val="center"/>
          </w:tcPr>
          <w:p w14:paraId="77DF04B4">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t>乙方提供的其他服务</w:t>
            </w:r>
          </w:p>
        </w:tc>
        <w:tc>
          <w:tcPr>
            <w:tcW w:w="5170" w:type="dxa"/>
            <w:noWrap w:val="0"/>
            <w:vAlign w:val="center"/>
          </w:tcPr>
          <w:p w14:paraId="586A4924">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rPr>
            </w:pPr>
          </w:p>
        </w:tc>
      </w:tr>
      <w:tr w14:paraId="1C36BA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29FF525">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Times New Roman" w:hAnsi="Times New Roman" w:eastAsia="仿宋" w:cs="仿宋"/>
                <w:color w:val="000000"/>
                <w:szCs w:val="21"/>
                <w:highlight w:val="none"/>
              </w:rPr>
            </w:pPr>
            <w:bookmarkStart w:id="170" w:name="_Toc4364"/>
            <w:r>
              <w:rPr>
                <w:rFonts w:hint="eastAsia" w:ascii="Times New Roman" w:hAnsi="Times New Roman" w:eastAsia="仿宋" w:cs="仿宋"/>
                <w:color w:val="000000"/>
                <w:szCs w:val="21"/>
                <w:highlight w:val="none"/>
              </w:rPr>
              <w:t>第二节</w:t>
            </w:r>
            <w:bookmarkEnd w:id="170"/>
          </w:p>
          <w:p w14:paraId="2CA79B20">
            <w:pPr>
              <w:keepNext w:val="0"/>
              <w:keepLines w:val="0"/>
              <w:pageBreakBefore w:val="0"/>
              <w:kinsoku/>
              <w:wordWrap/>
              <w:overflowPunct/>
              <w:topLinePunct w:val="0"/>
              <w:bidi w:val="0"/>
              <w:adjustRightInd w:val="0"/>
              <w:snapToGrid w:val="0"/>
              <w:spacing w:line="240" w:lineRule="auto"/>
              <w:jc w:val="center"/>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t>第15.1款</w:t>
            </w:r>
          </w:p>
        </w:tc>
        <w:tc>
          <w:tcPr>
            <w:tcW w:w="1742" w:type="dxa"/>
            <w:noWrap w:val="0"/>
            <w:vAlign w:val="center"/>
          </w:tcPr>
          <w:p w14:paraId="36E952E5">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t>修理、重作、更换相关具体规定</w:t>
            </w:r>
          </w:p>
        </w:tc>
        <w:tc>
          <w:tcPr>
            <w:tcW w:w="5170" w:type="dxa"/>
            <w:noWrap w:val="0"/>
            <w:vAlign w:val="center"/>
          </w:tcPr>
          <w:p w14:paraId="1CF4BF78">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rPr>
            </w:pPr>
          </w:p>
        </w:tc>
      </w:tr>
      <w:tr w14:paraId="3DBEDB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14B449C">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Times New Roman" w:hAnsi="Times New Roman" w:eastAsia="仿宋" w:cs="仿宋"/>
                <w:color w:val="000000"/>
                <w:szCs w:val="21"/>
                <w:highlight w:val="none"/>
              </w:rPr>
            </w:pPr>
            <w:bookmarkStart w:id="171" w:name="_Toc14174"/>
            <w:r>
              <w:rPr>
                <w:rFonts w:hint="eastAsia" w:ascii="Times New Roman" w:hAnsi="Times New Roman" w:eastAsia="仿宋" w:cs="仿宋"/>
                <w:color w:val="000000"/>
                <w:szCs w:val="21"/>
                <w:highlight w:val="none"/>
              </w:rPr>
              <w:t>第二节</w:t>
            </w:r>
            <w:bookmarkEnd w:id="171"/>
          </w:p>
          <w:p w14:paraId="1C675444">
            <w:pPr>
              <w:keepNext w:val="0"/>
              <w:keepLines w:val="0"/>
              <w:pageBreakBefore w:val="0"/>
              <w:kinsoku/>
              <w:wordWrap/>
              <w:overflowPunct/>
              <w:topLinePunct w:val="0"/>
              <w:bidi w:val="0"/>
              <w:adjustRightInd w:val="0"/>
              <w:snapToGrid w:val="0"/>
              <w:spacing w:line="240" w:lineRule="auto"/>
              <w:jc w:val="center"/>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t>第15.2（2）项</w:t>
            </w:r>
          </w:p>
        </w:tc>
        <w:tc>
          <w:tcPr>
            <w:tcW w:w="1742" w:type="dxa"/>
            <w:noWrap w:val="0"/>
            <w:vAlign w:val="center"/>
          </w:tcPr>
          <w:p w14:paraId="47D08AAE">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t>迟延交货赔偿费</w:t>
            </w:r>
          </w:p>
        </w:tc>
        <w:tc>
          <w:tcPr>
            <w:tcW w:w="5170" w:type="dxa"/>
            <w:noWrap w:val="0"/>
            <w:vAlign w:val="center"/>
          </w:tcPr>
          <w:p w14:paraId="14FB946B">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u w:val="single"/>
              </w:rPr>
            </w:pPr>
          </w:p>
        </w:tc>
      </w:tr>
      <w:tr w14:paraId="53DD52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2C62FD2">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Times New Roman" w:hAnsi="Times New Roman" w:eastAsia="仿宋" w:cs="仿宋"/>
                <w:color w:val="000000"/>
                <w:szCs w:val="21"/>
                <w:highlight w:val="none"/>
              </w:rPr>
            </w:pPr>
            <w:bookmarkStart w:id="172" w:name="_Toc3272"/>
            <w:r>
              <w:rPr>
                <w:rFonts w:hint="eastAsia" w:ascii="Times New Roman" w:hAnsi="Times New Roman" w:eastAsia="仿宋" w:cs="仿宋"/>
                <w:color w:val="000000"/>
                <w:szCs w:val="21"/>
                <w:highlight w:val="none"/>
              </w:rPr>
              <w:t>第二节</w:t>
            </w:r>
            <w:bookmarkEnd w:id="172"/>
          </w:p>
          <w:p w14:paraId="26A2D1A9">
            <w:pPr>
              <w:keepNext w:val="0"/>
              <w:keepLines w:val="0"/>
              <w:pageBreakBefore w:val="0"/>
              <w:kinsoku/>
              <w:wordWrap/>
              <w:overflowPunct/>
              <w:topLinePunct w:val="0"/>
              <w:bidi w:val="0"/>
              <w:adjustRightInd w:val="0"/>
              <w:snapToGrid w:val="0"/>
              <w:spacing w:line="240" w:lineRule="auto"/>
              <w:jc w:val="center"/>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t>第15.3款</w:t>
            </w:r>
          </w:p>
        </w:tc>
        <w:tc>
          <w:tcPr>
            <w:tcW w:w="1742" w:type="dxa"/>
            <w:noWrap w:val="0"/>
            <w:vAlign w:val="center"/>
          </w:tcPr>
          <w:p w14:paraId="49494B10">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t>逾期付款利息</w:t>
            </w:r>
          </w:p>
        </w:tc>
        <w:tc>
          <w:tcPr>
            <w:tcW w:w="5170" w:type="dxa"/>
            <w:noWrap w:val="0"/>
            <w:vAlign w:val="center"/>
          </w:tcPr>
          <w:p w14:paraId="4BAA56F8">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u w:val="single"/>
              </w:rPr>
            </w:pPr>
          </w:p>
        </w:tc>
      </w:tr>
      <w:tr w14:paraId="319AA9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4E25C4B5">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Times New Roman" w:hAnsi="Times New Roman" w:eastAsia="仿宋" w:cs="仿宋"/>
                <w:color w:val="000000"/>
                <w:szCs w:val="21"/>
                <w:highlight w:val="none"/>
              </w:rPr>
            </w:pPr>
            <w:bookmarkStart w:id="173" w:name="_Toc20508"/>
            <w:r>
              <w:rPr>
                <w:rFonts w:hint="eastAsia" w:ascii="Times New Roman" w:hAnsi="Times New Roman" w:eastAsia="仿宋" w:cs="仿宋"/>
                <w:color w:val="000000"/>
                <w:szCs w:val="21"/>
                <w:highlight w:val="none"/>
              </w:rPr>
              <w:t>第二节</w:t>
            </w:r>
            <w:bookmarkEnd w:id="173"/>
          </w:p>
          <w:p w14:paraId="66CB3588">
            <w:pPr>
              <w:keepNext w:val="0"/>
              <w:keepLines w:val="0"/>
              <w:pageBreakBefore w:val="0"/>
              <w:kinsoku/>
              <w:wordWrap/>
              <w:overflowPunct/>
              <w:topLinePunct w:val="0"/>
              <w:bidi w:val="0"/>
              <w:adjustRightInd w:val="0"/>
              <w:snapToGrid w:val="0"/>
              <w:spacing w:line="240" w:lineRule="auto"/>
              <w:jc w:val="center"/>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t>第15.4款</w:t>
            </w:r>
          </w:p>
        </w:tc>
        <w:tc>
          <w:tcPr>
            <w:tcW w:w="1742" w:type="dxa"/>
            <w:tcBorders>
              <w:left w:val="single" w:color="auto" w:sz="2" w:space="0"/>
              <w:bottom w:val="single" w:color="auto" w:sz="2" w:space="0"/>
              <w:right w:val="single" w:color="auto" w:sz="2" w:space="0"/>
            </w:tcBorders>
            <w:noWrap w:val="0"/>
            <w:vAlign w:val="center"/>
          </w:tcPr>
          <w:p w14:paraId="167E6E3F">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t>其他违约责任</w:t>
            </w:r>
          </w:p>
        </w:tc>
        <w:tc>
          <w:tcPr>
            <w:tcW w:w="5170" w:type="dxa"/>
            <w:tcBorders>
              <w:left w:val="single" w:color="auto" w:sz="2" w:space="0"/>
              <w:bottom w:val="single" w:color="auto" w:sz="2" w:space="0"/>
            </w:tcBorders>
            <w:noWrap w:val="0"/>
            <w:vAlign w:val="center"/>
          </w:tcPr>
          <w:p w14:paraId="485B6179">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u w:val="single"/>
              </w:rPr>
            </w:pPr>
          </w:p>
        </w:tc>
      </w:tr>
      <w:tr w14:paraId="551820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608F104D">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Times New Roman" w:hAnsi="Times New Roman" w:eastAsia="仿宋" w:cs="仿宋"/>
                <w:color w:val="000000"/>
                <w:szCs w:val="21"/>
                <w:highlight w:val="none"/>
              </w:rPr>
            </w:pPr>
            <w:bookmarkStart w:id="174" w:name="_Toc9562"/>
            <w:r>
              <w:rPr>
                <w:rFonts w:hint="eastAsia" w:ascii="Times New Roman" w:hAnsi="Times New Roman" w:eastAsia="仿宋" w:cs="仿宋"/>
                <w:color w:val="000000"/>
                <w:szCs w:val="21"/>
                <w:highlight w:val="none"/>
              </w:rPr>
              <w:t>第二节</w:t>
            </w:r>
            <w:bookmarkEnd w:id="174"/>
          </w:p>
          <w:p w14:paraId="52615B12">
            <w:pPr>
              <w:keepNext w:val="0"/>
              <w:keepLines w:val="0"/>
              <w:pageBreakBefore w:val="0"/>
              <w:kinsoku/>
              <w:wordWrap/>
              <w:overflowPunct/>
              <w:topLinePunct w:val="0"/>
              <w:bidi w:val="0"/>
              <w:adjustRightInd w:val="0"/>
              <w:snapToGrid w:val="0"/>
              <w:spacing w:line="240" w:lineRule="auto"/>
              <w:jc w:val="center"/>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t>第19.2款</w:t>
            </w:r>
          </w:p>
        </w:tc>
        <w:tc>
          <w:tcPr>
            <w:tcW w:w="1742" w:type="dxa"/>
            <w:tcBorders>
              <w:top w:val="single" w:color="auto" w:sz="2" w:space="0"/>
              <w:left w:val="single" w:color="auto" w:sz="2" w:space="0"/>
              <w:right w:val="single" w:color="auto" w:sz="2" w:space="0"/>
            </w:tcBorders>
            <w:noWrap w:val="0"/>
            <w:vAlign w:val="center"/>
          </w:tcPr>
          <w:p w14:paraId="022EEAFA">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t>解决争议的方法</w:t>
            </w:r>
          </w:p>
        </w:tc>
        <w:tc>
          <w:tcPr>
            <w:tcW w:w="5170" w:type="dxa"/>
            <w:tcBorders>
              <w:top w:val="single" w:color="auto" w:sz="2" w:space="0"/>
              <w:left w:val="single" w:color="auto" w:sz="2" w:space="0"/>
            </w:tcBorders>
            <w:noWrap w:val="0"/>
            <w:vAlign w:val="center"/>
          </w:tcPr>
          <w:p w14:paraId="5E742C77">
            <w:pPr>
              <w:keepNext w:val="0"/>
              <w:keepLines w:val="0"/>
              <w:pageBreakBefore w:val="0"/>
              <w:kinsoku/>
              <w:wordWrap/>
              <w:overflowPunct/>
              <w:topLinePunct w:val="0"/>
              <w:autoSpaceDE w:val="0"/>
              <w:autoSpaceDN w:val="0"/>
              <w:bidi w:val="0"/>
              <w:adjustRightInd w:val="0"/>
              <w:snapToGrid w:val="0"/>
              <w:spacing w:line="240" w:lineRule="auto"/>
              <w:jc w:val="left"/>
              <w:textAlignment w:val="auto"/>
              <w:rPr>
                <w:rFonts w:hint="eastAsia" w:ascii="Times New Roman" w:hAnsi="Times New Roman" w:eastAsia="仿宋" w:cs="仿宋"/>
                <w:iCs/>
                <w:color w:val="000000"/>
                <w:szCs w:val="21"/>
                <w:highlight w:val="none"/>
              </w:rPr>
            </w:pPr>
            <w:r>
              <w:rPr>
                <w:rFonts w:hint="eastAsia" w:ascii="Times New Roman" w:hAnsi="Times New Roman" w:eastAsia="仿宋" w:cs="仿宋"/>
                <w:iCs/>
                <w:color w:val="000000"/>
                <w:szCs w:val="21"/>
                <w:highlight w:val="none"/>
              </w:rPr>
              <w:t>因本合同及合同有关事项发生的争议，按下列第</w:t>
            </w:r>
            <w:r>
              <w:rPr>
                <w:rFonts w:hint="eastAsia" w:ascii="Times New Roman" w:hAnsi="Times New Roman" w:eastAsia="仿宋" w:cs="仿宋"/>
                <w:iCs/>
                <w:color w:val="000000"/>
                <w:szCs w:val="21"/>
                <w:highlight w:val="none"/>
                <w:u w:val="single"/>
              </w:rPr>
              <w:t xml:space="preserve">   </w:t>
            </w:r>
            <w:r>
              <w:rPr>
                <w:rFonts w:hint="eastAsia" w:ascii="Times New Roman" w:hAnsi="Times New Roman" w:eastAsia="仿宋" w:cs="仿宋"/>
                <w:iCs/>
                <w:color w:val="000000"/>
                <w:szCs w:val="21"/>
                <w:highlight w:val="none"/>
              </w:rPr>
              <w:t>种方式解决：</w:t>
            </w:r>
          </w:p>
          <w:p w14:paraId="79D6008A">
            <w:pPr>
              <w:keepNext w:val="0"/>
              <w:keepLines w:val="0"/>
              <w:pageBreakBefore w:val="0"/>
              <w:kinsoku/>
              <w:wordWrap/>
              <w:overflowPunct/>
              <w:topLinePunct w:val="0"/>
              <w:autoSpaceDE w:val="0"/>
              <w:autoSpaceDN w:val="0"/>
              <w:bidi w:val="0"/>
              <w:adjustRightInd w:val="0"/>
              <w:snapToGrid w:val="0"/>
              <w:spacing w:line="240" w:lineRule="auto"/>
              <w:jc w:val="left"/>
              <w:textAlignment w:val="auto"/>
              <w:rPr>
                <w:rFonts w:hint="eastAsia" w:ascii="Times New Roman" w:hAnsi="Times New Roman" w:eastAsia="仿宋" w:cs="仿宋"/>
                <w:iCs/>
                <w:color w:val="000000"/>
                <w:szCs w:val="21"/>
                <w:highlight w:val="none"/>
              </w:rPr>
            </w:pPr>
            <w:r>
              <w:rPr>
                <w:rFonts w:hint="eastAsia" w:ascii="Times New Roman" w:hAnsi="Times New Roman" w:eastAsia="仿宋" w:cs="仿宋"/>
                <w:iCs/>
                <w:color w:val="000000"/>
                <w:szCs w:val="21"/>
                <w:highlight w:val="none"/>
              </w:rPr>
              <w:t>（1）向</w:t>
            </w:r>
            <w:r>
              <w:rPr>
                <w:rFonts w:hint="eastAsia" w:ascii="Times New Roman" w:hAnsi="Times New Roman" w:eastAsia="仿宋" w:cs="仿宋"/>
                <w:iCs/>
                <w:color w:val="000000"/>
                <w:szCs w:val="21"/>
                <w:highlight w:val="none"/>
                <w:u w:val="single"/>
              </w:rPr>
              <w:t xml:space="preserve">                    </w:t>
            </w:r>
            <w:r>
              <w:rPr>
                <w:rFonts w:hint="eastAsia" w:ascii="Times New Roman" w:hAnsi="Times New Roman" w:eastAsia="仿宋" w:cs="仿宋"/>
                <w:iCs/>
                <w:color w:val="000000"/>
                <w:szCs w:val="21"/>
                <w:highlight w:val="none"/>
              </w:rPr>
              <w:t>仲裁委员会申请仲裁，仲裁地点为</w:t>
            </w:r>
            <w:r>
              <w:rPr>
                <w:rFonts w:hint="eastAsia" w:ascii="Times New Roman" w:hAnsi="Times New Roman" w:eastAsia="仿宋" w:cs="仿宋"/>
                <w:iCs/>
                <w:color w:val="000000"/>
                <w:szCs w:val="21"/>
                <w:highlight w:val="none"/>
                <w:u w:val="single"/>
              </w:rPr>
              <w:t xml:space="preserve">           </w:t>
            </w:r>
            <w:r>
              <w:rPr>
                <w:rFonts w:hint="eastAsia" w:ascii="Times New Roman" w:hAnsi="Times New Roman" w:eastAsia="仿宋" w:cs="仿宋"/>
                <w:iCs/>
                <w:color w:val="000000"/>
                <w:szCs w:val="21"/>
                <w:highlight w:val="none"/>
              </w:rPr>
              <w:t>；</w:t>
            </w:r>
          </w:p>
          <w:p w14:paraId="465FE593">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u w:val="single"/>
              </w:rPr>
            </w:pPr>
            <w:r>
              <w:rPr>
                <w:rFonts w:hint="eastAsia" w:ascii="Times New Roman" w:hAnsi="Times New Roman" w:eastAsia="仿宋" w:cs="仿宋"/>
                <w:iCs/>
                <w:color w:val="000000"/>
                <w:szCs w:val="21"/>
                <w:highlight w:val="none"/>
              </w:rPr>
              <w:t>（2）向</w:t>
            </w:r>
            <w:r>
              <w:rPr>
                <w:rFonts w:hint="eastAsia" w:ascii="Times New Roman" w:hAnsi="Times New Roman" w:eastAsia="仿宋" w:cs="仿宋"/>
                <w:iCs/>
                <w:color w:val="000000"/>
                <w:szCs w:val="21"/>
                <w:highlight w:val="none"/>
                <w:u w:val="single"/>
              </w:rPr>
              <w:t xml:space="preserve">                    </w:t>
            </w:r>
            <w:r>
              <w:rPr>
                <w:rFonts w:hint="eastAsia" w:ascii="Times New Roman" w:hAnsi="Times New Roman" w:eastAsia="仿宋" w:cs="仿宋"/>
                <w:iCs/>
                <w:color w:val="000000"/>
                <w:szCs w:val="21"/>
                <w:highlight w:val="none"/>
              </w:rPr>
              <w:t>人民法院起诉。</w:t>
            </w:r>
          </w:p>
        </w:tc>
      </w:tr>
      <w:tr w14:paraId="750568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657B60C7">
            <w:pPr>
              <w:keepNext w:val="0"/>
              <w:keepLines w:val="0"/>
              <w:pageBreakBefore w:val="0"/>
              <w:kinsoku/>
              <w:wordWrap/>
              <w:overflowPunct/>
              <w:topLinePunct w:val="0"/>
              <w:bidi w:val="0"/>
              <w:adjustRightInd w:val="0"/>
              <w:snapToGrid w:val="0"/>
              <w:spacing w:line="240" w:lineRule="auto"/>
              <w:jc w:val="center"/>
              <w:textAlignment w:val="auto"/>
              <w:outlineLvl w:val="0"/>
              <w:rPr>
                <w:rFonts w:hint="eastAsia" w:ascii="Times New Roman" w:hAnsi="Times New Roman" w:eastAsia="仿宋" w:cs="仿宋"/>
                <w:color w:val="000000"/>
                <w:szCs w:val="21"/>
                <w:highlight w:val="none"/>
              </w:rPr>
            </w:pPr>
            <w:bookmarkStart w:id="175" w:name="_Toc18974"/>
            <w:r>
              <w:rPr>
                <w:rFonts w:hint="eastAsia" w:ascii="Times New Roman" w:hAnsi="Times New Roman" w:eastAsia="仿宋" w:cs="仿宋"/>
                <w:color w:val="000000"/>
                <w:szCs w:val="21"/>
                <w:highlight w:val="none"/>
              </w:rPr>
              <w:t>第二节</w:t>
            </w:r>
            <w:bookmarkEnd w:id="175"/>
          </w:p>
          <w:p w14:paraId="2231C9F7">
            <w:pPr>
              <w:keepNext w:val="0"/>
              <w:keepLines w:val="0"/>
              <w:pageBreakBefore w:val="0"/>
              <w:kinsoku/>
              <w:wordWrap/>
              <w:overflowPunct/>
              <w:topLinePunct w:val="0"/>
              <w:bidi w:val="0"/>
              <w:adjustRightInd w:val="0"/>
              <w:snapToGrid w:val="0"/>
              <w:spacing w:line="240" w:lineRule="auto"/>
              <w:jc w:val="center"/>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t>第23.1款</w:t>
            </w:r>
          </w:p>
        </w:tc>
        <w:tc>
          <w:tcPr>
            <w:tcW w:w="1742" w:type="dxa"/>
            <w:noWrap w:val="0"/>
            <w:vAlign w:val="center"/>
          </w:tcPr>
          <w:p w14:paraId="411C1BF7">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rPr>
            </w:pPr>
            <w:r>
              <w:rPr>
                <w:rFonts w:hint="eastAsia" w:ascii="Times New Roman" w:hAnsi="Times New Roman" w:eastAsia="仿宋" w:cs="仿宋"/>
                <w:bCs/>
                <w:color w:val="000000"/>
                <w:szCs w:val="21"/>
                <w:highlight w:val="none"/>
              </w:rPr>
              <w:t>其他专用条款</w:t>
            </w:r>
          </w:p>
        </w:tc>
        <w:tc>
          <w:tcPr>
            <w:tcW w:w="5170" w:type="dxa"/>
            <w:noWrap w:val="0"/>
            <w:vAlign w:val="center"/>
          </w:tcPr>
          <w:p w14:paraId="5C348EC2">
            <w:pPr>
              <w:keepNext w:val="0"/>
              <w:keepLines w:val="0"/>
              <w:pageBreakBefore w:val="0"/>
              <w:kinsoku/>
              <w:wordWrap/>
              <w:overflowPunct/>
              <w:topLinePunct w:val="0"/>
              <w:bidi w:val="0"/>
              <w:adjustRightInd w:val="0"/>
              <w:snapToGrid w:val="0"/>
              <w:spacing w:line="240" w:lineRule="auto"/>
              <w:jc w:val="left"/>
              <w:textAlignment w:val="auto"/>
              <w:rPr>
                <w:rFonts w:hint="eastAsia" w:ascii="Times New Roman" w:hAnsi="Times New Roman" w:eastAsia="仿宋" w:cs="仿宋"/>
                <w:color w:val="000000"/>
                <w:szCs w:val="21"/>
                <w:highlight w:val="none"/>
              </w:rPr>
            </w:pPr>
          </w:p>
        </w:tc>
      </w:tr>
    </w:tbl>
    <w:p w14:paraId="1D0AB73E">
      <w:pPr>
        <w:rPr>
          <w:rFonts w:hint="eastAsia" w:ascii="Times New Roman" w:hAnsi="Times New Roman" w:eastAsia="仿宋" w:cs="仿宋"/>
          <w:color w:val="000000"/>
          <w:highlight w:val="none"/>
        </w:rPr>
      </w:pPr>
    </w:p>
    <w:p w14:paraId="4D471229">
      <w:pPr>
        <w:rPr>
          <w:rFonts w:hint="eastAsia" w:ascii="Times New Roman" w:hAnsi="Times New Roman" w:eastAsia="仿宋" w:cs="仿宋"/>
          <w:color w:val="000000"/>
          <w:highlight w:val="none"/>
        </w:rPr>
      </w:pPr>
    </w:p>
    <w:p w14:paraId="4B697D6A">
      <w:pPr>
        <w:wordWrap w:val="0"/>
        <w:adjustRightInd w:val="0"/>
        <w:snapToGrid w:val="0"/>
        <w:spacing w:line="360" w:lineRule="auto"/>
        <w:jc w:val="right"/>
        <w:rPr>
          <w:rFonts w:hint="eastAsia" w:ascii="Times New Roman" w:hAnsi="Times New Roman" w:eastAsia="仿宋" w:cs="仿宋"/>
          <w:color w:val="000000"/>
          <w:szCs w:val="21"/>
          <w:highlight w:val="none"/>
        </w:rPr>
      </w:pPr>
    </w:p>
    <w:sectPr>
      <w:pgSz w:w="11906" w:h="16838"/>
      <w:pgMar w:top="1440" w:right="1803" w:bottom="1440" w:left="1803" w:header="851" w:footer="992" w:gutter="0"/>
      <w:pgNumType w:fmt="decimal"/>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E4507CE4">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8D206">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8ED3F">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91E3B8">
                          <w:pPr>
                            <w:pStyle w:val="12"/>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LK+nM7gAQAAwQMAAA4AAAAA&#10;AAAAAQAgAAAAHgEAAGRycy9lMm9Eb2MueG1sUEsFBgAAAAAGAAYAWQEAAHAFAAAAAA==&#10;">
              <v:fill on="f" focussize="0,0"/>
              <v:stroke on="f"/>
              <v:imagedata o:title=""/>
              <o:lock v:ext="edit" aspectratio="f"/>
              <v:textbox inset="0mm,0mm,0mm,0mm" style="mso-fit-shape-to-text:t;">
                <w:txbxContent>
                  <w:p w14:paraId="1191E3B8">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A74A1">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9D83EDE9"/>
    <w:multiLevelType w:val="singleLevel"/>
    <w:tmpl w:val="9D83EDE9"/>
    <w:lvl w:ilvl="0" w:tentative="0">
      <w:start w:val="1"/>
      <w:numFmt w:val="chineseCounting"/>
      <w:suff w:val="nothing"/>
      <w:lvlText w:val="（%1）"/>
      <w:lvlJc w:val="left"/>
      <w:rPr>
        <w:rFonts w:hint="eastAsia"/>
      </w:rPr>
    </w:lvl>
  </w:abstractNum>
  <w:abstractNum w:abstractNumId="2">
    <w:nsid w:val="B4FDF470"/>
    <w:multiLevelType w:val="singleLevel"/>
    <w:tmpl w:val="B4FDF470"/>
    <w:lvl w:ilvl="0" w:tentative="0">
      <w:start w:val="1"/>
      <w:numFmt w:val="decimal"/>
      <w:suff w:val="nothing"/>
      <w:lvlText w:val="（%1）"/>
      <w:lvlJc w:val="left"/>
    </w:lvl>
  </w:abstractNum>
  <w:abstractNum w:abstractNumId="3">
    <w:nsid w:val="B94ECF15"/>
    <w:multiLevelType w:val="singleLevel"/>
    <w:tmpl w:val="B94ECF15"/>
    <w:lvl w:ilvl="0" w:tentative="0">
      <w:start w:val="2"/>
      <w:numFmt w:val="chineseCounting"/>
      <w:suff w:val="nothing"/>
      <w:lvlText w:val="（%1）"/>
      <w:lvlJc w:val="left"/>
      <w:rPr>
        <w:rFonts w:hint="eastAsia"/>
      </w:rPr>
    </w:lvl>
  </w:abstractNum>
  <w:abstractNum w:abstractNumId="4">
    <w:nsid w:val="B9A1E8D1"/>
    <w:multiLevelType w:val="singleLevel"/>
    <w:tmpl w:val="B9A1E8D1"/>
    <w:lvl w:ilvl="0" w:tentative="0">
      <w:start w:val="1"/>
      <w:numFmt w:val="decimal"/>
      <w:suff w:val="nothing"/>
      <w:lvlText w:val="（%1）"/>
      <w:lvlJc w:val="left"/>
    </w:lvl>
  </w:abstractNum>
  <w:abstractNum w:abstractNumId="5">
    <w:nsid w:val="BF6BC116"/>
    <w:multiLevelType w:val="singleLevel"/>
    <w:tmpl w:val="BF6BC116"/>
    <w:lvl w:ilvl="0" w:tentative="0">
      <w:start w:val="16"/>
      <w:numFmt w:val="decimal"/>
      <w:suff w:val="space"/>
      <w:lvlText w:val="%1."/>
      <w:lvlJc w:val="left"/>
    </w:lvl>
  </w:abstractNum>
  <w:abstractNum w:abstractNumId="6">
    <w:nsid w:val="CFE7C3F8"/>
    <w:multiLevelType w:val="singleLevel"/>
    <w:tmpl w:val="CFE7C3F8"/>
    <w:lvl w:ilvl="0" w:tentative="0">
      <w:start w:val="1"/>
      <w:numFmt w:val="decimal"/>
      <w:suff w:val="nothing"/>
      <w:lvlText w:val="（%1）"/>
      <w:lvlJc w:val="left"/>
    </w:lvl>
  </w:abstractNum>
  <w:abstractNum w:abstractNumId="7">
    <w:nsid w:val="DDECD3BC"/>
    <w:multiLevelType w:val="singleLevel"/>
    <w:tmpl w:val="DDECD3BC"/>
    <w:lvl w:ilvl="0" w:tentative="0">
      <w:start w:val="6"/>
      <w:numFmt w:val="decimal"/>
      <w:suff w:val="space"/>
      <w:lvlText w:val="%1."/>
      <w:lvlJc w:val="left"/>
    </w:lvl>
  </w:abstractNum>
  <w:abstractNum w:abstractNumId="8">
    <w:nsid w:val="DE759F4B"/>
    <w:multiLevelType w:val="singleLevel"/>
    <w:tmpl w:val="DE759F4B"/>
    <w:lvl w:ilvl="0" w:tentative="0">
      <w:start w:val="2"/>
      <w:numFmt w:val="decimal"/>
      <w:suff w:val="space"/>
      <w:lvlText w:val="%1."/>
      <w:lvlJc w:val="left"/>
    </w:lvl>
  </w:abstractNum>
  <w:abstractNum w:abstractNumId="9">
    <w:nsid w:val="DEABE1DB"/>
    <w:multiLevelType w:val="singleLevel"/>
    <w:tmpl w:val="DEABE1DB"/>
    <w:lvl w:ilvl="0" w:tentative="0">
      <w:start w:val="23"/>
      <w:numFmt w:val="decimal"/>
      <w:suff w:val="space"/>
      <w:lvlText w:val="%1."/>
      <w:lvlJc w:val="left"/>
    </w:lvl>
  </w:abstractNum>
  <w:abstractNum w:abstractNumId="10">
    <w:nsid w:val="EE8E3184"/>
    <w:multiLevelType w:val="singleLevel"/>
    <w:tmpl w:val="EE8E3184"/>
    <w:lvl w:ilvl="0" w:tentative="0">
      <w:start w:val="1"/>
      <w:numFmt w:val="decimal"/>
      <w:suff w:val="nothing"/>
      <w:lvlText w:val="（%1）"/>
      <w:lvlJc w:val="left"/>
    </w:lvl>
  </w:abstractNum>
  <w:abstractNum w:abstractNumId="11">
    <w:nsid w:val="FFEFC674"/>
    <w:multiLevelType w:val="singleLevel"/>
    <w:tmpl w:val="FFEFC674"/>
    <w:lvl w:ilvl="0" w:tentative="0">
      <w:start w:val="1"/>
      <w:numFmt w:val="decimal"/>
      <w:suff w:val="nothing"/>
      <w:lvlText w:val="（%1）"/>
      <w:lvlJc w:val="left"/>
    </w:lvl>
  </w:abstractNum>
  <w:abstractNum w:abstractNumId="12">
    <w:nsid w:val="1D6F0003"/>
    <w:multiLevelType w:val="singleLevel"/>
    <w:tmpl w:val="1D6F0003"/>
    <w:lvl w:ilvl="0" w:tentative="0">
      <w:start w:val="1"/>
      <w:numFmt w:val="decimal"/>
      <w:suff w:val="nothing"/>
      <w:lvlText w:val="%1、"/>
      <w:lvlJc w:val="left"/>
    </w:lvl>
  </w:abstractNum>
  <w:abstractNum w:abstractNumId="13">
    <w:nsid w:val="420C153B"/>
    <w:multiLevelType w:val="multilevel"/>
    <w:tmpl w:val="420C153B"/>
    <w:lvl w:ilvl="0" w:tentative="0">
      <w:start w:val="1"/>
      <w:numFmt w:val="decimal"/>
      <w:pStyle w:val="3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4">
    <w:nsid w:val="7A0F6431"/>
    <w:multiLevelType w:val="singleLevel"/>
    <w:tmpl w:val="7A0F6431"/>
    <w:lvl w:ilvl="0" w:tentative="0">
      <w:start w:val="1"/>
      <w:numFmt w:val="decimal"/>
      <w:suff w:val="space"/>
      <w:lvlText w:val="%1."/>
      <w:lvlJc w:val="left"/>
    </w:lvl>
  </w:abstractNum>
  <w:abstractNum w:abstractNumId="15">
    <w:nsid w:val="7B4156D0"/>
    <w:multiLevelType w:val="singleLevel"/>
    <w:tmpl w:val="7B4156D0"/>
    <w:lvl w:ilvl="0" w:tentative="0">
      <w:start w:val="1"/>
      <w:numFmt w:val="decimal"/>
      <w:suff w:val="nothing"/>
      <w:lvlText w:val="（%1）"/>
      <w:lvlJc w:val="left"/>
    </w:lvl>
  </w:abstractNum>
  <w:num w:numId="1">
    <w:abstractNumId w:val="13"/>
  </w:num>
  <w:num w:numId="2">
    <w:abstractNumId w:val="0"/>
  </w:num>
  <w:num w:numId="3">
    <w:abstractNumId w:val="4"/>
  </w:num>
  <w:num w:numId="4">
    <w:abstractNumId w:val="12"/>
  </w:num>
  <w:num w:numId="5">
    <w:abstractNumId w:val="3"/>
  </w:num>
  <w:num w:numId="6">
    <w:abstractNumId w:val="2"/>
  </w:num>
  <w:num w:numId="7">
    <w:abstractNumId w:val="10"/>
  </w:num>
  <w:num w:numId="8">
    <w:abstractNumId w:val="15"/>
  </w:num>
  <w:num w:numId="9">
    <w:abstractNumId w:val="1"/>
  </w:num>
  <w:num w:numId="10">
    <w:abstractNumId w:val="14"/>
  </w:num>
  <w:num w:numId="11">
    <w:abstractNumId w:val="6"/>
  </w:num>
  <w:num w:numId="12">
    <w:abstractNumId w:val="11"/>
  </w:num>
  <w:num w:numId="13">
    <w:abstractNumId w:val="8"/>
  </w:num>
  <w:num w:numId="14">
    <w:abstractNumId w:val="7"/>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9"/>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QwNTAxOTY5N2U5NjFjNjBjN2M4NWY5NWI4NjRhZjAifQ=="/>
  </w:docVars>
  <w:rsids>
    <w:rsidRoot w:val="35AB3B2B"/>
    <w:rsid w:val="00001D20"/>
    <w:rsid w:val="00003DE3"/>
    <w:rsid w:val="00004125"/>
    <w:rsid w:val="0000515E"/>
    <w:rsid w:val="0000641B"/>
    <w:rsid w:val="00007440"/>
    <w:rsid w:val="0001239F"/>
    <w:rsid w:val="00017AF4"/>
    <w:rsid w:val="00024251"/>
    <w:rsid w:val="000341B1"/>
    <w:rsid w:val="0003661D"/>
    <w:rsid w:val="00045FC2"/>
    <w:rsid w:val="000501DB"/>
    <w:rsid w:val="00051172"/>
    <w:rsid w:val="000535BC"/>
    <w:rsid w:val="00056F1E"/>
    <w:rsid w:val="000577D5"/>
    <w:rsid w:val="0006007B"/>
    <w:rsid w:val="00062FCE"/>
    <w:rsid w:val="0006372F"/>
    <w:rsid w:val="0006787C"/>
    <w:rsid w:val="00071A36"/>
    <w:rsid w:val="000730A7"/>
    <w:rsid w:val="000749F2"/>
    <w:rsid w:val="00075CC1"/>
    <w:rsid w:val="00076A14"/>
    <w:rsid w:val="00080F44"/>
    <w:rsid w:val="00084904"/>
    <w:rsid w:val="00084D3F"/>
    <w:rsid w:val="00085F96"/>
    <w:rsid w:val="0008698D"/>
    <w:rsid w:val="00091438"/>
    <w:rsid w:val="00092BC6"/>
    <w:rsid w:val="000A0939"/>
    <w:rsid w:val="000A436A"/>
    <w:rsid w:val="000A696E"/>
    <w:rsid w:val="000B0552"/>
    <w:rsid w:val="000B2C8B"/>
    <w:rsid w:val="000B6FF4"/>
    <w:rsid w:val="000C3A16"/>
    <w:rsid w:val="000C45C0"/>
    <w:rsid w:val="000D2859"/>
    <w:rsid w:val="000E136E"/>
    <w:rsid w:val="000E2E67"/>
    <w:rsid w:val="000E6157"/>
    <w:rsid w:val="000E663A"/>
    <w:rsid w:val="000F0A3D"/>
    <w:rsid w:val="000F6A8A"/>
    <w:rsid w:val="00100368"/>
    <w:rsid w:val="001006F2"/>
    <w:rsid w:val="00102A03"/>
    <w:rsid w:val="00103720"/>
    <w:rsid w:val="001057A5"/>
    <w:rsid w:val="00112D2F"/>
    <w:rsid w:val="00115EAF"/>
    <w:rsid w:val="0011622C"/>
    <w:rsid w:val="00116EFC"/>
    <w:rsid w:val="00117479"/>
    <w:rsid w:val="001210DA"/>
    <w:rsid w:val="00125079"/>
    <w:rsid w:val="0012556B"/>
    <w:rsid w:val="00126255"/>
    <w:rsid w:val="001279F6"/>
    <w:rsid w:val="001400E0"/>
    <w:rsid w:val="001457CF"/>
    <w:rsid w:val="001529A9"/>
    <w:rsid w:val="00153E3D"/>
    <w:rsid w:val="00154309"/>
    <w:rsid w:val="001565BF"/>
    <w:rsid w:val="001608F6"/>
    <w:rsid w:val="00163B9A"/>
    <w:rsid w:val="00164B69"/>
    <w:rsid w:val="00165FEA"/>
    <w:rsid w:val="00170000"/>
    <w:rsid w:val="00171032"/>
    <w:rsid w:val="001711BB"/>
    <w:rsid w:val="00171212"/>
    <w:rsid w:val="00175E8D"/>
    <w:rsid w:val="001763B3"/>
    <w:rsid w:val="0019104E"/>
    <w:rsid w:val="001A10E9"/>
    <w:rsid w:val="001B28CD"/>
    <w:rsid w:val="001B58E5"/>
    <w:rsid w:val="001B5C31"/>
    <w:rsid w:val="001C537D"/>
    <w:rsid w:val="001C6199"/>
    <w:rsid w:val="001D6499"/>
    <w:rsid w:val="001D7E1B"/>
    <w:rsid w:val="001E32C3"/>
    <w:rsid w:val="001E69F3"/>
    <w:rsid w:val="001E6E81"/>
    <w:rsid w:val="001F0A46"/>
    <w:rsid w:val="001F10F7"/>
    <w:rsid w:val="001F2B1F"/>
    <w:rsid w:val="001F5E5C"/>
    <w:rsid w:val="00201D14"/>
    <w:rsid w:val="002033CD"/>
    <w:rsid w:val="00205F4F"/>
    <w:rsid w:val="00213F98"/>
    <w:rsid w:val="0021730A"/>
    <w:rsid w:val="002220C1"/>
    <w:rsid w:val="00223C9B"/>
    <w:rsid w:val="00226DE7"/>
    <w:rsid w:val="00237843"/>
    <w:rsid w:val="00245594"/>
    <w:rsid w:val="00250710"/>
    <w:rsid w:val="00250B65"/>
    <w:rsid w:val="00254A05"/>
    <w:rsid w:val="00254D29"/>
    <w:rsid w:val="002603AA"/>
    <w:rsid w:val="0026130D"/>
    <w:rsid w:val="00270624"/>
    <w:rsid w:val="002713DA"/>
    <w:rsid w:val="00275045"/>
    <w:rsid w:val="00277403"/>
    <w:rsid w:val="002857B3"/>
    <w:rsid w:val="00285E04"/>
    <w:rsid w:val="00292FD9"/>
    <w:rsid w:val="00295178"/>
    <w:rsid w:val="00297998"/>
    <w:rsid w:val="002A262E"/>
    <w:rsid w:val="002A733A"/>
    <w:rsid w:val="002B2B54"/>
    <w:rsid w:val="002B4732"/>
    <w:rsid w:val="002C79A6"/>
    <w:rsid w:val="002D095A"/>
    <w:rsid w:val="002E1E8F"/>
    <w:rsid w:val="002F268D"/>
    <w:rsid w:val="002F5D62"/>
    <w:rsid w:val="002F77A7"/>
    <w:rsid w:val="003000ED"/>
    <w:rsid w:val="00302A71"/>
    <w:rsid w:val="003124BF"/>
    <w:rsid w:val="00320410"/>
    <w:rsid w:val="003216E0"/>
    <w:rsid w:val="00333267"/>
    <w:rsid w:val="003448C2"/>
    <w:rsid w:val="00345E00"/>
    <w:rsid w:val="00347404"/>
    <w:rsid w:val="00347D42"/>
    <w:rsid w:val="00362E10"/>
    <w:rsid w:val="00365499"/>
    <w:rsid w:val="00366C45"/>
    <w:rsid w:val="00372EEA"/>
    <w:rsid w:val="00384029"/>
    <w:rsid w:val="0038765D"/>
    <w:rsid w:val="003879AD"/>
    <w:rsid w:val="00390543"/>
    <w:rsid w:val="00393C8D"/>
    <w:rsid w:val="00396190"/>
    <w:rsid w:val="003A0A83"/>
    <w:rsid w:val="003A0C5B"/>
    <w:rsid w:val="003A51AE"/>
    <w:rsid w:val="003B1B37"/>
    <w:rsid w:val="003B38A7"/>
    <w:rsid w:val="003B3DB5"/>
    <w:rsid w:val="003B3F78"/>
    <w:rsid w:val="003B4548"/>
    <w:rsid w:val="003C2E8F"/>
    <w:rsid w:val="003C32AC"/>
    <w:rsid w:val="003C63A6"/>
    <w:rsid w:val="003C7F66"/>
    <w:rsid w:val="003D0CB5"/>
    <w:rsid w:val="003D27FC"/>
    <w:rsid w:val="003D7BCD"/>
    <w:rsid w:val="003E0D3A"/>
    <w:rsid w:val="003E2902"/>
    <w:rsid w:val="003E43E3"/>
    <w:rsid w:val="003F02AE"/>
    <w:rsid w:val="003F2EA4"/>
    <w:rsid w:val="003F38B1"/>
    <w:rsid w:val="003F3E2C"/>
    <w:rsid w:val="003F6F22"/>
    <w:rsid w:val="00402DAC"/>
    <w:rsid w:val="00403226"/>
    <w:rsid w:val="00412FED"/>
    <w:rsid w:val="004140C3"/>
    <w:rsid w:val="0041426E"/>
    <w:rsid w:val="00420F2D"/>
    <w:rsid w:val="0042221A"/>
    <w:rsid w:val="00425155"/>
    <w:rsid w:val="00426C65"/>
    <w:rsid w:val="004341F6"/>
    <w:rsid w:val="004351D9"/>
    <w:rsid w:val="00440750"/>
    <w:rsid w:val="00442823"/>
    <w:rsid w:val="00446CD6"/>
    <w:rsid w:val="004516E4"/>
    <w:rsid w:val="0045483E"/>
    <w:rsid w:val="00460499"/>
    <w:rsid w:val="004637C2"/>
    <w:rsid w:val="00465DC4"/>
    <w:rsid w:val="004661B2"/>
    <w:rsid w:val="004677F2"/>
    <w:rsid w:val="004739CC"/>
    <w:rsid w:val="0048013C"/>
    <w:rsid w:val="00481BAD"/>
    <w:rsid w:val="004838DC"/>
    <w:rsid w:val="00485E4F"/>
    <w:rsid w:val="004959E4"/>
    <w:rsid w:val="00496012"/>
    <w:rsid w:val="0049745C"/>
    <w:rsid w:val="004A1193"/>
    <w:rsid w:val="004A1A92"/>
    <w:rsid w:val="004A1D8B"/>
    <w:rsid w:val="004B7249"/>
    <w:rsid w:val="004C3117"/>
    <w:rsid w:val="004C452B"/>
    <w:rsid w:val="004C5563"/>
    <w:rsid w:val="004C685C"/>
    <w:rsid w:val="004E0B83"/>
    <w:rsid w:val="004E3769"/>
    <w:rsid w:val="004E4BAC"/>
    <w:rsid w:val="004F58CD"/>
    <w:rsid w:val="004F7FA1"/>
    <w:rsid w:val="005018C5"/>
    <w:rsid w:val="00502E90"/>
    <w:rsid w:val="00513444"/>
    <w:rsid w:val="00516D31"/>
    <w:rsid w:val="005227FD"/>
    <w:rsid w:val="00527BD0"/>
    <w:rsid w:val="00541F1E"/>
    <w:rsid w:val="005448AD"/>
    <w:rsid w:val="00547764"/>
    <w:rsid w:val="00550997"/>
    <w:rsid w:val="00552A48"/>
    <w:rsid w:val="005554DD"/>
    <w:rsid w:val="00555AEE"/>
    <w:rsid w:val="0055604D"/>
    <w:rsid w:val="0055608C"/>
    <w:rsid w:val="00556B65"/>
    <w:rsid w:val="0056074F"/>
    <w:rsid w:val="00566384"/>
    <w:rsid w:val="005670E2"/>
    <w:rsid w:val="005756BA"/>
    <w:rsid w:val="00575A00"/>
    <w:rsid w:val="00575F8E"/>
    <w:rsid w:val="00576FB5"/>
    <w:rsid w:val="00581418"/>
    <w:rsid w:val="00581FD9"/>
    <w:rsid w:val="00584C97"/>
    <w:rsid w:val="005924E4"/>
    <w:rsid w:val="005B1B64"/>
    <w:rsid w:val="005B7018"/>
    <w:rsid w:val="005C11FC"/>
    <w:rsid w:val="005C25FD"/>
    <w:rsid w:val="005C2DCD"/>
    <w:rsid w:val="005C40B8"/>
    <w:rsid w:val="005C607E"/>
    <w:rsid w:val="005C733A"/>
    <w:rsid w:val="005C7BCD"/>
    <w:rsid w:val="005D3672"/>
    <w:rsid w:val="005D49FC"/>
    <w:rsid w:val="005D4CFE"/>
    <w:rsid w:val="005D523F"/>
    <w:rsid w:val="005D573C"/>
    <w:rsid w:val="005E4A02"/>
    <w:rsid w:val="005E635E"/>
    <w:rsid w:val="005E65E0"/>
    <w:rsid w:val="005F2452"/>
    <w:rsid w:val="005F3121"/>
    <w:rsid w:val="005F4628"/>
    <w:rsid w:val="005F65DA"/>
    <w:rsid w:val="00600249"/>
    <w:rsid w:val="006072BB"/>
    <w:rsid w:val="006116A2"/>
    <w:rsid w:val="00613AD2"/>
    <w:rsid w:val="00613B5F"/>
    <w:rsid w:val="0062157E"/>
    <w:rsid w:val="006279B9"/>
    <w:rsid w:val="006314BF"/>
    <w:rsid w:val="006322A6"/>
    <w:rsid w:val="00633CA8"/>
    <w:rsid w:val="00635E1A"/>
    <w:rsid w:val="00635F97"/>
    <w:rsid w:val="00636D14"/>
    <w:rsid w:val="00640136"/>
    <w:rsid w:val="0064074B"/>
    <w:rsid w:val="00642EAC"/>
    <w:rsid w:val="006546F2"/>
    <w:rsid w:val="0065798A"/>
    <w:rsid w:val="006632A2"/>
    <w:rsid w:val="00670DFC"/>
    <w:rsid w:val="00677B54"/>
    <w:rsid w:val="006842DF"/>
    <w:rsid w:val="00684C44"/>
    <w:rsid w:val="0069059A"/>
    <w:rsid w:val="00695A48"/>
    <w:rsid w:val="0069767F"/>
    <w:rsid w:val="006B055E"/>
    <w:rsid w:val="006B10BC"/>
    <w:rsid w:val="006B2032"/>
    <w:rsid w:val="006B4A36"/>
    <w:rsid w:val="006B64FA"/>
    <w:rsid w:val="006C0723"/>
    <w:rsid w:val="006C3144"/>
    <w:rsid w:val="006C773C"/>
    <w:rsid w:val="006C78CF"/>
    <w:rsid w:val="006D4E40"/>
    <w:rsid w:val="006D5B4F"/>
    <w:rsid w:val="006E25A2"/>
    <w:rsid w:val="006F5C69"/>
    <w:rsid w:val="0070077B"/>
    <w:rsid w:val="00704159"/>
    <w:rsid w:val="00704A46"/>
    <w:rsid w:val="007051C1"/>
    <w:rsid w:val="0071015B"/>
    <w:rsid w:val="00714EA7"/>
    <w:rsid w:val="007321E4"/>
    <w:rsid w:val="00741475"/>
    <w:rsid w:val="00750929"/>
    <w:rsid w:val="00764EE8"/>
    <w:rsid w:val="00770446"/>
    <w:rsid w:val="00772A58"/>
    <w:rsid w:val="00784140"/>
    <w:rsid w:val="00790088"/>
    <w:rsid w:val="007964D3"/>
    <w:rsid w:val="007A034B"/>
    <w:rsid w:val="007B34BB"/>
    <w:rsid w:val="007C1487"/>
    <w:rsid w:val="007C2CCC"/>
    <w:rsid w:val="007D06A8"/>
    <w:rsid w:val="007D0A2A"/>
    <w:rsid w:val="007E2E8E"/>
    <w:rsid w:val="007E538A"/>
    <w:rsid w:val="007E747C"/>
    <w:rsid w:val="007E750F"/>
    <w:rsid w:val="007F14E4"/>
    <w:rsid w:val="007F1855"/>
    <w:rsid w:val="007F18A5"/>
    <w:rsid w:val="007F2641"/>
    <w:rsid w:val="007F315A"/>
    <w:rsid w:val="007F5AA0"/>
    <w:rsid w:val="007F5AC9"/>
    <w:rsid w:val="007F774A"/>
    <w:rsid w:val="007F7C22"/>
    <w:rsid w:val="00803A2B"/>
    <w:rsid w:val="00803A51"/>
    <w:rsid w:val="008058AF"/>
    <w:rsid w:val="00813E5D"/>
    <w:rsid w:val="00814972"/>
    <w:rsid w:val="00816C5D"/>
    <w:rsid w:val="00826C0C"/>
    <w:rsid w:val="0084554F"/>
    <w:rsid w:val="0085543B"/>
    <w:rsid w:val="00867BCB"/>
    <w:rsid w:val="0087441A"/>
    <w:rsid w:val="00876A74"/>
    <w:rsid w:val="0087734F"/>
    <w:rsid w:val="00883A89"/>
    <w:rsid w:val="00884F68"/>
    <w:rsid w:val="00885A02"/>
    <w:rsid w:val="00885F37"/>
    <w:rsid w:val="00885FE6"/>
    <w:rsid w:val="00890F06"/>
    <w:rsid w:val="00892555"/>
    <w:rsid w:val="008A07F8"/>
    <w:rsid w:val="008A12DD"/>
    <w:rsid w:val="008A48D8"/>
    <w:rsid w:val="008D099E"/>
    <w:rsid w:val="008D1178"/>
    <w:rsid w:val="008D1E72"/>
    <w:rsid w:val="008D297F"/>
    <w:rsid w:val="008D2B28"/>
    <w:rsid w:val="008D32DE"/>
    <w:rsid w:val="008D34E5"/>
    <w:rsid w:val="008E1F6C"/>
    <w:rsid w:val="008E20CD"/>
    <w:rsid w:val="008E2687"/>
    <w:rsid w:val="008E37AC"/>
    <w:rsid w:val="008E5564"/>
    <w:rsid w:val="008E5B7A"/>
    <w:rsid w:val="008F249C"/>
    <w:rsid w:val="008F2B3F"/>
    <w:rsid w:val="008F4A8F"/>
    <w:rsid w:val="008F6E80"/>
    <w:rsid w:val="008F7CA4"/>
    <w:rsid w:val="00900E6A"/>
    <w:rsid w:val="00902178"/>
    <w:rsid w:val="0090586B"/>
    <w:rsid w:val="00905EDA"/>
    <w:rsid w:val="009171FB"/>
    <w:rsid w:val="00923EDE"/>
    <w:rsid w:val="009273A9"/>
    <w:rsid w:val="00931809"/>
    <w:rsid w:val="00931C17"/>
    <w:rsid w:val="00936C49"/>
    <w:rsid w:val="00941DBB"/>
    <w:rsid w:val="00944572"/>
    <w:rsid w:val="00946992"/>
    <w:rsid w:val="0094701F"/>
    <w:rsid w:val="00953227"/>
    <w:rsid w:val="009662A6"/>
    <w:rsid w:val="009740DF"/>
    <w:rsid w:val="009774E1"/>
    <w:rsid w:val="00986FDC"/>
    <w:rsid w:val="0098743F"/>
    <w:rsid w:val="0098744A"/>
    <w:rsid w:val="00987F43"/>
    <w:rsid w:val="00990745"/>
    <w:rsid w:val="00994CC8"/>
    <w:rsid w:val="00997019"/>
    <w:rsid w:val="009A36AB"/>
    <w:rsid w:val="009A3A1B"/>
    <w:rsid w:val="009A5F69"/>
    <w:rsid w:val="009A70BD"/>
    <w:rsid w:val="009B2F82"/>
    <w:rsid w:val="009B310E"/>
    <w:rsid w:val="009B5152"/>
    <w:rsid w:val="009C4507"/>
    <w:rsid w:val="009C6579"/>
    <w:rsid w:val="009D4D56"/>
    <w:rsid w:val="009E428A"/>
    <w:rsid w:val="009F1E61"/>
    <w:rsid w:val="009F4690"/>
    <w:rsid w:val="00A01BF6"/>
    <w:rsid w:val="00A04132"/>
    <w:rsid w:val="00A04C9D"/>
    <w:rsid w:val="00A05D3C"/>
    <w:rsid w:val="00A10463"/>
    <w:rsid w:val="00A10D02"/>
    <w:rsid w:val="00A155F7"/>
    <w:rsid w:val="00A20495"/>
    <w:rsid w:val="00A237C2"/>
    <w:rsid w:val="00A2757B"/>
    <w:rsid w:val="00A27ED3"/>
    <w:rsid w:val="00A30936"/>
    <w:rsid w:val="00A413A6"/>
    <w:rsid w:val="00A4180E"/>
    <w:rsid w:val="00A429CD"/>
    <w:rsid w:val="00A431E4"/>
    <w:rsid w:val="00A44A5E"/>
    <w:rsid w:val="00A4536C"/>
    <w:rsid w:val="00A52B92"/>
    <w:rsid w:val="00A55206"/>
    <w:rsid w:val="00A6193E"/>
    <w:rsid w:val="00A61D97"/>
    <w:rsid w:val="00A72775"/>
    <w:rsid w:val="00A766B0"/>
    <w:rsid w:val="00A77046"/>
    <w:rsid w:val="00A82127"/>
    <w:rsid w:val="00A850AC"/>
    <w:rsid w:val="00A90E41"/>
    <w:rsid w:val="00A96860"/>
    <w:rsid w:val="00A96C28"/>
    <w:rsid w:val="00A970B8"/>
    <w:rsid w:val="00AA31AD"/>
    <w:rsid w:val="00AA4459"/>
    <w:rsid w:val="00AB297E"/>
    <w:rsid w:val="00AB3ABC"/>
    <w:rsid w:val="00AB456E"/>
    <w:rsid w:val="00AC4735"/>
    <w:rsid w:val="00AC4F4E"/>
    <w:rsid w:val="00AC66A0"/>
    <w:rsid w:val="00AC72CA"/>
    <w:rsid w:val="00AD35CA"/>
    <w:rsid w:val="00AD3EBC"/>
    <w:rsid w:val="00AD4A3F"/>
    <w:rsid w:val="00AD4E7A"/>
    <w:rsid w:val="00AD4F8C"/>
    <w:rsid w:val="00AD58F8"/>
    <w:rsid w:val="00AD774F"/>
    <w:rsid w:val="00AE31F6"/>
    <w:rsid w:val="00AE6103"/>
    <w:rsid w:val="00AE6C93"/>
    <w:rsid w:val="00AE6ECE"/>
    <w:rsid w:val="00AF3219"/>
    <w:rsid w:val="00AF702F"/>
    <w:rsid w:val="00B00BE9"/>
    <w:rsid w:val="00B01281"/>
    <w:rsid w:val="00B0248F"/>
    <w:rsid w:val="00B148A2"/>
    <w:rsid w:val="00B21B84"/>
    <w:rsid w:val="00B243CE"/>
    <w:rsid w:val="00B34597"/>
    <w:rsid w:val="00B34B5B"/>
    <w:rsid w:val="00B35BD1"/>
    <w:rsid w:val="00B36EE6"/>
    <w:rsid w:val="00B44FB2"/>
    <w:rsid w:val="00B45EAC"/>
    <w:rsid w:val="00B469D9"/>
    <w:rsid w:val="00B47161"/>
    <w:rsid w:val="00B47A77"/>
    <w:rsid w:val="00B501EA"/>
    <w:rsid w:val="00B51D6E"/>
    <w:rsid w:val="00B520BD"/>
    <w:rsid w:val="00B564A7"/>
    <w:rsid w:val="00B56F14"/>
    <w:rsid w:val="00B62691"/>
    <w:rsid w:val="00B63443"/>
    <w:rsid w:val="00B73DD6"/>
    <w:rsid w:val="00B748CA"/>
    <w:rsid w:val="00B7611C"/>
    <w:rsid w:val="00B82712"/>
    <w:rsid w:val="00BA2294"/>
    <w:rsid w:val="00BA6F8B"/>
    <w:rsid w:val="00BA7264"/>
    <w:rsid w:val="00BA7453"/>
    <w:rsid w:val="00BB1D83"/>
    <w:rsid w:val="00BB1ECE"/>
    <w:rsid w:val="00BB241E"/>
    <w:rsid w:val="00BB42F7"/>
    <w:rsid w:val="00BB5E97"/>
    <w:rsid w:val="00BB6AEE"/>
    <w:rsid w:val="00BC22DA"/>
    <w:rsid w:val="00BC4FA4"/>
    <w:rsid w:val="00BC51C9"/>
    <w:rsid w:val="00BD03EB"/>
    <w:rsid w:val="00BE0470"/>
    <w:rsid w:val="00BE5BBE"/>
    <w:rsid w:val="00BE6623"/>
    <w:rsid w:val="00BE6DFA"/>
    <w:rsid w:val="00BF007F"/>
    <w:rsid w:val="00BF05AE"/>
    <w:rsid w:val="00BF2574"/>
    <w:rsid w:val="00BF4409"/>
    <w:rsid w:val="00BF5725"/>
    <w:rsid w:val="00C02C78"/>
    <w:rsid w:val="00C041B7"/>
    <w:rsid w:val="00C0492C"/>
    <w:rsid w:val="00C05838"/>
    <w:rsid w:val="00C120AC"/>
    <w:rsid w:val="00C134B8"/>
    <w:rsid w:val="00C160E3"/>
    <w:rsid w:val="00C16AB5"/>
    <w:rsid w:val="00C17F58"/>
    <w:rsid w:val="00C20842"/>
    <w:rsid w:val="00C22F9A"/>
    <w:rsid w:val="00C2410B"/>
    <w:rsid w:val="00C25539"/>
    <w:rsid w:val="00C2639B"/>
    <w:rsid w:val="00C325C2"/>
    <w:rsid w:val="00C4718F"/>
    <w:rsid w:val="00C52F15"/>
    <w:rsid w:val="00C53FF8"/>
    <w:rsid w:val="00C54B46"/>
    <w:rsid w:val="00C638B0"/>
    <w:rsid w:val="00C65295"/>
    <w:rsid w:val="00C66946"/>
    <w:rsid w:val="00C76E6E"/>
    <w:rsid w:val="00C7719A"/>
    <w:rsid w:val="00C81E6D"/>
    <w:rsid w:val="00C82968"/>
    <w:rsid w:val="00C9111A"/>
    <w:rsid w:val="00C9148F"/>
    <w:rsid w:val="00C951E9"/>
    <w:rsid w:val="00C97087"/>
    <w:rsid w:val="00CA7336"/>
    <w:rsid w:val="00CB65B9"/>
    <w:rsid w:val="00CB6B44"/>
    <w:rsid w:val="00CC0E8E"/>
    <w:rsid w:val="00CC7443"/>
    <w:rsid w:val="00CD16BC"/>
    <w:rsid w:val="00CE0F75"/>
    <w:rsid w:val="00CE15C2"/>
    <w:rsid w:val="00CE573F"/>
    <w:rsid w:val="00CE5F88"/>
    <w:rsid w:val="00CE7DDE"/>
    <w:rsid w:val="00CF06D6"/>
    <w:rsid w:val="00CF0862"/>
    <w:rsid w:val="00CF2730"/>
    <w:rsid w:val="00CF77F2"/>
    <w:rsid w:val="00D01EB5"/>
    <w:rsid w:val="00D20DC8"/>
    <w:rsid w:val="00D249CE"/>
    <w:rsid w:val="00D24A23"/>
    <w:rsid w:val="00D31C69"/>
    <w:rsid w:val="00D3246B"/>
    <w:rsid w:val="00D33D22"/>
    <w:rsid w:val="00D34A65"/>
    <w:rsid w:val="00D356B5"/>
    <w:rsid w:val="00D411F2"/>
    <w:rsid w:val="00D459A0"/>
    <w:rsid w:val="00D519BD"/>
    <w:rsid w:val="00D52014"/>
    <w:rsid w:val="00D52104"/>
    <w:rsid w:val="00D55020"/>
    <w:rsid w:val="00D602FB"/>
    <w:rsid w:val="00D60B11"/>
    <w:rsid w:val="00D67C9C"/>
    <w:rsid w:val="00D70A03"/>
    <w:rsid w:val="00D77C54"/>
    <w:rsid w:val="00D805C9"/>
    <w:rsid w:val="00D809AB"/>
    <w:rsid w:val="00D81F13"/>
    <w:rsid w:val="00D82B62"/>
    <w:rsid w:val="00D8435D"/>
    <w:rsid w:val="00D86D7B"/>
    <w:rsid w:val="00D87717"/>
    <w:rsid w:val="00D902DE"/>
    <w:rsid w:val="00D93C09"/>
    <w:rsid w:val="00D95734"/>
    <w:rsid w:val="00DA1BFC"/>
    <w:rsid w:val="00DA2463"/>
    <w:rsid w:val="00DA4744"/>
    <w:rsid w:val="00DA5603"/>
    <w:rsid w:val="00DB10A5"/>
    <w:rsid w:val="00DB41F3"/>
    <w:rsid w:val="00DB62FF"/>
    <w:rsid w:val="00DD02A2"/>
    <w:rsid w:val="00DD084B"/>
    <w:rsid w:val="00DD66BF"/>
    <w:rsid w:val="00DD6BCF"/>
    <w:rsid w:val="00DD7FED"/>
    <w:rsid w:val="00DE5EED"/>
    <w:rsid w:val="00DE76CC"/>
    <w:rsid w:val="00DF5B18"/>
    <w:rsid w:val="00E01590"/>
    <w:rsid w:val="00E031BD"/>
    <w:rsid w:val="00E0524F"/>
    <w:rsid w:val="00E06359"/>
    <w:rsid w:val="00E13885"/>
    <w:rsid w:val="00E20E50"/>
    <w:rsid w:val="00E42883"/>
    <w:rsid w:val="00E4425F"/>
    <w:rsid w:val="00E56B75"/>
    <w:rsid w:val="00E61757"/>
    <w:rsid w:val="00E75F4B"/>
    <w:rsid w:val="00E8083E"/>
    <w:rsid w:val="00E81A53"/>
    <w:rsid w:val="00E83E68"/>
    <w:rsid w:val="00E956E4"/>
    <w:rsid w:val="00E96DA4"/>
    <w:rsid w:val="00EA6FE2"/>
    <w:rsid w:val="00EB5386"/>
    <w:rsid w:val="00EB555E"/>
    <w:rsid w:val="00EB721C"/>
    <w:rsid w:val="00EC0989"/>
    <w:rsid w:val="00EC2968"/>
    <w:rsid w:val="00EC345C"/>
    <w:rsid w:val="00EC6487"/>
    <w:rsid w:val="00ED09DF"/>
    <w:rsid w:val="00ED617D"/>
    <w:rsid w:val="00ED7A9A"/>
    <w:rsid w:val="00EE01BA"/>
    <w:rsid w:val="00EE0AF6"/>
    <w:rsid w:val="00EE68FA"/>
    <w:rsid w:val="00EF0275"/>
    <w:rsid w:val="00EF29D6"/>
    <w:rsid w:val="00EF4FF0"/>
    <w:rsid w:val="00EF5411"/>
    <w:rsid w:val="00F05317"/>
    <w:rsid w:val="00F054E3"/>
    <w:rsid w:val="00F05EBD"/>
    <w:rsid w:val="00F12BEA"/>
    <w:rsid w:val="00F1365F"/>
    <w:rsid w:val="00F161CB"/>
    <w:rsid w:val="00F16439"/>
    <w:rsid w:val="00F16FF4"/>
    <w:rsid w:val="00F17E94"/>
    <w:rsid w:val="00F3061C"/>
    <w:rsid w:val="00F31388"/>
    <w:rsid w:val="00F319E3"/>
    <w:rsid w:val="00F37A42"/>
    <w:rsid w:val="00F4356E"/>
    <w:rsid w:val="00F43AD2"/>
    <w:rsid w:val="00F44C10"/>
    <w:rsid w:val="00F501B1"/>
    <w:rsid w:val="00F51127"/>
    <w:rsid w:val="00F5200B"/>
    <w:rsid w:val="00F53C9C"/>
    <w:rsid w:val="00F61503"/>
    <w:rsid w:val="00F64DEA"/>
    <w:rsid w:val="00F674D3"/>
    <w:rsid w:val="00F67C2D"/>
    <w:rsid w:val="00F7590E"/>
    <w:rsid w:val="00F80DF9"/>
    <w:rsid w:val="00F83A67"/>
    <w:rsid w:val="00F94824"/>
    <w:rsid w:val="00F950B7"/>
    <w:rsid w:val="00F95A7E"/>
    <w:rsid w:val="00F95F16"/>
    <w:rsid w:val="00FA068A"/>
    <w:rsid w:val="00FA27B3"/>
    <w:rsid w:val="00FA44CE"/>
    <w:rsid w:val="00FA6AF5"/>
    <w:rsid w:val="00FB45B2"/>
    <w:rsid w:val="00FB5ACC"/>
    <w:rsid w:val="00FB6E1A"/>
    <w:rsid w:val="00FC15F9"/>
    <w:rsid w:val="00FC6CD4"/>
    <w:rsid w:val="00FC7FD4"/>
    <w:rsid w:val="00FD535E"/>
    <w:rsid w:val="00FD57C2"/>
    <w:rsid w:val="00FE036D"/>
    <w:rsid w:val="00FE0F08"/>
    <w:rsid w:val="00FE7976"/>
    <w:rsid w:val="00FF2C4E"/>
    <w:rsid w:val="00FF52C7"/>
    <w:rsid w:val="00FF75E6"/>
    <w:rsid w:val="01007E42"/>
    <w:rsid w:val="01057174"/>
    <w:rsid w:val="01275D20"/>
    <w:rsid w:val="013F16F5"/>
    <w:rsid w:val="01767D1A"/>
    <w:rsid w:val="017734C4"/>
    <w:rsid w:val="01864D83"/>
    <w:rsid w:val="019A5532"/>
    <w:rsid w:val="01F376F8"/>
    <w:rsid w:val="024846A8"/>
    <w:rsid w:val="029E7AD0"/>
    <w:rsid w:val="02A16E70"/>
    <w:rsid w:val="02F46132"/>
    <w:rsid w:val="02F545EC"/>
    <w:rsid w:val="02FA30D3"/>
    <w:rsid w:val="03090322"/>
    <w:rsid w:val="03117439"/>
    <w:rsid w:val="032759B1"/>
    <w:rsid w:val="035A30C0"/>
    <w:rsid w:val="036F159C"/>
    <w:rsid w:val="03A07AD7"/>
    <w:rsid w:val="03EC73DD"/>
    <w:rsid w:val="04932CE9"/>
    <w:rsid w:val="049D565A"/>
    <w:rsid w:val="04AC72EC"/>
    <w:rsid w:val="05190704"/>
    <w:rsid w:val="057B7AFF"/>
    <w:rsid w:val="057E353D"/>
    <w:rsid w:val="0580226C"/>
    <w:rsid w:val="059B2E14"/>
    <w:rsid w:val="05A131E3"/>
    <w:rsid w:val="05AA531D"/>
    <w:rsid w:val="05C02ABE"/>
    <w:rsid w:val="05CD3179"/>
    <w:rsid w:val="05D067D9"/>
    <w:rsid w:val="05D610DF"/>
    <w:rsid w:val="05FE190F"/>
    <w:rsid w:val="06306B73"/>
    <w:rsid w:val="06750C66"/>
    <w:rsid w:val="067A57A2"/>
    <w:rsid w:val="06A74829"/>
    <w:rsid w:val="06DB7470"/>
    <w:rsid w:val="06EF58D3"/>
    <w:rsid w:val="06F16A01"/>
    <w:rsid w:val="07026F93"/>
    <w:rsid w:val="07116147"/>
    <w:rsid w:val="07204668"/>
    <w:rsid w:val="075E76FE"/>
    <w:rsid w:val="077D7F4A"/>
    <w:rsid w:val="079B0BC0"/>
    <w:rsid w:val="07A1396F"/>
    <w:rsid w:val="07B34DB3"/>
    <w:rsid w:val="0855720F"/>
    <w:rsid w:val="085B4F44"/>
    <w:rsid w:val="088D5F5C"/>
    <w:rsid w:val="08A26242"/>
    <w:rsid w:val="08A542B8"/>
    <w:rsid w:val="08EB0B10"/>
    <w:rsid w:val="09100E8B"/>
    <w:rsid w:val="091A235E"/>
    <w:rsid w:val="0941245A"/>
    <w:rsid w:val="09450F4B"/>
    <w:rsid w:val="094C565A"/>
    <w:rsid w:val="096D5AA7"/>
    <w:rsid w:val="0997077C"/>
    <w:rsid w:val="09BC7504"/>
    <w:rsid w:val="09FD11BF"/>
    <w:rsid w:val="0A13499B"/>
    <w:rsid w:val="0A23066B"/>
    <w:rsid w:val="0A260FC3"/>
    <w:rsid w:val="0A2B6A3F"/>
    <w:rsid w:val="0A643AC5"/>
    <w:rsid w:val="0AB823C4"/>
    <w:rsid w:val="0AC44C9B"/>
    <w:rsid w:val="0ACA4546"/>
    <w:rsid w:val="0AF140D5"/>
    <w:rsid w:val="0B14682F"/>
    <w:rsid w:val="0B1F326B"/>
    <w:rsid w:val="0B5166AE"/>
    <w:rsid w:val="0B781B89"/>
    <w:rsid w:val="0B825441"/>
    <w:rsid w:val="0BA525D8"/>
    <w:rsid w:val="0BD50CE3"/>
    <w:rsid w:val="0BD845F9"/>
    <w:rsid w:val="0BF55B92"/>
    <w:rsid w:val="0C063434"/>
    <w:rsid w:val="0C1A0E75"/>
    <w:rsid w:val="0C2F6006"/>
    <w:rsid w:val="0C421F98"/>
    <w:rsid w:val="0C426CB3"/>
    <w:rsid w:val="0C450D6C"/>
    <w:rsid w:val="0C5056AF"/>
    <w:rsid w:val="0C5B37C6"/>
    <w:rsid w:val="0C602928"/>
    <w:rsid w:val="0C8352C9"/>
    <w:rsid w:val="0C88726E"/>
    <w:rsid w:val="0C9E222B"/>
    <w:rsid w:val="0CBD3697"/>
    <w:rsid w:val="0CCB7B51"/>
    <w:rsid w:val="0CE866DD"/>
    <w:rsid w:val="0D416E49"/>
    <w:rsid w:val="0D5B2BA8"/>
    <w:rsid w:val="0D7652C0"/>
    <w:rsid w:val="0D8F1B47"/>
    <w:rsid w:val="0DA0360B"/>
    <w:rsid w:val="0DA47700"/>
    <w:rsid w:val="0DB55C17"/>
    <w:rsid w:val="0DC134A7"/>
    <w:rsid w:val="0DCF37BE"/>
    <w:rsid w:val="0E246E30"/>
    <w:rsid w:val="0E4D03C4"/>
    <w:rsid w:val="0E512BF8"/>
    <w:rsid w:val="0E561427"/>
    <w:rsid w:val="0E5E57C3"/>
    <w:rsid w:val="0E6A54A7"/>
    <w:rsid w:val="0EF37672"/>
    <w:rsid w:val="0EF46240"/>
    <w:rsid w:val="0EF947EA"/>
    <w:rsid w:val="0F1964F3"/>
    <w:rsid w:val="0F2F360E"/>
    <w:rsid w:val="0F465E03"/>
    <w:rsid w:val="0F5002B6"/>
    <w:rsid w:val="0F5C1D51"/>
    <w:rsid w:val="0F620FFF"/>
    <w:rsid w:val="0F681E22"/>
    <w:rsid w:val="0F6C20F8"/>
    <w:rsid w:val="0F7658A1"/>
    <w:rsid w:val="0F9262E5"/>
    <w:rsid w:val="0FCD3553"/>
    <w:rsid w:val="0FEE60A0"/>
    <w:rsid w:val="0FF860F6"/>
    <w:rsid w:val="1000028B"/>
    <w:rsid w:val="100B5B75"/>
    <w:rsid w:val="10390CED"/>
    <w:rsid w:val="10797991"/>
    <w:rsid w:val="108D7FEC"/>
    <w:rsid w:val="10C34A85"/>
    <w:rsid w:val="10D57172"/>
    <w:rsid w:val="10EB0A61"/>
    <w:rsid w:val="10F96CD3"/>
    <w:rsid w:val="110662B7"/>
    <w:rsid w:val="110D477C"/>
    <w:rsid w:val="111125C9"/>
    <w:rsid w:val="11230728"/>
    <w:rsid w:val="113C67AC"/>
    <w:rsid w:val="114317C8"/>
    <w:rsid w:val="11504EEC"/>
    <w:rsid w:val="117E3EBF"/>
    <w:rsid w:val="11921F79"/>
    <w:rsid w:val="119D5F23"/>
    <w:rsid w:val="11A63895"/>
    <w:rsid w:val="11AA0E33"/>
    <w:rsid w:val="11B12A00"/>
    <w:rsid w:val="11D465DE"/>
    <w:rsid w:val="11DB026D"/>
    <w:rsid w:val="11DB4324"/>
    <w:rsid w:val="11DC799E"/>
    <w:rsid w:val="11F35E10"/>
    <w:rsid w:val="12093523"/>
    <w:rsid w:val="12162F10"/>
    <w:rsid w:val="121E003E"/>
    <w:rsid w:val="121F7D7A"/>
    <w:rsid w:val="123238F4"/>
    <w:rsid w:val="124E6914"/>
    <w:rsid w:val="128276A4"/>
    <w:rsid w:val="12871737"/>
    <w:rsid w:val="12942106"/>
    <w:rsid w:val="129D3C57"/>
    <w:rsid w:val="12B45137"/>
    <w:rsid w:val="12D84CD4"/>
    <w:rsid w:val="12F51579"/>
    <w:rsid w:val="12FD7CCA"/>
    <w:rsid w:val="13042B7A"/>
    <w:rsid w:val="13167841"/>
    <w:rsid w:val="131909C4"/>
    <w:rsid w:val="131F2662"/>
    <w:rsid w:val="133777E1"/>
    <w:rsid w:val="137139DD"/>
    <w:rsid w:val="13B47F15"/>
    <w:rsid w:val="13C139AF"/>
    <w:rsid w:val="13E01C4A"/>
    <w:rsid w:val="14011AE1"/>
    <w:rsid w:val="14025F31"/>
    <w:rsid w:val="142A2211"/>
    <w:rsid w:val="14333776"/>
    <w:rsid w:val="144E16AB"/>
    <w:rsid w:val="144F6715"/>
    <w:rsid w:val="1452722B"/>
    <w:rsid w:val="147A16BB"/>
    <w:rsid w:val="149C206F"/>
    <w:rsid w:val="14AA5797"/>
    <w:rsid w:val="154D743D"/>
    <w:rsid w:val="15503878"/>
    <w:rsid w:val="15667555"/>
    <w:rsid w:val="158D492B"/>
    <w:rsid w:val="15A97268"/>
    <w:rsid w:val="15BE15C5"/>
    <w:rsid w:val="15CF1DD7"/>
    <w:rsid w:val="15E211F7"/>
    <w:rsid w:val="15E224A7"/>
    <w:rsid w:val="15E64719"/>
    <w:rsid w:val="15EB05A9"/>
    <w:rsid w:val="160C07B5"/>
    <w:rsid w:val="16133BFA"/>
    <w:rsid w:val="16150220"/>
    <w:rsid w:val="1632723D"/>
    <w:rsid w:val="16397A1B"/>
    <w:rsid w:val="164342FA"/>
    <w:rsid w:val="165351E7"/>
    <w:rsid w:val="165770B0"/>
    <w:rsid w:val="16925150"/>
    <w:rsid w:val="16A22BEB"/>
    <w:rsid w:val="16BE3C64"/>
    <w:rsid w:val="16CB645F"/>
    <w:rsid w:val="16E11B7C"/>
    <w:rsid w:val="171820A2"/>
    <w:rsid w:val="171877C6"/>
    <w:rsid w:val="17571001"/>
    <w:rsid w:val="17647109"/>
    <w:rsid w:val="17707BBF"/>
    <w:rsid w:val="177572AC"/>
    <w:rsid w:val="17776970"/>
    <w:rsid w:val="179E6119"/>
    <w:rsid w:val="17BA1FA3"/>
    <w:rsid w:val="17CB05D4"/>
    <w:rsid w:val="17CF624F"/>
    <w:rsid w:val="181270D8"/>
    <w:rsid w:val="182705E1"/>
    <w:rsid w:val="183A7AB3"/>
    <w:rsid w:val="18402742"/>
    <w:rsid w:val="185C4B83"/>
    <w:rsid w:val="187F524A"/>
    <w:rsid w:val="18815897"/>
    <w:rsid w:val="18C80336"/>
    <w:rsid w:val="18E80CA3"/>
    <w:rsid w:val="190C0B53"/>
    <w:rsid w:val="196D4030"/>
    <w:rsid w:val="19962C12"/>
    <w:rsid w:val="19AE3FA6"/>
    <w:rsid w:val="19FD225A"/>
    <w:rsid w:val="1A512FD2"/>
    <w:rsid w:val="1AC3684A"/>
    <w:rsid w:val="1ACA77FB"/>
    <w:rsid w:val="1ACC5BF8"/>
    <w:rsid w:val="1AD774CB"/>
    <w:rsid w:val="1AE92FD5"/>
    <w:rsid w:val="1AF55AE4"/>
    <w:rsid w:val="1B1E67F8"/>
    <w:rsid w:val="1B200CF6"/>
    <w:rsid w:val="1B2A7529"/>
    <w:rsid w:val="1B390BDC"/>
    <w:rsid w:val="1B4E55E8"/>
    <w:rsid w:val="1B8E7170"/>
    <w:rsid w:val="1BAF1D5E"/>
    <w:rsid w:val="1BBD111D"/>
    <w:rsid w:val="1BE0443F"/>
    <w:rsid w:val="1C250273"/>
    <w:rsid w:val="1C2942AF"/>
    <w:rsid w:val="1C471722"/>
    <w:rsid w:val="1C5C588F"/>
    <w:rsid w:val="1C983F97"/>
    <w:rsid w:val="1CB1569A"/>
    <w:rsid w:val="1CB313F6"/>
    <w:rsid w:val="1CD7615D"/>
    <w:rsid w:val="1CEF0D6A"/>
    <w:rsid w:val="1CFB6B14"/>
    <w:rsid w:val="1D3C45B0"/>
    <w:rsid w:val="1D3D09F8"/>
    <w:rsid w:val="1D4028B0"/>
    <w:rsid w:val="1D537623"/>
    <w:rsid w:val="1D613CFF"/>
    <w:rsid w:val="1D751FB3"/>
    <w:rsid w:val="1D854E15"/>
    <w:rsid w:val="1E00462C"/>
    <w:rsid w:val="1E1C5E73"/>
    <w:rsid w:val="1E3D5BFF"/>
    <w:rsid w:val="1E3F5B0A"/>
    <w:rsid w:val="1E402DD2"/>
    <w:rsid w:val="1E462655"/>
    <w:rsid w:val="1E5B585E"/>
    <w:rsid w:val="1E703E54"/>
    <w:rsid w:val="1EA0459D"/>
    <w:rsid w:val="1EB21D4C"/>
    <w:rsid w:val="1EB36B6C"/>
    <w:rsid w:val="1EB8717C"/>
    <w:rsid w:val="1ECC5D06"/>
    <w:rsid w:val="1ED42809"/>
    <w:rsid w:val="1EEF0477"/>
    <w:rsid w:val="1EF26162"/>
    <w:rsid w:val="1EF351FB"/>
    <w:rsid w:val="1F6457D9"/>
    <w:rsid w:val="1F64740B"/>
    <w:rsid w:val="1F6A2CF4"/>
    <w:rsid w:val="1F9F2549"/>
    <w:rsid w:val="1FCC5382"/>
    <w:rsid w:val="1FD86B10"/>
    <w:rsid w:val="1FFD6FC8"/>
    <w:rsid w:val="1FFDDD1A"/>
    <w:rsid w:val="201221D2"/>
    <w:rsid w:val="2020322B"/>
    <w:rsid w:val="202279CC"/>
    <w:rsid w:val="20441B19"/>
    <w:rsid w:val="20507733"/>
    <w:rsid w:val="20663493"/>
    <w:rsid w:val="2069018D"/>
    <w:rsid w:val="2078256A"/>
    <w:rsid w:val="20A0219D"/>
    <w:rsid w:val="20AB38D2"/>
    <w:rsid w:val="20B60991"/>
    <w:rsid w:val="20B87A68"/>
    <w:rsid w:val="20BB2F53"/>
    <w:rsid w:val="20BF45FE"/>
    <w:rsid w:val="20C70459"/>
    <w:rsid w:val="20EC166A"/>
    <w:rsid w:val="2102069D"/>
    <w:rsid w:val="2106288F"/>
    <w:rsid w:val="21082292"/>
    <w:rsid w:val="21662A51"/>
    <w:rsid w:val="217505C5"/>
    <w:rsid w:val="219A525F"/>
    <w:rsid w:val="219F2875"/>
    <w:rsid w:val="21BD2F51"/>
    <w:rsid w:val="21C9221A"/>
    <w:rsid w:val="22085F8A"/>
    <w:rsid w:val="22160B82"/>
    <w:rsid w:val="228952D6"/>
    <w:rsid w:val="2297314D"/>
    <w:rsid w:val="229F23A9"/>
    <w:rsid w:val="22A279E3"/>
    <w:rsid w:val="22BA2B41"/>
    <w:rsid w:val="22D26F9A"/>
    <w:rsid w:val="22EC1D51"/>
    <w:rsid w:val="2313004F"/>
    <w:rsid w:val="231A3B32"/>
    <w:rsid w:val="23284097"/>
    <w:rsid w:val="23391506"/>
    <w:rsid w:val="233C7E85"/>
    <w:rsid w:val="23AF69F1"/>
    <w:rsid w:val="23B12896"/>
    <w:rsid w:val="23CB0902"/>
    <w:rsid w:val="23D22A8E"/>
    <w:rsid w:val="23E11A3F"/>
    <w:rsid w:val="23E71EDA"/>
    <w:rsid w:val="23F316BB"/>
    <w:rsid w:val="23F77E55"/>
    <w:rsid w:val="241841BA"/>
    <w:rsid w:val="244A6459"/>
    <w:rsid w:val="24763848"/>
    <w:rsid w:val="247C12B5"/>
    <w:rsid w:val="24827E18"/>
    <w:rsid w:val="248666E8"/>
    <w:rsid w:val="24963225"/>
    <w:rsid w:val="249927A7"/>
    <w:rsid w:val="24A52D69"/>
    <w:rsid w:val="24AF2DCF"/>
    <w:rsid w:val="24C31569"/>
    <w:rsid w:val="24C56B1E"/>
    <w:rsid w:val="24C9231F"/>
    <w:rsid w:val="24D52D8A"/>
    <w:rsid w:val="250623CA"/>
    <w:rsid w:val="252E3564"/>
    <w:rsid w:val="25377C12"/>
    <w:rsid w:val="25752CBA"/>
    <w:rsid w:val="25902E9C"/>
    <w:rsid w:val="259721E1"/>
    <w:rsid w:val="25AE708F"/>
    <w:rsid w:val="25B0273C"/>
    <w:rsid w:val="25B21CB9"/>
    <w:rsid w:val="25C44F82"/>
    <w:rsid w:val="25D20074"/>
    <w:rsid w:val="25D45C3E"/>
    <w:rsid w:val="25DD61F7"/>
    <w:rsid w:val="25E81861"/>
    <w:rsid w:val="26034EF6"/>
    <w:rsid w:val="260E6047"/>
    <w:rsid w:val="261849A4"/>
    <w:rsid w:val="263D5C2C"/>
    <w:rsid w:val="2682292E"/>
    <w:rsid w:val="26AF716B"/>
    <w:rsid w:val="26B57F3A"/>
    <w:rsid w:val="27090EBD"/>
    <w:rsid w:val="27126E5B"/>
    <w:rsid w:val="27437FDF"/>
    <w:rsid w:val="27475BB0"/>
    <w:rsid w:val="274A4CFE"/>
    <w:rsid w:val="27586A77"/>
    <w:rsid w:val="275B4E31"/>
    <w:rsid w:val="276E7580"/>
    <w:rsid w:val="279E1806"/>
    <w:rsid w:val="279F27E3"/>
    <w:rsid w:val="27C40F6B"/>
    <w:rsid w:val="27D35027"/>
    <w:rsid w:val="28073099"/>
    <w:rsid w:val="281E11E4"/>
    <w:rsid w:val="28546812"/>
    <w:rsid w:val="285B724A"/>
    <w:rsid w:val="28907C53"/>
    <w:rsid w:val="28945323"/>
    <w:rsid w:val="28B92147"/>
    <w:rsid w:val="28E318D4"/>
    <w:rsid w:val="293624BD"/>
    <w:rsid w:val="294D49C5"/>
    <w:rsid w:val="29565F0F"/>
    <w:rsid w:val="296231D6"/>
    <w:rsid w:val="29B616C2"/>
    <w:rsid w:val="29BA0A21"/>
    <w:rsid w:val="29BB2399"/>
    <w:rsid w:val="29FB2C34"/>
    <w:rsid w:val="2A19597B"/>
    <w:rsid w:val="2A23324E"/>
    <w:rsid w:val="2A4B359A"/>
    <w:rsid w:val="2A6C2D68"/>
    <w:rsid w:val="2A6F0AFC"/>
    <w:rsid w:val="2A7439F6"/>
    <w:rsid w:val="2AB438D9"/>
    <w:rsid w:val="2ACE0C31"/>
    <w:rsid w:val="2AE74CA7"/>
    <w:rsid w:val="2AFD4EC5"/>
    <w:rsid w:val="2AFF1738"/>
    <w:rsid w:val="2B046437"/>
    <w:rsid w:val="2B1B420B"/>
    <w:rsid w:val="2B234BA1"/>
    <w:rsid w:val="2B376F2C"/>
    <w:rsid w:val="2B417276"/>
    <w:rsid w:val="2B5A5895"/>
    <w:rsid w:val="2B5D643F"/>
    <w:rsid w:val="2B8209DE"/>
    <w:rsid w:val="2B8C3E6A"/>
    <w:rsid w:val="2B954A46"/>
    <w:rsid w:val="2BA17364"/>
    <w:rsid w:val="2BB30A63"/>
    <w:rsid w:val="2C765025"/>
    <w:rsid w:val="2C852F06"/>
    <w:rsid w:val="2C9034E6"/>
    <w:rsid w:val="2C981CCD"/>
    <w:rsid w:val="2C9F53AF"/>
    <w:rsid w:val="2CBA641B"/>
    <w:rsid w:val="2CF54129"/>
    <w:rsid w:val="2D040C32"/>
    <w:rsid w:val="2D0757A6"/>
    <w:rsid w:val="2D7B104F"/>
    <w:rsid w:val="2D982E0B"/>
    <w:rsid w:val="2DB53B3B"/>
    <w:rsid w:val="2DCB5CD4"/>
    <w:rsid w:val="2DCC44FF"/>
    <w:rsid w:val="2E022955"/>
    <w:rsid w:val="2E072654"/>
    <w:rsid w:val="2E3D32FC"/>
    <w:rsid w:val="2E5E1319"/>
    <w:rsid w:val="2E6C5F79"/>
    <w:rsid w:val="2E6F38EF"/>
    <w:rsid w:val="2E811069"/>
    <w:rsid w:val="2EC24EAE"/>
    <w:rsid w:val="2EC70C0D"/>
    <w:rsid w:val="2EE1627B"/>
    <w:rsid w:val="2F47109C"/>
    <w:rsid w:val="2F4B2213"/>
    <w:rsid w:val="2F67C92A"/>
    <w:rsid w:val="2F757F47"/>
    <w:rsid w:val="2F8868AA"/>
    <w:rsid w:val="2F8B4DEA"/>
    <w:rsid w:val="2F9075F6"/>
    <w:rsid w:val="2F965A58"/>
    <w:rsid w:val="2F9A594D"/>
    <w:rsid w:val="2FD4522D"/>
    <w:rsid w:val="2FD47E0E"/>
    <w:rsid w:val="2FF3519E"/>
    <w:rsid w:val="30146F8B"/>
    <w:rsid w:val="30182FEE"/>
    <w:rsid w:val="30303517"/>
    <w:rsid w:val="306227A3"/>
    <w:rsid w:val="307B4A76"/>
    <w:rsid w:val="308E13FA"/>
    <w:rsid w:val="30AD3178"/>
    <w:rsid w:val="30EC0CCB"/>
    <w:rsid w:val="310B01D0"/>
    <w:rsid w:val="311E4999"/>
    <w:rsid w:val="312573D2"/>
    <w:rsid w:val="31300A9C"/>
    <w:rsid w:val="313279B0"/>
    <w:rsid w:val="31652540"/>
    <w:rsid w:val="31785EB2"/>
    <w:rsid w:val="317F3D7D"/>
    <w:rsid w:val="31960D20"/>
    <w:rsid w:val="319A665C"/>
    <w:rsid w:val="31A435DE"/>
    <w:rsid w:val="31CD0C24"/>
    <w:rsid w:val="31F0559B"/>
    <w:rsid w:val="31FF60CF"/>
    <w:rsid w:val="32257A6C"/>
    <w:rsid w:val="322963D4"/>
    <w:rsid w:val="32490EF5"/>
    <w:rsid w:val="324E528F"/>
    <w:rsid w:val="32642296"/>
    <w:rsid w:val="32646A74"/>
    <w:rsid w:val="32665C21"/>
    <w:rsid w:val="326B085A"/>
    <w:rsid w:val="326D66D8"/>
    <w:rsid w:val="32A01606"/>
    <w:rsid w:val="32C94A9C"/>
    <w:rsid w:val="32D040EC"/>
    <w:rsid w:val="32D93D68"/>
    <w:rsid w:val="32E120A3"/>
    <w:rsid w:val="33092D4F"/>
    <w:rsid w:val="332D454F"/>
    <w:rsid w:val="33426DD3"/>
    <w:rsid w:val="334E1463"/>
    <w:rsid w:val="339165C1"/>
    <w:rsid w:val="33995376"/>
    <w:rsid w:val="33C85644"/>
    <w:rsid w:val="342509B8"/>
    <w:rsid w:val="348E3F5F"/>
    <w:rsid w:val="34A07D70"/>
    <w:rsid w:val="34AE125F"/>
    <w:rsid w:val="34D84426"/>
    <w:rsid w:val="34D85063"/>
    <w:rsid w:val="34F767F8"/>
    <w:rsid w:val="352548D7"/>
    <w:rsid w:val="352A70A8"/>
    <w:rsid w:val="359B5E22"/>
    <w:rsid w:val="359C1AAB"/>
    <w:rsid w:val="35A63D95"/>
    <w:rsid w:val="35AB3B2B"/>
    <w:rsid w:val="35B11597"/>
    <w:rsid w:val="35B27244"/>
    <w:rsid w:val="35E6797E"/>
    <w:rsid w:val="360B3E62"/>
    <w:rsid w:val="364970DE"/>
    <w:rsid w:val="364E1FAC"/>
    <w:rsid w:val="36503AF9"/>
    <w:rsid w:val="366C02C0"/>
    <w:rsid w:val="36780EB8"/>
    <w:rsid w:val="367F29FE"/>
    <w:rsid w:val="36920C7A"/>
    <w:rsid w:val="369C7F24"/>
    <w:rsid w:val="36C24DA9"/>
    <w:rsid w:val="36C26B8E"/>
    <w:rsid w:val="36E41E01"/>
    <w:rsid w:val="36F823B4"/>
    <w:rsid w:val="36FA7861"/>
    <w:rsid w:val="371511B8"/>
    <w:rsid w:val="3716362D"/>
    <w:rsid w:val="3744619F"/>
    <w:rsid w:val="374E03A8"/>
    <w:rsid w:val="375F48B5"/>
    <w:rsid w:val="37730A94"/>
    <w:rsid w:val="37797AAB"/>
    <w:rsid w:val="37965565"/>
    <w:rsid w:val="38683E4F"/>
    <w:rsid w:val="38710E3F"/>
    <w:rsid w:val="387B329C"/>
    <w:rsid w:val="388C54A1"/>
    <w:rsid w:val="389649C5"/>
    <w:rsid w:val="38A4759D"/>
    <w:rsid w:val="38DB3179"/>
    <w:rsid w:val="38E1158D"/>
    <w:rsid w:val="3971655D"/>
    <w:rsid w:val="39725589"/>
    <w:rsid w:val="39777F08"/>
    <w:rsid w:val="39BA1ADC"/>
    <w:rsid w:val="39F40A57"/>
    <w:rsid w:val="3A255BB6"/>
    <w:rsid w:val="3A735F50"/>
    <w:rsid w:val="3A8D08BE"/>
    <w:rsid w:val="3AE356EC"/>
    <w:rsid w:val="3AE83416"/>
    <w:rsid w:val="3AE84F21"/>
    <w:rsid w:val="3AEA295B"/>
    <w:rsid w:val="3AEC5366"/>
    <w:rsid w:val="3AFB5104"/>
    <w:rsid w:val="3B111C96"/>
    <w:rsid w:val="3B1E1277"/>
    <w:rsid w:val="3B241639"/>
    <w:rsid w:val="3B2958E9"/>
    <w:rsid w:val="3B340B10"/>
    <w:rsid w:val="3B4342F2"/>
    <w:rsid w:val="3B705907"/>
    <w:rsid w:val="3BAC54A0"/>
    <w:rsid w:val="3BB450D2"/>
    <w:rsid w:val="3BB51625"/>
    <w:rsid w:val="3BB54D17"/>
    <w:rsid w:val="3BB83A55"/>
    <w:rsid w:val="3BC540CC"/>
    <w:rsid w:val="3C016259"/>
    <w:rsid w:val="3C05702B"/>
    <w:rsid w:val="3C3C3D0E"/>
    <w:rsid w:val="3C70334F"/>
    <w:rsid w:val="3C797D13"/>
    <w:rsid w:val="3C801BC8"/>
    <w:rsid w:val="3C806348"/>
    <w:rsid w:val="3CD2615F"/>
    <w:rsid w:val="3CD66855"/>
    <w:rsid w:val="3CD7363E"/>
    <w:rsid w:val="3CE33B06"/>
    <w:rsid w:val="3CFB44C3"/>
    <w:rsid w:val="3D11205B"/>
    <w:rsid w:val="3D2523C2"/>
    <w:rsid w:val="3D3D55B3"/>
    <w:rsid w:val="3D463C3D"/>
    <w:rsid w:val="3D50398D"/>
    <w:rsid w:val="3D5619DA"/>
    <w:rsid w:val="3D5B6EE5"/>
    <w:rsid w:val="3D604ED5"/>
    <w:rsid w:val="3D8E2726"/>
    <w:rsid w:val="3DE25DB3"/>
    <w:rsid w:val="3DE6670E"/>
    <w:rsid w:val="3E047890"/>
    <w:rsid w:val="3E1B54E8"/>
    <w:rsid w:val="3E38578C"/>
    <w:rsid w:val="3E6E0004"/>
    <w:rsid w:val="3E6E121E"/>
    <w:rsid w:val="3E7A463F"/>
    <w:rsid w:val="3E925B12"/>
    <w:rsid w:val="3E9F3722"/>
    <w:rsid w:val="3EC84D62"/>
    <w:rsid w:val="3EFB0FE0"/>
    <w:rsid w:val="3F0128C7"/>
    <w:rsid w:val="3F12480E"/>
    <w:rsid w:val="3F372F35"/>
    <w:rsid w:val="3F50722A"/>
    <w:rsid w:val="3F542A99"/>
    <w:rsid w:val="3F645D9C"/>
    <w:rsid w:val="3F8E1AF4"/>
    <w:rsid w:val="3F914E72"/>
    <w:rsid w:val="3F9623E1"/>
    <w:rsid w:val="3FA35235"/>
    <w:rsid w:val="3FA54560"/>
    <w:rsid w:val="3FB10B8E"/>
    <w:rsid w:val="3FCB2B69"/>
    <w:rsid w:val="3FFD4490"/>
    <w:rsid w:val="402935FA"/>
    <w:rsid w:val="40413A51"/>
    <w:rsid w:val="405A34BE"/>
    <w:rsid w:val="40650AB8"/>
    <w:rsid w:val="406D2075"/>
    <w:rsid w:val="40896772"/>
    <w:rsid w:val="40A73A11"/>
    <w:rsid w:val="40AB0497"/>
    <w:rsid w:val="40D50F73"/>
    <w:rsid w:val="40E765BD"/>
    <w:rsid w:val="41061B71"/>
    <w:rsid w:val="410D6E30"/>
    <w:rsid w:val="41412351"/>
    <w:rsid w:val="414E6719"/>
    <w:rsid w:val="416D4D8C"/>
    <w:rsid w:val="417A46D4"/>
    <w:rsid w:val="41904DF6"/>
    <w:rsid w:val="419345E1"/>
    <w:rsid w:val="41940CDA"/>
    <w:rsid w:val="41AA2509"/>
    <w:rsid w:val="41B16EBC"/>
    <w:rsid w:val="41CC62C2"/>
    <w:rsid w:val="41CF0BCF"/>
    <w:rsid w:val="41D427C4"/>
    <w:rsid w:val="41E04248"/>
    <w:rsid w:val="42042CCA"/>
    <w:rsid w:val="4206711E"/>
    <w:rsid w:val="42332E3A"/>
    <w:rsid w:val="42787464"/>
    <w:rsid w:val="42812A86"/>
    <w:rsid w:val="429A1005"/>
    <w:rsid w:val="42B56350"/>
    <w:rsid w:val="43104C13"/>
    <w:rsid w:val="432C5504"/>
    <w:rsid w:val="43365770"/>
    <w:rsid w:val="43482809"/>
    <w:rsid w:val="43727FC7"/>
    <w:rsid w:val="43794BD1"/>
    <w:rsid w:val="438C5973"/>
    <w:rsid w:val="439006C3"/>
    <w:rsid w:val="43934B60"/>
    <w:rsid w:val="43C15FED"/>
    <w:rsid w:val="43C33DCA"/>
    <w:rsid w:val="43CC3AB9"/>
    <w:rsid w:val="44C409AF"/>
    <w:rsid w:val="44CB6471"/>
    <w:rsid w:val="44D70159"/>
    <w:rsid w:val="4504471C"/>
    <w:rsid w:val="45263750"/>
    <w:rsid w:val="4537689D"/>
    <w:rsid w:val="4567448A"/>
    <w:rsid w:val="45791C6C"/>
    <w:rsid w:val="45833790"/>
    <w:rsid w:val="45974ABD"/>
    <w:rsid w:val="45AB2CE7"/>
    <w:rsid w:val="45CD7101"/>
    <w:rsid w:val="45D05F89"/>
    <w:rsid w:val="45D75C29"/>
    <w:rsid w:val="45EB289C"/>
    <w:rsid w:val="460008CE"/>
    <w:rsid w:val="46056A19"/>
    <w:rsid w:val="46107943"/>
    <w:rsid w:val="46212412"/>
    <w:rsid w:val="462430DE"/>
    <w:rsid w:val="46250CEB"/>
    <w:rsid w:val="464A4B20"/>
    <w:rsid w:val="468A0B4E"/>
    <w:rsid w:val="469A5235"/>
    <w:rsid w:val="46A301C2"/>
    <w:rsid w:val="46A54CB5"/>
    <w:rsid w:val="46A83331"/>
    <w:rsid w:val="46B215A3"/>
    <w:rsid w:val="46C36755"/>
    <w:rsid w:val="46D027AA"/>
    <w:rsid w:val="47092F16"/>
    <w:rsid w:val="47396823"/>
    <w:rsid w:val="47540331"/>
    <w:rsid w:val="476D5EBB"/>
    <w:rsid w:val="47711558"/>
    <w:rsid w:val="47723768"/>
    <w:rsid w:val="47846F53"/>
    <w:rsid w:val="47D9353C"/>
    <w:rsid w:val="47E54F55"/>
    <w:rsid w:val="47FA3E97"/>
    <w:rsid w:val="47FE50D5"/>
    <w:rsid w:val="483337FA"/>
    <w:rsid w:val="488E4926"/>
    <w:rsid w:val="48961FF5"/>
    <w:rsid w:val="48A00AFD"/>
    <w:rsid w:val="48A25DD0"/>
    <w:rsid w:val="48DD2962"/>
    <w:rsid w:val="48EF5006"/>
    <w:rsid w:val="492B7A16"/>
    <w:rsid w:val="49490BB1"/>
    <w:rsid w:val="494B36B3"/>
    <w:rsid w:val="49692915"/>
    <w:rsid w:val="49753078"/>
    <w:rsid w:val="49766784"/>
    <w:rsid w:val="499769D5"/>
    <w:rsid w:val="4A3847B0"/>
    <w:rsid w:val="4A3E05CE"/>
    <w:rsid w:val="4A3F772C"/>
    <w:rsid w:val="4A492B02"/>
    <w:rsid w:val="4A584C12"/>
    <w:rsid w:val="4A6603DD"/>
    <w:rsid w:val="4A6E7668"/>
    <w:rsid w:val="4A7B35D0"/>
    <w:rsid w:val="4ABC719B"/>
    <w:rsid w:val="4ACD64B1"/>
    <w:rsid w:val="4AE16784"/>
    <w:rsid w:val="4B040E73"/>
    <w:rsid w:val="4B054806"/>
    <w:rsid w:val="4B266B52"/>
    <w:rsid w:val="4B323DAD"/>
    <w:rsid w:val="4B6469EB"/>
    <w:rsid w:val="4B6C0448"/>
    <w:rsid w:val="4B911AF6"/>
    <w:rsid w:val="4B992729"/>
    <w:rsid w:val="4BAD77B9"/>
    <w:rsid w:val="4BB66672"/>
    <w:rsid w:val="4BF14E5C"/>
    <w:rsid w:val="4BF6455A"/>
    <w:rsid w:val="4BFF0FD9"/>
    <w:rsid w:val="4C2C72E7"/>
    <w:rsid w:val="4C59524B"/>
    <w:rsid w:val="4C6A36A5"/>
    <w:rsid w:val="4C8704F6"/>
    <w:rsid w:val="4CB2203E"/>
    <w:rsid w:val="4CE82EA3"/>
    <w:rsid w:val="4D221A5E"/>
    <w:rsid w:val="4D2F1ADF"/>
    <w:rsid w:val="4D397E04"/>
    <w:rsid w:val="4D5B3007"/>
    <w:rsid w:val="4D6604E2"/>
    <w:rsid w:val="4D83282D"/>
    <w:rsid w:val="4D850510"/>
    <w:rsid w:val="4DB91463"/>
    <w:rsid w:val="4DD26CD8"/>
    <w:rsid w:val="4DE16570"/>
    <w:rsid w:val="4E1C6E78"/>
    <w:rsid w:val="4E36503C"/>
    <w:rsid w:val="4E663FE6"/>
    <w:rsid w:val="4E7D306C"/>
    <w:rsid w:val="4EBC4081"/>
    <w:rsid w:val="4ED02D42"/>
    <w:rsid w:val="4EE36998"/>
    <w:rsid w:val="4F2E00A1"/>
    <w:rsid w:val="4F377CE8"/>
    <w:rsid w:val="4F42117D"/>
    <w:rsid w:val="4F48599F"/>
    <w:rsid w:val="4F4F2BC1"/>
    <w:rsid w:val="4F604C84"/>
    <w:rsid w:val="4F681D95"/>
    <w:rsid w:val="4F6F2EA9"/>
    <w:rsid w:val="4F7A0880"/>
    <w:rsid w:val="4F96706C"/>
    <w:rsid w:val="4FA060F5"/>
    <w:rsid w:val="4FC915F8"/>
    <w:rsid w:val="4FE24927"/>
    <w:rsid w:val="50052852"/>
    <w:rsid w:val="50421741"/>
    <w:rsid w:val="504E4277"/>
    <w:rsid w:val="505810D1"/>
    <w:rsid w:val="506F3038"/>
    <w:rsid w:val="50830AE8"/>
    <w:rsid w:val="50952DF2"/>
    <w:rsid w:val="50D55346"/>
    <w:rsid w:val="50D57094"/>
    <w:rsid w:val="50EA74A0"/>
    <w:rsid w:val="50F07683"/>
    <w:rsid w:val="512B3E20"/>
    <w:rsid w:val="51316332"/>
    <w:rsid w:val="513916E5"/>
    <w:rsid w:val="51452994"/>
    <w:rsid w:val="516C70A1"/>
    <w:rsid w:val="51EC18E2"/>
    <w:rsid w:val="52192B0A"/>
    <w:rsid w:val="52372CD0"/>
    <w:rsid w:val="523875ED"/>
    <w:rsid w:val="525620D6"/>
    <w:rsid w:val="52637229"/>
    <w:rsid w:val="526826F8"/>
    <w:rsid w:val="52B339D8"/>
    <w:rsid w:val="52EA30A1"/>
    <w:rsid w:val="5302247A"/>
    <w:rsid w:val="5305097B"/>
    <w:rsid w:val="53315390"/>
    <w:rsid w:val="533A5121"/>
    <w:rsid w:val="53425BB0"/>
    <w:rsid w:val="534B0C47"/>
    <w:rsid w:val="5360776D"/>
    <w:rsid w:val="536F00DD"/>
    <w:rsid w:val="537261AA"/>
    <w:rsid w:val="53E411F3"/>
    <w:rsid w:val="53F00B8B"/>
    <w:rsid w:val="544D59FD"/>
    <w:rsid w:val="545B7591"/>
    <w:rsid w:val="546522AA"/>
    <w:rsid w:val="546A6B00"/>
    <w:rsid w:val="54B10B69"/>
    <w:rsid w:val="54B2621E"/>
    <w:rsid w:val="54D06C0D"/>
    <w:rsid w:val="54D357A1"/>
    <w:rsid w:val="54FE79E1"/>
    <w:rsid w:val="550479F9"/>
    <w:rsid w:val="55156D4C"/>
    <w:rsid w:val="5526116B"/>
    <w:rsid w:val="554054D5"/>
    <w:rsid w:val="5565242B"/>
    <w:rsid w:val="55841841"/>
    <w:rsid w:val="55891BC0"/>
    <w:rsid w:val="558B0EF2"/>
    <w:rsid w:val="558C043F"/>
    <w:rsid w:val="55B41F73"/>
    <w:rsid w:val="56195DC5"/>
    <w:rsid w:val="56205935"/>
    <w:rsid w:val="562B05EC"/>
    <w:rsid w:val="56606A5B"/>
    <w:rsid w:val="5671771B"/>
    <w:rsid w:val="56764301"/>
    <w:rsid w:val="569F5204"/>
    <w:rsid w:val="56A40F80"/>
    <w:rsid w:val="56CF74B0"/>
    <w:rsid w:val="56E30A23"/>
    <w:rsid w:val="56F805D3"/>
    <w:rsid w:val="56F9482C"/>
    <w:rsid w:val="5729778D"/>
    <w:rsid w:val="572F2122"/>
    <w:rsid w:val="5732282D"/>
    <w:rsid w:val="57513E3C"/>
    <w:rsid w:val="575E71D1"/>
    <w:rsid w:val="57656AAF"/>
    <w:rsid w:val="57780285"/>
    <w:rsid w:val="57895841"/>
    <w:rsid w:val="57A25A93"/>
    <w:rsid w:val="57CB7122"/>
    <w:rsid w:val="580206F4"/>
    <w:rsid w:val="580F49BF"/>
    <w:rsid w:val="581F69C6"/>
    <w:rsid w:val="583C0580"/>
    <w:rsid w:val="58A837E2"/>
    <w:rsid w:val="58BB51AE"/>
    <w:rsid w:val="58C67724"/>
    <w:rsid w:val="58F74373"/>
    <w:rsid w:val="592B2BC8"/>
    <w:rsid w:val="592B61C1"/>
    <w:rsid w:val="5932697F"/>
    <w:rsid w:val="5945570A"/>
    <w:rsid w:val="597746E4"/>
    <w:rsid w:val="59843CBF"/>
    <w:rsid w:val="598A1022"/>
    <w:rsid w:val="599E0C2C"/>
    <w:rsid w:val="59B44E5D"/>
    <w:rsid w:val="59B93578"/>
    <w:rsid w:val="59C60319"/>
    <w:rsid w:val="59C65640"/>
    <w:rsid w:val="5A072236"/>
    <w:rsid w:val="5A0A7C1A"/>
    <w:rsid w:val="5A267E5F"/>
    <w:rsid w:val="5A427C66"/>
    <w:rsid w:val="5A4A27BF"/>
    <w:rsid w:val="5A4A7AA9"/>
    <w:rsid w:val="5A5432F7"/>
    <w:rsid w:val="5A636A25"/>
    <w:rsid w:val="5A795462"/>
    <w:rsid w:val="5B314B9C"/>
    <w:rsid w:val="5B3C46B5"/>
    <w:rsid w:val="5B4F5494"/>
    <w:rsid w:val="5B5267B9"/>
    <w:rsid w:val="5B5F034D"/>
    <w:rsid w:val="5B64318C"/>
    <w:rsid w:val="5B7A2A80"/>
    <w:rsid w:val="5B862B33"/>
    <w:rsid w:val="5B9E5C51"/>
    <w:rsid w:val="5BAB5397"/>
    <w:rsid w:val="5BC05588"/>
    <w:rsid w:val="5BD42E24"/>
    <w:rsid w:val="5BE21F66"/>
    <w:rsid w:val="5BFB37A6"/>
    <w:rsid w:val="5BFC430D"/>
    <w:rsid w:val="5C240C7B"/>
    <w:rsid w:val="5C8D51F6"/>
    <w:rsid w:val="5CA223D5"/>
    <w:rsid w:val="5CA52AF5"/>
    <w:rsid w:val="5CB619D0"/>
    <w:rsid w:val="5CB963A2"/>
    <w:rsid w:val="5CC41C0D"/>
    <w:rsid w:val="5CCE1A7B"/>
    <w:rsid w:val="5CE42D12"/>
    <w:rsid w:val="5D2006AE"/>
    <w:rsid w:val="5D5D7AEC"/>
    <w:rsid w:val="5DB07B64"/>
    <w:rsid w:val="5DC65F8E"/>
    <w:rsid w:val="5DDE2965"/>
    <w:rsid w:val="5DE55D4F"/>
    <w:rsid w:val="5DF11E25"/>
    <w:rsid w:val="5DF24F34"/>
    <w:rsid w:val="5E0B635A"/>
    <w:rsid w:val="5E1F1A63"/>
    <w:rsid w:val="5E294CEB"/>
    <w:rsid w:val="5E34711E"/>
    <w:rsid w:val="5E84465F"/>
    <w:rsid w:val="5EA11D24"/>
    <w:rsid w:val="5EB35F5C"/>
    <w:rsid w:val="5ED02091"/>
    <w:rsid w:val="5ED02A30"/>
    <w:rsid w:val="5EF54261"/>
    <w:rsid w:val="5EF66F80"/>
    <w:rsid w:val="5EF725F4"/>
    <w:rsid w:val="5EFD3DCB"/>
    <w:rsid w:val="5F1B75BB"/>
    <w:rsid w:val="5F323D85"/>
    <w:rsid w:val="5F5919A6"/>
    <w:rsid w:val="5F82440E"/>
    <w:rsid w:val="5F895057"/>
    <w:rsid w:val="5F940A3E"/>
    <w:rsid w:val="5FC1162D"/>
    <w:rsid w:val="5FE408D5"/>
    <w:rsid w:val="60210B27"/>
    <w:rsid w:val="603C0211"/>
    <w:rsid w:val="605C661D"/>
    <w:rsid w:val="60864E22"/>
    <w:rsid w:val="60992FAF"/>
    <w:rsid w:val="60BD4284"/>
    <w:rsid w:val="60E13414"/>
    <w:rsid w:val="610B3038"/>
    <w:rsid w:val="613A6A65"/>
    <w:rsid w:val="6157463B"/>
    <w:rsid w:val="6178045B"/>
    <w:rsid w:val="617D3332"/>
    <w:rsid w:val="617E4947"/>
    <w:rsid w:val="618C3680"/>
    <w:rsid w:val="6190791D"/>
    <w:rsid w:val="619157A0"/>
    <w:rsid w:val="61AD7FAC"/>
    <w:rsid w:val="61B9082C"/>
    <w:rsid w:val="61DE2022"/>
    <w:rsid w:val="61E303B8"/>
    <w:rsid w:val="61F564A8"/>
    <w:rsid w:val="620039AE"/>
    <w:rsid w:val="62012E19"/>
    <w:rsid w:val="620C4DF8"/>
    <w:rsid w:val="623211CF"/>
    <w:rsid w:val="6244493B"/>
    <w:rsid w:val="62552691"/>
    <w:rsid w:val="628C5E02"/>
    <w:rsid w:val="628F25D5"/>
    <w:rsid w:val="62A52B40"/>
    <w:rsid w:val="62AD7C47"/>
    <w:rsid w:val="62EE11ED"/>
    <w:rsid w:val="62FE72D8"/>
    <w:rsid w:val="632259C4"/>
    <w:rsid w:val="63263D0D"/>
    <w:rsid w:val="634D2D5C"/>
    <w:rsid w:val="63632B45"/>
    <w:rsid w:val="6373260F"/>
    <w:rsid w:val="637B4800"/>
    <w:rsid w:val="63856413"/>
    <w:rsid w:val="63AD54D7"/>
    <w:rsid w:val="63D201A3"/>
    <w:rsid w:val="63DF6D3D"/>
    <w:rsid w:val="64003D27"/>
    <w:rsid w:val="642F3009"/>
    <w:rsid w:val="64387E64"/>
    <w:rsid w:val="644763D7"/>
    <w:rsid w:val="64505A3F"/>
    <w:rsid w:val="646E04C5"/>
    <w:rsid w:val="649548FB"/>
    <w:rsid w:val="64AD388C"/>
    <w:rsid w:val="64B01275"/>
    <w:rsid w:val="64B60830"/>
    <w:rsid w:val="64D26FE0"/>
    <w:rsid w:val="64D81CF5"/>
    <w:rsid w:val="65420BAE"/>
    <w:rsid w:val="65520C3E"/>
    <w:rsid w:val="65674A25"/>
    <w:rsid w:val="65863C10"/>
    <w:rsid w:val="65A45561"/>
    <w:rsid w:val="65A75A3F"/>
    <w:rsid w:val="65EC1148"/>
    <w:rsid w:val="66324275"/>
    <w:rsid w:val="66582833"/>
    <w:rsid w:val="667557A4"/>
    <w:rsid w:val="667F18FA"/>
    <w:rsid w:val="669F5C50"/>
    <w:rsid w:val="66BE78AC"/>
    <w:rsid w:val="66C66E69"/>
    <w:rsid w:val="66E9246C"/>
    <w:rsid w:val="670047E9"/>
    <w:rsid w:val="67021CFF"/>
    <w:rsid w:val="67057F1A"/>
    <w:rsid w:val="673D3AD3"/>
    <w:rsid w:val="673D6C94"/>
    <w:rsid w:val="676E3F85"/>
    <w:rsid w:val="67917227"/>
    <w:rsid w:val="67AA791C"/>
    <w:rsid w:val="67BF04EC"/>
    <w:rsid w:val="67FC76DA"/>
    <w:rsid w:val="680B1697"/>
    <w:rsid w:val="681253D0"/>
    <w:rsid w:val="681A516E"/>
    <w:rsid w:val="68464F3B"/>
    <w:rsid w:val="684A64D9"/>
    <w:rsid w:val="685A6D95"/>
    <w:rsid w:val="688476C2"/>
    <w:rsid w:val="68994EF5"/>
    <w:rsid w:val="689B44E8"/>
    <w:rsid w:val="68A32F09"/>
    <w:rsid w:val="68B94F59"/>
    <w:rsid w:val="68C0194D"/>
    <w:rsid w:val="68C65D6E"/>
    <w:rsid w:val="68D4417F"/>
    <w:rsid w:val="68DA5ADD"/>
    <w:rsid w:val="68DC1A4F"/>
    <w:rsid w:val="68F2680E"/>
    <w:rsid w:val="69107A14"/>
    <w:rsid w:val="6924250F"/>
    <w:rsid w:val="69271690"/>
    <w:rsid w:val="694C0E55"/>
    <w:rsid w:val="6959691A"/>
    <w:rsid w:val="696033A5"/>
    <w:rsid w:val="696533DD"/>
    <w:rsid w:val="696973C3"/>
    <w:rsid w:val="696F027E"/>
    <w:rsid w:val="697A12F1"/>
    <w:rsid w:val="698E4AF7"/>
    <w:rsid w:val="69A16F46"/>
    <w:rsid w:val="69C55233"/>
    <w:rsid w:val="69CE6E20"/>
    <w:rsid w:val="69EA2F3F"/>
    <w:rsid w:val="69EB0D20"/>
    <w:rsid w:val="6A48689E"/>
    <w:rsid w:val="6A624D6D"/>
    <w:rsid w:val="6A667059"/>
    <w:rsid w:val="6A6E2976"/>
    <w:rsid w:val="6A8C667E"/>
    <w:rsid w:val="6A932B4B"/>
    <w:rsid w:val="6A954F80"/>
    <w:rsid w:val="6AE866A8"/>
    <w:rsid w:val="6AF619D0"/>
    <w:rsid w:val="6AF929C1"/>
    <w:rsid w:val="6B0146A4"/>
    <w:rsid w:val="6B051D29"/>
    <w:rsid w:val="6B087F5F"/>
    <w:rsid w:val="6B511AB7"/>
    <w:rsid w:val="6B676306"/>
    <w:rsid w:val="6B6D718E"/>
    <w:rsid w:val="6B711B7A"/>
    <w:rsid w:val="6B8329FE"/>
    <w:rsid w:val="6B9876E6"/>
    <w:rsid w:val="6B9C2066"/>
    <w:rsid w:val="6BC8556D"/>
    <w:rsid w:val="6BD43669"/>
    <w:rsid w:val="6BE8725E"/>
    <w:rsid w:val="6BEFDF97"/>
    <w:rsid w:val="6C152647"/>
    <w:rsid w:val="6C156D2D"/>
    <w:rsid w:val="6C187585"/>
    <w:rsid w:val="6C255D33"/>
    <w:rsid w:val="6C2F6077"/>
    <w:rsid w:val="6C3345BF"/>
    <w:rsid w:val="6C6608D6"/>
    <w:rsid w:val="6C7D5484"/>
    <w:rsid w:val="6C8870A4"/>
    <w:rsid w:val="6C9852E5"/>
    <w:rsid w:val="6C992705"/>
    <w:rsid w:val="6CB863CF"/>
    <w:rsid w:val="6CD858AC"/>
    <w:rsid w:val="6CFA7D7F"/>
    <w:rsid w:val="6D2F7BD6"/>
    <w:rsid w:val="6D66521C"/>
    <w:rsid w:val="6D6F33E7"/>
    <w:rsid w:val="6D84080B"/>
    <w:rsid w:val="6D8D7A35"/>
    <w:rsid w:val="6DB63AB0"/>
    <w:rsid w:val="6DBD1347"/>
    <w:rsid w:val="6E1667AF"/>
    <w:rsid w:val="6E2A7591"/>
    <w:rsid w:val="6E4F523E"/>
    <w:rsid w:val="6E5729A2"/>
    <w:rsid w:val="6E583A1F"/>
    <w:rsid w:val="6EAA495D"/>
    <w:rsid w:val="6EAB742B"/>
    <w:rsid w:val="6EAE1C55"/>
    <w:rsid w:val="6EB0558D"/>
    <w:rsid w:val="6EBD0C3B"/>
    <w:rsid w:val="6EC6113E"/>
    <w:rsid w:val="6EC97476"/>
    <w:rsid w:val="6EDC1FE0"/>
    <w:rsid w:val="6EE4788C"/>
    <w:rsid w:val="6EF20050"/>
    <w:rsid w:val="6EFF1080"/>
    <w:rsid w:val="6F1179EA"/>
    <w:rsid w:val="6F170E2C"/>
    <w:rsid w:val="6F1C670B"/>
    <w:rsid w:val="6F213326"/>
    <w:rsid w:val="6F3A22A7"/>
    <w:rsid w:val="6F3D03B5"/>
    <w:rsid w:val="6F45287E"/>
    <w:rsid w:val="6F68200A"/>
    <w:rsid w:val="6F8779FC"/>
    <w:rsid w:val="6FB44473"/>
    <w:rsid w:val="6FDE7692"/>
    <w:rsid w:val="6FFA1CBF"/>
    <w:rsid w:val="70052E70"/>
    <w:rsid w:val="70531535"/>
    <w:rsid w:val="70626515"/>
    <w:rsid w:val="70BF0D6E"/>
    <w:rsid w:val="70E01DD1"/>
    <w:rsid w:val="71146B51"/>
    <w:rsid w:val="71147230"/>
    <w:rsid w:val="71161C74"/>
    <w:rsid w:val="7128436B"/>
    <w:rsid w:val="71381023"/>
    <w:rsid w:val="713C7877"/>
    <w:rsid w:val="71597165"/>
    <w:rsid w:val="717256AD"/>
    <w:rsid w:val="718544F1"/>
    <w:rsid w:val="71976406"/>
    <w:rsid w:val="71DE2066"/>
    <w:rsid w:val="71E95523"/>
    <w:rsid w:val="71ED33BE"/>
    <w:rsid w:val="720A152D"/>
    <w:rsid w:val="721F1D01"/>
    <w:rsid w:val="7222649A"/>
    <w:rsid w:val="723F4FDA"/>
    <w:rsid w:val="725135AB"/>
    <w:rsid w:val="72657123"/>
    <w:rsid w:val="728C1D68"/>
    <w:rsid w:val="72936221"/>
    <w:rsid w:val="72D11304"/>
    <w:rsid w:val="72FF02E9"/>
    <w:rsid w:val="730C4186"/>
    <w:rsid w:val="7341102A"/>
    <w:rsid w:val="73415A10"/>
    <w:rsid w:val="73504D4A"/>
    <w:rsid w:val="7352461E"/>
    <w:rsid w:val="735A1ECE"/>
    <w:rsid w:val="736B0572"/>
    <w:rsid w:val="737974C3"/>
    <w:rsid w:val="73A17E6A"/>
    <w:rsid w:val="73E16D57"/>
    <w:rsid w:val="73E6032E"/>
    <w:rsid w:val="73EE0AE6"/>
    <w:rsid w:val="742279A6"/>
    <w:rsid w:val="742A71C4"/>
    <w:rsid w:val="743A395E"/>
    <w:rsid w:val="7453624B"/>
    <w:rsid w:val="746049BA"/>
    <w:rsid w:val="74874E5A"/>
    <w:rsid w:val="74A227F4"/>
    <w:rsid w:val="74A2568B"/>
    <w:rsid w:val="74BA5E3A"/>
    <w:rsid w:val="74C47F76"/>
    <w:rsid w:val="74DA0D6F"/>
    <w:rsid w:val="74FD32BB"/>
    <w:rsid w:val="751249BE"/>
    <w:rsid w:val="75280B59"/>
    <w:rsid w:val="753D4FBB"/>
    <w:rsid w:val="754E3DD7"/>
    <w:rsid w:val="7573132B"/>
    <w:rsid w:val="757934F0"/>
    <w:rsid w:val="75C46A85"/>
    <w:rsid w:val="75C80FD3"/>
    <w:rsid w:val="75DC3A8B"/>
    <w:rsid w:val="76021882"/>
    <w:rsid w:val="76160679"/>
    <w:rsid w:val="761715C6"/>
    <w:rsid w:val="765404A5"/>
    <w:rsid w:val="766574D1"/>
    <w:rsid w:val="766A4B41"/>
    <w:rsid w:val="767C3DB4"/>
    <w:rsid w:val="768F2CE9"/>
    <w:rsid w:val="76B907FF"/>
    <w:rsid w:val="76DE1045"/>
    <w:rsid w:val="76E96905"/>
    <w:rsid w:val="771463D1"/>
    <w:rsid w:val="774A39DA"/>
    <w:rsid w:val="776C147A"/>
    <w:rsid w:val="77777CEB"/>
    <w:rsid w:val="779B02BA"/>
    <w:rsid w:val="77B70EF4"/>
    <w:rsid w:val="77BA3F59"/>
    <w:rsid w:val="77CA4292"/>
    <w:rsid w:val="77D64484"/>
    <w:rsid w:val="77E922B4"/>
    <w:rsid w:val="78081990"/>
    <w:rsid w:val="781A58E7"/>
    <w:rsid w:val="7833145C"/>
    <w:rsid w:val="786258A4"/>
    <w:rsid w:val="78742457"/>
    <w:rsid w:val="787A60AB"/>
    <w:rsid w:val="788A6608"/>
    <w:rsid w:val="78BF0401"/>
    <w:rsid w:val="78CE1FD7"/>
    <w:rsid w:val="78D0463B"/>
    <w:rsid w:val="78F87A16"/>
    <w:rsid w:val="78FF0DA4"/>
    <w:rsid w:val="7906595E"/>
    <w:rsid w:val="7917686A"/>
    <w:rsid w:val="794B7201"/>
    <w:rsid w:val="795B0ABE"/>
    <w:rsid w:val="798B1783"/>
    <w:rsid w:val="79B2108A"/>
    <w:rsid w:val="79B32231"/>
    <w:rsid w:val="7A000403"/>
    <w:rsid w:val="7A097A01"/>
    <w:rsid w:val="7A176C08"/>
    <w:rsid w:val="7A417E6A"/>
    <w:rsid w:val="7A551F3B"/>
    <w:rsid w:val="7A92024C"/>
    <w:rsid w:val="7A98347A"/>
    <w:rsid w:val="7AA222D1"/>
    <w:rsid w:val="7B0B5BD1"/>
    <w:rsid w:val="7B1B3E90"/>
    <w:rsid w:val="7B930658"/>
    <w:rsid w:val="7BA53398"/>
    <w:rsid w:val="7BC71689"/>
    <w:rsid w:val="7BD7015A"/>
    <w:rsid w:val="7BE032FF"/>
    <w:rsid w:val="7BE20360"/>
    <w:rsid w:val="7C1A1A2B"/>
    <w:rsid w:val="7C435CA9"/>
    <w:rsid w:val="7C78688F"/>
    <w:rsid w:val="7C867510"/>
    <w:rsid w:val="7C9321E5"/>
    <w:rsid w:val="7C9B31CC"/>
    <w:rsid w:val="7CF01DBB"/>
    <w:rsid w:val="7CF510C4"/>
    <w:rsid w:val="7D21376C"/>
    <w:rsid w:val="7D287906"/>
    <w:rsid w:val="7D622331"/>
    <w:rsid w:val="7D8B198E"/>
    <w:rsid w:val="7D934831"/>
    <w:rsid w:val="7DD42A7E"/>
    <w:rsid w:val="7DD75B87"/>
    <w:rsid w:val="7DFC7E2B"/>
    <w:rsid w:val="7E122B46"/>
    <w:rsid w:val="7E262275"/>
    <w:rsid w:val="7E2676D0"/>
    <w:rsid w:val="7E4F73AA"/>
    <w:rsid w:val="7E654A6D"/>
    <w:rsid w:val="7E74200D"/>
    <w:rsid w:val="7E7B6F9A"/>
    <w:rsid w:val="7E985A25"/>
    <w:rsid w:val="7EA22277"/>
    <w:rsid w:val="7EBD1D1B"/>
    <w:rsid w:val="7EC63541"/>
    <w:rsid w:val="7EDE320A"/>
    <w:rsid w:val="7EED4B13"/>
    <w:rsid w:val="7F280929"/>
    <w:rsid w:val="7F361298"/>
    <w:rsid w:val="7F8B1A78"/>
    <w:rsid w:val="7FA418D8"/>
    <w:rsid w:val="7FA92784"/>
    <w:rsid w:val="7FDD570F"/>
    <w:rsid w:val="9AE83A73"/>
    <w:rsid w:val="AD7B8025"/>
    <w:rsid w:val="E35F54FE"/>
    <w:rsid w:val="F6EFFB30"/>
    <w:rsid w:val="F7FD1C94"/>
    <w:rsid w:val="FE3A6FE2"/>
    <w:rsid w:val="FF7E3B30"/>
    <w:rsid w:val="FF8D860E"/>
    <w:rsid w:val="FFFF07C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3">
    <w:name w:val="heading 1"/>
    <w:basedOn w:val="1"/>
    <w:next w:val="1"/>
    <w:link w:val="26"/>
    <w:qFormat/>
    <w:uiPriority w:val="0"/>
    <w:pPr>
      <w:keepNext/>
      <w:keepLines/>
      <w:spacing w:before="120" w:after="120"/>
      <w:jc w:val="center"/>
      <w:outlineLvl w:val="0"/>
    </w:pPr>
    <w:rPr>
      <w:b/>
      <w:kern w:val="44"/>
      <w:sz w:val="44"/>
    </w:rPr>
  </w:style>
  <w:style w:type="paragraph" w:styleId="4">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5">
    <w:name w:val="heading 4"/>
    <w:basedOn w:val="1"/>
    <w:next w:val="1"/>
    <w:qFormat/>
    <w:uiPriority w:val="0"/>
    <w:pPr>
      <w:keepNext/>
      <w:keepLines/>
      <w:outlineLvl w:val="3"/>
    </w:pPr>
    <w:rPr>
      <w:rFonts w:ascii="Arial" w:hAnsi="Arial" w:eastAsia="黑体"/>
      <w:bCs/>
      <w:kern w:val="0"/>
      <w:sz w:val="24"/>
      <w:szCs w:val="28"/>
    </w:rPr>
  </w:style>
  <w:style w:type="character" w:default="1" w:styleId="21">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rPr>
      <w:rFonts w:ascii="Calibri" w:hAnsi="Calibri"/>
      <w:szCs w:val="22"/>
    </w:rPr>
  </w:style>
  <w:style w:type="paragraph" w:styleId="6">
    <w:name w:val="Document Map"/>
    <w:basedOn w:val="1"/>
    <w:link w:val="27"/>
    <w:qFormat/>
    <w:uiPriority w:val="0"/>
    <w:rPr>
      <w:rFonts w:ascii="宋体" w:eastAsia="宋体"/>
      <w:sz w:val="18"/>
      <w:szCs w:val="18"/>
    </w:rPr>
  </w:style>
  <w:style w:type="paragraph" w:styleId="7">
    <w:name w:val="annotation text"/>
    <w:basedOn w:val="1"/>
    <w:link w:val="28"/>
    <w:unhideWhenUsed/>
    <w:qFormat/>
    <w:uiPriority w:val="99"/>
    <w:pPr>
      <w:jc w:val="left"/>
    </w:pPr>
  </w:style>
  <w:style w:type="paragraph" w:styleId="8">
    <w:name w:val="Body Text Indent"/>
    <w:basedOn w:val="1"/>
    <w:qFormat/>
    <w:uiPriority w:val="0"/>
    <w:pPr>
      <w:spacing w:after="120"/>
      <w:ind w:left="420" w:leftChars="200"/>
    </w:pPr>
  </w:style>
  <w:style w:type="paragraph" w:styleId="9">
    <w:name w:val="Plain Text"/>
    <w:basedOn w:val="1"/>
    <w:qFormat/>
    <w:uiPriority w:val="99"/>
    <w:rPr>
      <w:rFonts w:ascii="宋体" w:hAnsi="Courier New" w:cs="Courier New"/>
      <w:szCs w:val="21"/>
    </w:rPr>
  </w:style>
  <w:style w:type="paragraph" w:styleId="10">
    <w:name w:val="Date"/>
    <w:basedOn w:val="1"/>
    <w:next w:val="1"/>
    <w:qFormat/>
    <w:uiPriority w:val="0"/>
    <w:rPr>
      <w:rFonts w:ascii="Arial" w:hAnsi="Arial" w:eastAsia="黑体"/>
      <w:sz w:val="28"/>
    </w:rPr>
  </w:style>
  <w:style w:type="paragraph" w:styleId="11">
    <w:name w:val="Balloon Text"/>
    <w:basedOn w:val="1"/>
    <w:link w:val="29"/>
    <w:qFormat/>
    <w:uiPriority w:val="0"/>
    <w:rPr>
      <w:sz w:val="18"/>
      <w:szCs w:val="18"/>
    </w:rPr>
  </w:style>
  <w:style w:type="paragraph" w:styleId="12">
    <w:name w:val="footer"/>
    <w:basedOn w:val="1"/>
    <w:link w:val="30"/>
    <w:qFormat/>
    <w:uiPriority w:val="99"/>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qFormat/>
    <w:uiPriority w:val="0"/>
  </w:style>
  <w:style w:type="paragraph" w:styleId="15">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6">
    <w:name w:val="annotation subject"/>
    <w:basedOn w:val="7"/>
    <w:next w:val="7"/>
    <w:link w:val="31"/>
    <w:qFormat/>
    <w:uiPriority w:val="0"/>
    <w:rPr>
      <w:b/>
      <w:bCs/>
    </w:rPr>
  </w:style>
  <w:style w:type="paragraph" w:styleId="17">
    <w:name w:val="Body Text First Indent"/>
    <w:basedOn w:val="2"/>
    <w:qFormat/>
    <w:uiPriority w:val="0"/>
    <w:pPr>
      <w:tabs>
        <w:tab w:val="left" w:pos="567"/>
      </w:tabs>
      <w:spacing w:line="360" w:lineRule="auto"/>
    </w:pPr>
    <w:rPr>
      <w:rFonts w:ascii="宋体" w:hAnsi="宋体"/>
      <w:sz w:val="24"/>
    </w:rPr>
  </w:style>
  <w:style w:type="paragraph" w:styleId="18">
    <w:name w:val="Body Text First Indent 2"/>
    <w:basedOn w:val="8"/>
    <w:qFormat/>
    <w:uiPriority w:val="0"/>
    <w:pPr>
      <w:adjustRightInd w:val="0"/>
      <w:spacing w:after="120" w:line="520" w:lineRule="exact"/>
      <w:ind w:firstLine="210" w:firstLineChars="0"/>
      <w:textAlignment w:val="baseline"/>
    </w:pPr>
    <w:rPr>
      <w:rFonts w:ascii="黑体" w:hAnsi="Arial" w:eastAsia="黑体"/>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Emphasis"/>
    <w:qFormat/>
    <w:uiPriority w:val="0"/>
    <w:rPr>
      <w:i/>
    </w:rPr>
  </w:style>
  <w:style w:type="character" w:styleId="24">
    <w:name w:val="Hyperlink"/>
    <w:qFormat/>
    <w:uiPriority w:val="0"/>
    <w:rPr>
      <w:color w:val="0000FF"/>
      <w:u w:val="single"/>
    </w:rPr>
  </w:style>
  <w:style w:type="character" w:styleId="25">
    <w:name w:val="annotation reference"/>
    <w:unhideWhenUsed/>
    <w:qFormat/>
    <w:uiPriority w:val="99"/>
    <w:rPr>
      <w:sz w:val="21"/>
      <w:szCs w:val="21"/>
    </w:rPr>
  </w:style>
  <w:style w:type="character" w:customStyle="1" w:styleId="26">
    <w:name w:val="标题 1 字符"/>
    <w:link w:val="3"/>
    <w:qFormat/>
    <w:uiPriority w:val="0"/>
    <w:rPr>
      <w:rFonts w:ascii="Calibri" w:hAnsi="Calibri" w:eastAsia="仿宋" w:cs="Times New Roman"/>
      <w:b/>
      <w:kern w:val="44"/>
      <w:sz w:val="44"/>
      <w:szCs w:val="24"/>
    </w:rPr>
  </w:style>
  <w:style w:type="character" w:customStyle="1" w:styleId="27">
    <w:name w:val="文档结构图 字符"/>
    <w:link w:val="6"/>
    <w:qFormat/>
    <w:uiPriority w:val="0"/>
    <w:rPr>
      <w:rFonts w:ascii="宋体" w:hAnsi="Calibri" w:cs="Times New Roman"/>
      <w:kern w:val="2"/>
      <w:sz w:val="18"/>
      <w:szCs w:val="18"/>
    </w:rPr>
  </w:style>
  <w:style w:type="character" w:customStyle="1" w:styleId="28">
    <w:name w:val="批注文字 字符"/>
    <w:link w:val="7"/>
    <w:qFormat/>
    <w:uiPriority w:val="99"/>
    <w:rPr>
      <w:rFonts w:ascii="Calibri" w:hAnsi="Calibri" w:eastAsia="仿宋" w:cs="Times New Roman"/>
      <w:kern w:val="2"/>
      <w:sz w:val="21"/>
      <w:szCs w:val="24"/>
    </w:rPr>
  </w:style>
  <w:style w:type="character" w:customStyle="1" w:styleId="29">
    <w:name w:val="批注框文本 字符"/>
    <w:link w:val="11"/>
    <w:qFormat/>
    <w:uiPriority w:val="0"/>
    <w:rPr>
      <w:rFonts w:ascii="Calibri" w:hAnsi="Calibri" w:eastAsia="仿宋" w:cs="Times New Roman"/>
      <w:kern w:val="2"/>
      <w:sz w:val="18"/>
      <w:szCs w:val="18"/>
    </w:rPr>
  </w:style>
  <w:style w:type="character" w:customStyle="1" w:styleId="30">
    <w:name w:val="页脚 字符"/>
    <w:link w:val="12"/>
    <w:qFormat/>
    <w:uiPriority w:val="99"/>
    <w:rPr>
      <w:rFonts w:eastAsia="仿宋"/>
      <w:kern w:val="2"/>
      <w:sz w:val="18"/>
      <w:szCs w:val="24"/>
    </w:rPr>
  </w:style>
  <w:style w:type="character" w:customStyle="1" w:styleId="31">
    <w:name w:val="批注主题 字符"/>
    <w:link w:val="16"/>
    <w:qFormat/>
    <w:uiPriority w:val="0"/>
    <w:rPr>
      <w:rFonts w:ascii="Calibri" w:hAnsi="Calibri" w:eastAsia="仿宋" w:cs="Times New Roman"/>
      <w:b/>
      <w:bCs/>
      <w:kern w:val="2"/>
      <w:sz w:val="21"/>
      <w:szCs w:val="24"/>
    </w:rPr>
  </w:style>
  <w:style w:type="character" w:customStyle="1" w:styleId="32">
    <w:name w:val="mm-editor-clipboard"/>
    <w:qFormat/>
    <w:uiPriority w:val="0"/>
  </w:style>
  <w:style w:type="character" w:customStyle="1" w:styleId="33">
    <w:name w:val="underline"/>
    <w:qFormat/>
    <w:uiPriority w:val="0"/>
  </w:style>
  <w:style w:type="paragraph" w:customStyle="1" w:styleId="3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5">
    <w:name w:val="列出段落11"/>
    <w:basedOn w:val="1"/>
    <w:qFormat/>
    <w:uiPriority w:val="34"/>
    <w:pPr>
      <w:ind w:firstLine="420" w:firstLineChars="200"/>
    </w:pPr>
    <w:rPr>
      <w:rFonts w:ascii="Calibri" w:hAnsi="Calibri" w:eastAsia="宋体" w:cs="Times New Roman"/>
      <w:szCs w:val="22"/>
      <w:lang w:val="zh-CN"/>
    </w:rPr>
  </w:style>
  <w:style w:type="paragraph" w:styleId="36">
    <w:name w:val="List Paragraph"/>
    <w:basedOn w:val="1"/>
    <w:qFormat/>
    <w:uiPriority w:val="34"/>
    <w:pPr>
      <w:ind w:firstLine="420" w:firstLineChars="200"/>
    </w:pPr>
  </w:style>
  <w:style w:type="paragraph" w:customStyle="1" w:styleId="3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38">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39">
    <w:name w:val="样式H"/>
    <w:basedOn w:val="3"/>
    <w:next w:val="1"/>
    <w:qFormat/>
    <w:uiPriority w:val="0"/>
    <w:pPr>
      <w:spacing w:before="100" w:line="500" w:lineRule="exact"/>
    </w:pPr>
  </w:style>
  <w:style w:type="paragraph" w:customStyle="1" w:styleId="40">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41">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42">
    <w:name w:val="WPSOffice手动目录 1"/>
    <w:qFormat/>
    <w:uiPriority w:val="0"/>
    <w:rPr>
      <w:rFonts w:ascii="Times New Roman" w:hAnsi="Times New Roman" w:eastAsia="宋体" w:cs="Times New Roman"/>
      <w:lang w:val="en-US" w:eastAsia="zh-CN" w:bidi="ar-SA"/>
    </w:rPr>
  </w:style>
  <w:style w:type="paragraph" w:customStyle="1" w:styleId="43">
    <w:name w:val="样式N"/>
    <w:basedOn w:val="39"/>
    <w:qFormat/>
    <w:uiPriority w:val="0"/>
    <w:rPr>
      <w:sz w:val="30"/>
    </w:rPr>
  </w:style>
  <w:style w:type="paragraph" w:customStyle="1" w:styleId="4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5">
    <w:name w:val="列出段落1"/>
    <w:basedOn w:val="1"/>
    <w:qFormat/>
    <w:uiPriority w:val="0"/>
    <w:pPr>
      <w:ind w:firstLine="420" w:firstLineChars="200"/>
    </w:pPr>
    <w:rPr>
      <w:szCs w:val="21"/>
    </w:rPr>
  </w:style>
  <w:style w:type="paragraph" w:customStyle="1" w:styleId="46">
    <w:name w:val="xl3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106</Pages>
  <Words>10790</Words>
  <Characters>11885</Characters>
  <Lines>337</Lines>
  <Paragraphs>95</Paragraphs>
  <TotalTime>9</TotalTime>
  <ScaleCrop>false</ScaleCrop>
  <LinksUpToDate>false</LinksUpToDate>
  <CharactersWithSpaces>12420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2019-11-28T20:18:00Z</dcterms:created>
  <dc:creator>meimei</dc:creator>
  <cp:lastModifiedBy>通利代理</cp:lastModifiedBy>
  <cp:lastPrinted>2026-01-30T13:35:00Z</cp:lastPrinted>
  <dcterms:modified xsi:type="dcterms:W3CDTF">2026-09-09T09:17:41Z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8A932833D9A1462EB696D6D9D3366143_13</vt:lpwstr>
  </property>
  <property fmtid="{D5CDD505-2E9C-101B-9397-08002B2CF9AE}" pid="4" name="KSOTemplateDocerSaveRecord">
    <vt:lpwstr>eyJoZGlkIjoiNjBkNmY1NDhkMTU2M2FjZDk4YmI4MTY2MDBlNGRhNGIiLCJ1c2VySWQiOiI3OTcwNDI4NDQifQ==</vt:lpwstr>
  </property>
</Properties>
</file>