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版本号：N510114202500014520250610001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世运会安保服务采购项目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N5101142025000145</w:t>
      </w:r>
    </w:p>
    <w:p>
      <w:pPr>
        <w:pStyle w:val="null3"/>
        <w:jc w:val="center"/>
        <w:outlineLvl w:val="2"/>
      </w:pPr>
      <w:r>
        <w:rPr>
          <w:rFonts w:ascii="仿宋_GB2312" w:hAnsi="仿宋_GB2312" w:cs="仿宋_GB2312" w:eastAsia="仿宋_GB2312"/>
          <w:sz w:val="28"/>
          <w:b/>
        </w:rPr>
        <w:t>成都市公安局新都区分局</w:t>
      </w:r>
    </w:p>
    <w:p>
      <w:pPr>
        <w:pStyle w:val="null3"/>
        <w:jc w:val="center"/>
        <w:outlineLvl w:val="2"/>
      </w:pPr>
      <w:r>
        <w:rPr>
          <w:rFonts w:ascii="仿宋_GB2312" w:hAnsi="仿宋_GB2312" w:cs="仿宋_GB2312" w:eastAsia="仿宋_GB2312"/>
          <w:sz w:val="28"/>
          <w:b/>
        </w:rPr>
        <w:t>四川德鑫建设工程咨询有限公司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四川德鑫建设工程咨询有限公司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成都市公安局新都区分局</w:t>
      </w:r>
      <w:r>
        <w:rPr>
          <w:rFonts w:ascii="仿宋_GB2312" w:hAnsi="仿宋_GB2312" w:cs="仿宋_GB2312" w:eastAsia="仿宋_GB2312"/>
        </w:rPr>
        <w:t xml:space="preserve"> 委托，拟对 </w:t>
      </w:r>
      <w:r>
        <w:rPr>
          <w:rFonts w:ascii="仿宋_GB2312" w:hAnsi="仿宋_GB2312" w:cs="仿宋_GB2312" w:eastAsia="仿宋_GB2312"/>
        </w:rPr>
        <w:t>世运会安保服务采购项目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N5101142025000145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世运会安保服务采购项目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确保世运会比赛顺利进行，做好世运会比赛期间安全检查、区域守护、秩序维护，安全消防巡逻巡查等任务，及时发现并消除安全隐患，处理各类突发事件。成都市公安局新都区分局拟采用竞争性磋商方式选择一家供应商提供世运会安保服务。本次政府采购项目共一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1、供应商须具有有效的《保安服务许可证》（描述：供应商提供有效的《保安服务许可证》扫描件并进行电子签章）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根据《四川省财政厅关于推进四川省政府采购供应商信用融资工作的通知》（川财采〔2018〕123号）、成都市财政局 中国人民银行成都分行营业管理部关于印发《成都市中小企业政府采购信用融资暂行办法》和《成都市级支持中小企业政府采购信用融资实施方案》的通知（成财采〔2019〕17号）、《成都市新都区财政局关于公布新都区开展政府采购信用融资业务金融机构名单的通知》（新都财采〔2021〕160号）文件要求，为助力解决政府采购中标、成交供应商资金不足、融资难、融资贵的困难，促进供应商依法诚信参加政府采购活动，有融资需求的供应商可根据四川政府采购网公示的银行及其“政采贷”产品，自行选择符合自身情况的“政采贷”银行及其产品，凭中标（成交）通知书向银行提出贷款意向申请，并按照相关规定要求和贷款流程申请信用融资贷款。</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成都市公安局新都区分局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成都市新都区金都街127号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028-83964866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四川德鑫建设工程咨询有限公司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成都市新都区新都街道兴乐北路88号1幢16层2号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潘女士、黄女士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028-83912303、028-83995998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采购包1：2,390,000.00元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政府采购代理机构管理暂行办法》（财库〔2018〕2号）的规定，本项目代理服务费由成交供应商向采购代理机构支付，代理服务费约定金额26,120.00元。成交供应商在结果公告发布后3个工作日内办理代理服务费，可使用银行转账、电汇或代理机构认可的方式支付。 代理服务费交至以下指定账户：收款单位：四川德鑫建设工程咨询有限公司 开户行：中国银行新都支行 银行账号：130 662 649 813 财务咨询电话：028-61626823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成都市公安局新都区分局</w:t>
      </w:r>
      <w:r>
        <w:rPr>
          <w:rFonts w:ascii="仿宋_GB2312" w:hAnsi="仿宋_GB2312" w:cs="仿宋_GB2312" w:eastAsia="仿宋_GB2312"/>
        </w:rPr>
        <w:t xml:space="preserve"> 和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成都市公安局新都区分局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四川德鑫建设工程咨询有限公司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按磋商文件的服务内容及要求、成交供应商的响应文件及承诺以及合同约定标准进行验收。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成都市公安局新都区分局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联系人：庞女士</w:t>
      </w:r>
    </w:p>
    <w:p>
      <w:pPr>
        <w:pStyle w:val="null3"/>
        <w:jc w:val="left"/>
      </w:pPr>
      <w:r>
        <w:rPr>
          <w:rFonts w:ascii="仿宋_GB2312" w:hAnsi="仿宋_GB2312" w:cs="仿宋_GB2312" w:eastAsia="仿宋_GB2312"/>
        </w:rPr>
        <w:t>联系电话：028-83977895、19150079953</w:t>
      </w:r>
    </w:p>
    <w:p>
      <w:pPr>
        <w:pStyle w:val="null3"/>
        <w:jc w:val="left"/>
      </w:pPr>
      <w:r>
        <w:rPr>
          <w:rFonts w:ascii="仿宋_GB2312" w:hAnsi="仿宋_GB2312" w:cs="仿宋_GB2312" w:eastAsia="仿宋_GB2312"/>
        </w:rPr>
        <w:t>地址：成都市新都区新都街道兴乐北路88号1幢16层2号</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2,390,000.00</w:t>
      </w:r>
    </w:p>
    <w:p>
      <w:pPr>
        <w:pStyle w:val="null3"/>
        <w:jc w:val="left"/>
      </w:pPr>
      <w:r>
        <w:rPr>
          <w:rFonts w:ascii="仿宋_GB2312" w:hAnsi="仿宋_GB2312" w:cs="仿宋_GB2312" w:eastAsia="仿宋_GB2312"/>
        </w:rPr>
        <w:t>采购包最高限价（元）: 2,390,000.00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C05040300 保安服务</w:t>
            </w:r>
          </w:p>
        </w:tc>
        <w:tc>
          <w:tcPr>
            <w:tcW w:type="dxa" w:w="821"/>
          </w:tcPr>
          <w:p>
            <w:pPr>
              <w:pStyle w:val="null3"/>
              <w:jc w:val="left"/>
            </w:pPr>
            <w:r>
              <w:rPr>
                <w:rFonts w:ascii="仿宋_GB2312" w:hAnsi="仿宋_GB2312" w:cs="仿宋_GB2312" w:eastAsia="仿宋_GB2312"/>
              </w:rPr>
              <w:t>成都市公安局新都区分局世运会安保服务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普通保安</w:t>
            </w:r>
          </w:p>
        </w:tc>
        <w:tc>
          <w:tcPr>
            <w:tcW w:type="dxa" w:w="977"/>
          </w:tcPr>
          <w:p>
            <w:pPr>
              <w:pStyle w:val="null3"/>
              <w:jc w:val="center"/>
            </w:pPr>
            <w:r>
              <w:rPr>
                <w:rFonts w:ascii="仿宋_GB2312" w:hAnsi="仿宋_GB2312" w:cs="仿宋_GB2312" w:eastAsia="仿宋_GB2312"/>
              </w:rPr>
              <w:t>人次/班</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普通保安最高限价400元/人次/班（该费用包含但不限于人员工资、保险、餐食、饮水、防暑降温，管理费用及税金等所有费用），报价超过最高限价视为无效响应。</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安检保安</w:t>
            </w:r>
          </w:p>
        </w:tc>
        <w:tc>
          <w:tcPr>
            <w:tcW w:type="dxa" w:w="977"/>
          </w:tcPr>
          <w:p>
            <w:pPr>
              <w:pStyle w:val="null3"/>
              <w:jc w:val="center"/>
            </w:pPr>
            <w:r>
              <w:rPr>
                <w:rFonts w:ascii="仿宋_GB2312" w:hAnsi="仿宋_GB2312" w:cs="仿宋_GB2312" w:eastAsia="仿宋_GB2312"/>
              </w:rPr>
              <w:t>人次/班</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500.00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安检保安最高限价500元/人次/班（该费用包含但不限于人员工资、保险、餐食、饮水、防暑降温，管理费用及税金等所有费用），报价超过最高限价视为无效响应。</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标的名称：成都市公安局新都区分局世运会安保服务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世运会安保服务</w:t>
            </w:r>
          </w:p>
        </w:tc>
        <w:tc>
          <w:tcPr>
            <w:tcW w:type="dxa" w:w="5814"/>
          </w:tcPr>
          <w:p>
            <w:pPr>
              <w:pStyle w:val="null3"/>
              <w:jc w:val="both"/>
              <w:outlineLvl w:val="1"/>
            </w:pPr>
            <w:r>
              <w:rPr>
                <w:rFonts w:ascii="仿宋_GB2312" w:hAnsi="仿宋_GB2312" w:cs="仿宋_GB2312" w:eastAsia="仿宋_GB2312"/>
                <w:sz w:val="21"/>
                <w:b/>
              </w:rPr>
              <w:t>一、</w:t>
            </w:r>
            <w:r>
              <w:rPr>
                <w:rFonts w:ascii="仿宋_GB2312" w:hAnsi="仿宋_GB2312" w:cs="仿宋_GB2312" w:eastAsia="仿宋_GB2312"/>
                <w:sz w:val="21"/>
                <w:b/>
              </w:rPr>
              <w:t>服务内容及要求</w:t>
            </w:r>
          </w:p>
          <w:p>
            <w:pPr>
              <w:pStyle w:val="null3"/>
              <w:ind w:firstLine="482"/>
              <w:jc w:val="both"/>
            </w:pPr>
            <w:r>
              <w:rPr>
                <w:rFonts w:ascii="仿宋_GB2312" w:hAnsi="仿宋_GB2312" w:cs="仿宋_GB2312" w:eastAsia="仿宋_GB2312"/>
                <w:sz w:val="21"/>
                <w:b/>
              </w:rPr>
              <w:t>★（一）服务内容</w:t>
            </w:r>
          </w:p>
          <w:p>
            <w:pPr>
              <w:pStyle w:val="null3"/>
              <w:ind w:firstLine="480"/>
              <w:jc w:val="both"/>
            </w:pPr>
            <w:r>
              <w:rPr>
                <w:rFonts w:ascii="仿宋_GB2312" w:hAnsi="仿宋_GB2312" w:cs="仿宋_GB2312" w:eastAsia="仿宋_GB2312"/>
                <w:sz w:val="21"/>
              </w:rPr>
              <w:t>1.在比赛场馆内安保组的指导下，开展安检、人员验证、重点部位值守、场馆内周界巡逻守护、场馆内秩序维护等。</w:t>
            </w:r>
          </w:p>
          <w:p>
            <w:pPr>
              <w:pStyle w:val="null3"/>
              <w:ind w:firstLine="480"/>
              <w:jc w:val="both"/>
            </w:pPr>
            <w:r>
              <w:rPr>
                <w:rFonts w:ascii="仿宋_GB2312" w:hAnsi="仿宋_GB2312" w:cs="仿宋_GB2312" w:eastAsia="仿宋_GB2312"/>
                <w:sz w:val="21"/>
              </w:rPr>
              <w:t>2.在比赛场馆外安保组的指导下，对场馆外重点部位进行值守、周界巡逻守护、秩序维护等。</w:t>
            </w:r>
          </w:p>
          <w:p>
            <w:pPr>
              <w:pStyle w:val="null3"/>
              <w:ind w:firstLine="480"/>
              <w:jc w:val="both"/>
            </w:pPr>
            <w:r>
              <w:rPr>
                <w:rFonts w:ascii="仿宋_GB2312" w:hAnsi="仿宋_GB2312" w:cs="仿宋_GB2312" w:eastAsia="仿宋_GB2312"/>
                <w:sz w:val="21"/>
              </w:rPr>
              <w:t>3.配合完成消防、防汛、维稳、防灾减灾等安全保卫工作。</w:t>
            </w:r>
          </w:p>
          <w:p>
            <w:pPr>
              <w:pStyle w:val="null3"/>
              <w:ind w:firstLine="480"/>
              <w:jc w:val="both"/>
            </w:pPr>
            <w:r>
              <w:rPr>
                <w:rFonts w:ascii="仿宋_GB2312" w:hAnsi="仿宋_GB2312" w:cs="仿宋_GB2312" w:eastAsia="仿宋_GB2312"/>
                <w:sz w:val="21"/>
              </w:rPr>
              <w:t>4.负责各现场点位内的安全警戒与秩序保障，配合做好安检保卫工作。</w:t>
            </w:r>
          </w:p>
          <w:p>
            <w:pPr>
              <w:pStyle w:val="null3"/>
              <w:ind w:firstLine="480"/>
              <w:jc w:val="both"/>
            </w:pPr>
            <w:r>
              <w:rPr>
                <w:rFonts w:ascii="仿宋_GB2312" w:hAnsi="仿宋_GB2312" w:cs="仿宋_GB2312" w:eastAsia="仿宋_GB2312"/>
                <w:sz w:val="21"/>
              </w:rPr>
              <w:t>5.负责各现场内突发事件处置、灾害预防、初期火灾扑救，公共部位安全隐患检查、排除及上报，违规纠正，有针对性地开展安全教育和提示，发现和制止暴力事件，随时准备提供紧急救助。</w:t>
            </w:r>
          </w:p>
          <w:p>
            <w:pPr>
              <w:pStyle w:val="null3"/>
              <w:ind w:firstLine="480"/>
              <w:jc w:val="both"/>
            </w:pPr>
            <w:r>
              <w:rPr>
                <w:rFonts w:ascii="仿宋_GB2312" w:hAnsi="仿宋_GB2312" w:cs="仿宋_GB2312" w:eastAsia="仿宋_GB2312"/>
                <w:sz w:val="21"/>
              </w:rPr>
              <w:t>6.其他属于保安服务范围内的工作以及采购人临时交办的工作任务。</w:t>
            </w:r>
          </w:p>
          <w:p>
            <w:pPr>
              <w:pStyle w:val="null3"/>
              <w:ind w:firstLine="482"/>
              <w:jc w:val="both"/>
            </w:pPr>
            <w:r>
              <w:rPr>
                <w:rFonts w:ascii="仿宋_GB2312" w:hAnsi="仿宋_GB2312" w:cs="仿宋_GB2312" w:eastAsia="仿宋_GB2312"/>
                <w:sz w:val="21"/>
                <w:b/>
              </w:rPr>
              <w:t>（二）服务人员配置及要求（具体人数以现场执勤使用班次为准）</w:t>
            </w:r>
          </w:p>
          <w:p>
            <w:pPr>
              <w:pStyle w:val="null3"/>
              <w:ind w:firstLine="480"/>
              <w:jc w:val="both"/>
            </w:pPr>
            <w:r>
              <w:rPr>
                <w:rFonts w:ascii="仿宋_GB2312" w:hAnsi="仿宋_GB2312" w:cs="仿宋_GB2312" w:eastAsia="仿宋_GB2312"/>
                <w:sz w:val="21"/>
              </w:rPr>
              <w:t>★1.服务人员配置：</w:t>
            </w:r>
          </w:p>
          <w:p>
            <w:pPr>
              <w:pStyle w:val="null3"/>
              <w:jc w:val="center"/>
            </w:pPr>
            <w:r>
              <w:rPr>
                <w:rFonts w:ascii="仿宋_GB2312" w:hAnsi="仿宋_GB2312" w:cs="仿宋_GB2312" w:eastAsia="仿宋_GB2312"/>
                <w:sz w:val="21"/>
              </w:rPr>
              <w:t>香城体育中心软式曲棍球场馆</w:t>
            </w:r>
          </w:p>
          <w:tbl>
            <w:tblPr>
              <w:tblBorders>
                <w:top w:val="none" w:color="000000" w:sz="4"/>
                <w:left w:val="none" w:color="000000" w:sz="4"/>
                <w:bottom w:val="none" w:color="000000" w:sz="4"/>
                <w:right w:val="none" w:color="000000" w:sz="4"/>
                <w:insideH w:val="none"/>
                <w:insideV w:val="none"/>
              </w:tblBorders>
            </w:tblPr>
            <w:tblGrid>
              <w:gridCol w:w="417"/>
              <w:gridCol w:w="597"/>
              <w:gridCol w:w="559"/>
              <w:gridCol w:w="502"/>
              <w:gridCol w:w="540"/>
              <w:gridCol w:w="616"/>
              <w:gridCol w:w="540"/>
              <w:gridCol w:w="597"/>
              <w:gridCol w:w="445"/>
              <w:gridCol w:w="740"/>
            </w:tblGrid>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5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安保点位</w:t>
                  </w:r>
                </w:p>
              </w:tc>
              <w:tc>
                <w:tcPr>
                  <w:tcW w:type="dxa" w:w="5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保安种类</w:t>
                  </w:r>
                </w:p>
              </w:tc>
              <w:tc>
                <w:tcPr>
                  <w:tcW w:type="dxa" w:w="5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具体任务</w:t>
                  </w:r>
                </w:p>
              </w:tc>
              <w:tc>
                <w:tcPr>
                  <w:tcW w:type="dxa" w:w="6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预计每日每班需上岗保安人数</w:t>
                  </w:r>
                </w:p>
              </w:tc>
              <w:tc>
                <w:tcPr>
                  <w:tcW w:type="dxa" w:w="5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预计每日需上岗班次</w:t>
                  </w:r>
                </w:p>
              </w:tc>
              <w:tc>
                <w:tcPr>
                  <w:tcW w:type="dxa" w:w="5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预计每日上岗保安人次小计</w:t>
                  </w:r>
                </w:p>
              </w:tc>
              <w:tc>
                <w:tcPr>
                  <w:tcW w:type="dxa" w:w="4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预计天数</w:t>
                  </w:r>
                </w:p>
              </w:tc>
              <w:tc>
                <w:tcPr>
                  <w:tcW w:type="dxa" w:w="7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预计赛事保安人次合计</w:t>
                  </w:r>
                </w:p>
              </w:tc>
            </w:tr>
            <w:tr>
              <w:tc>
                <w:tcPr>
                  <w:tcW w:type="dxa" w:w="417"/>
                  <w:vMerge/>
                  <w:tcBorders>
                    <w:top w:val="single" w:color="000000" w:sz="4"/>
                    <w:left w:val="single" w:color="000000" w:sz="4"/>
                    <w:bottom w:val="single" w:color="000000" w:sz="4"/>
                    <w:right w:val="single" w:color="000000" w:sz="4"/>
                  </w:tcBorders>
                </w:tcPr>
                <w:p/>
              </w:tc>
              <w:tc>
                <w:tcPr>
                  <w:tcW w:type="dxa" w:w="597"/>
                  <w:vMerge/>
                  <w:tcBorders>
                    <w:top w:val="single" w:color="000000" w:sz="4"/>
                    <w:left w:val="single" w:color="000000" w:sz="4"/>
                    <w:bottom w:val="single" w:color="000000" w:sz="4"/>
                    <w:right w:val="single" w:color="000000" w:sz="4"/>
                  </w:tcBorders>
                </w:tcPr>
                <w:p/>
              </w:tc>
              <w:tc>
                <w:tcPr>
                  <w:tcW w:type="dxa" w:w="559"/>
                  <w:vMerge/>
                  <w:tcBorders>
                    <w:top w:val="single" w:color="000000" w:sz="4"/>
                    <w:left w:val="single" w:color="000000" w:sz="4"/>
                    <w:bottom w:val="single" w:color="000000" w:sz="4"/>
                    <w:right w:val="single" w:color="000000" w:sz="4"/>
                  </w:tcBorders>
                </w:tcPr>
                <w:p/>
              </w:tc>
              <w:tc>
                <w:tcPr>
                  <w:tcW w:type="dxa" w:w="502"/>
                  <w:vMerge/>
                  <w:tcBorders>
                    <w:top w:val="single" w:color="000000" w:sz="4"/>
                    <w:left w:val="single" w:color="000000" w:sz="4"/>
                    <w:bottom w:val="single" w:color="000000" w:sz="4"/>
                    <w:right w:val="single" w:color="000000" w:sz="4"/>
                  </w:tcBorders>
                </w:tcPr>
                <w:p/>
              </w:tc>
              <w:tc>
                <w:tcPr>
                  <w:tcW w:type="dxa" w:w="540"/>
                  <w:vMerge/>
                  <w:tcBorders>
                    <w:top w:val="single" w:color="000000" w:sz="4"/>
                    <w:left w:val="single" w:color="000000" w:sz="4"/>
                    <w:bottom w:val="single" w:color="000000" w:sz="4"/>
                    <w:right w:val="single" w:color="000000" w:sz="4"/>
                  </w:tcBorders>
                </w:tcPr>
                <w:p/>
              </w:tc>
              <w:tc>
                <w:tcPr>
                  <w:tcW w:type="dxa" w:w="616"/>
                  <w:vMerge/>
                  <w:tcBorders>
                    <w:top w:val="single" w:color="000000" w:sz="4"/>
                    <w:left w:val="single" w:color="000000" w:sz="4"/>
                    <w:bottom w:val="single" w:color="000000" w:sz="4"/>
                    <w:right w:val="single" w:color="000000" w:sz="4"/>
                  </w:tcBorders>
                </w:tcPr>
                <w:p/>
              </w:tc>
              <w:tc>
                <w:tcPr>
                  <w:tcW w:type="dxa" w:w="540"/>
                  <w:vMerge/>
                  <w:tcBorders>
                    <w:top w:val="single" w:color="000000" w:sz="4"/>
                    <w:left w:val="single" w:color="000000" w:sz="4"/>
                    <w:bottom w:val="single" w:color="000000" w:sz="4"/>
                    <w:right w:val="single" w:color="000000" w:sz="4"/>
                  </w:tcBorders>
                </w:tcPr>
                <w:p/>
              </w:tc>
              <w:tc>
                <w:tcPr>
                  <w:tcW w:type="dxa" w:w="597"/>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740"/>
                  <w:vMerge/>
                  <w:tcBorders>
                    <w:top w:val="single" w:color="000000" w:sz="4"/>
                    <w:left w:val="single" w:color="000000" w:sz="4"/>
                    <w:bottom w:val="single" w:color="000000" w:sz="4"/>
                    <w:right w:val="single" w:color="000000" w:sz="4"/>
                  </w:tcBorders>
                </w:tcP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安保锁闭期周界及场馆安全守护</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场馆安全守护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训练场馆</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场馆安全守护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竞赛场馆车检通道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竞赛场馆工作人员通道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竞赛场馆观众通道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训练场馆安检通道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r>
                    <w:rPr>
                      <w:rFonts w:ascii="仿宋_GB2312" w:hAnsi="仿宋_GB2312" w:cs="仿宋_GB2312" w:eastAsia="仿宋_GB2312"/>
                      <w:sz w:val="21"/>
                      <w:color w:val="000000"/>
                    </w:rPr>
                    <w:t>B1大厅</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A区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B区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C区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D区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训练场馆楼梯通道守护</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训练场馆车辆停放区守护</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机动处置</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竞赛场馆及训练场馆</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突发事件处置</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r>
          </w:tbl>
          <w:p>
            <w:pPr>
              <w:pStyle w:val="null3"/>
              <w:jc w:val="center"/>
            </w:pPr>
            <w:r>
              <w:rPr>
                <w:rFonts w:ascii="仿宋_GB2312" w:hAnsi="仿宋_GB2312" w:cs="仿宋_GB2312" w:eastAsia="仿宋_GB2312"/>
                <w:sz w:val="21"/>
              </w:rPr>
              <w:t>新都兴城垒球场馆</w:t>
            </w:r>
          </w:p>
          <w:tbl>
            <w:tblPr>
              <w:tblBorders>
                <w:top w:val="none" w:color="000000" w:sz="4"/>
                <w:left w:val="none" w:color="000000" w:sz="4"/>
                <w:bottom w:val="none" w:color="000000" w:sz="4"/>
                <w:right w:val="none" w:color="000000" w:sz="4"/>
                <w:insideH w:val="none"/>
                <w:insideV w:val="none"/>
              </w:tblBorders>
            </w:tblPr>
            <w:tblGrid>
              <w:gridCol w:w="417"/>
              <w:gridCol w:w="597"/>
              <w:gridCol w:w="588"/>
              <w:gridCol w:w="483"/>
              <w:gridCol w:w="550"/>
              <w:gridCol w:w="607"/>
              <w:gridCol w:w="550"/>
              <w:gridCol w:w="578"/>
              <w:gridCol w:w="455"/>
              <w:gridCol w:w="749"/>
            </w:tblGrid>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安保点位</w:t>
                  </w:r>
                </w:p>
              </w:tc>
              <w:tc>
                <w:tcPr>
                  <w:tcW w:type="dxa" w:w="4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保安种类</w:t>
                  </w:r>
                </w:p>
              </w:tc>
              <w:tc>
                <w:tcPr>
                  <w:tcW w:type="dxa" w:w="5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具体任务</w:t>
                  </w:r>
                </w:p>
              </w:tc>
              <w:tc>
                <w:tcPr>
                  <w:tcW w:type="dxa" w:w="6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预计每日每班需上岗保安人数</w:t>
                  </w:r>
                </w:p>
              </w:tc>
              <w:tc>
                <w:tcPr>
                  <w:tcW w:type="dxa" w:w="5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预计每日需上岗班次</w:t>
                  </w:r>
                </w:p>
              </w:tc>
              <w:tc>
                <w:tcPr>
                  <w:tcW w:type="dxa" w:w="5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预计每日上岗保安人数小计</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预计天数</w:t>
                  </w:r>
                </w:p>
              </w:tc>
              <w:tc>
                <w:tcPr>
                  <w:tcW w:type="dxa" w:w="7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预计赛事保安人数合计</w:t>
                  </w:r>
                </w:p>
              </w:tc>
            </w:tr>
            <w:tr>
              <w:tc>
                <w:tcPr>
                  <w:tcW w:type="dxa" w:w="417"/>
                  <w:vMerge/>
                  <w:tcBorders>
                    <w:top w:val="single" w:color="000000" w:sz="4"/>
                    <w:left w:val="single" w:color="000000" w:sz="4"/>
                    <w:bottom w:val="single" w:color="000000" w:sz="4"/>
                    <w:right w:val="single" w:color="000000" w:sz="4"/>
                  </w:tcBorders>
                </w:tcPr>
                <w:p/>
              </w:tc>
              <w:tc>
                <w:tcPr>
                  <w:tcW w:type="dxa" w:w="597"/>
                  <w:vMerge/>
                  <w:tcBorders>
                    <w:top w:val="single" w:color="000000" w:sz="4"/>
                    <w:left w:val="none" w:color="000000" w:sz="4"/>
                    <w:bottom w:val="single" w:color="000000" w:sz="4"/>
                    <w:right w:val="single" w:color="000000" w:sz="4"/>
                  </w:tcBorders>
                </w:tcPr>
                <w:p/>
              </w:tc>
              <w:tc>
                <w:tcPr>
                  <w:tcW w:type="dxa" w:w="588"/>
                  <w:vMerge/>
                  <w:tcBorders>
                    <w:top w:val="single" w:color="000000" w:sz="4"/>
                    <w:left w:val="none" w:color="000000" w:sz="4"/>
                    <w:bottom w:val="single" w:color="000000" w:sz="4"/>
                    <w:right w:val="single" w:color="000000" w:sz="4"/>
                  </w:tcBorders>
                </w:tcPr>
                <w:p/>
              </w:tc>
              <w:tc>
                <w:tcPr>
                  <w:tcW w:type="dxa" w:w="483"/>
                  <w:vMerge/>
                  <w:tcBorders>
                    <w:top w:val="single" w:color="000000" w:sz="4"/>
                    <w:left w:val="none" w:color="000000" w:sz="4"/>
                    <w:bottom w:val="single" w:color="000000" w:sz="4"/>
                    <w:right w:val="single" w:color="000000" w:sz="4"/>
                  </w:tcBorders>
                </w:tcPr>
                <w:p/>
              </w:tc>
              <w:tc>
                <w:tcPr>
                  <w:tcW w:type="dxa" w:w="550"/>
                  <w:vMerge/>
                  <w:tcBorders>
                    <w:top w:val="single" w:color="000000" w:sz="4"/>
                    <w:left w:val="none" w:color="000000" w:sz="4"/>
                    <w:bottom w:val="single" w:color="000000" w:sz="4"/>
                    <w:right w:val="single" w:color="000000" w:sz="4"/>
                  </w:tcBorders>
                </w:tcPr>
                <w:p/>
              </w:tc>
              <w:tc>
                <w:tcPr>
                  <w:tcW w:type="dxa" w:w="607"/>
                  <w:vMerge/>
                  <w:tcBorders>
                    <w:top w:val="single" w:color="000000" w:sz="4"/>
                    <w:left w:val="none" w:color="000000" w:sz="4"/>
                    <w:bottom w:val="single" w:color="000000" w:sz="4"/>
                    <w:right w:val="single" w:color="000000" w:sz="4"/>
                  </w:tcBorders>
                </w:tcPr>
                <w:p/>
              </w:tc>
              <w:tc>
                <w:tcPr>
                  <w:tcW w:type="dxa" w:w="550"/>
                  <w:vMerge/>
                  <w:tcBorders>
                    <w:top w:val="single" w:color="000000" w:sz="4"/>
                    <w:left w:val="none" w:color="000000" w:sz="4"/>
                    <w:bottom w:val="single" w:color="000000" w:sz="4"/>
                    <w:right w:val="single" w:color="000000" w:sz="4"/>
                  </w:tcBorders>
                </w:tcPr>
                <w:p/>
              </w:tc>
              <w:tc>
                <w:tcPr>
                  <w:tcW w:type="dxa" w:w="578"/>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749"/>
                  <w:vMerge/>
                  <w:tcBorders>
                    <w:top w:val="single" w:color="000000" w:sz="4"/>
                    <w:left w:val="none" w:color="000000" w:sz="4"/>
                    <w:bottom w:val="single" w:color="000000" w:sz="4"/>
                    <w:right w:val="single" w:color="000000" w:sz="4"/>
                  </w:tcBorders>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安保锁闭期周界及场馆安全守护</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场馆安全守护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竞赛场馆车检通道</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竞赛场馆工作人员通道</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竞赛场馆观众通道</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A区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B区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C区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竞赛场馆看台</w:t>
                  </w:r>
                  <w:r>
                    <w:rPr>
                      <w:rFonts w:ascii="仿宋_GB2312" w:hAnsi="仿宋_GB2312" w:cs="仿宋_GB2312" w:eastAsia="仿宋_GB2312"/>
                      <w:sz w:val="21"/>
                      <w:color w:val="000000"/>
                    </w:rPr>
                    <w:t>D区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417"/>
                  <w:vMerge/>
                  <w:tcBorders>
                    <w:top w:val="none" w:color="000000" w:sz="4"/>
                    <w:left w:val="single" w:color="000000" w:sz="4"/>
                    <w:bottom w:val="single" w:color="000000" w:sz="4"/>
                    <w:right w:val="single" w:color="000000" w:sz="4"/>
                  </w:tcBorders>
                </w:tcPr>
                <w:p/>
              </w:tc>
              <w:tc>
                <w:tcPr>
                  <w:tcW w:type="dxa" w:w="597"/>
                  <w:vMerge/>
                  <w:tcBorders>
                    <w:top w:val="none" w:color="000000" w:sz="4"/>
                    <w:left w:val="none" w:color="000000" w:sz="4"/>
                    <w:bottom w:val="single" w:color="000000" w:sz="4"/>
                    <w:right w:val="single" w:color="000000" w:sz="4"/>
                  </w:tcBorders>
                </w:tcP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竞赛场馆各客户群体流线及通道守护</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机动处置</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突发事件处置</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r>
          </w:tbl>
          <w:p>
            <w:pPr>
              <w:pStyle w:val="null3"/>
              <w:jc w:val="center"/>
            </w:pPr>
            <w:r>
              <w:rPr>
                <w:rFonts w:ascii="仿宋_GB2312" w:hAnsi="仿宋_GB2312" w:cs="仿宋_GB2312" w:eastAsia="仿宋_GB2312"/>
                <w:sz w:val="21"/>
              </w:rPr>
              <w:t>轮滑场馆及公路赛场馆</w:t>
            </w:r>
          </w:p>
          <w:tbl>
            <w:tblPr>
              <w:tblBorders>
                <w:top w:val="none" w:color="000000" w:sz="4"/>
                <w:left w:val="none" w:color="000000" w:sz="4"/>
                <w:bottom w:val="none" w:color="000000" w:sz="4"/>
                <w:right w:val="none" w:color="000000" w:sz="4"/>
                <w:insideH w:val="none"/>
                <w:insideV w:val="none"/>
              </w:tblBorders>
            </w:tblPr>
            <w:tblGrid>
              <w:gridCol w:w="415"/>
              <w:gridCol w:w="585"/>
              <w:gridCol w:w="585"/>
              <w:gridCol w:w="490"/>
              <w:gridCol w:w="566"/>
              <w:gridCol w:w="604"/>
              <w:gridCol w:w="547"/>
              <w:gridCol w:w="566"/>
              <w:gridCol w:w="443"/>
              <w:gridCol w:w="736"/>
            </w:tblGrid>
            <w:tr>
              <w:tc>
                <w:tcPr>
                  <w:tcW w:type="dxa" w:w="4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5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安保点位</w:t>
                  </w:r>
                </w:p>
              </w:tc>
              <w:tc>
                <w:tcPr>
                  <w:tcW w:type="dxa" w:w="4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保安种类</w:t>
                  </w:r>
                </w:p>
              </w:tc>
              <w:tc>
                <w:tcPr>
                  <w:tcW w:type="dxa" w:w="5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具体任务</w:t>
                  </w:r>
                </w:p>
              </w:tc>
              <w:tc>
                <w:tcPr>
                  <w:tcW w:type="dxa" w:w="6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预计每日每班需上岗保安人数</w:t>
                  </w:r>
                </w:p>
              </w:tc>
              <w:tc>
                <w:tcPr>
                  <w:tcW w:type="dxa" w:w="5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预计每日需上岗班次</w:t>
                  </w:r>
                </w:p>
              </w:tc>
              <w:tc>
                <w:tcPr>
                  <w:tcW w:type="dxa" w:w="5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预计每日上岗保安人数小计</w:t>
                  </w:r>
                </w:p>
              </w:tc>
              <w:tc>
                <w:tcPr>
                  <w:tcW w:type="dxa" w:w="4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预计天数</w:t>
                  </w:r>
                </w:p>
              </w:tc>
              <w:tc>
                <w:tcPr>
                  <w:tcW w:type="dxa" w:w="7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预计赛事保安人数合计</w:t>
                  </w:r>
                </w:p>
              </w:tc>
            </w:tr>
            <w:tr>
              <w:tc>
                <w:tcPr>
                  <w:tcW w:type="dxa" w:w="415"/>
                  <w:vMerge/>
                  <w:tcBorders>
                    <w:top w:val="single" w:color="000000" w:sz="4"/>
                    <w:left w:val="single" w:color="000000" w:sz="4"/>
                    <w:bottom w:val="single" w:color="000000" w:sz="4"/>
                    <w:right w:val="single" w:color="000000" w:sz="4"/>
                  </w:tcBorders>
                </w:tcPr>
                <w:p/>
              </w:tc>
              <w:tc>
                <w:tcPr>
                  <w:tcW w:type="dxa" w:w="585"/>
                  <w:vMerge/>
                  <w:tcBorders>
                    <w:top w:val="single" w:color="000000" w:sz="4"/>
                    <w:left w:val="none" w:color="000000" w:sz="4"/>
                    <w:bottom w:val="single" w:color="000000" w:sz="4"/>
                    <w:right w:val="single" w:color="000000" w:sz="4"/>
                  </w:tcBorders>
                </w:tcPr>
                <w:p/>
              </w:tc>
              <w:tc>
                <w:tcPr>
                  <w:tcW w:type="dxa" w:w="585"/>
                  <w:vMerge/>
                  <w:tcBorders>
                    <w:top w:val="single" w:color="000000" w:sz="4"/>
                    <w:left w:val="none" w:color="000000" w:sz="4"/>
                    <w:bottom w:val="single" w:color="000000" w:sz="4"/>
                    <w:right w:val="single" w:color="000000" w:sz="4"/>
                  </w:tcBorders>
                </w:tcPr>
                <w:p/>
              </w:tc>
              <w:tc>
                <w:tcPr>
                  <w:tcW w:type="dxa" w:w="490"/>
                  <w:vMerge/>
                  <w:tcBorders>
                    <w:top w:val="single" w:color="000000" w:sz="4"/>
                    <w:left w:val="none" w:color="000000" w:sz="4"/>
                    <w:bottom w:val="single" w:color="000000" w:sz="4"/>
                    <w:right w:val="single" w:color="000000" w:sz="4"/>
                  </w:tcBorders>
                </w:tcPr>
                <w:p/>
              </w:tc>
              <w:tc>
                <w:tcPr>
                  <w:tcW w:type="dxa" w:w="566"/>
                  <w:vMerge/>
                  <w:tcBorders>
                    <w:top w:val="single" w:color="000000" w:sz="4"/>
                    <w:left w:val="none" w:color="000000" w:sz="4"/>
                    <w:bottom w:val="single" w:color="000000" w:sz="4"/>
                    <w:right w:val="single" w:color="000000" w:sz="4"/>
                  </w:tcBorders>
                </w:tcPr>
                <w:p/>
              </w:tc>
              <w:tc>
                <w:tcPr>
                  <w:tcW w:type="dxa" w:w="604"/>
                  <w:vMerge/>
                  <w:tcBorders>
                    <w:top w:val="single" w:color="000000" w:sz="4"/>
                    <w:left w:val="non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c>
                <w:tcPr>
                  <w:tcW w:type="dxa" w:w="566"/>
                  <w:vMerge/>
                  <w:tcBorders>
                    <w:top w:val="single" w:color="000000" w:sz="4"/>
                    <w:left w:val="none" w:color="000000" w:sz="4"/>
                    <w:bottom w:val="single" w:color="000000" w:sz="4"/>
                    <w:right w:val="single" w:color="000000" w:sz="4"/>
                  </w:tcBorders>
                </w:tcPr>
                <w:p/>
              </w:tc>
              <w:tc>
                <w:tcPr>
                  <w:tcW w:type="dxa" w:w="443"/>
                  <w:vMerge/>
                  <w:tcBorders>
                    <w:top w:val="single" w:color="000000" w:sz="4"/>
                    <w:left w:val="none" w:color="000000" w:sz="4"/>
                    <w:bottom w:val="single" w:color="000000" w:sz="4"/>
                    <w:right w:val="single" w:color="000000" w:sz="4"/>
                  </w:tcBorders>
                </w:tcPr>
                <w:p/>
              </w:tc>
              <w:tc>
                <w:tcPr>
                  <w:tcW w:type="dxa" w:w="736"/>
                  <w:vMerge/>
                  <w:tcBorders>
                    <w:top w:val="single" w:color="000000" w:sz="4"/>
                    <w:left w:val="none" w:color="000000" w:sz="4"/>
                    <w:bottom w:val="single" w:color="000000" w:sz="4"/>
                    <w:right w:val="single" w:color="000000" w:sz="4"/>
                  </w:tcBorders>
                </w:tc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安保锁闭期周界及场馆安全守护</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场馆安全守护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场馆安全守护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竞赛场馆工作人员通道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竞赛场馆观众通道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公路赛场馆工作人员通道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公路赛场馆观众通道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安全检查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竞赛场馆东看台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竞赛场馆西看台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竞赛场馆客户群流线及通道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r>
                    <w:rPr>
                      <w:rFonts w:ascii="仿宋_GB2312" w:hAnsi="仿宋_GB2312" w:cs="仿宋_GB2312" w:eastAsia="仿宋_GB2312"/>
                      <w:sz w:val="21"/>
                      <w:color w:val="000000"/>
                    </w:rPr>
                    <w:t>FOP区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竞赛场馆运动员车辆停放区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公路赛场馆南看台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公路赛场馆北看台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公路赛场馆客户群流线及通道</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w:t>
                  </w:r>
                  <w:r>
                    <w:rPr>
                      <w:rFonts w:ascii="仿宋_GB2312" w:hAnsi="仿宋_GB2312" w:cs="仿宋_GB2312" w:eastAsia="仿宋_GB2312"/>
                      <w:sz w:val="21"/>
                      <w:color w:val="000000"/>
                    </w:rPr>
                    <w:t>FOP区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公路赛场馆运动员车辆停放区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秩序维护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机动处置</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竞赛场馆</w:t>
                  </w:r>
                </w:p>
              </w:tc>
              <w:tc>
                <w:tcPr>
                  <w:tcW w:type="dxa" w:w="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普通保安</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突发事件处置</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415"/>
                  <w:vMerge/>
                  <w:tcBorders>
                    <w:top w:val="none" w:color="000000" w:sz="4"/>
                    <w:left w:val="singl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公路赛场馆</w:t>
                  </w:r>
                </w:p>
              </w:tc>
              <w:tc>
                <w:tcPr>
                  <w:tcW w:type="dxa" w:w="490"/>
                  <w:vMerge/>
                  <w:tcBorders>
                    <w:top w:val="none" w:color="000000" w:sz="4"/>
                    <w:left w:val="none" w:color="000000" w:sz="4"/>
                    <w:bottom w:val="single" w:color="000000" w:sz="4"/>
                    <w:right w:val="single" w:color="000000" w:sz="4"/>
                  </w:tcBorders>
                </w:tcPr>
                <w:p/>
              </w:tc>
              <w:tc>
                <w:tcPr>
                  <w:tcW w:type="dxa" w:w="566"/>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547"/>
                  <w:vMerge/>
                  <w:tcBorders>
                    <w:top w:val="none" w:color="000000" w:sz="4"/>
                    <w:left w:val="none" w:color="000000" w:sz="4"/>
                    <w:bottom w:val="single" w:color="000000" w:sz="4"/>
                    <w:right w:val="single" w:color="000000" w:sz="4"/>
                  </w:tcBorders>
                </w:tcPr>
                <w:p/>
              </w:tc>
              <w:tc>
                <w:tcPr>
                  <w:tcW w:type="dxa" w:w="566"/>
                  <w:vMerge/>
                  <w:tcBorders>
                    <w:top w:val="none" w:color="000000" w:sz="4"/>
                    <w:left w:val="none" w:color="000000" w:sz="4"/>
                    <w:bottom w:val="single" w:color="000000" w:sz="4"/>
                    <w:right w:val="single" w:color="000000" w:sz="4"/>
                  </w:tcBorders>
                </w:tc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bl>
          <w:p>
            <w:pPr>
              <w:pStyle w:val="null3"/>
              <w:ind w:firstLine="480"/>
              <w:jc w:val="both"/>
            </w:pPr>
            <w:r>
              <w:rPr>
                <w:rFonts w:ascii="仿宋_GB2312" w:hAnsi="仿宋_GB2312" w:cs="仿宋_GB2312" w:eastAsia="仿宋_GB2312"/>
                <w:sz w:val="21"/>
              </w:rPr>
              <w:t>注：具体以现场执勤使用班次为准。</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2.供应商必须保证到岗保安人数满足磋商文件人数配置要求。采购人有权根据现场点位变更、重要时期、重要节点作出人员岗位调整或调动。</w:t>
            </w:r>
          </w:p>
          <w:p>
            <w:pPr>
              <w:pStyle w:val="null3"/>
              <w:ind w:firstLine="480"/>
              <w:jc w:val="both"/>
            </w:pPr>
            <w:r>
              <w:rPr>
                <w:rFonts w:ascii="仿宋_GB2312" w:hAnsi="仿宋_GB2312" w:cs="仿宋_GB2312" w:eastAsia="仿宋_GB2312"/>
                <w:sz w:val="21"/>
              </w:rPr>
              <w:t>3.人员要求：</w:t>
            </w:r>
          </w:p>
          <w:p>
            <w:pPr>
              <w:pStyle w:val="null3"/>
              <w:ind w:firstLine="480"/>
              <w:jc w:val="both"/>
            </w:pPr>
            <w:r>
              <w:rPr>
                <w:rFonts w:ascii="仿宋_GB2312" w:hAnsi="仿宋_GB2312" w:cs="仿宋_GB2312" w:eastAsia="仿宋_GB2312"/>
                <w:sz w:val="21"/>
              </w:rPr>
              <w:t>★（1）人员要求：男（女）性18-40周岁之间，若人员具有5年及以上相关工作经验的，年龄可适当放宽至45周岁。其中普通保安男性占普通保安总人数70%，普通保安女性占普通保安总人数30%；安检保安男性占安检保安总人数30%，安检保安女性占安检保安总人数70%。保安人员身高要求男性1.70m以上，女性1.55m以上；具有良好的团队精神，有职业道德，纪律性、执行力和组织能力强，有高度的责任感，服从管理；同时掌握法律基本理论知识和消防防火常识，熟悉、了解治安保卫工作的相关知识；具有处理消防、治安突发事件的能力。</w:t>
            </w:r>
          </w:p>
          <w:p>
            <w:pPr>
              <w:pStyle w:val="null3"/>
              <w:ind w:firstLine="480"/>
              <w:jc w:val="both"/>
            </w:pPr>
            <w:r>
              <w:rPr>
                <w:rFonts w:ascii="仿宋_GB2312" w:hAnsi="仿宋_GB2312" w:cs="仿宋_GB2312" w:eastAsia="仿宋_GB2312"/>
                <w:sz w:val="21"/>
              </w:rPr>
              <w:t>★（2）供应商确保拟派的保安人员无刑事处罚、行政拘留、强制戒毒等违法犯罪记录。身体健康，无传染病，无吸毒，酗酒等不良行为，组织纪律性强。</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（3）供应商拟派的保安人员须持有《保安员证》，进场前须向采购人提供人员全部的证件。</w:t>
            </w:r>
          </w:p>
          <w:p>
            <w:pPr>
              <w:pStyle w:val="null3"/>
              <w:ind w:firstLine="480"/>
              <w:jc w:val="both"/>
            </w:pPr>
            <w:r>
              <w:rPr>
                <w:rFonts w:ascii="仿宋_GB2312" w:hAnsi="仿宋_GB2312" w:cs="仿宋_GB2312" w:eastAsia="仿宋_GB2312"/>
                <w:sz w:val="21"/>
              </w:rPr>
              <w:t>（4）供应商必须采取切实有效措施保持保安队伍的稳定，严格控制非违纪人员轮换岗比例，合同期限内更换保安人数不得超过合同编制的40%；保安队伍人员更换，应提前七天以书面形式通知采购人；确保服务质量不因人员变动而受影响。供应商负责维持保安人员数量稳定，如有保安人员请假一周以上应由供应商负责提供后备人员进行临时补充。</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（5）供应商须提供上岗保安人员档案交采购人备案，保安人员在采购人的监督指导下，维护采购人正常工作秩序。</w:t>
            </w:r>
          </w:p>
          <w:p>
            <w:pPr>
              <w:pStyle w:val="null3"/>
              <w:ind w:firstLine="480"/>
              <w:jc w:val="both"/>
            </w:pPr>
            <w:r>
              <w:rPr>
                <w:rFonts w:ascii="仿宋_GB2312" w:hAnsi="仿宋_GB2312" w:cs="仿宋_GB2312" w:eastAsia="仿宋_GB2312"/>
                <w:sz w:val="21"/>
              </w:rPr>
              <w:t>（6）供应商负责对派驻的普通保安和安检保安进行管理教育、业务训练，不断提高服务质量。采购人有权对保安人员执勤情况进行检查、监督和业务指导，若有不称职的保安人员经教育不改者，采购人有权要求调换，保持合同岗位数不变，对采购人提出更换不合格的人员，供应商应在24小时内调换，特殊情况不得超过72小时。供应商管理人员每日对执勤点位进行查勤，如遇采购人合理要求或突发状况，必须在3分钟内到达现场妥善处理；供应商每周对执勤点的查勤不少于1次，对采购人合理要求或突发状况，必须在30分钟内到达现场，及时处理。</w:t>
            </w:r>
          </w:p>
          <w:p>
            <w:pPr>
              <w:pStyle w:val="null3"/>
              <w:ind w:firstLine="482"/>
              <w:jc w:val="both"/>
            </w:pPr>
            <w:r>
              <w:rPr>
                <w:rFonts w:ascii="仿宋_GB2312" w:hAnsi="仿宋_GB2312" w:cs="仿宋_GB2312" w:eastAsia="仿宋_GB2312"/>
                <w:sz w:val="21"/>
                <w:b/>
              </w:rPr>
              <w:t>（三）服务要求</w:t>
            </w:r>
          </w:p>
          <w:p>
            <w:pPr>
              <w:pStyle w:val="null3"/>
              <w:ind w:firstLine="482"/>
              <w:jc w:val="both"/>
            </w:pPr>
            <w:r>
              <w:rPr>
                <w:rFonts w:ascii="仿宋_GB2312" w:hAnsi="仿宋_GB2312" w:cs="仿宋_GB2312" w:eastAsia="仿宋_GB2312"/>
                <w:sz w:val="21"/>
                <w:b/>
              </w:rPr>
              <w:t>★</w:t>
            </w:r>
            <w:r>
              <w:rPr>
                <w:rFonts w:ascii="仿宋_GB2312" w:hAnsi="仿宋_GB2312" w:cs="仿宋_GB2312" w:eastAsia="仿宋_GB2312"/>
                <w:sz w:val="21"/>
              </w:rPr>
              <w:t>1.统一着安保服装，服装干净整洁。</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2.工作中不准酗酒、吸烟、玩手机，坐立规范，不得擅自离岗、脱岗、串岗、睡岗，不聚众闲聊、不做与本职工作无关的事情。</w:t>
            </w:r>
          </w:p>
          <w:p>
            <w:pPr>
              <w:pStyle w:val="null3"/>
              <w:ind w:firstLine="480"/>
              <w:jc w:val="both"/>
            </w:pPr>
            <w:r>
              <w:rPr>
                <w:rFonts w:ascii="仿宋_GB2312" w:hAnsi="仿宋_GB2312" w:cs="仿宋_GB2312" w:eastAsia="仿宋_GB2312"/>
                <w:sz w:val="21"/>
              </w:rPr>
              <w:t>3.文明执勤，礼貌待人。耐心向群众解疑答惑，坚持使用文明用语。</w:t>
            </w:r>
          </w:p>
          <w:p>
            <w:pPr>
              <w:pStyle w:val="null3"/>
              <w:ind w:firstLine="480"/>
              <w:jc w:val="both"/>
            </w:pPr>
            <w:r>
              <w:rPr>
                <w:rFonts w:ascii="仿宋_GB2312" w:hAnsi="仿宋_GB2312" w:cs="仿宋_GB2312" w:eastAsia="仿宋_GB2312"/>
                <w:sz w:val="21"/>
              </w:rPr>
              <w:t>4.保安人员参加场馆现场安保场所值守，供应商负责对其所属保安人员的在岗履职情况进行督导检查；负责保安人员进行排班及日常管理工作，保安人员参与突发事件的处理，供应商负责巡检、记录各班每日工作情况，做好文字记录，发现问题及时向场馆现场安保指挥所领导汇报。</w:t>
            </w:r>
          </w:p>
          <w:p>
            <w:pPr>
              <w:pStyle w:val="null3"/>
              <w:ind w:firstLine="480"/>
              <w:jc w:val="both"/>
            </w:pPr>
            <w:r>
              <w:rPr>
                <w:rFonts w:ascii="仿宋_GB2312" w:hAnsi="仿宋_GB2312" w:cs="仿宋_GB2312" w:eastAsia="仿宋_GB2312"/>
                <w:sz w:val="21"/>
              </w:rPr>
              <w:t>5.按要求做好各项管理工作，确保保卫区域内正常秩序，杜绝因当班人员主客观原因造成一切意外和事件。</w:t>
            </w:r>
          </w:p>
          <w:p>
            <w:pPr>
              <w:pStyle w:val="null3"/>
              <w:ind w:firstLine="482"/>
              <w:jc w:val="both"/>
            </w:pPr>
            <w:r>
              <w:rPr>
                <w:rFonts w:ascii="仿宋_GB2312" w:hAnsi="仿宋_GB2312" w:cs="仿宋_GB2312" w:eastAsia="仿宋_GB2312"/>
                <w:sz w:val="21"/>
                <w:b/>
              </w:rPr>
              <w:t>★</w:t>
            </w:r>
            <w:r>
              <w:rPr>
                <w:rFonts w:ascii="仿宋_GB2312" w:hAnsi="仿宋_GB2312" w:cs="仿宋_GB2312" w:eastAsia="仿宋_GB2312"/>
                <w:sz w:val="21"/>
              </w:rPr>
              <w:t>6.对重点区域、重点部位每小时巡查一次。</w:t>
            </w:r>
          </w:p>
          <w:p>
            <w:pPr>
              <w:pStyle w:val="null3"/>
              <w:ind w:firstLine="480"/>
              <w:jc w:val="both"/>
            </w:pPr>
            <w:r>
              <w:rPr>
                <w:rFonts w:ascii="仿宋_GB2312" w:hAnsi="仿宋_GB2312" w:cs="仿宋_GB2312" w:eastAsia="仿宋_GB2312"/>
                <w:sz w:val="21"/>
              </w:rPr>
              <w:t>7.遵守各项规章制度，听从指挥，全力配合对采购人交办事项。</w:t>
            </w:r>
          </w:p>
          <w:p>
            <w:pPr>
              <w:pStyle w:val="null3"/>
              <w:ind w:firstLine="480"/>
              <w:jc w:val="both"/>
            </w:pPr>
            <w:r>
              <w:rPr>
                <w:rFonts w:ascii="仿宋_GB2312" w:hAnsi="仿宋_GB2312" w:cs="仿宋_GB2312" w:eastAsia="仿宋_GB2312"/>
                <w:sz w:val="21"/>
              </w:rPr>
              <w:t>8.台账规范，日志记录完整无缺失。</w:t>
            </w:r>
          </w:p>
          <w:p>
            <w:pPr>
              <w:pStyle w:val="null3"/>
              <w:ind w:firstLine="480"/>
              <w:jc w:val="both"/>
            </w:pPr>
            <w:r>
              <w:rPr>
                <w:rFonts w:ascii="仿宋_GB2312" w:hAnsi="仿宋_GB2312" w:cs="仿宋_GB2312" w:eastAsia="仿宋_GB2312"/>
                <w:sz w:val="21"/>
              </w:rPr>
              <w:t>9.当班人员如遇突发事件，应立即报告采购人并进行先期处置。</w:t>
            </w:r>
          </w:p>
          <w:p>
            <w:pPr>
              <w:pStyle w:val="null3"/>
              <w:ind w:firstLine="480"/>
              <w:jc w:val="both"/>
            </w:pPr>
            <w:r>
              <w:rPr>
                <w:rFonts w:ascii="仿宋_GB2312" w:hAnsi="仿宋_GB2312" w:cs="仿宋_GB2312" w:eastAsia="仿宋_GB2312"/>
                <w:sz w:val="21"/>
              </w:rPr>
              <w:t>★10.供应商须自行配备相应的设施设备：与公安机关实现互联互通的对讲终端不少于40台，用于现场取证的摄像机或执法记录仪等取证设备不少于40台，橡胶警棍、防暴钢又、防割手套、防刺服、盾牌等处突器材不少于20副，应急广播、夜间照明等设施设备不少于1套。</w:t>
            </w:r>
          </w:p>
          <w:p>
            <w:pPr>
              <w:pStyle w:val="null3"/>
              <w:ind w:firstLine="480"/>
              <w:jc w:val="both"/>
            </w:pPr>
            <w:r>
              <w:rPr>
                <w:rFonts w:ascii="仿宋_GB2312" w:hAnsi="仿宋_GB2312" w:cs="仿宋_GB2312" w:eastAsia="仿宋_GB2312"/>
                <w:sz w:val="21"/>
              </w:rPr>
              <w:t>★11.服装配置：供应商应保证按照采购人要求及岗位提供派驻人员必需的定制的统一、规范的保安工作服。供应商自行承担人员服装的清洗及更新费用，若影响采购人形象，采购人有权要求供应商限期整改。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供应商按要求制作每日上岗人员明细表，供应商与采购人指定一名人员每日进行签字确认，每日上岗人员明细表作为据实结算依据。</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13.供应商如注册地不在四川省范围内，成交后须在成都市公安局完成备案。</w:t>
            </w:r>
          </w:p>
          <w:p>
            <w:pPr>
              <w:pStyle w:val="null3"/>
              <w:jc w:val="both"/>
              <w:outlineLvl w:val="1"/>
            </w:pPr>
            <w:r>
              <w:rPr>
                <w:rFonts w:ascii="仿宋_GB2312" w:hAnsi="仿宋_GB2312" w:cs="仿宋_GB2312" w:eastAsia="仿宋_GB2312"/>
                <w:sz w:val="21"/>
                <w:b/>
              </w:rPr>
              <w:t>二、</w:t>
            </w:r>
            <w:r>
              <w:rPr>
                <w:rFonts w:ascii="仿宋_GB2312" w:hAnsi="仿宋_GB2312" w:cs="仿宋_GB2312" w:eastAsia="仿宋_GB2312"/>
                <w:sz w:val="21"/>
                <w:b/>
              </w:rPr>
              <w:t>其他要求</w:t>
            </w:r>
          </w:p>
          <w:p>
            <w:pPr>
              <w:pStyle w:val="null3"/>
              <w:ind w:firstLine="480"/>
              <w:jc w:val="both"/>
            </w:pPr>
            <w:r>
              <w:rPr>
                <w:rFonts w:ascii="仿宋_GB2312" w:hAnsi="仿宋_GB2312" w:cs="仿宋_GB2312" w:eastAsia="仿宋_GB2312"/>
                <w:sz w:val="21"/>
              </w:rPr>
              <w:t>（一）供应商在响应文件提供针对本项目的服务方案，内容包括但不限于:</w:t>
            </w:r>
          </w:p>
          <w:p>
            <w:pPr>
              <w:pStyle w:val="null3"/>
              <w:ind w:firstLine="480"/>
              <w:jc w:val="both"/>
            </w:pPr>
            <w:r>
              <w:rPr>
                <w:rFonts w:ascii="仿宋_GB2312" w:hAnsi="仿宋_GB2312" w:cs="仿宋_GB2312" w:eastAsia="仿宋_GB2312"/>
                <w:sz w:val="21"/>
              </w:rPr>
              <w:t>1.项目背景及需求分析：①本项目现状解析，②安保服务重点难点分析，③管理定位和管理目标。</w:t>
            </w:r>
          </w:p>
          <w:p>
            <w:pPr>
              <w:pStyle w:val="null3"/>
              <w:ind w:firstLine="480"/>
              <w:jc w:val="both"/>
            </w:pPr>
            <w:r>
              <w:rPr>
                <w:rFonts w:ascii="仿宋_GB2312" w:hAnsi="仿宋_GB2312" w:cs="仿宋_GB2312" w:eastAsia="仿宋_GB2312"/>
                <w:sz w:val="21"/>
              </w:rPr>
              <w:t>2.具体实施方案：①各项管理制度（至少含考勤制度、人员档案管理制度、考核制度、奖惩制度、薪酬制度），②针对本项目的组织机构设置和人员分工，③工作台账管理，④培训方案（至少含培训时间、方式和内容），⑤人员稳定保障措施， ⑥服务质量保障措施，⑦沟通措施。</w:t>
            </w:r>
          </w:p>
          <w:p>
            <w:pPr>
              <w:pStyle w:val="null3"/>
              <w:ind w:firstLine="480"/>
              <w:jc w:val="both"/>
            </w:pPr>
            <w:r>
              <w:rPr>
                <w:rFonts w:ascii="仿宋_GB2312" w:hAnsi="仿宋_GB2312" w:cs="仿宋_GB2312" w:eastAsia="仿宋_GB2312"/>
                <w:sz w:val="21"/>
              </w:rPr>
              <w:t>3.应急管理方案：①应急管理体系及应急组织机构设置，②火灾应急措施，③公共卫生事件应急措施，④治安事件应急预案，⑤踩踏事件应急预案，⑥发现可疑分子处理措施，⑦暴力恐怖事件应急预案，⑧恶劣天气应急措施。</w:t>
            </w:r>
          </w:p>
          <w:p>
            <w:pPr>
              <w:pStyle w:val="null3"/>
              <w:ind w:firstLine="480"/>
              <w:jc w:val="both"/>
            </w:pPr>
            <w:r>
              <w:rPr>
                <w:rFonts w:ascii="仿宋_GB2312" w:hAnsi="仿宋_GB2312" w:cs="仿宋_GB2312" w:eastAsia="仿宋_GB2312"/>
                <w:sz w:val="21"/>
              </w:rPr>
              <w:t>4.劳动风险控制方案：①保安员招收、录用流程管理，②入职管理，③劳动争议及劳动纠纷处理措施。</w:t>
            </w:r>
          </w:p>
          <w:p>
            <w:pPr>
              <w:pStyle w:val="null3"/>
              <w:ind w:firstLine="480"/>
              <w:jc w:val="both"/>
            </w:pPr>
            <w:r>
              <w:rPr>
                <w:rFonts w:ascii="仿宋_GB2312" w:hAnsi="仿宋_GB2312" w:cs="仿宋_GB2312" w:eastAsia="仿宋_GB2312"/>
                <w:sz w:val="21"/>
              </w:rPr>
              <w:t>（二）供应商需具有类似项目业绩（类似项目指：保安、安保或秩序维护服务项目）。</w:t>
            </w:r>
          </w:p>
          <w:p>
            <w:pPr>
              <w:pStyle w:val="null3"/>
              <w:jc w:val="both"/>
              <w:outlineLvl w:val="1"/>
            </w:pPr>
            <w:r>
              <w:rPr>
                <w:rFonts w:ascii="仿宋_GB2312" w:hAnsi="仿宋_GB2312" w:cs="仿宋_GB2312" w:eastAsia="仿宋_GB2312"/>
                <w:sz w:val="21"/>
                <w:b/>
              </w:rPr>
              <w:t>三、</w:t>
            </w:r>
            <w:r>
              <w:rPr>
                <w:rFonts w:ascii="仿宋_GB2312" w:hAnsi="仿宋_GB2312" w:cs="仿宋_GB2312" w:eastAsia="仿宋_GB2312"/>
                <w:sz w:val="21"/>
                <w:b/>
              </w:rPr>
              <w:t>商务要求</w:t>
            </w:r>
          </w:p>
          <w:p>
            <w:pPr>
              <w:pStyle w:val="null3"/>
              <w:ind w:firstLine="480"/>
              <w:jc w:val="both"/>
            </w:pPr>
            <w:r>
              <w:rPr>
                <w:rFonts w:ascii="仿宋_GB2312" w:hAnsi="仿宋_GB2312" w:cs="仿宋_GB2312" w:eastAsia="仿宋_GB2312"/>
                <w:sz w:val="21"/>
              </w:rPr>
              <w:t>1.服务期限：合同签订且接到采购人入场通知后进场，进场之日起30天完成本项目全部工作。（以世运会实际开展时间为准）</w:t>
            </w:r>
          </w:p>
          <w:p>
            <w:pPr>
              <w:pStyle w:val="null3"/>
              <w:ind w:firstLine="480"/>
              <w:jc w:val="both"/>
            </w:pPr>
            <w:r>
              <w:rPr>
                <w:rFonts w:ascii="仿宋_GB2312" w:hAnsi="仿宋_GB2312" w:cs="仿宋_GB2312" w:eastAsia="仿宋_GB2312"/>
                <w:sz w:val="21"/>
              </w:rPr>
              <w:t>2.服务地点：成都市新都区范围内采购人指定地点</w:t>
            </w:r>
          </w:p>
          <w:p>
            <w:pPr>
              <w:pStyle w:val="null3"/>
              <w:ind w:firstLine="480"/>
              <w:jc w:val="both"/>
            </w:pPr>
            <w:r>
              <w:rPr>
                <w:rFonts w:ascii="仿宋_GB2312" w:hAnsi="仿宋_GB2312" w:cs="仿宋_GB2312" w:eastAsia="仿宋_GB2312"/>
                <w:sz w:val="21"/>
              </w:rPr>
              <w:t>3.供应商应确保服务过程中无安全事故发生，若因供应商的责任出现安全事故，其相应责任和损失由供应商自行承担，采购人不承担任何法律责任。</w:t>
            </w:r>
          </w:p>
          <w:p>
            <w:pPr>
              <w:pStyle w:val="null3"/>
              <w:ind w:firstLine="480"/>
              <w:jc w:val="both"/>
            </w:pPr>
            <w:r>
              <w:rPr>
                <w:rFonts w:ascii="仿宋_GB2312" w:hAnsi="仿宋_GB2312" w:cs="仿宋_GB2312" w:eastAsia="仿宋_GB2312"/>
                <w:sz w:val="21"/>
              </w:rPr>
              <w:t>4.若因国家、地方相关规定调整或其他不可抗力因素，采购人不再需要供应商提供服务，采购人可终止合同，终止合同无需承担法律责任。</w:t>
            </w:r>
          </w:p>
          <w:p>
            <w:pPr>
              <w:pStyle w:val="null3"/>
              <w:ind w:firstLine="480"/>
              <w:jc w:val="both"/>
            </w:pPr>
            <w:r>
              <w:rPr>
                <w:rFonts w:ascii="仿宋_GB2312" w:hAnsi="仿宋_GB2312" w:cs="仿宋_GB2312" w:eastAsia="仿宋_GB2312"/>
                <w:sz w:val="21"/>
              </w:rPr>
              <w:t>5.付款方式（以此为准）：合同签订后10日内支付预算金额的30%，服务期限结束按照实际岗位使用人数、工作时长计算服务费，并支付剩余款项（如有考核扣款扣除相应费用支付剩余款项），采购人在预算范围内据实结算。采购人收到成交供应商递交的完税发票及凭证资料后10日内支付相应合同金额款项。</w:t>
            </w:r>
            <w:r>
              <w:rPr>
                <w:rFonts w:ascii="仿宋_GB2312" w:hAnsi="仿宋_GB2312" w:cs="仿宋_GB2312" w:eastAsia="仿宋_GB2312"/>
                <w:sz w:val="21"/>
              </w:rPr>
              <w:t>注：工作时长计算是每班按照8小时计算，超出2小时（含2小时）不足4小时按半个班计算；超过4小时（含4小时）不足8小时按1个整班计算。</w:t>
            </w:r>
          </w:p>
          <w:p>
            <w:pPr>
              <w:pStyle w:val="null3"/>
              <w:ind w:firstLine="480"/>
              <w:jc w:val="both"/>
            </w:pPr>
            <w:r>
              <w:rPr>
                <w:rFonts w:ascii="仿宋_GB2312" w:hAnsi="仿宋_GB2312" w:cs="仿宋_GB2312" w:eastAsia="仿宋_GB2312"/>
                <w:sz w:val="21"/>
              </w:rPr>
              <w:t>6.供应商须为拟投入的保安人员购买商业意外险。</w:t>
            </w:r>
          </w:p>
          <w:p>
            <w:pPr>
              <w:pStyle w:val="null3"/>
              <w:ind w:firstLine="480"/>
              <w:jc w:val="both"/>
            </w:pPr>
            <w:r>
              <w:rPr>
                <w:rFonts w:ascii="仿宋_GB2312" w:hAnsi="仿宋_GB2312" w:cs="仿宋_GB2312" w:eastAsia="仿宋_GB2312"/>
                <w:sz w:val="21"/>
              </w:rPr>
              <w:t>7.验收：</w:t>
            </w:r>
          </w:p>
          <w:p>
            <w:pPr>
              <w:pStyle w:val="null3"/>
              <w:ind w:firstLine="480"/>
              <w:jc w:val="both"/>
            </w:pPr>
            <w:r>
              <w:rPr>
                <w:rFonts w:ascii="仿宋_GB2312" w:hAnsi="仿宋_GB2312" w:cs="仿宋_GB2312" w:eastAsia="仿宋_GB2312"/>
                <w:sz w:val="21"/>
              </w:rPr>
              <w:t>（1）验收办法：成交供应商与采购人应严格按照《财政部关于进一步加强政府采购需求和履约验收管理的指导意见》（财库〔2016〕205号）、《政府采购需求管理办法》（财库〔2021〕22号）进行验收。</w:t>
            </w:r>
          </w:p>
          <w:p>
            <w:pPr>
              <w:pStyle w:val="null3"/>
              <w:ind w:firstLine="480"/>
              <w:jc w:val="both"/>
            </w:pPr>
            <w:r>
              <w:rPr>
                <w:rFonts w:ascii="仿宋_GB2312" w:hAnsi="仿宋_GB2312" w:cs="仿宋_GB2312" w:eastAsia="仿宋_GB2312"/>
                <w:sz w:val="21"/>
              </w:rPr>
              <w:t>（2）验收标准：按磋商文件的服务内容及要求、成交供应商的响应文件及承诺以及合同约定标准进行验收。</w:t>
            </w:r>
          </w:p>
          <w:p>
            <w:pPr>
              <w:pStyle w:val="null3"/>
              <w:jc w:val="both"/>
              <w:outlineLvl w:val="1"/>
            </w:pPr>
            <w:r>
              <w:rPr>
                <w:rFonts w:ascii="仿宋_GB2312" w:hAnsi="仿宋_GB2312" w:cs="仿宋_GB2312" w:eastAsia="仿宋_GB2312"/>
                <w:sz w:val="21"/>
                <w:b/>
              </w:rPr>
              <w:t>★</w:t>
            </w:r>
            <w:r>
              <w:rPr>
                <w:rFonts w:ascii="仿宋_GB2312" w:hAnsi="仿宋_GB2312" w:cs="仿宋_GB2312" w:eastAsia="仿宋_GB2312"/>
                <w:sz w:val="21"/>
                <w:b/>
              </w:rPr>
              <w:t>四、考核办法及其他</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考核标准及办法</w:t>
            </w:r>
          </w:p>
          <w:p>
            <w:pPr>
              <w:pStyle w:val="null3"/>
              <w:ind w:firstLine="480"/>
              <w:jc w:val="both"/>
            </w:pPr>
            <w:r>
              <w:rPr>
                <w:rFonts w:ascii="仿宋_GB2312" w:hAnsi="仿宋_GB2312" w:cs="仿宋_GB2312" w:eastAsia="仿宋_GB2312"/>
                <w:sz w:val="21"/>
              </w:rPr>
              <w:t>采购人每天不定时</w:t>
            </w:r>
            <w:r>
              <w:rPr>
                <w:rFonts w:ascii="仿宋_GB2312" w:hAnsi="仿宋_GB2312" w:cs="仿宋_GB2312" w:eastAsia="仿宋_GB2312"/>
                <w:sz w:val="21"/>
              </w:rPr>
              <w:t>对</w:t>
            </w:r>
            <w:r>
              <w:rPr>
                <w:rFonts w:ascii="仿宋_GB2312" w:hAnsi="仿宋_GB2312" w:cs="仿宋_GB2312" w:eastAsia="仿宋_GB2312"/>
                <w:sz w:val="21"/>
              </w:rPr>
              <w:t>成交供应商</w:t>
            </w:r>
            <w:r>
              <w:rPr>
                <w:rFonts w:ascii="仿宋_GB2312" w:hAnsi="仿宋_GB2312" w:cs="仿宋_GB2312" w:eastAsia="仿宋_GB2312"/>
                <w:sz w:val="21"/>
              </w:rPr>
              <w:t>进行</w:t>
            </w:r>
            <w:r>
              <w:rPr>
                <w:rFonts w:ascii="仿宋_GB2312" w:hAnsi="仿宋_GB2312" w:cs="仿宋_GB2312" w:eastAsia="仿宋_GB2312"/>
                <w:sz w:val="21"/>
              </w:rPr>
              <w:t>检查，根据考核细则对成交供应商的服务进行打分</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成交供应商</w:t>
            </w:r>
            <w:r>
              <w:rPr>
                <w:rFonts w:ascii="仿宋_GB2312" w:hAnsi="仿宋_GB2312" w:cs="仿宋_GB2312" w:eastAsia="仿宋_GB2312"/>
                <w:sz w:val="21"/>
              </w:rPr>
              <w:t>在服务期内得分累计在95分（包含95分）以上，采购人应按付款方式要求结算支付；得分累计在</w:t>
            </w:r>
            <w:r>
              <w:rPr>
                <w:rFonts w:ascii="仿宋_GB2312" w:hAnsi="仿宋_GB2312" w:cs="仿宋_GB2312" w:eastAsia="仿宋_GB2312"/>
                <w:sz w:val="21"/>
              </w:rPr>
              <w:t>95分（不含）-85分（</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，采购人应按付款方式要求支付价款的90%；得分累计在</w:t>
            </w:r>
            <w:r>
              <w:rPr>
                <w:rFonts w:ascii="仿宋_GB2312" w:hAnsi="仿宋_GB2312" w:cs="仿宋_GB2312" w:eastAsia="仿宋_GB2312"/>
                <w:sz w:val="21"/>
              </w:rPr>
              <w:t>85分</w:t>
            </w:r>
            <w:r>
              <w:rPr>
                <w:rFonts w:ascii="仿宋_GB2312" w:hAnsi="仿宋_GB2312" w:cs="仿宋_GB2312" w:eastAsia="仿宋_GB2312"/>
                <w:sz w:val="21"/>
              </w:rPr>
              <w:t>（</w:t>
            </w:r>
            <w:r>
              <w:rPr>
                <w:rFonts w:ascii="仿宋_GB2312" w:hAnsi="仿宋_GB2312" w:cs="仿宋_GB2312" w:eastAsia="仿宋_GB2312"/>
                <w:sz w:val="21"/>
              </w:rPr>
              <w:t>不含</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75分（含），采购人应按付款方式要求支付价款的80%；得分累计在75分以下，采购人将不予支付剩余合同款项。</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考核细则（满分100分）</w:t>
            </w:r>
          </w:p>
          <w:tbl>
            <w:tblPr>
              <w:tblBorders>
                <w:top w:val="none" w:color="000000" w:sz="4"/>
                <w:left w:val="none" w:color="000000" w:sz="4"/>
                <w:bottom w:val="none" w:color="000000" w:sz="4"/>
                <w:right w:val="none" w:color="000000" w:sz="4"/>
                <w:insideH w:val="none"/>
                <w:insideV w:val="none"/>
              </w:tblBorders>
            </w:tblPr>
            <w:tblGrid>
              <w:gridCol w:w="528"/>
              <w:gridCol w:w="3893"/>
              <w:gridCol w:w="1177"/>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考核内容（扣分项）</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rPr>
                    <w:t>扣分值</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拒绝采购人及有关部门依法实施监督检查的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未按合同规定程序为采购人提供保安人员服务，损害采购人利益的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合同有效期内，没有按响应文件承诺向保险公司投保、未经培训的人员上岗工作的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如发生突发事件、安全事故等情况，保安员未立即采取维护现场良好秩序，未采取保护现场不被破坏等有效措施，未立即通知采购人，拒绝协助公安等相关部门调查的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保安人员拒绝接受采购人的工作指导，不遵守现场管理要求的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保安人员在工作期间的行为举止有损采购人利益，采购人要求供应商调换人员，供应商未配合的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供应商提供的保安人员在服务时间内合理服务，未经采购人同意，中途变更人员数量的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供应商未按照有关规定购买和提供保安员执勤所需要的劳动保护用品的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站立岗、坐岗不按照制度规范要求且不整改的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当班期间岗位卫生脏、乱、差及岗位周边有明显垃圾给安检点位带来负面影响的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不按要求着装，佩戴标识、饰物，男生留长头发、烫发、染发（黑色除外）等个人形象差</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当班期间不在工作状态，有人经过无反应，岗位上发生的事不管、不问、不主动处理上报</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上岗时醉酒或上岗期间喝酒、闹事及酒后上岗的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各岗位发现有安全隐患不主动处理、且不汇报的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当班期间脱岗、睡岗、串岗聊天</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各岗位各项记录填写不符合要求、乱写乱画</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拒不执行安检点位负责人的决定，威胁、辱骂负责人的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工作中与他人发生争吵、辱骂、打架等行为的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无故迟到或早退、旷工的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1分/人次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供应商未按要求每天与采购人确认上岗人员名单的</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1分/次</w:t>
                  </w:r>
                </w:p>
              </w:tc>
            </w:tr>
          </w:tbl>
          <w:p>
            <w:pPr>
              <w:pStyle w:val="null3"/>
              <w:ind w:firstLine="480"/>
              <w:jc w:val="both"/>
            </w:pPr>
            <w:r>
              <w:rPr>
                <w:rFonts w:ascii="仿宋_GB2312" w:hAnsi="仿宋_GB2312" w:cs="仿宋_GB2312" w:eastAsia="仿宋_GB2312"/>
                <w:sz w:val="21"/>
              </w:rPr>
              <w:t>3.成交供应商</w:t>
            </w:r>
            <w:r>
              <w:rPr>
                <w:rFonts w:ascii="仿宋_GB2312" w:hAnsi="仿宋_GB2312" w:cs="仿宋_GB2312" w:eastAsia="仿宋_GB2312"/>
                <w:sz w:val="21"/>
              </w:rPr>
              <w:t>违反合同约定，采购人经调查属实，给予书面警告</w:t>
            </w:r>
            <w:r>
              <w:rPr>
                <w:rFonts w:ascii="仿宋_GB2312" w:hAnsi="仿宋_GB2312" w:cs="仿宋_GB2312" w:eastAsia="仿宋_GB2312"/>
                <w:sz w:val="21"/>
              </w:rPr>
              <w:t>。</w:t>
            </w:r>
            <w:r>
              <w:rPr>
                <w:rFonts w:ascii="仿宋_GB2312" w:hAnsi="仿宋_GB2312" w:cs="仿宋_GB2312" w:eastAsia="仿宋_GB2312"/>
                <w:sz w:val="21"/>
              </w:rPr>
              <w:t>拒不整改的</w:t>
            </w:r>
            <w:r>
              <w:rPr>
                <w:rFonts w:ascii="仿宋_GB2312" w:hAnsi="仿宋_GB2312" w:cs="仿宋_GB2312" w:eastAsia="仿宋_GB2312"/>
                <w:sz w:val="21"/>
              </w:rPr>
              <w:t>，</w:t>
            </w:r>
            <w:r>
              <w:rPr>
                <w:rFonts w:ascii="仿宋_GB2312" w:hAnsi="仿宋_GB2312" w:cs="仿宋_GB2312" w:eastAsia="仿宋_GB2312"/>
                <w:sz w:val="21"/>
              </w:rPr>
              <w:t>采购人有权解除采购合同，取消服务资格。违约行为包括但不限于：</w:t>
            </w:r>
          </w:p>
          <w:p>
            <w:pPr>
              <w:pStyle w:val="null3"/>
              <w:ind w:firstLine="480"/>
              <w:jc w:val="both"/>
            </w:pPr>
            <w:r>
              <w:rPr>
                <w:rFonts w:ascii="仿宋_GB2312" w:hAnsi="仿宋_GB2312" w:cs="仿宋_GB2312" w:eastAsia="仿宋_GB2312"/>
                <w:sz w:val="21"/>
              </w:rPr>
              <w:t>（1）不履行</w:t>
            </w:r>
            <w:r>
              <w:rPr>
                <w:rFonts w:ascii="仿宋_GB2312" w:hAnsi="仿宋_GB2312" w:cs="仿宋_GB2312" w:eastAsia="仿宋_GB2312"/>
                <w:sz w:val="21"/>
              </w:rPr>
              <w:t>响应</w:t>
            </w:r>
            <w:r>
              <w:rPr>
                <w:rFonts w:ascii="仿宋_GB2312" w:hAnsi="仿宋_GB2312" w:cs="仿宋_GB2312" w:eastAsia="仿宋_GB2312"/>
                <w:sz w:val="21"/>
              </w:rPr>
              <w:t>文件中承诺服务的；</w:t>
            </w:r>
          </w:p>
          <w:p>
            <w:pPr>
              <w:pStyle w:val="null3"/>
              <w:ind w:firstLine="480"/>
              <w:jc w:val="both"/>
            </w:pPr>
            <w:r>
              <w:rPr>
                <w:rFonts w:ascii="仿宋_GB2312" w:hAnsi="仿宋_GB2312" w:cs="仿宋_GB2312" w:eastAsia="仿宋_GB2312"/>
                <w:sz w:val="21"/>
              </w:rPr>
              <w:t>（2）无正当理由拒绝按</w:t>
            </w:r>
            <w:r>
              <w:rPr>
                <w:rFonts w:ascii="仿宋_GB2312" w:hAnsi="仿宋_GB2312" w:cs="仿宋_GB2312" w:eastAsia="仿宋_GB2312"/>
                <w:sz w:val="21"/>
              </w:rPr>
              <w:t>合同</w:t>
            </w:r>
            <w:r>
              <w:rPr>
                <w:rFonts w:ascii="仿宋_GB2312" w:hAnsi="仿宋_GB2312" w:cs="仿宋_GB2312" w:eastAsia="仿宋_GB2312"/>
                <w:sz w:val="21"/>
              </w:rPr>
              <w:t>承诺服务的；</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）提供虚假发票、保险单的；</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）实际派出人员与提供名单不符的；</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）提供人员未达到人员要求经采购人查证属实的；</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）不积极配合采购人综合考核评定、监督检查及管理的；</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）违反</w:t>
            </w:r>
            <w:r>
              <w:rPr>
                <w:rFonts w:ascii="仿宋_GB2312" w:hAnsi="仿宋_GB2312" w:cs="仿宋_GB2312" w:eastAsia="仿宋_GB2312"/>
                <w:sz w:val="21"/>
              </w:rPr>
              <w:t>合同</w:t>
            </w:r>
            <w:r>
              <w:rPr>
                <w:rFonts w:ascii="仿宋_GB2312" w:hAnsi="仿宋_GB2312" w:cs="仿宋_GB2312" w:eastAsia="仿宋_GB2312"/>
                <w:sz w:val="21"/>
              </w:rPr>
              <w:t>规定的其他事项。</w:t>
            </w:r>
          </w:p>
          <w:p>
            <w:pPr>
              <w:pStyle w:val="null3"/>
              <w:ind w:firstLine="480"/>
              <w:jc w:val="both"/>
            </w:pPr>
            <w:r>
              <w:rPr>
                <w:rFonts w:ascii="仿宋_GB2312" w:hAnsi="仿宋_GB2312" w:cs="仿宋_GB2312" w:eastAsia="仿宋_GB2312"/>
                <w:sz w:val="21"/>
              </w:rPr>
              <w:t>4.成交供应商</w:t>
            </w:r>
            <w:r>
              <w:rPr>
                <w:rFonts w:ascii="仿宋_GB2312" w:hAnsi="仿宋_GB2312" w:cs="仿宋_GB2312" w:eastAsia="仿宋_GB2312"/>
                <w:sz w:val="21"/>
              </w:rPr>
              <w:t>承诺向保险公司投保，但实际</w:t>
            </w:r>
            <w:r>
              <w:rPr>
                <w:rFonts w:ascii="仿宋_GB2312" w:hAnsi="仿宋_GB2312" w:cs="仿宋_GB2312" w:eastAsia="仿宋_GB2312"/>
                <w:sz w:val="21"/>
              </w:rPr>
              <w:t>合同</w:t>
            </w:r>
            <w:r>
              <w:rPr>
                <w:rFonts w:ascii="仿宋_GB2312" w:hAnsi="仿宋_GB2312" w:cs="仿宋_GB2312" w:eastAsia="仿宋_GB2312"/>
                <w:sz w:val="21"/>
              </w:rPr>
              <w:t>履行过程中并未向保险公司投保，致使发生保险事故后无法向保险公司要求赔付，则由</w:t>
            </w:r>
            <w:r>
              <w:rPr>
                <w:rFonts w:ascii="仿宋_GB2312" w:hAnsi="仿宋_GB2312" w:cs="仿宋_GB2312" w:eastAsia="仿宋_GB2312"/>
                <w:sz w:val="21"/>
              </w:rPr>
              <w:t>成交供应商</w:t>
            </w:r>
            <w:r>
              <w:rPr>
                <w:rFonts w:ascii="仿宋_GB2312" w:hAnsi="仿宋_GB2312" w:cs="仿宋_GB2312" w:eastAsia="仿宋_GB2312"/>
                <w:sz w:val="21"/>
              </w:rPr>
              <w:t>承担全部责任。</w:t>
            </w:r>
          </w:p>
          <w:p>
            <w:pPr>
              <w:pStyle w:val="null3"/>
              <w:ind w:firstLine="480"/>
              <w:jc w:val="both"/>
            </w:pPr>
            <w:r>
              <w:rPr>
                <w:rFonts w:ascii="仿宋_GB2312" w:hAnsi="仿宋_GB2312" w:cs="仿宋_GB2312" w:eastAsia="仿宋_GB2312"/>
                <w:sz w:val="21"/>
              </w:rPr>
              <w:t>5.由于其他不可抗力因素导致变更、中止、终止政府采购合同，采购人无需向成交供应商支付违约金。</w:t>
            </w:r>
          </w:p>
          <w:p>
            <w:pPr>
              <w:pStyle w:val="null3"/>
              <w:ind w:firstLine="480"/>
              <w:jc w:val="both"/>
            </w:pPr>
            <w:r>
              <w:rPr>
                <w:rFonts w:ascii="仿宋_GB2312" w:hAnsi="仿宋_GB2312" w:cs="仿宋_GB2312" w:eastAsia="仿宋_GB2312"/>
                <w:sz w:val="21"/>
                <w:b/>
              </w:rPr>
              <w:t>注：★号条款及商务要求为本项目实质性要求，不允许负偏离，否则作无效响应文件处理。★号条款以供应商服务需求偏离表的响应情况为准；商务要求以供应商商务偏离表的响应情况为准。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详见</w:t>
            </w:r>
            <w:r>
              <w:rPr>
                <w:rFonts w:ascii="仿宋_GB2312" w:hAnsi="仿宋_GB2312" w:cs="仿宋_GB2312" w:eastAsia="仿宋_GB2312"/>
                <w:sz w:val="21"/>
              </w:rPr>
              <w:t>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合同签订且接到采购人入场通知后进场，进场之日起30天完成本项目全部工作。（以世运会实际开展时间为准）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成都市新都区范围内采购人指定地点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1.验收办法：成交供应商与采购人应严格按照《财政部关于进一步加强政府采购需求和履约验收管理的指导意见》（财库〔2016〕205号）、《政府采购需求管理办法》（财库〔2021〕22号）进行验收。 2.验收标准：按磋商文件的服务内容及要求、成交供应商的响应文件及承诺以及合同约定标准进行验收。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1、进度款，合同签订后，达到付款条件起10日内，据实情况说明为支付预算金额的30%。</w:t>
            </w:r>
          </w:p>
          <w:p>
            <w:pPr>
              <w:pStyle w:val="null3"/>
              <w:jc w:val="left"/>
            </w:pPr>
            <w:r>
              <w:rPr>
                <w:rFonts w:ascii="仿宋_GB2312" w:hAnsi="仿宋_GB2312" w:cs="仿宋_GB2312" w:eastAsia="仿宋_GB2312"/>
              </w:rPr>
              <w:t>2、尾款，服务期限结束按照实际岗位使用人数、工作时长计算服务费，并支付剩余款项（如有考核扣款扣除相应费用支付剩余款项），采购人在预算范围内据实结算。采购人收到成交供应商递交的完税发票及凭证资料后，达到付款条件起10日内，据实情况说明为支付相应合同金额款项。注：工作时长计算是每班按照8小时计算，超出2小时（含2小时）不足4小时按半个班计算；超过4小时（含4小时）不足8小时按1个整班计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详见采购合同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投诉受理单位：成都市新都区财政局 联 系 人：代老师 联系电话：028-89396280-4 地址：成都市新都区马超东路289号金融服务中心7楼714室 注：（1）根据《中华人民共和国政府采购法》及其他有关等规定，供应商投诉事项不得超出已质疑事项的范围，基于质疑答复内容提出的投诉事项除外。（2）投诉书范本详见附件。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3.2.技术要求”和“3.3.服务要求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供应商提供有效的营业执照或法人证书或执业许可证明材料扫描件。</w:t>
            </w:r>
          </w:p>
        </w:tc>
        <w:tc>
          <w:tcPr>
            <w:tcW w:type="dxa" w:w="1910"/>
          </w:tcPr>
          <w:p>
            <w:pPr>
              <w:pStyle w:val="null3"/>
              <w:jc w:val="left"/>
            </w:pPr>
            <w:r>
              <w:rPr>
                <w:rFonts w:ascii="仿宋_GB2312" w:hAnsi="仿宋_GB2312" w:cs="仿宋_GB2312" w:eastAsia="仿宋_GB2312"/>
              </w:rPr>
              <w:t>供应商应当提供的资格、资质性及其他类似效力要求的相关证明材料.docx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 《投标（响应）函》完成承诺并进行电子签章。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供应商须具有有效的《保安服务许可证》</w:t>
            </w:r>
          </w:p>
        </w:tc>
        <w:tc>
          <w:tcPr>
            <w:tcW w:type="dxa" w:w="3322"/>
          </w:tcPr>
          <w:p>
            <w:pPr>
              <w:pStyle w:val="null3"/>
              <w:jc w:val="left"/>
            </w:pPr>
            <w:r>
              <w:rPr>
                <w:rFonts w:ascii="仿宋_GB2312" w:hAnsi="仿宋_GB2312" w:cs="仿宋_GB2312" w:eastAsia="仿宋_GB2312"/>
              </w:rPr>
              <w:t>供应商提供有效的《保安服务许可证》扫描件并进行电子签章</w:t>
            </w:r>
          </w:p>
        </w:tc>
        <w:tc>
          <w:tcPr>
            <w:tcW w:type="dxa" w:w="1910"/>
          </w:tcPr>
          <w:p>
            <w:pPr>
              <w:pStyle w:val="null3"/>
              <w:jc w:val="left"/>
            </w:pPr>
            <w:r>
              <w:rPr>
                <w:rFonts w:ascii="仿宋_GB2312" w:hAnsi="仿宋_GB2312" w:cs="仿宋_GB2312" w:eastAsia="仿宋_GB2312"/>
              </w:rPr>
              <w:t>供应商应当提供的资格、资质性及其他类似效力要求的相关证明材料.docx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磋商小组认为供应商报价明显低于其他通过符合性审查供应商的报价，有可能影响服务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报价合理性。供应商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按磋商文件实质性要求进行响应。</w:t>
            </w:r>
          </w:p>
        </w:tc>
        <w:tc>
          <w:tcPr>
            <w:tcW w:type="dxa" w:w="1910"/>
          </w:tcPr>
          <w:p>
            <w:pPr>
              <w:pStyle w:val="null3"/>
              <w:jc w:val="left"/>
            </w:pPr>
            <w:r>
              <w:rPr>
                <w:rFonts w:ascii="仿宋_GB2312" w:hAnsi="仿宋_GB2312" w:cs="仿宋_GB2312" w:eastAsia="仿宋_GB2312"/>
              </w:rPr>
              <w:t>响应文件封面,服务需求偏离表.docx,供应商认为需要提供的其他材料.docx,报价表,投标（响应）函,商务偏离表.docx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服务方案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供应商提供自2022年1月1日以来类似项目业绩（类似项目指：保安、安保或秩序维护服务项目），每有一个得2.6分，最多得13分。（说明：提供合同或中标通知书扫描件，并进行电子签章，否则该项不得分）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服务方案（项目背景及需求分析）</w:t>
            </w:r>
          </w:p>
        </w:tc>
        <w:tc>
          <w:tcPr>
            <w:tcW w:type="dxa" w:w="2575"/>
          </w:tcPr>
          <w:p>
            <w:pPr>
              <w:pStyle w:val="null3"/>
              <w:jc w:val="left"/>
            </w:pPr>
            <w:r>
              <w:rPr>
                <w:rFonts w:ascii="仿宋_GB2312" w:hAnsi="仿宋_GB2312" w:cs="仿宋_GB2312" w:eastAsia="仿宋_GB2312"/>
              </w:rPr>
              <w:t>对各供应商提供的项目背景及需求分析进行综合评审，包括但不限于：①本项目现状解析，②安保服务重点难点分析，③管理定位和管理目标。上述内容齐全、无缺陷得12分；每缺少一项内容扣4分，每有一处内容存在缺陷扣2分，单项分值扣完为止。说明：缺陷指方案存在项目名称错误、地点区域错误、内容与本项目需求无关、方案内容矛盾、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服务方案（实施方案）</w:t>
            </w:r>
          </w:p>
        </w:tc>
        <w:tc>
          <w:tcPr>
            <w:tcW w:type="dxa" w:w="2575"/>
          </w:tcPr>
          <w:p>
            <w:pPr>
              <w:pStyle w:val="null3"/>
              <w:jc w:val="left"/>
            </w:pPr>
            <w:r>
              <w:rPr>
                <w:rFonts w:ascii="仿宋_GB2312" w:hAnsi="仿宋_GB2312" w:cs="仿宋_GB2312" w:eastAsia="仿宋_GB2312"/>
              </w:rPr>
              <w:t>对各供应商提供的具体实施方案进行综合评审，包括但不限于：①各项管理制度（至少含考勤制度、人员档案管理制度、考核制度、奖惩制度、薪酬制度），②针对本项目的组织机构设置和人员分工，③工作台账管理，④培训方案（至少含培训时间、方式和内容），⑤人员稳定保障措施，⑥服务质量保障措施，⑦沟通措施。上述内容齐全、无缺陷得28分；每缺少一项内容扣4分，每有一处内容存在缺陷扣2分，单项分值扣完为止。说明：缺陷指方案存在项目名称错误、地点区域错误、内容与本项目需求无关、方案内容矛盾、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服务方案（应急管理方案）</w:t>
            </w:r>
          </w:p>
        </w:tc>
        <w:tc>
          <w:tcPr>
            <w:tcW w:type="dxa" w:w="2575"/>
          </w:tcPr>
          <w:p>
            <w:pPr>
              <w:pStyle w:val="null3"/>
              <w:jc w:val="left"/>
            </w:pPr>
            <w:r>
              <w:rPr>
                <w:rFonts w:ascii="仿宋_GB2312" w:hAnsi="仿宋_GB2312" w:cs="仿宋_GB2312" w:eastAsia="仿宋_GB2312"/>
              </w:rPr>
              <w:t>对各供应商提供的应急管理方案进行综合评审，包括但不限于：①应急管理体系及应急组织机构设置，②火灾应急措施，③公共卫生事件应急措施，④治安事件应急预案，⑤踩踏事件应急预案，⑥发现可疑分子处理措施，⑦暴力恐怖事件应急预案，⑧恶劣天气应急措施。上述内容齐全、无缺陷得28分；每缺少一项内容扣3.5分，每有一处内容存在缺陷扣1.75分，单项分值扣完为止。说明：缺陷指方案存在项目名称错误、地点区域错误、内容与本项目需求无关、方案内容矛盾、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服务方案（劳动风险控制方案）</w:t>
            </w:r>
          </w:p>
        </w:tc>
        <w:tc>
          <w:tcPr>
            <w:tcW w:type="dxa" w:w="2575"/>
          </w:tcPr>
          <w:p>
            <w:pPr>
              <w:pStyle w:val="null3"/>
              <w:jc w:val="left"/>
            </w:pPr>
            <w:r>
              <w:rPr>
                <w:rFonts w:ascii="仿宋_GB2312" w:hAnsi="仿宋_GB2312" w:cs="仿宋_GB2312" w:eastAsia="仿宋_GB2312"/>
              </w:rPr>
              <w:t>对各供应商提供的劳动风险控制方案进行综合评审，包括但不限于：①保安员招收、录用流程管理，②入职管理，③劳动争议及劳动纠纷处理措施。上述内容齐全、无缺陷得9分；每缺少一项内容扣3分，每有一处内容存在缺陷扣1.5分，单项分值扣完为止。说明：缺陷指方案存在项目名称错误、地点区域错误、内容与本项目需求无关、方案内容矛盾、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普通保安</w:t>
            </w:r>
          </w:p>
        </w:tc>
        <w:tc>
          <w:tcPr>
            <w:tcW w:type="dxa" w:w="2575"/>
          </w:tcPr>
          <w:p>
            <w:pPr>
              <w:pStyle w:val="null3"/>
              <w:jc w:val="left"/>
            </w:pPr>
            <w:r>
              <w:rPr>
                <w:rFonts w:ascii="仿宋_GB2312" w:hAnsi="仿宋_GB2312" w:cs="仿宋_GB2312" w:eastAsia="仿宋_GB2312"/>
              </w:rPr>
              <w:t>满足磋商文件要求且最后磋商报价最低的供应商的价格为磋商基准价，其价格分为满分。其他供应商的价格分统一按照下列公式计算：磋商报价得分=（磋商基准价/最后磋商报价）×本项分值。</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安检保安</w:t>
            </w:r>
          </w:p>
        </w:tc>
        <w:tc>
          <w:tcPr>
            <w:tcW w:type="dxa" w:w="2575"/>
          </w:tcPr>
          <w:p>
            <w:pPr>
              <w:pStyle w:val="null3"/>
              <w:jc w:val="left"/>
            </w:pPr>
            <w:r>
              <w:rPr>
                <w:rFonts w:ascii="仿宋_GB2312" w:hAnsi="仿宋_GB2312" w:cs="仿宋_GB2312" w:eastAsia="仿宋_GB2312"/>
              </w:rPr>
              <w:t>满足磋商文件要求且最后磋商报价最低的供应商的价格为磋商基准价，其价格分为满分。其他供应商的价格分统一按照下列公式计算：磋商报价得分=（磋商基准价/最后磋商报价）×本项分值。</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对符合《政府采购促进中小企业发展管理办法》（财库〔2020〕46号）规定的小微企业报价给予20%的价格扣除，用扣除后的价格参加评审。监狱企业与残疾人福利性单位视同小型、微型企业，享受同等价格扣除，当企业属性重复时，不重复进行价格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详见附件：服务需求偏离表.docx</w:t>
      </w:r>
    </w:p>
    <w:p>
      <w:pPr>
        <w:pStyle w:val="null3"/>
        <w:ind w:firstLine="960"/>
        <w:jc w:val="left"/>
      </w:pPr>
      <w:r>
        <w:rPr>
          <w:rFonts w:ascii="仿宋_GB2312" w:hAnsi="仿宋_GB2312" w:cs="仿宋_GB2312" w:eastAsia="仿宋_GB2312"/>
        </w:rPr>
        <w:t>详见附件：商务偏离表.docx</w:t>
      </w:r>
    </w:p>
    <w:p>
      <w:pPr>
        <w:pStyle w:val="null3"/>
        <w:ind w:firstLine="960"/>
        <w:jc w:val="left"/>
      </w:pPr>
      <w:r>
        <w:rPr>
          <w:rFonts w:ascii="仿宋_GB2312" w:hAnsi="仿宋_GB2312" w:cs="仿宋_GB2312" w:eastAsia="仿宋_GB2312"/>
        </w:rPr>
        <w:t>详见附件：供应商认为需要提供的其他材料.docx</w:t>
      </w:r>
    </w:p>
    <w:p>
      <w:pPr>
        <w:pStyle w:val="null3"/>
        <w:ind w:firstLine="960"/>
        <w:jc w:val="left"/>
      </w:pPr>
      <w:r>
        <w:rPr>
          <w:rFonts w:ascii="仿宋_GB2312" w:hAnsi="仿宋_GB2312" w:cs="仿宋_GB2312" w:eastAsia="仿宋_GB2312"/>
        </w:rPr>
        <w:t>详见附件：供应商应当提供的资格、资质性及其他类似效力要求的相关证明材料.docx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