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BD45DE">
      <w:pPr>
        <w:pStyle w:val="4"/>
        <w:jc w:val="center"/>
        <w:outlineLvl w:val="1"/>
      </w:pPr>
      <w:bookmarkStart w:id="0" w:name="_GoBack"/>
      <w:bookmarkEnd w:id="0"/>
      <w:r>
        <w:rPr>
          <w:rFonts w:hint="eastAsia" w:ascii="仿宋_GB2312" w:hAnsi="仿宋_GB2312" w:eastAsia="仿宋_GB2312" w:cs="仿宋_GB2312"/>
          <w:b/>
          <w:sz w:val="36"/>
          <w:lang w:val="en-US" w:eastAsia="zh-CN"/>
        </w:rPr>
        <w:t>采购需</w:t>
      </w:r>
      <w:r>
        <w:rPr>
          <w:rFonts w:ascii="仿宋_GB2312" w:hAnsi="仿宋_GB2312" w:eastAsia="仿宋_GB2312" w:cs="仿宋_GB2312"/>
          <w:b/>
          <w:sz w:val="36"/>
        </w:rPr>
        <w:t>求</w:t>
      </w:r>
    </w:p>
    <w:p w14:paraId="083C5E63">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72C86A4C">
      <w:pPr>
        <w:pStyle w:val="4"/>
        <w:jc w:val="left"/>
        <w:outlineLvl w:val="2"/>
      </w:pPr>
      <w:r>
        <w:rPr>
          <w:rFonts w:ascii="仿宋_GB2312" w:hAnsi="仿宋_GB2312" w:eastAsia="仿宋_GB2312" w:cs="仿宋_GB2312"/>
          <w:b/>
          <w:sz w:val="28"/>
        </w:rPr>
        <w:t>3.1.采购内容</w:t>
      </w:r>
    </w:p>
    <w:p w14:paraId="2E3FE01E">
      <w:pPr>
        <w:pStyle w:val="4"/>
        <w:jc w:val="left"/>
      </w:pPr>
      <w:r>
        <w:rPr>
          <w:rFonts w:ascii="仿宋_GB2312" w:hAnsi="仿宋_GB2312" w:eastAsia="仿宋_GB2312" w:cs="仿宋_GB2312"/>
        </w:rPr>
        <w:t>采购包1：</w:t>
      </w:r>
    </w:p>
    <w:p w14:paraId="40F38CE3">
      <w:pPr>
        <w:pStyle w:val="4"/>
        <w:jc w:val="left"/>
      </w:pPr>
      <w:r>
        <w:rPr>
          <w:rFonts w:ascii="仿宋_GB2312" w:hAnsi="仿宋_GB2312" w:eastAsia="仿宋_GB2312" w:cs="仿宋_GB2312"/>
        </w:rPr>
        <w:t>采购包预算金额（元）: 492,500.00</w:t>
      </w:r>
    </w:p>
    <w:p w14:paraId="2C67EDFF">
      <w:pPr>
        <w:pStyle w:val="4"/>
        <w:jc w:val="left"/>
      </w:pPr>
      <w:r>
        <w:rPr>
          <w:rFonts w:ascii="仿宋_GB2312" w:hAnsi="仿宋_GB2312" w:eastAsia="仿宋_GB2312" w:cs="仿宋_GB2312"/>
        </w:rPr>
        <w:t>采购包最高限价（元）: 492,500.00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9"/>
        <w:gridCol w:w="1116"/>
        <w:gridCol w:w="745"/>
        <w:gridCol w:w="820"/>
        <w:gridCol w:w="1216"/>
        <w:gridCol w:w="745"/>
        <w:gridCol w:w="745"/>
        <w:gridCol w:w="745"/>
        <w:gridCol w:w="745"/>
        <w:gridCol w:w="598"/>
        <w:gridCol w:w="598"/>
      </w:tblGrid>
      <w:tr w14:paraId="0BF8D7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464593D">
            <w:pPr>
              <w:pStyle w:val="4"/>
              <w:jc w:val="center"/>
            </w:pPr>
            <w:r>
              <w:rPr>
                <w:rFonts w:ascii="仿宋_GB2312" w:hAnsi="仿宋_GB2312" w:eastAsia="仿宋_GB2312" w:cs="仿宋_GB2312"/>
              </w:rPr>
              <w:t>序号</w:t>
            </w:r>
          </w:p>
        </w:tc>
        <w:tc>
          <w:tcPr>
            <w:tcW w:w="821" w:type="dxa"/>
          </w:tcPr>
          <w:p w14:paraId="1F392B5E">
            <w:pPr>
              <w:pStyle w:val="4"/>
              <w:jc w:val="center"/>
            </w:pPr>
            <w:r>
              <w:rPr>
                <w:rFonts w:ascii="仿宋_GB2312" w:hAnsi="仿宋_GB2312" w:eastAsia="仿宋_GB2312" w:cs="仿宋_GB2312"/>
              </w:rPr>
              <w:t>采购品目名称</w:t>
            </w:r>
          </w:p>
        </w:tc>
        <w:tc>
          <w:tcPr>
            <w:tcW w:w="821" w:type="dxa"/>
          </w:tcPr>
          <w:p w14:paraId="6F738CE3">
            <w:pPr>
              <w:pStyle w:val="4"/>
              <w:jc w:val="center"/>
            </w:pPr>
            <w:r>
              <w:rPr>
                <w:rFonts w:ascii="仿宋_GB2312" w:hAnsi="仿宋_GB2312" w:eastAsia="仿宋_GB2312" w:cs="仿宋_GB2312"/>
              </w:rPr>
              <w:t>标的名称</w:t>
            </w:r>
          </w:p>
        </w:tc>
        <w:tc>
          <w:tcPr>
            <w:tcW w:w="821" w:type="dxa"/>
          </w:tcPr>
          <w:p w14:paraId="480BE2B3">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1B50D8E2">
            <w:pPr>
              <w:pStyle w:val="4"/>
              <w:jc w:val="center"/>
            </w:pPr>
            <w:r>
              <w:rPr>
                <w:rFonts w:ascii="仿宋_GB2312" w:hAnsi="仿宋_GB2312" w:eastAsia="仿宋_GB2312" w:cs="仿宋_GB2312"/>
              </w:rPr>
              <w:t>标的金额 （元）</w:t>
            </w:r>
          </w:p>
        </w:tc>
        <w:tc>
          <w:tcPr>
            <w:tcW w:w="821" w:type="dxa"/>
          </w:tcPr>
          <w:p w14:paraId="3D3591D2">
            <w:pPr>
              <w:pStyle w:val="4"/>
              <w:jc w:val="center"/>
            </w:pPr>
            <w:r>
              <w:rPr>
                <w:rFonts w:ascii="仿宋_GB2312" w:hAnsi="仿宋_GB2312" w:eastAsia="仿宋_GB2312" w:cs="仿宋_GB2312"/>
              </w:rPr>
              <w:t>所属行业</w:t>
            </w:r>
          </w:p>
        </w:tc>
        <w:tc>
          <w:tcPr>
            <w:tcW w:w="821" w:type="dxa"/>
          </w:tcPr>
          <w:p w14:paraId="16CB29B5">
            <w:pPr>
              <w:pStyle w:val="4"/>
              <w:jc w:val="center"/>
            </w:pPr>
            <w:r>
              <w:rPr>
                <w:rFonts w:ascii="仿宋_GB2312" w:hAnsi="仿宋_GB2312" w:eastAsia="仿宋_GB2312" w:cs="仿宋_GB2312"/>
              </w:rPr>
              <w:t>是否涉及核心产品</w:t>
            </w:r>
          </w:p>
        </w:tc>
        <w:tc>
          <w:tcPr>
            <w:tcW w:w="821" w:type="dxa"/>
          </w:tcPr>
          <w:p w14:paraId="30D9F1B8">
            <w:pPr>
              <w:pStyle w:val="4"/>
              <w:jc w:val="center"/>
            </w:pPr>
            <w:r>
              <w:rPr>
                <w:rFonts w:ascii="仿宋_GB2312" w:hAnsi="仿宋_GB2312" w:eastAsia="仿宋_GB2312" w:cs="仿宋_GB2312"/>
              </w:rPr>
              <w:t>是否涉及采购进口产品</w:t>
            </w:r>
          </w:p>
        </w:tc>
        <w:tc>
          <w:tcPr>
            <w:tcW w:w="821" w:type="dxa"/>
          </w:tcPr>
          <w:p w14:paraId="2D19111E">
            <w:pPr>
              <w:pStyle w:val="4"/>
              <w:jc w:val="center"/>
            </w:pPr>
            <w:r>
              <w:rPr>
                <w:rFonts w:ascii="仿宋_GB2312" w:hAnsi="仿宋_GB2312" w:eastAsia="仿宋_GB2312" w:cs="仿宋_GB2312"/>
              </w:rPr>
              <w:t>是否涉及强制采购节能产品</w:t>
            </w:r>
          </w:p>
        </w:tc>
        <w:tc>
          <w:tcPr>
            <w:tcW w:w="639" w:type="dxa"/>
          </w:tcPr>
          <w:p w14:paraId="5B9D8FDF">
            <w:pPr>
              <w:pStyle w:val="4"/>
              <w:jc w:val="center"/>
            </w:pPr>
            <w:r>
              <w:rPr>
                <w:rFonts w:ascii="仿宋_GB2312" w:hAnsi="仿宋_GB2312" w:eastAsia="仿宋_GB2312" w:cs="仿宋_GB2312"/>
              </w:rPr>
              <w:t>是否涉及优先采购节能产品</w:t>
            </w:r>
          </w:p>
        </w:tc>
        <w:tc>
          <w:tcPr>
            <w:tcW w:w="639" w:type="dxa"/>
          </w:tcPr>
          <w:p w14:paraId="54EA7EC8">
            <w:pPr>
              <w:pStyle w:val="4"/>
              <w:jc w:val="center"/>
            </w:pPr>
            <w:r>
              <w:rPr>
                <w:rFonts w:ascii="仿宋_GB2312" w:hAnsi="仿宋_GB2312" w:eastAsia="仿宋_GB2312" w:cs="仿宋_GB2312"/>
              </w:rPr>
              <w:t>是否涉及优先采购环境标志产品</w:t>
            </w:r>
          </w:p>
        </w:tc>
      </w:tr>
      <w:tr w14:paraId="068F36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EB01906">
            <w:pPr>
              <w:pStyle w:val="4"/>
              <w:jc w:val="left"/>
            </w:pPr>
            <w:r>
              <w:rPr>
                <w:rFonts w:ascii="仿宋_GB2312" w:hAnsi="仿宋_GB2312" w:eastAsia="仿宋_GB2312" w:cs="仿宋_GB2312"/>
              </w:rPr>
              <w:t>1</w:t>
            </w:r>
          </w:p>
        </w:tc>
        <w:tc>
          <w:tcPr>
            <w:tcW w:w="821" w:type="dxa"/>
          </w:tcPr>
          <w:p w14:paraId="15969A8C">
            <w:pPr>
              <w:pStyle w:val="4"/>
              <w:jc w:val="left"/>
            </w:pPr>
            <w:r>
              <w:rPr>
                <w:rFonts w:ascii="仿宋_GB2312" w:hAnsi="仿宋_GB2312" w:eastAsia="仿宋_GB2312" w:cs="仿宋_GB2312"/>
              </w:rPr>
              <w:t>A02321900 临床检验设备</w:t>
            </w:r>
          </w:p>
        </w:tc>
        <w:tc>
          <w:tcPr>
            <w:tcW w:w="821" w:type="dxa"/>
          </w:tcPr>
          <w:p w14:paraId="5C06AF86">
            <w:pPr>
              <w:pStyle w:val="4"/>
              <w:jc w:val="left"/>
            </w:pPr>
            <w:r>
              <w:rPr>
                <w:rFonts w:ascii="仿宋_GB2312" w:hAnsi="仿宋_GB2312" w:eastAsia="仿宋_GB2312" w:cs="仿宋_GB2312"/>
              </w:rPr>
              <w:t>离子色谱仪</w:t>
            </w:r>
          </w:p>
        </w:tc>
        <w:tc>
          <w:tcPr>
            <w:tcW w:w="821" w:type="dxa"/>
          </w:tcPr>
          <w:p w14:paraId="428A2245">
            <w:pPr>
              <w:pStyle w:val="4"/>
              <w:jc w:val="right"/>
            </w:pPr>
            <w:r>
              <w:rPr>
                <w:rFonts w:ascii="仿宋_GB2312" w:hAnsi="仿宋_GB2312" w:eastAsia="仿宋_GB2312" w:cs="仿宋_GB2312"/>
              </w:rPr>
              <w:t>1.00（套）</w:t>
            </w:r>
          </w:p>
        </w:tc>
        <w:tc>
          <w:tcPr>
            <w:tcW w:w="821" w:type="dxa"/>
          </w:tcPr>
          <w:p w14:paraId="03FBC775">
            <w:pPr>
              <w:pStyle w:val="4"/>
              <w:jc w:val="right"/>
            </w:pPr>
            <w:r>
              <w:rPr>
                <w:rFonts w:ascii="仿宋_GB2312" w:hAnsi="仿宋_GB2312" w:eastAsia="仿宋_GB2312" w:cs="仿宋_GB2312"/>
              </w:rPr>
              <w:t>492,500.00</w:t>
            </w:r>
          </w:p>
        </w:tc>
        <w:tc>
          <w:tcPr>
            <w:tcW w:w="821" w:type="dxa"/>
          </w:tcPr>
          <w:p w14:paraId="66FFEB11">
            <w:pPr>
              <w:pStyle w:val="4"/>
              <w:jc w:val="left"/>
            </w:pPr>
            <w:r>
              <w:rPr>
                <w:rFonts w:ascii="仿宋_GB2312" w:hAnsi="仿宋_GB2312" w:eastAsia="仿宋_GB2312" w:cs="仿宋_GB2312"/>
              </w:rPr>
              <w:t>工业</w:t>
            </w:r>
          </w:p>
        </w:tc>
        <w:tc>
          <w:tcPr>
            <w:tcW w:w="821" w:type="dxa"/>
          </w:tcPr>
          <w:p w14:paraId="691B9CFA">
            <w:pPr>
              <w:pStyle w:val="4"/>
              <w:jc w:val="left"/>
            </w:pPr>
            <w:r>
              <w:rPr>
                <w:rFonts w:ascii="仿宋_GB2312" w:hAnsi="仿宋_GB2312" w:eastAsia="仿宋_GB2312" w:cs="仿宋_GB2312"/>
              </w:rPr>
              <w:t>是</w:t>
            </w:r>
          </w:p>
        </w:tc>
        <w:tc>
          <w:tcPr>
            <w:tcW w:w="821" w:type="dxa"/>
          </w:tcPr>
          <w:p w14:paraId="77156983">
            <w:pPr>
              <w:pStyle w:val="4"/>
              <w:jc w:val="left"/>
            </w:pPr>
            <w:r>
              <w:rPr>
                <w:rFonts w:ascii="仿宋_GB2312" w:hAnsi="仿宋_GB2312" w:eastAsia="仿宋_GB2312" w:cs="仿宋_GB2312"/>
              </w:rPr>
              <w:t>否</w:t>
            </w:r>
          </w:p>
        </w:tc>
        <w:tc>
          <w:tcPr>
            <w:tcW w:w="821" w:type="dxa"/>
          </w:tcPr>
          <w:p w14:paraId="29F9538C">
            <w:pPr>
              <w:pStyle w:val="4"/>
              <w:jc w:val="left"/>
            </w:pPr>
            <w:r>
              <w:rPr>
                <w:rFonts w:ascii="仿宋_GB2312" w:hAnsi="仿宋_GB2312" w:eastAsia="仿宋_GB2312" w:cs="仿宋_GB2312"/>
              </w:rPr>
              <w:t>否</w:t>
            </w:r>
          </w:p>
        </w:tc>
        <w:tc>
          <w:tcPr>
            <w:tcW w:w="639" w:type="dxa"/>
          </w:tcPr>
          <w:p w14:paraId="358446C6">
            <w:pPr>
              <w:pStyle w:val="4"/>
              <w:jc w:val="left"/>
            </w:pPr>
            <w:r>
              <w:rPr>
                <w:rFonts w:ascii="仿宋_GB2312" w:hAnsi="仿宋_GB2312" w:eastAsia="仿宋_GB2312" w:cs="仿宋_GB2312"/>
              </w:rPr>
              <w:t>否</w:t>
            </w:r>
          </w:p>
        </w:tc>
        <w:tc>
          <w:tcPr>
            <w:tcW w:w="639" w:type="dxa"/>
          </w:tcPr>
          <w:p w14:paraId="5CD1904F">
            <w:pPr>
              <w:pStyle w:val="4"/>
              <w:jc w:val="left"/>
            </w:pPr>
            <w:r>
              <w:rPr>
                <w:rFonts w:ascii="仿宋_GB2312" w:hAnsi="仿宋_GB2312" w:eastAsia="仿宋_GB2312" w:cs="仿宋_GB2312"/>
              </w:rPr>
              <w:t>否</w:t>
            </w:r>
          </w:p>
        </w:tc>
      </w:tr>
    </w:tbl>
    <w:p w14:paraId="0B9925A4">
      <w:pPr>
        <w:pStyle w:val="4"/>
        <w:jc w:val="left"/>
        <w:outlineLvl w:val="3"/>
      </w:pPr>
      <w:r>
        <w:rPr>
          <w:rFonts w:ascii="仿宋_GB2312" w:hAnsi="仿宋_GB2312" w:eastAsia="仿宋_GB2312" w:cs="仿宋_GB2312"/>
          <w:b/>
          <w:sz w:val="24"/>
        </w:rPr>
        <w:t>报价要求</w:t>
      </w:r>
    </w:p>
    <w:p w14:paraId="016E0DB1">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158A2A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E78110C">
            <w:pPr>
              <w:pStyle w:val="4"/>
              <w:jc w:val="center"/>
            </w:pPr>
            <w:r>
              <w:rPr>
                <w:rFonts w:ascii="仿宋_GB2312" w:hAnsi="仿宋_GB2312" w:eastAsia="仿宋_GB2312" w:cs="仿宋_GB2312"/>
              </w:rPr>
              <w:t>序号</w:t>
            </w:r>
          </w:p>
        </w:tc>
        <w:tc>
          <w:tcPr>
            <w:tcW w:w="1707" w:type="dxa"/>
          </w:tcPr>
          <w:p w14:paraId="76E0E3B1">
            <w:pPr>
              <w:pStyle w:val="4"/>
              <w:jc w:val="center"/>
            </w:pPr>
            <w:r>
              <w:rPr>
                <w:rFonts w:ascii="仿宋_GB2312" w:hAnsi="仿宋_GB2312" w:eastAsia="仿宋_GB2312" w:cs="仿宋_GB2312"/>
              </w:rPr>
              <w:t>报价内容</w:t>
            </w:r>
          </w:p>
        </w:tc>
        <w:tc>
          <w:tcPr>
            <w:tcW w:w="1138" w:type="dxa"/>
          </w:tcPr>
          <w:p w14:paraId="5BD0680E">
            <w:pPr>
              <w:pStyle w:val="4"/>
              <w:jc w:val="center"/>
            </w:pPr>
            <w:r>
              <w:rPr>
                <w:rFonts w:ascii="仿宋_GB2312" w:hAnsi="仿宋_GB2312" w:eastAsia="仿宋_GB2312" w:cs="仿宋_GB2312"/>
              </w:rPr>
              <w:t>数量（计量单位）</w:t>
            </w:r>
          </w:p>
        </w:tc>
        <w:tc>
          <w:tcPr>
            <w:tcW w:w="1365" w:type="dxa"/>
          </w:tcPr>
          <w:p w14:paraId="50F3490B">
            <w:pPr>
              <w:pStyle w:val="4"/>
              <w:jc w:val="center"/>
            </w:pPr>
            <w:r>
              <w:rPr>
                <w:rFonts w:ascii="仿宋_GB2312" w:hAnsi="仿宋_GB2312" w:eastAsia="仿宋_GB2312" w:cs="仿宋_GB2312"/>
              </w:rPr>
              <w:t>最高限价</w:t>
            </w:r>
          </w:p>
        </w:tc>
        <w:tc>
          <w:tcPr>
            <w:tcW w:w="1138" w:type="dxa"/>
          </w:tcPr>
          <w:p w14:paraId="37D4BB00">
            <w:pPr>
              <w:pStyle w:val="4"/>
              <w:jc w:val="center"/>
            </w:pPr>
            <w:r>
              <w:rPr>
                <w:rFonts w:ascii="仿宋_GB2312" w:hAnsi="仿宋_GB2312" w:eastAsia="仿宋_GB2312" w:cs="仿宋_GB2312"/>
              </w:rPr>
              <w:t>价款形式</w:t>
            </w:r>
          </w:p>
        </w:tc>
        <w:tc>
          <w:tcPr>
            <w:tcW w:w="1934" w:type="dxa"/>
          </w:tcPr>
          <w:p w14:paraId="6176C5DE">
            <w:pPr>
              <w:pStyle w:val="4"/>
              <w:jc w:val="center"/>
            </w:pPr>
            <w:r>
              <w:rPr>
                <w:rFonts w:ascii="仿宋_GB2312" w:hAnsi="仿宋_GB2312" w:eastAsia="仿宋_GB2312" w:cs="仿宋_GB2312"/>
              </w:rPr>
              <w:t>报价说明</w:t>
            </w:r>
          </w:p>
        </w:tc>
      </w:tr>
      <w:tr w14:paraId="286F11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252F343">
            <w:pPr>
              <w:pStyle w:val="4"/>
              <w:jc w:val="center"/>
            </w:pPr>
            <w:r>
              <w:rPr>
                <w:rFonts w:ascii="仿宋_GB2312" w:hAnsi="仿宋_GB2312" w:eastAsia="仿宋_GB2312" w:cs="仿宋_GB2312"/>
              </w:rPr>
              <w:t>1</w:t>
            </w:r>
          </w:p>
        </w:tc>
        <w:tc>
          <w:tcPr>
            <w:tcW w:w="1707" w:type="dxa"/>
          </w:tcPr>
          <w:p w14:paraId="40D49093">
            <w:pPr>
              <w:pStyle w:val="4"/>
              <w:jc w:val="center"/>
            </w:pPr>
            <w:r>
              <w:rPr>
                <w:rFonts w:ascii="仿宋_GB2312" w:hAnsi="仿宋_GB2312" w:eastAsia="仿宋_GB2312" w:cs="仿宋_GB2312"/>
              </w:rPr>
              <w:t>离子色谱仪</w:t>
            </w:r>
          </w:p>
        </w:tc>
        <w:tc>
          <w:tcPr>
            <w:tcW w:w="1138" w:type="dxa"/>
          </w:tcPr>
          <w:p w14:paraId="29774338">
            <w:pPr>
              <w:pStyle w:val="4"/>
              <w:jc w:val="center"/>
            </w:pPr>
            <w:r>
              <w:rPr>
                <w:rFonts w:ascii="仿宋_GB2312" w:hAnsi="仿宋_GB2312" w:eastAsia="仿宋_GB2312" w:cs="仿宋_GB2312"/>
              </w:rPr>
              <w:t>1.00（套）</w:t>
            </w:r>
          </w:p>
        </w:tc>
        <w:tc>
          <w:tcPr>
            <w:tcW w:w="1365" w:type="dxa"/>
          </w:tcPr>
          <w:p w14:paraId="041D8F3E">
            <w:pPr>
              <w:pStyle w:val="4"/>
              <w:jc w:val="center"/>
            </w:pPr>
            <w:r>
              <w:rPr>
                <w:rFonts w:ascii="仿宋_GB2312" w:hAnsi="仿宋_GB2312" w:eastAsia="仿宋_GB2312" w:cs="仿宋_GB2312"/>
              </w:rPr>
              <w:t>492,500.00</w:t>
            </w:r>
          </w:p>
        </w:tc>
        <w:tc>
          <w:tcPr>
            <w:tcW w:w="1138" w:type="dxa"/>
          </w:tcPr>
          <w:p w14:paraId="744D3312">
            <w:pPr>
              <w:pStyle w:val="4"/>
              <w:jc w:val="center"/>
            </w:pPr>
            <w:r>
              <w:rPr>
                <w:rFonts w:ascii="仿宋_GB2312" w:hAnsi="仿宋_GB2312" w:eastAsia="仿宋_GB2312" w:cs="仿宋_GB2312"/>
              </w:rPr>
              <w:t>总价</w:t>
            </w:r>
          </w:p>
        </w:tc>
        <w:tc>
          <w:tcPr>
            <w:tcW w:w="1934" w:type="dxa"/>
          </w:tcPr>
          <w:p w14:paraId="25B097A3">
            <w:pPr>
              <w:pStyle w:val="4"/>
              <w:jc w:val="left"/>
            </w:pPr>
            <w:r>
              <w:rPr>
                <w:rFonts w:ascii="仿宋_GB2312" w:hAnsi="仿宋_GB2312" w:eastAsia="仿宋_GB2312" w:cs="仿宋_GB2312"/>
              </w:rPr>
              <w:t>无</w:t>
            </w:r>
          </w:p>
        </w:tc>
      </w:tr>
    </w:tbl>
    <w:p w14:paraId="0C0A7C4E">
      <w:pPr>
        <w:pStyle w:val="4"/>
        <w:ind w:firstLine="480"/>
        <w:jc w:val="left"/>
      </w:pPr>
      <w:r>
        <w:rPr>
          <w:rFonts w:ascii="仿宋_GB2312" w:hAnsi="仿宋_GB2312" w:eastAsia="仿宋_GB2312" w:cs="仿宋_GB2312"/>
        </w:rPr>
        <w:t>★注：投标人响应产品应当明确品牌和规格型号并指向唯一产品，不能指向唯一产品的，应通过报价表唯一产品说明栏补充说明。</w:t>
      </w:r>
    </w:p>
    <w:p w14:paraId="577541AD">
      <w:pPr>
        <w:pStyle w:val="4"/>
        <w:jc w:val="left"/>
        <w:outlineLvl w:val="3"/>
      </w:pPr>
      <w:r>
        <w:rPr>
          <w:rFonts w:ascii="仿宋_GB2312" w:hAnsi="仿宋_GB2312" w:eastAsia="仿宋_GB2312" w:cs="仿宋_GB2312"/>
          <w:b/>
          <w:sz w:val="24"/>
        </w:rPr>
        <w:t>本项目涉及核心产品：</w:t>
      </w:r>
    </w:p>
    <w:p w14:paraId="1F08099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F6154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ADDC20C">
            <w:pPr>
              <w:pStyle w:val="4"/>
              <w:jc w:val="center"/>
            </w:pPr>
            <w:r>
              <w:rPr>
                <w:rFonts w:ascii="仿宋_GB2312" w:hAnsi="仿宋_GB2312" w:eastAsia="仿宋_GB2312" w:cs="仿宋_GB2312"/>
              </w:rPr>
              <w:t>序号</w:t>
            </w:r>
          </w:p>
        </w:tc>
        <w:tc>
          <w:tcPr>
            <w:tcW w:w="2492" w:type="dxa"/>
          </w:tcPr>
          <w:p w14:paraId="5FD366B7">
            <w:pPr>
              <w:pStyle w:val="4"/>
              <w:jc w:val="center"/>
            </w:pPr>
            <w:r>
              <w:rPr>
                <w:rFonts w:ascii="仿宋_GB2312" w:hAnsi="仿宋_GB2312" w:eastAsia="仿宋_GB2312" w:cs="仿宋_GB2312"/>
              </w:rPr>
              <w:t>采购品目名称</w:t>
            </w:r>
          </w:p>
        </w:tc>
        <w:tc>
          <w:tcPr>
            <w:tcW w:w="2492" w:type="dxa"/>
          </w:tcPr>
          <w:p w14:paraId="552E2CDB">
            <w:pPr>
              <w:pStyle w:val="4"/>
              <w:jc w:val="center"/>
            </w:pPr>
            <w:r>
              <w:rPr>
                <w:rFonts w:ascii="仿宋_GB2312" w:hAnsi="仿宋_GB2312" w:eastAsia="仿宋_GB2312" w:cs="仿宋_GB2312"/>
              </w:rPr>
              <w:t>标的名称</w:t>
            </w:r>
          </w:p>
        </w:tc>
        <w:tc>
          <w:tcPr>
            <w:tcW w:w="2492" w:type="dxa"/>
          </w:tcPr>
          <w:p w14:paraId="67FFAAEA">
            <w:pPr>
              <w:pStyle w:val="4"/>
              <w:jc w:val="center"/>
            </w:pPr>
            <w:r>
              <w:rPr>
                <w:rFonts w:ascii="仿宋_GB2312" w:hAnsi="仿宋_GB2312" w:eastAsia="仿宋_GB2312" w:cs="仿宋_GB2312"/>
              </w:rPr>
              <w:t>产品名称</w:t>
            </w:r>
          </w:p>
        </w:tc>
      </w:tr>
      <w:tr w14:paraId="671D67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B3F70F2">
            <w:pPr>
              <w:pStyle w:val="4"/>
              <w:jc w:val="left"/>
            </w:pPr>
            <w:r>
              <w:rPr>
                <w:rFonts w:ascii="仿宋_GB2312" w:hAnsi="仿宋_GB2312" w:eastAsia="仿宋_GB2312" w:cs="仿宋_GB2312"/>
              </w:rPr>
              <w:t>1</w:t>
            </w:r>
          </w:p>
        </w:tc>
        <w:tc>
          <w:tcPr>
            <w:tcW w:w="2492" w:type="dxa"/>
          </w:tcPr>
          <w:p w14:paraId="4F65F89B">
            <w:pPr>
              <w:pStyle w:val="4"/>
              <w:jc w:val="left"/>
            </w:pPr>
            <w:r>
              <w:rPr>
                <w:rFonts w:ascii="仿宋_GB2312" w:hAnsi="仿宋_GB2312" w:eastAsia="仿宋_GB2312" w:cs="仿宋_GB2312"/>
              </w:rPr>
              <w:t>A02321900 临床检验设备</w:t>
            </w:r>
          </w:p>
        </w:tc>
        <w:tc>
          <w:tcPr>
            <w:tcW w:w="2492" w:type="dxa"/>
          </w:tcPr>
          <w:p w14:paraId="169EBD8F">
            <w:pPr>
              <w:pStyle w:val="4"/>
              <w:jc w:val="left"/>
            </w:pPr>
            <w:r>
              <w:rPr>
                <w:rFonts w:ascii="仿宋_GB2312" w:hAnsi="仿宋_GB2312" w:eastAsia="仿宋_GB2312" w:cs="仿宋_GB2312"/>
              </w:rPr>
              <w:t>离子色谱仪</w:t>
            </w:r>
          </w:p>
        </w:tc>
        <w:tc>
          <w:tcPr>
            <w:tcW w:w="2492" w:type="dxa"/>
          </w:tcPr>
          <w:p w14:paraId="23D543C0">
            <w:pPr>
              <w:pStyle w:val="4"/>
              <w:jc w:val="left"/>
            </w:pPr>
            <w:r>
              <w:rPr>
                <w:rFonts w:ascii="仿宋_GB2312" w:hAnsi="仿宋_GB2312" w:eastAsia="仿宋_GB2312" w:cs="仿宋_GB2312"/>
              </w:rPr>
              <w:t>离子色谱仪</w:t>
            </w:r>
          </w:p>
        </w:tc>
      </w:tr>
    </w:tbl>
    <w:p w14:paraId="60F9CA0C">
      <w:pPr>
        <w:pStyle w:val="4"/>
        <w:ind w:firstLine="480"/>
        <w:jc w:val="left"/>
      </w:pPr>
      <w:r>
        <w:rPr>
          <w:rFonts w:ascii="仿宋_GB2312" w:hAnsi="仿宋_GB2312" w:eastAsia="仿宋_GB2312" w:cs="仿宋_GB2312"/>
        </w:rPr>
        <w:t>注：涉及核心产品的，具体评审规定见第五章。</w:t>
      </w:r>
    </w:p>
    <w:p w14:paraId="3EAE6553">
      <w:pPr>
        <w:pStyle w:val="4"/>
        <w:jc w:val="left"/>
        <w:outlineLvl w:val="3"/>
      </w:pPr>
      <w:r>
        <w:rPr>
          <w:rFonts w:ascii="仿宋_GB2312" w:hAnsi="仿宋_GB2312" w:eastAsia="仿宋_GB2312" w:cs="仿宋_GB2312"/>
          <w:b/>
          <w:sz w:val="24"/>
        </w:rPr>
        <w:t>本项目涉及采购进口产品：</w:t>
      </w:r>
    </w:p>
    <w:p w14:paraId="5A072475">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EEC0F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C25FF85">
            <w:pPr>
              <w:pStyle w:val="4"/>
              <w:jc w:val="center"/>
            </w:pPr>
            <w:r>
              <w:rPr>
                <w:rFonts w:ascii="仿宋_GB2312" w:hAnsi="仿宋_GB2312" w:eastAsia="仿宋_GB2312" w:cs="仿宋_GB2312"/>
              </w:rPr>
              <w:t>序号</w:t>
            </w:r>
          </w:p>
        </w:tc>
        <w:tc>
          <w:tcPr>
            <w:tcW w:w="2492" w:type="dxa"/>
          </w:tcPr>
          <w:p w14:paraId="55FF7A71">
            <w:pPr>
              <w:pStyle w:val="4"/>
              <w:jc w:val="center"/>
            </w:pPr>
            <w:r>
              <w:rPr>
                <w:rFonts w:ascii="仿宋_GB2312" w:hAnsi="仿宋_GB2312" w:eastAsia="仿宋_GB2312" w:cs="仿宋_GB2312"/>
              </w:rPr>
              <w:t>采购品目名称</w:t>
            </w:r>
          </w:p>
        </w:tc>
        <w:tc>
          <w:tcPr>
            <w:tcW w:w="2492" w:type="dxa"/>
          </w:tcPr>
          <w:p w14:paraId="3C69EB00">
            <w:pPr>
              <w:pStyle w:val="4"/>
              <w:jc w:val="center"/>
            </w:pPr>
            <w:r>
              <w:rPr>
                <w:rFonts w:ascii="仿宋_GB2312" w:hAnsi="仿宋_GB2312" w:eastAsia="仿宋_GB2312" w:cs="仿宋_GB2312"/>
              </w:rPr>
              <w:t>标的名称</w:t>
            </w:r>
          </w:p>
        </w:tc>
        <w:tc>
          <w:tcPr>
            <w:tcW w:w="2492" w:type="dxa"/>
          </w:tcPr>
          <w:p w14:paraId="3D733396">
            <w:pPr>
              <w:pStyle w:val="4"/>
              <w:jc w:val="center"/>
            </w:pPr>
            <w:r>
              <w:rPr>
                <w:rFonts w:ascii="仿宋_GB2312" w:hAnsi="仿宋_GB2312" w:eastAsia="仿宋_GB2312" w:cs="仿宋_GB2312"/>
              </w:rPr>
              <w:t>产品名称</w:t>
            </w:r>
          </w:p>
        </w:tc>
      </w:tr>
      <w:tr w14:paraId="719E57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2AF676F">
            <w:pPr>
              <w:pStyle w:val="4"/>
              <w:jc w:val="center"/>
            </w:pPr>
            <w:r>
              <w:rPr>
                <w:rFonts w:ascii="仿宋_GB2312" w:hAnsi="仿宋_GB2312" w:eastAsia="仿宋_GB2312" w:cs="仿宋_GB2312"/>
              </w:rPr>
              <w:t>不涉及</w:t>
            </w:r>
          </w:p>
        </w:tc>
      </w:tr>
    </w:tbl>
    <w:p w14:paraId="5D5F92A8">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63B6FE60">
      <w:pPr>
        <w:pStyle w:val="4"/>
        <w:jc w:val="left"/>
        <w:outlineLvl w:val="3"/>
      </w:pPr>
      <w:r>
        <w:rPr>
          <w:rFonts w:ascii="仿宋_GB2312" w:hAnsi="仿宋_GB2312" w:eastAsia="仿宋_GB2312" w:cs="仿宋_GB2312"/>
          <w:b/>
          <w:sz w:val="24"/>
        </w:rPr>
        <w:t>本项目涉及强制采购节能产品：</w:t>
      </w:r>
    </w:p>
    <w:p w14:paraId="37DCA812">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2B3B1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69D8C46">
            <w:pPr>
              <w:pStyle w:val="4"/>
              <w:jc w:val="center"/>
            </w:pPr>
            <w:r>
              <w:rPr>
                <w:rFonts w:ascii="仿宋_GB2312" w:hAnsi="仿宋_GB2312" w:eastAsia="仿宋_GB2312" w:cs="仿宋_GB2312"/>
              </w:rPr>
              <w:t>序号</w:t>
            </w:r>
          </w:p>
        </w:tc>
        <w:tc>
          <w:tcPr>
            <w:tcW w:w="2492" w:type="dxa"/>
          </w:tcPr>
          <w:p w14:paraId="4D082388">
            <w:pPr>
              <w:pStyle w:val="4"/>
              <w:jc w:val="center"/>
            </w:pPr>
            <w:r>
              <w:rPr>
                <w:rFonts w:ascii="仿宋_GB2312" w:hAnsi="仿宋_GB2312" w:eastAsia="仿宋_GB2312" w:cs="仿宋_GB2312"/>
              </w:rPr>
              <w:t>采购品目名称</w:t>
            </w:r>
          </w:p>
        </w:tc>
        <w:tc>
          <w:tcPr>
            <w:tcW w:w="2492" w:type="dxa"/>
          </w:tcPr>
          <w:p w14:paraId="6E282FD9">
            <w:pPr>
              <w:pStyle w:val="4"/>
              <w:jc w:val="center"/>
            </w:pPr>
            <w:r>
              <w:rPr>
                <w:rFonts w:ascii="仿宋_GB2312" w:hAnsi="仿宋_GB2312" w:eastAsia="仿宋_GB2312" w:cs="仿宋_GB2312"/>
              </w:rPr>
              <w:t>标的名称</w:t>
            </w:r>
          </w:p>
        </w:tc>
        <w:tc>
          <w:tcPr>
            <w:tcW w:w="2492" w:type="dxa"/>
          </w:tcPr>
          <w:p w14:paraId="6939CB71">
            <w:pPr>
              <w:pStyle w:val="4"/>
              <w:jc w:val="center"/>
            </w:pPr>
            <w:r>
              <w:rPr>
                <w:rFonts w:ascii="仿宋_GB2312" w:hAnsi="仿宋_GB2312" w:eastAsia="仿宋_GB2312" w:cs="仿宋_GB2312"/>
              </w:rPr>
              <w:t>产品名称</w:t>
            </w:r>
          </w:p>
        </w:tc>
      </w:tr>
      <w:tr w14:paraId="0DB85D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E1FA0C0">
            <w:pPr>
              <w:pStyle w:val="4"/>
              <w:jc w:val="center"/>
            </w:pPr>
            <w:r>
              <w:rPr>
                <w:rFonts w:ascii="仿宋_GB2312" w:hAnsi="仿宋_GB2312" w:eastAsia="仿宋_GB2312" w:cs="仿宋_GB2312"/>
              </w:rPr>
              <w:t>不涉及</w:t>
            </w:r>
          </w:p>
        </w:tc>
      </w:tr>
    </w:tbl>
    <w:p w14:paraId="64AA945A">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7E6DE690">
      <w:pPr>
        <w:pStyle w:val="4"/>
        <w:jc w:val="left"/>
      </w:pPr>
      <w:r>
        <w:rPr>
          <w:rFonts w:ascii="仿宋_GB2312" w:hAnsi="仿宋_GB2312" w:eastAsia="仿宋_GB2312" w:cs="仿宋_GB2312"/>
          <w:b/>
        </w:rPr>
        <w:t>本项目涉及优先采购节能产品：</w:t>
      </w:r>
    </w:p>
    <w:p w14:paraId="0A10DE6E">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227EB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A6A254A">
            <w:pPr>
              <w:pStyle w:val="4"/>
              <w:jc w:val="center"/>
            </w:pPr>
            <w:r>
              <w:rPr>
                <w:rFonts w:ascii="仿宋_GB2312" w:hAnsi="仿宋_GB2312" w:eastAsia="仿宋_GB2312" w:cs="仿宋_GB2312"/>
              </w:rPr>
              <w:t>序号</w:t>
            </w:r>
          </w:p>
        </w:tc>
        <w:tc>
          <w:tcPr>
            <w:tcW w:w="2492" w:type="dxa"/>
          </w:tcPr>
          <w:p w14:paraId="74D03FC5">
            <w:pPr>
              <w:pStyle w:val="4"/>
              <w:jc w:val="center"/>
            </w:pPr>
            <w:r>
              <w:rPr>
                <w:rFonts w:ascii="仿宋_GB2312" w:hAnsi="仿宋_GB2312" w:eastAsia="仿宋_GB2312" w:cs="仿宋_GB2312"/>
              </w:rPr>
              <w:t>采购品目名称</w:t>
            </w:r>
          </w:p>
        </w:tc>
        <w:tc>
          <w:tcPr>
            <w:tcW w:w="2492" w:type="dxa"/>
          </w:tcPr>
          <w:p w14:paraId="6293C9F2">
            <w:pPr>
              <w:pStyle w:val="4"/>
              <w:jc w:val="center"/>
            </w:pPr>
            <w:r>
              <w:rPr>
                <w:rFonts w:ascii="仿宋_GB2312" w:hAnsi="仿宋_GB2312" w:eastAsia="仿宋_GB2312" w:cs="仿宋_GB2312"/>
              </w:rPr>
              <w:t>标的名称</w:t>
            </w:r>
          </w:p>
        </w:tc>
        <w:tc>
          <w:tcPr>
            <w:tcW w:w="2492" w:type="dxa"/>
          </w:tcPr>
          <w:p w14:paraId="1DE7FC1F">
            <w:pPr>
              <w:pStyle w:val="4"/>
              <w:jc w:val="center"/>
            </w:pPr>
            <w:r>
              <w:rPr>
                <w:rFonts w:ascii="仿宋_GB2312" w:hAnsi="仿宋_GB2312" w:eastAsia="仿宋_GB2312" w:cs="仿宋_GB2312"/>
              </w:rPr>
              <w:t>产品名称</w:t>
            </w:r>
          </w:p>
        </w:tc>
      </w:tr>
      <w:tr w14:paraId="0BB0F9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A595411">
            <w:pPr>
              <w:pStyle w:val="4"/>
              <w:jc w:val="center"/>
            </w:pPr>
            <w:r>
              <w:rPr>
                <w:rFonts w:ascii="仿宋_GB2312" w:hAnsi="仿宋_GB2312" w:eastAsia="仿宋_GB2312" w:cs="仿宋_GB2312"/>
              </w:rPr>
              <w:t>不涉及</w:t>
            </w:r>
          </w:p>
        </w:tc>
      </w:tr>
    </w:tbl>
    <w:p w14:paraId="73658CD3">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1DA7C76D">
      <w:pPr>
        <w:pStyle w:val="4"/>
        <w:jc w:val="left"/>
        <w:outlineLvl w:val="3"/>
      </w:pPr>
      <w:r>
        <w:rPr>
          <w:rFonts w:ascii="仿宋_GB2312" w:hAnsi="仿宋_GB2312" w:eastAsia="仿宋_GB2312" w:cs="仿宋_GB2312"/>
          <w:b/>
          <w:sz w:val="24"/>
        </w:rPr>
        <w:t>本项目涉及优先采购环境标志产品：</w:t>
      </w:r>
    </w:p>
    <w:p w14:paraId="2DB51C61">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52CA0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42A1286">
            <w:pPr>
              <w:pStyle w:val="4"/>
              <w:jc w:val="center"/>
            </w:pPr>
            <w:r>
              <w:rPr>
                <w:rFonts w:ascii="仿宋_GB2312" w:hAnsi="仿宋_GB2312" w:eastAsia="仿宋_GB2312" w:cs="仿宋_GB2312"/>
              </w:rPr>
              <w:t>序号</w:t>
            </w:r>
          </w:p>
        </w:tc>
        <w:tc>
          <w:tcPr>
            <w:tcW w:w="2492" w:type="dxa"/>
          </w:tcPr>
          <w:p w14:paraId="70B4BF8F">
            <w:pPr>
              <w:pStyle w:val="4"/>
              <w:jc w:val="center"/>
            </w:pPr>
            <w:r>
              <w:rPr>
                <w:rFonts w:ascii="仿宋_GB2312" w:hAnsi="仿宋_GB2312" w:eastAsia="仿宋_GB2312" w:cs="仿宋_GB2312"/>
              </w:rPr>
              <w:t>采购品目名称</w:t>
            </w:r>
          </w:p>
        </w:tc>
        <w:tc>
          <w:tcPr>
            <w:tcW w:w="2492" w:type="dxa"/>
          </w:tcPr>
          <w:p w14:paraId="040C7EDD">
            <w:pPr>
              <w:pStyle w:val="4"/>
              <w:jc w:val="center"/>
            </w:pPr>
            <w:r>
              <w:rPr>
                <w:rFonts w:ascii="仿宋_GB2312" w:hAnsi="仿宋_GB2312" w:eastAsia="仿宋_GB2312" w:cs="仿宋_GB2312"/>
              </w:rPr>
              <w:t>标的名称</w:t>
            </w:r>
          </w:p>
        </w:tc>
        <w:tc>
          <w:tcPr>
            <w:tcW w:w="2492" w:type="dxa"/>
          </w:tcPr>
          <w:p w14:paraId="083481DB">
            <w:pPr>
              <w:pStyle w:val="4"/>
              <w:jc w:val="center"/>
            </w:pPr>
            <w:r>
              <w:rPr>
                <w:rFonts w:ascii="仿宋_GB2312" w:hAnsi="仿宋_GB2312" w:eastAsia="仿宋_GB2312" w:cs="仿宋_GB2312"/>
              </w:rPr>
              <w:t>产品名称</w:t>
            </w:r>
          </w:p>
        </w:tc>
      </w:tr>
      <w:tr w14:paraId="2C80CC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3746B50">
            <w:pPr>
              <w:pStyle w:val="4"/>
              <w:jc w:val="center"/>
            </w:pPr>
            <w:r>
              <w:rPr>
                <w:rFonts w:ascii="仿宋_GB2312" w:hAnsi="仿宋_GB2312" w:eastAsia="仿宋_GB2312" w:cs="仿宋_GB2312"/>
              </w:rPr>
              <w:t>不涉及</w:t>
            </w:r>
          </w:p>
        </w:tc>
      </w:tr>
    </w:tbl>
    <w:p w14:paraId="5A1AA8A1">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32BE3C12">
      <w:pPr>
        <w:pStyle w:val="4"/>
        <w:jc w:val="left"/>
        <w:outlineLvl w:val="2"/>
      </w:pPr>
      <w:r>
        <w:rPr>
          <w:rFonts w:ascii="仿宋_GB2312" w:hAnsi="仿宋_GB2312" w:eastAsia="仿宋_GB2312" w:cs="仿宋_GB2312"/>
          <w:b/>
          <w:sz w:val="28"/>
        </w:rPr>
        <w:t>3.2.技术要求</w:t>
      </w:r>
    </w:p>
    <w:p w14:paraId="227FF5B4">
      <w:pPr>
        <w:pStyle w:val="4"/>
        <w:jc w:val="left"/>
      </w:pPr>
      <w:r>
        <w:rPr>
          <w:rFonts w:ascii="仿宋_GB2312" w:hAnsi="仿宋_GB2312" w:eastAsia="仿宋_GB2312" w:cs="仿宋_GB2312"/>
        </w:rPr>
        <w:t>采购包1：</w:t>
      </w:r>
    </w:p>
    <w:p w14:paraId="2C465961">
      <w:pPr>
        <w:pStyle w:val="4"/>
        <w:jc w:val="left"/>
      </w:pPr>
      <w:r>
        <w:rPr>
          <w:rFonts w:ascii="仿宋_GB2312" w:hAnsi="仿宋_GB2312" w:eastAsia="仿宋_GB2312" w:cs="仿宋_GB2312"/>
        </w:rPr>
        <w:t>标的名称：离子色谱仪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BADBE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CB70F57">
            <w:pPr>
              <w:pStyle w:val="4"/>
              <w:jc w:val="center"/>
            </w:pPr>
            <w:r>
              <w:rPr>
                <w:rFonts w:ascii="仿宋_GB2312" w:hAnsi="仿宋_GB2312" w:eastAsia="仿宋_GB2312" w:cs="仿宋_GB2312"/>
              </w:rPr>
              <w:t>序号</w:t>
            </w:r>
          </w:p>
        </w:tc>
        <w:tc>
          <w:tcPr>
            <w:tcW w:w="581" w:type="dxa"/>
          </w:tcPr>
          <w:p w14:paraId="013BCFA0">
            <w:pPr>
              <w:pStyle w:val="4"/>
              <w:jc w:val="center"/>
            </w:pPr>
            <w:r>
              <w:rPr>
                <w:rFonts w:ascii="仿宋_GB2312" w:hAnsi="仿宋_GB2312" w:eastAsia="仿宋_GB2312" w:cs="仿宋_GB2312"/>
              </w:rPr>
              <w:t>符号标识</w:t>
            </w:r>
          </w:p>
        </w:tc>
        <w:tc>
          <w:tcPr>
            <w:tcW w:w="1495" w:type="dxa"/>
          </w:tcPr>
          <w:p w14:paraId="039CF04F">
            <w:pPr>
              <w:pStyle w:val="4"/>
              <w:jc w:val="center"/>
            </w:pPr>
            <w:r>
              <w:rPr>
                <w:rFonts w:ascii="仿宋_GB2312" w:hAnsi="仿宋_GB2312" w:eastAsia="仿宋_GB2312" w:cs="仿宋_GB2312"/>
              </w:rPr>
              <w:t>技术要求名称</w:t>
            </w:r>
          </w:p>
        </w:tc>
        <w:tc>
          <w:tcPr>
            <w:tcW w:w="5814" w:type="dxa"/>
          </w:tcPr>
          <w:p w14:paraId="03708BA1">
            <w:pPr>
              <w:pStyle w:val="4"/>
              <w:jc w:val="center"/>
            </w:pPr>
            <w:r>
              <w:rPr>
                <w:rFonts w:ascii="仿宋_GB2312" w:hAnsi="仿宋_GB2312" w:eastAsia="仿宋_GB2312" w:cs="仿宋_GB2312"/>
              </w:rPr>
              <w:t>技术参数与性能指标</w:t>
            </w:r>
          </w:p>
        </w:tc>
      </w:tr>
      <w:tr w14:paraId="2B775E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96BDD44">
            <w:pPr>
              <w:pStyle w:val="4"/>
              <w:jc w:val="center"/>
            </w:pPr>
            <w:r>
              <w:rPr>
                <w:rFonts w:ascii="仿宋_GB2312" w:hAnsi="仿宋_GB2312" w:eastAsia="仿宋_GB2312" w:cs="仿宋_GB2312"/>
              </w:rPr>
              <w:t>1</w:t>
            </w:r>
          </w:p>
        </w:tc>
        <w:tc>
          <w:tcPr>
            <w:tcW w:w="581" w:type="dxa"/>
          </w:tcPr>
          <w:p w14:paraId="236E871C"/>
        </w:tc>
        <w:tc>
          <w:tcPr>
            <w:tcW w:w="1495" w:type="dxa"/>
          </w:tcPr>
          <w:p w14:paraId="07D2ABC7"/>
        </w:tc>
        <w:tc>
          <w:tcPr>
            <w:tcW w:w="5814" w:type="dxa"/>
          </w:tcPr>
          <w:p w14:paraId="196443B8">
            <w:pPr>
              <w:pStyle w:val="4"/>
              <w:jc w:val="both"/>
            </w:pPr>
            <w:r>
              <w:rPr>
                <w:rFonts w:ascii="仿宋_GB2312" w:hAnsi="仿宋_GB2312" w:eastAsia="仿宋_GB2312" w:cs="仿宋_GB2312"/>
              </w:rPr>
              <w:t xml:space="preserve">   1.输液泵：</w:t>
            </w:r>
          </w:p>
          <w:p w14:paraId="3B14620E">
            <w:pPr>
              <w:pStyle w:val="4"/>
              <w:jc w:val="left"/>
            </w:pPr>
            <w:r>
              <w:rPr>
                <w:rFonts w:ascii="仿宋_GB2312" w:hAnsi="仿宋_GB2312" w:eastAsia="仿宋_GB2312" w:cs="仿宋_GB2312"/>
              </w:rPr>
              <w:t>1.1．▲采用低脉冲高压双柱塞泵，其所有部件（含泵外壳、单向阀外壳、单向阀阀芯、管路等）采用PEEK材质，适合于pH为0～14的淋洗液及反相有机溶剂。（提供原厂公开发行的产品彩页资料或使用说明书/操作手册或国家认可的第三方检验/检测机构出具的检验/检测报告证明）</w:t>
            </w:r>
          </w:p>
          <w:p w14:paraId="0705F8BC">
            <w:pPr>
              <w:pStyle w:val="4"/>
              <w:jc w:val="left"/>
            </w:pPr>
            <w:r>
              <w:rPr>
                <w:rFonts w:ascii="仿宋_GB2312" w:hAnsi="仿宋_GB2312" w:eastAsia="仿宋_GB2312" w:cs="仿宋_GB2312"/>
              </w:rPr>
              <w:t>1.2．流量精度：≤±0.1%。</w:t>
            </w:r>
          </w:p>
          <w:p w14:paraId="6B1234F0">
            <w:pPr>
              <w:pStyle w:val="4"/>
              <w:jc w:val="left"/>
            </w:pPr>
            <w:r>
              <w:rPr>
                <w:rFonts w:ascii="仿宋_GB2312" w:hAnsi="仿宋_GB2312" w:eastAsia="仿宋_GB2312" w:cs="仿宋_GB2312"/>
              </w:rPr>
              <w:t>1.3．流量准确度：≤0.1%。</w:t>
            </w:r>
          </w:p>
          <w:p w14:paraId="42DCA07C">
            <w:pPr>
              <w:pStyle w:val="4"/>
              <w:jc w:val="left"/>
            </w:pPr>
            <w:r>
              <w:rPr>
                <w:rFonts w:ascii="仿宋_GB2312" w:hAnsi="仿宋_GB2312" w:eastAsia="仿宋_GB2312" w:cs="仿宋_GB2312"/>
              </w:rPr>
              <w:t>1.4．最大压力：≥32MPa。</w:t>
            </w:r>
          </w:p>
          <w:p w14:paraId="16F6624A">
            <w:pPr>
              <w:pStyle w:val="4"/>
              <w:jc w:val="left"/>
            </w:pPr>
            <w:r>
              <w:rPr>
                <w:rFonts w:ascii="仿宋_GB2312" w:hAnsi="仿宋_GB2312" w:eastAsia="仿宋_GB2312" w:cs="仿宋_GB2312"/>
              </w:rPr>
              <w:t>1.5．压力脉冲：≤系统压力的1.0%。</w:t>
            </w:r>
          </w:p>
          <w:p w14:paraId="32EB5CDA">
            <w:pPr>
              <w:pStyle w:val="4"/>
              <w:jc w:val="left"/>
            </w:pPr>
            <w:r>
              <w:rPr>
                <w:rFonts w:ascii="仿宋_GB2312" w:hAnsi="仿宋_GB2312" w:eastAsia="仿宋_GB2312" w:cs="仿宋_GB2312"/>
              </w:rPr>
              <w:t>1.6．流速范围不窄于：0mL/min～4.5mL/min。</w:t>
            </w:r>
          </w:p>
          <w:p w14:paraId="38058647">
            <w:pPr>
              <w:pStyle w:val="4"/>
              <w:jc w:val="left"/>
            </w:pPr>
            <w:r>
              <w:rPr>
                <w:rFonts w:ascii="仿宋_GB2312" w:hAnsi="仿宋_GB2312" w:eastAsia="仿宋_GB2312" w:cs="仿宋_GB2312"/>
              </w:rPr>
              <w:t>1.7．▲泵废液阀须集成于泵体内部，不得为独立部件。（提供原厂公开发行的产品彩页资料或使用说明书/操作手册或国家认可的第三方检验/检测机构出具的检验/检测报告证明）</w:t>
            </w:r>
          </w:p>
          <w:p w14:paraId="5E0E9C4C">
            <w:pPr>
              <w:pStyle w:val="4"/>
              <w:jc w:val="left"/>
            </w:pPr>
            <w:r>
              <w:rPr>
                <w:rFonts w:ascii="仿宋_GB2312" w:hAnsi="仿宋_GB2312" w:eastAsia="仿宋_GB2312" w:cs="仿宋_GB2312"/>
              </w:rPr>
              <w:t>2.在线淋洗液自动发生器：</w:t>
            </w:r>
          </w:p>
          <w:p w14:paraId="2D1E1B6D">
            <w:pPr>
              <w:pStyle w:val="4"/>
              <w:jc w:val="left"/>
            </w:pPr>
            <w:r>
              <w:rPr>
                <w:rFonts w:ascii="仿宋_GB2312" w:hAnsi="仿宋_GB2312" w:eastAsia="仿宋_GB2312" w:cs="仿宋_GB2312"/>
              </w:rPr>
              <w:t>2.1．产生方式：氢氧根全自动淋洗液发生器，利用电解产生的 H+或 OH-在线生成酸性或碱性淋洗液，不通过加液单元进行不同溶液间的在线混合或稀释产生。</w:t>
            </w:r>
          </w:p>
          <w:p w14:paraId="614D1BAF">
            <w:pPr>
              <w:pStyle w:val="4"/>
              <w:jc w:val="left"/>
            </w:pPr>
            <w:r>
              <w:rPr>
                <w:rFonts w:ascii="仿宋_GB2312" w:hAnsi="仿宋_GB2312" w:eastAsia="仿宋_GB2312" w:cs="仿宋_GB2312"/>
              </w:rPr>
              <w:t>2.2．控制浓度范围不窄于：0.1mM～90mM。</w:t>
            </w:r>
          </w:p>
          <w:p w14:paraId="28C2C05D">
            <w:pPr>
              <w:pStyle w:val="4"/>
              <w:jc w:val="left"/>
            </w:pPr>
            <w:r>
              <w:rPr>
                <w:rFonts w:ascii="仿宋_GB2312" w:hAnsi="仿宋_GB2312" w:eastAsia="仿宋_GB2312" w:cs="仿宋_GB2312"/>
              </w:rPr>
              <w:t>2.3．流速范围不窄于：0.10mL/min～2.5mL/min。</w:t>
            </w:r>
          </w:p>
          <w:p w14:paraId="11D22EB2">
            <w:pPr>
              <w:pStyle w:val="4"/>
              <w:jc w:val="left"/>
            </w:pPr>
            <w:r>
              <w:rPr>
                <w:rFonts w:ascii="仿宋_GB2312" w:hAnsi="仿宋_GB2312" w:eastAsia="仿宋_GB2312" w:cs="仿宋_GB2312"/>
              </w:rPr>
              <w:t>2.4．梯度精度：≤0.3%。</w:t>
            </w:r>
          </w:p>
          <w:p w14:paraId="63C3ED2C">
            <w:pPr>
              <w:pStyle w:val="4"/>
              <w:jc w:val="left"/>
            </w:pPr>
            <w:r>
              <w:rPr>
                <w:rFonts w:ascii="仿宋_GB2312" w:hAnsi="仿宋_GB2312" w:eastAsia="仿宋_GB2312" w:cs="仿宋_GB2312"/>
              </w:rPr>
              <w:t>2.5．梯度准确度：≤0.2%。</w:t>
            </w:r>
          </w:p>
          <w:p w14:paraId="63626C6E">
            <w:pPr>
              <w:pStyle w:val="4"/>
              <w:jc w:val="left"/>
            </w:pPr>
            <w:r>
              <w:rPr>
                <w:rFonts w:ascii="仿宋_GB2312" w:hAnsi="仿宋_GB2312" w:eastAsia="仿宋_GB2312" w:cs="仿宋_GB2312"/>
              </w:rPr>
              <w:t>3.▲阴离子连续自动再生微膜抑制器：与主机同品牌，通过电解水产生H+进行再生,无需通过蠕动泵外加酸进行柱轮流切换再生。（单独提供承诺函）</w:t>
            </w:r>
          </w:p>
          <w:p w14:paraId="6358CAA7">
            <w:pPr>
              <w:pStyle w:val="4"/>
              <w:jc w:val="left"/>
            </w:pPr>
            <w:r>
              <w:rPr>
                <w:rFonts w:ascii="仿宋_GB2312" w:hAnsi="仿宋_GB2312" w:eastAsia="仿宋_GB2312" w:cs="仿宋_GB2312"/>
              </w:rPr>
              <w:t>4.阴离子分离柱及保护柱：柱交换量≥190μmol/根；pH工作范围：0～14；最大耐压≥27Mpa；一次进样完成≥7种（至少包含F-、Cl-、Br-、SO42-、NO3-、NO2-、PO43-）阴离子分析。</w:t>
            </w:r>
          </w:p>
          <w:p w14:paraId="633C3C67">
            <w:pPr>
              <w:pStyle w:val="4"/>
              <w:jc w:val="left"/>
            </w:pPr>
            <w:r>
              <w:rPr>
                <w:rFonts w:ascii="仿宋_GB2312" w:hAnsi="仿宋_GB2312" w:eastAsia="仿宋_GB2312" w:cs="仿宋_GB2312"/>
              </w:rPr>
              <w:t>5.电导检测器：</w:t>
            </w:r>
          </w:p>
          <w:p w14:paraId="1FDDB233">
            <w:pPr>
              <w:pStyle w:val="4"/>
              <w:jc w:val="left"/>
            </w:pPr>
            <w:r>
              <w:rPr>
                <w:rFonts w:ascii="仿宋_GB2312" w:hAnsi="仿宋_GB2312" w:eastAsia="仿宋_GB2312" w:cs="仿宋_GB2312"/>
              </w:rPr>
              <w:t>5.1．采用数字信号控制处理器，当检测μg/L级到g/L级不同浓度的离子时，输出信号可直接数字拓展无需调整量程；输出值应为直接电导信号，并提供含电导输出的色谱图。</w:t>
            </w:r>
          </w:p>
          <w:p w14:paraId="4EA5744E">
            <w:pPr>
              <w:pStyle w:val="4"/>
              <w:jc w:val="left"/>
            </w:pPr>
            <w:r>
              <w:rPr>
                <w:rFonts w:ascii="仿宋_GB2312" w:hAnsi="仿宋_GB2312" w:eastAsia="仿宋_GB2312" w:cs="仿宋_GB2312"/>
              </w:rPr>
              <w:t>5.2．▲检测池最大压力：≥8Mpa。（提供原厂公开发行的产品彩页资料或使用说明书/操作手册或国家认可的第三方检验/检测机构出具的检验/检测报告证明）</w:t>
            </w:r>
          </w:p>
          <w:p w14:paraId="396F2F35">
            <w:pPr>
              <w:pStyle w:val="4"/>
              <w:jc w:val="left"/>
            </w:pPr>
            <w:r>
              <w:rPr>
                <w:rFonts w:ascii="仿宋_GB2312" w:hAnsi="仿宋_GB2312" w:eastAsia="仿宋_GB2312" w:cs="仿宋_GB2312"/>
              </w:rPr>
              <w:t>5.3．全程信号输出范围不窄于：0μS/cm～8000μS/cm。</w:t>
            </w:r>
          </w:p>
          <w:p w14:paraId="55AA170D">
            <w:pPr>
              <w:pStyle w:val="4"/>
              <w:jc w:val="left"/>
            </w:pPr>
            <w:r>
              <w:rPr>
                <w:rFonts w:ascii="仿宋_GB2312" w:hAnsi="仿宋_GB2312" w:eastAsia="仿宋_GB2312" w:cs="仿宋_GB2312"/>
              </w:rPr>
              <w:t>5.4．▲检测器采集频率：≥90Hz，色谱图显示的采集点数每秒≥90个。（提供原厂公开发行的产品彩页资料或使用说明书/操作手册或国家认可的第三方检验/检测机构出具的检验/检测报告证明）</w:t>
            </w:r>
          </w:p>
          <w:p w14:paraId="200849E1">
            <w:pPr>
              <w:pStyle w:val="4"/>
              <w:jc w:val="left"/>
            </w:pPr>
            <w:r>
              <w:rPr>
                <w:rFonts w:ascii="仿宋_GB2312" w:hAnsi="仿宋_GB2312" w:eastAsia="仿宋_GB2312" w:cs="仿宋_GB2312"/>
              </w:rPr>
              <w:t>5.5．▲检测器分辨率：≤0.005nS/cm。（提供原厂公开发行的产品彩页资料或使用说明书/操作手册或国家认可的第三方检验/检测机构出具的检验/检测报告证明）</w:t>
            </w:r>
          </w:p>
          <w:p w14:paraId="64077C68">
            <w:pPr>
              <w:pStyle w:val="4"/>
              <w:jc w:val="left"/>
            </w:pPr>
            <w:r>
              <w:rPr>
                <w:rFonts w:ascii="仿宋_GB2312" w:hAnsi="仿宋_GB2312" w:eastAsia="仿宋_GB2312" w:cs="仿宋_GB2312"/>
              </w:rPr>
              <w:t>5.6．电导池电极材料：钝化316不锈钢。</w:t>
            </w:r>
          </w:p>
          <w:p w14:paraId="085FCC37">
            <w:pPr>
              <w:pStyle w:val="4"/>
              <w:jc w:val="left"/>
            </w:pPr>
            <w:r>
              <w:rPr>
                <w:rFonts w:ascii="仿宋_GB2312" w:hAnsi="仿宋_GB2312" w:eastAsia="仿宋_GB2312" w:cs="仿宋_GB2312"/>
              </w:rPr>
              <w:t>5.7．满量程电子漂移：≤8ns/h。</w:t>
            </w:r>
          </w:p>
          <w:p w14:paraId="529E4972">
            <w:pPr>
              <w:pStyle w:val="4"/>
              <w:jc w:val="left"/>
            </w:pPr>
            <w:r>
              <w:rPr>
                <w:rFonts w:ascii="仿宋_GB2312" w:hAnsi="仿宋_GB2312" w:eastAsia="仿宋_GB2312" w:cs="仿宋_GB2312"/>
              </w:rPr>
              <w:t>6.自动进样器：</w:t>
            </w:r>
          </w:p>
          <w:p w14:paraId="2F609B81">
            <w:pPr>
              <w:pStyle w:val="4"/>
              <w:jc w:val="left"/>
            </w:pPr>
            <w:r>
              <w:rPr>
                <w:rFonts w:ascii="仿宋_GB2312" w:hAnsi="仿宋_GB2312" w:eastAsia="仿宋_GB2312" w:cs="仿宋_GB2312"/>
              </w:rPr>
              <w:t>6.1．▲进样瓶物理位置≥45个，单个进样瓶体积≥5.0mL，单次进样体积≥4.5mL，样品接触部件（含进样针）均采用PEEK材质。（提供原厂公开发行的产品彩页资料或使用说明书/操作手册证明）</w:t>
            </w:r>
          </w:p>
          <w:p w14:paraId="7A38D97A">
            <w:pPr>
              <w:pStyle w:val="4"/>
              <w:jc w:val="left"/>
            </w:pPr>
            <w:r>
              <w:rPr>
                <w:rFonts w:ascii="仿宋_GB2312" w:hAnsi="仿宋_GB2312" w:eastAsia="仿宋_GB2312" w:cs="仿宋_GB2312"/>
              </w:rPr>
              <w:t>6.2．具有进样清洗位。</w:t>
            </w:r>
          </w:p>
          <w:p w14:paraId="45DCEDF9">
            <w:pPr>
              <w:pStyle w:val="4"/>
              <w:jc w:val="left"/>
            </w:pPr>
            <w:r>
              <w:rPr>
                <w:rFonts w:ascii="仿宋_GB2312" w:hAnsi="仿宋_GB2312" w:eastAsia="仿宋_GB2312" w:cs="仿宋_GB2312"/>
              </w:rPr>
              <w:t>6.3．支持自动检测样品瓶，识别样品盘中各放置的样品瓶是否存在。</w:t>
            </w:r>
          </w:p>
          <w:p w14:paraId="35C8F80F">
            <w:pPr>
              <w:pStyle w:val="4"/>
              <w:jc w:val="left"/>
            </w:pPr>
            <w:r>
              <w:rPr>
                <w:rFonts w:ascii="仿宋_GB2312" w:hAnsi="仿宋_GB2312" w:eastAsia="仿宋_GB2312" w:cs="仿宋_GB2312"/>
              </w:rPr>
              <w:t>6.4．进样模式：支持定量环或浓缩柱模式；上样速度不窄于0.1mL/min～5.0mL/min。</w:t>
            </w:r>
          </w:p>
          <w:p w14:paraId="43924D0E">
            <w:pPr>
              <w:pStyle w:val="4"/>
              <w:jc w:val="left"/>
            </w:pPr>
            <w:r>
              <w:rPr>
                <w:rFonts w:ascii="仿宋_GB2312" w:hAnsi="仿宋_GB2312" w:eastAsia="仿宋_GB2312" w:cs="仿宋_GB2312"/>
              </w:rPr>
              <w:t>6.5．▲进样器可耐压：≥100psi。（提供原厂公开发行的产品彩页资料或使用说明书/操作手册或国家认可的第三方检验/检测机构出具的检验/检测报告证明）</w:t>
            </w:r>
          </w:p>
          <w:p w14:paraId="1486C088">
            <w:pPr>
              <w:pStyle w:val="4"/>
              <w:jc w:val="left"/>
            </w:pPr>
            <w:r>
              <w:rPr>
                <w:rFonts w:ascii="仿宋_GB2312" w:hAnsi="仿宋_GB2312" w:eastAsia="仿宋_GB2312" w:cs="仿宋_GB2312"/>
              </w:rPr>
              <w:t>6.6．▲自动进样器带有样品盘保护罩。（提供原厂公开发行的产品彩页资料或使用说明书/操作手册或设备实物图片证明）</w:t>
            </w:r>
          </w:p>
          <w:p w14:paraId="5C99EE66">
            <w:pPr>
              <w:pStyle w:val="4"/>
              <w:jc w:val="left"/>
            </w:pPr>
            <w:r>
              <w:rPr>
                <w:rFonts w:ascii="仿宋_GB2312" w:hAnsi="仿宋_GB2312" w:eastAsia="仿宋_GB2312" w:cs="仿宋_GB2312"/>
              </w:rPr>
              <w:t>6.7．自动进样器可以接六通阀或十通阀。（提供带六通阀或十通阀的进样器照片证明）</w:t>
            </w:r>
          </w:p>
          <w:p w14:paraId="484E088D">
            <w:pPr>
              <w:pStyle w:val="4"/>
              <w:jc w:val="left"/>
            </w:pPr>
            <w:r>
              <w:rPr>
                <w:rFonts w:ascii="仿宋_GB2312" w:hAnsi="仿宋_GB2312" w:eastAsia="仿宋_GB2312" w:cs="仿宋_GB2312"/>
              </w:rPr>
              <w:t>6.8.▲自动进样器瓶盖具有在线过滤功能(不接受保护柱替代方式)，样品瓶盖具有可自动去除颗粒物、重金属污染、疏水性有机物和阴离子功能。（响应时需提供官网截图并进行电子签章）</w:t>
            </w:r>
          </w:p>
          <w:p w14:paraId="24265525">
            <w:pPr>
              <w:pStyle w:val="4"/>
              <w:jc w:val="left"/>
            </w:pPr>
            <w:r>
              <w:rPr>
                <w:rFonts w:ascii="仿宋_GB2312" w:hAnsi="仿宋_GB2312" w:eastAsia="仿宋_GB2312" w:cs="仿宋_GB2312"/>
              </w:rPr>
              <w:t>7.★配置要求：离子色谱仪主机1套；在线淋洗液自动发生器1套；阴离子自动连续再生电解微膜抑制器1套；同主机品牌阴离子分析柱1根；同主机品牌阴离子保护柱1根；自动进样器1套；色谱软件数据库1套；数据输入及输出设备各1套。（单独提供承诺函）</w:t>
            </w:r>
          </w:p>
          <w:p w14:paraId="156D94A4">
            <w:pPr>
              <w:pStyle w:val="4"/>
              <w:jc w:val="left"/>
            </w:pPr>
            <w:r>
              <w:rPr>
                <w:rFonts w:ascii="仿宋_GB2312" w:hAnsi="仿宋_GB2312" w:eastAsia="仿宋_GB2312" w:cs="仿宋_GB2312"/>
              </w:rPr>
              <w:t>8.★适用于高海拔地区，设备正常运行海拔高度≥3000米。（单独提供承诺函）</w:t>
            </w:r>
          </w:p>
          <w:p w14:paraId="6D270A52">
            <w:pPr>
              <w:pStyle w:val="4"/>
              <w:jc w:val="left"/>
            </w:pPr>
            <w:r>
              <w:rPr>
                <w:rFonts w:ascii="仿宋_GB2312" w:hAnsi="仿宋_GB2312" w:eastAsia="仿宋_GB2312" w:cs="仿宋_GB2312"/>
              </w:rPr>
              <w:t>9.▲软件可以控制同品牌GC，LC，质谱，可以实现ICMSMS联用（提供软件截图证明和ICMSMS联用实物照片）。</w:t>
            </w:r>
          </w:p>
          <w:p w14:paraId="596A0ED4">
            <w:pPr>
              <w:pStyle w:val="4"/>
              <w:jc w:val="both"/>
            </w:pPr>
          </w:p>
        </w:tc>
      </w:tr>
    </w:tbl>
    <w:p w14:paraId="483BE2FA">
      <w:pPr>
        <w:pStyle w:val="4"/>
        <w:jc w:val="left"/>
        <w:outlineLvl w:val="2"/>
      </w:pPr>
      <w:r>
        <w:rPr>
          <w:rFonts w:ascii="仿宋_GB2312" w:hAnsi="仿宋_GB2312" w:eastAsia="仿宋_GB2312" w:cs="仿宋_GB2312"/>
          <w:b/>
          <w:sz w:val="28"/>
        </w:rPr>
        <w:t>3.3.服务要求</w:t>
      </w:r>
    </w:p>
    <w:p w14:paraId="2B345A62">
      <w:pPr>
        <w:pStyle w:val="4"/>
        <w:jc w:val="left"/>
        <w:outlineLvl w:val="3"/>
      </w:pPr>
      <w:r>
        <w:rPr>
          <w:rFonts w:ascii="仿宋_GB2312" w:hAnsi="仿宋_GB2312" w:eastAsia="仿宋_GB2312" w:cs="仿宋_GB2312"/>
          <w:b/>
          <w:sz w:val="24"/>
        </w:rPr>
        <w:t>3.3.1.服务内容要求</w:t>
      </w:r>
    </w:p>
    <w:p w14:paraId="11648571">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86152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EB44755">
            <w:pPr>
              <w:pStyle w:val="4"/>
              <w:jc w:val="center"/>
            </w:pPr>
            <w:r>
              <w:rPr>
                <w:rFonts w:ascii="仿宋_GB2312" w:hAnsi="仿宋_GB2312" w:eastAsia="仿宋_GB2312" w:cs="仿宋_GB2312"/>
              </w:rPr>
              <w:t xml:space="preserve"> 序号</w:t>
            </w:r>
          </w:p>
        </w:tc>
        <w:tc>
          <w:tcPr>
            <w:tcW w:w="581" w:type="dxa"/>
          </w:tcPr>
          <w:p w14:paraId="365CBEDE">
            <w:pPr>
              <w:pStyle w:val="4"/>
              <w:jc w:val="center"/>
            </w:pPr>
            <w:r>
              <w:rPr>
                <w:rFonts w:ascii="仿宋_GB2312" w:hAnsi="仿宋_GB2312" w:eastAsia="仿宋_GB2312" w:cs="仿宋_GB2312"/>
              </w:rPr>
              <w:t xml:space="preserve"> 符号标识</w:t>
            </w:r>
          </w:p>
        </w:tc>
        <w:tc>
          <w:tcPr>
            <w:tcW w:w="1495" w:type="dxa"/>
          </w:tcPr>
          <w:p w14:paraId="199477AE">
            <w:pPr>
              <w:pStyle w:val="4"/>
              <w:jc w:val="center"/>
            </w:pPr>
            <w:r>
              <w:rPr>
                <w:rFonts w:ascii="仿宋_GB2312" w:hAnsi="仿宋_GB2312" w:eastAsia="仿宋_GB2312" w:cs="仿宋_GB2312"/>
              </w:rPr>
              <w:t xml:space="preserve"> 服务要求名称</w:t>
            </w:r>
          </w:p>
        </w:tc>
        <w:tc>
          <w:tcPr>
            <w:tcW w:w="5814" w:type="dxa"/>
          </w:tcPr>
          <w:p w14:paraId="181A7B75">
            <w:pPr>
              <w:pStyle w:val="4"/>
              <w:jc w:val="center"/>
            </w:pPr>
            <w:r>
              <w:rPr>
                <w:rFonts w:ascii="仿宋_GB2312" w:hAnsi="仿宋_GB2312" w:eastAsia="仿宋_GB2312" w:cs="仿宋_GB2312"/>
              </w:rPr>
              <w:t xml:space="preserve"> 服务要求内容</w:t>
            </w:r>
          </w:p>
        </w:tc>
      </w:tr>
      <w:tr w14:paraId="20F04E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5" w:type="dxa"/>
            <w:gridSpan w:val="4"/>
          </w:tcPr>
          <w:p w14:paraId="46EF8E95">
            <w:pPr>
              <w:pStyle w:val="4"/>
              <w:jc w:val="center"/>
            </w:pPr>
            <w:r>
              <w:rPr>
                <w:rFonts w:ascii="仿宋_GB2312" w:hAnsi="仿宋_GB2312" w:eastAsia="仿宋_GB2312" w:cs="仿宋_GB2312"/>
              </w:rPr>
              <w:t>无</w:t>
            </w:r>
          </w:p>
        </w:tc>
      </w:tr>
    </w:tbl>
    <w:p w14:paraId="4EE4FAE5">
      <w:pPr>
        <w:pStyle w:val="4"/>
        <w:jc w:val="left"/>
        <w:outlineLvl w:val="3"/>
      </w:pPr>
      <w:r>
        <w:rPr>
          <w:rFonts w:ascii="仿宋_GB2312" w:hAnsi="仿宋_GB2312" w:eastAsia="仿宋_GB2312" w:cs="仿宋_GB2312"/>
          <w:b/>
          <w:sz w:val="24"/>
        </w:rPr>
        <w:t>3.3.2.商务要求</w:t>
      </w:r>
    </w:p>
    <w:p w14:paraId="1762925E">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E1F8DF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4833557">
            <w:pPr>
              <w:pStyle w:val="4"/>
              <w:jc w:val="center"/>
            </w:pPr>
            <w:r>
              <w:rPr>
                <w:rFonts w:ascii="仿宋_GB2312" w:hAnsi="仿宋_GB2312" w:eastAsia="仿宋_GB2312" w:cs="仿宋_GB2312"/>
              </w:rPr>
              <w:t>序号</w:t>
            </w:r>
          </w:p>
        </w:tc>
        <w:tc>
          <w:tcPr>
            <w:tcW w:w="581" w:type="dxa"/>
          </w:tcPr>
          <w:p w14:paraId="17E43A7D">
            <w:pPr>
              <w:pStyle w:val="4"/>
              <w:jc w:val="center"/>
            </w:pPr>
            <w:r>
              <w:rPr>
                <w:rFonts w:ascii="仿宋_GB2312" w:hAnsi="仿宋_GB2312" w:eastAsia="仿宋_GB2312" w:cs="仿宋_GB2312"/>
              </w:rPr>
              <w:t>符号标识</w:t>
            </w:r>
          </w:p>
        </w:tc>
        <w:tc>
          <w:tcPr>
            <w:tcW w:w="1495" w:type="dxa"/>
          </w:tcPr>
          <w:p w14:paraId="21450942">
            <w:pPr>
              <w:pStyle w:val="4"/>
              <w:jc w:val="center"/>
            </w:pPr>
            <w:r>
              <w:rPr>
                <w:rFonts w:ascii="仿宋_GB2312" w:hAnsi="仿宋_GB2312" w:eastAsia="仿宋_GB2312" w:cs="仿宋_GB2312"/>
              </w:rPr>
              <w:t>商务要求名称</w:t>
            </w:r>
          </w:p>
        </w:tc>
        <w:tc>
          <w:tcPr>
            <w:tcW w:w="5814" w:type="dxa"/>
          </w:tcPr>
          <w:p w14:paraId="5673561C">
            <w:pPr>
              <w:pStyle w:val="4"/>
              <w:jc w:val="center"/>
            </w:pPr>
            <w:r>
              <w:rPr>
                <w:rFonts w:ascii="仿宋_GB2312" w:hAnsi="仿宋_GB2312" w:eastAsia="仿宋_GB2312" w:cs="仿宋_GB2312"/>
              </w:rPr>
              <w:t>商务要求内容</w:t>
            </w:r>
          </w:p>
        </w:tc>
      </w:tr>
      <w:tr w14:paraId="64DDBA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E794212">
            <w:pPr>
              <w:pStyle w:val="4"/>
              <w:jc w:val="center"/>
            </w:pPr>
            <w:r>
              <w:rPr>
                <w:rFonts w:ascii="仿宋_GB2312" w:hAnsi="仿宋_GB2312" w:eastAsia="仿宋_GB2312" w:cs="仿宋_GB2312"/>
              </w:rPr>
              <w:t>1</w:t>
            </w:r>
          </w:p>
        </w:tc>
        <w:tc>
          <w:tcPr>
            <w:tcW w:w="581" w:type="dxa"/>
          </w:tcPr>
          <w:p w14:paraId="12AF74D8">
            <w:pPr>
              <w:pStyle w:val="4"/>
              <w:jc w:val="center"/>
            </w:pPr>
            <w:r>
              <w:rPr>
                <w:rFonts w:ascii="仿宋_GB2312" w:hAnsi="仿宋_GB2312" w:eastAsia="仿宋_GB2312" w:cs="仿宋_GB2312"/>
              </w:rPr>
              <w:t>★</w:t>
            </w:r>
          </w:p>
        </w:tc>
        <w:tc>
          <w:tcPr>
            <w:tcW w:w="1495" w:type="dxa"/>
          </w:tcPr>
          <w:p w14:paraId="137845A2">
            <w:pPr>
              <w:pStyle w:val="4"/>
              <w:jc w:val="left"/>
            </w:pPr>
            <w:r>
              <w:rPr>
                <w:rFonts w:ascii="仿宋_GB2312" w:hAnsi="仿宋_GB2312" w:eastAsia="仿宋_GB2312" w:cs="仿宋_GB2312"/>
              </w:rPr>
              <w:t>交货时间</w:t>
            </w:r>
          </w:p>
        </w:tc>
        <w:tc>
          <w:tcPr>
            <w:tcW w:w="5814" w:type="dxa"/>
          </w:tcPr>
          <w:p w14:paraId="0DC16D6F">
            <w:pPr>
              <w:pStyle w:val="4"/>
              <w:jc w:val="left"/>
            </w:pPr>
            <w:r>
              <w:rPr>
                <w:rFonts w:ascii="仿宋_GB2312" w:hAnsi="仿宋_GB2312" w:eastAsia="仿宋_GB2312" w:cs="仿宋_GB2312"/>
              </w:rPr>
              <w:t>自合同签订之日起15日</w:t>
            </w:r>
          </w:p>
        </w:tc>
      </w:tr>
      <w:tr w14:paraId="3281B1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C32C7C8">
            <w:pPr>
              <w:pStyle w:val="4"/>
              <w:jc w:val="center"/>
            </w:pPr>
            <w:r>
              <w:rPr>
                <w:rFonts w:ascii="仿宋_GB2312" w:hAnsi="仿宋_GB2312" w:eastAsia="仿宋_GB2312" w:cs="仿宋_GB2312"/>
              </w:rPr>
              <w:t>2</w:t>
            </w:r>
          </w:p>
        </w:tc>
        <w:tc>
          <w:tcPr>
            <w:tcW w:w="581" w:type="dxa"/>
          </w:tcPr>
          <w:p w14:paraId="3918AB61">
            <w:pPr>
              <w:pStyle w:val="4"/>
              <w:jc w:val="center"/>
            </w:pPr>
            <w:r>
              <w:rPr>
                <w:rFonts w:ascii="仿宋_GB2312" w:hAnsi="仿宋_GB2312" w:eastAsia="仿宋_GB2312" w:cs="仿宋_GB2312"/>
              </w:rPr>
              <w:t>★</w:t>
            </w:r>
          </w:p>
        </w:tc>
        <w:tc>
          <w:tcPr>
            <w:tcW w:w="1495" w:type="dxa"/>
          </w:tcPr>
          <w:p w14:paraId="524F313C">
            <w:pPr>
              <w:pStyle w:val="4"/>
              <w:jc w:val="left"/>
            </w:pPr>
            <w:r>
              <w:rPr>
                <w:rFonts w:ascii="仿宋_GB2312" w:hAnsi="仿宋_GB2312" w:eastAsia="仿宋_GB2312" w:cs="仿宋_GB2312"/>
              </w:rPr>
              <w:t>交货地点</w:t>
            </w:r>
          </w:p>
        </w:tc>
        <w:tc>
          <w:tcPr>
            <w:tcW w:w="5814" w:type="dxa"/>
          </w:tcPr>
          <w:p w14:paraId="0E783456">
            <w:pPr>
              <w:pStyle w:val="4"/>
              <w:jc w:val="left"/>
            </w:pPr>
            <w:r>
              <w:rPr>
                <w:rFonts w:ascii="仿宋_GB2312" w:hAnsi="仿宋_GB2312" w:eastAsia="仿宋_GB2312" w:cs="仿宋_GB2312"/>
              </w:rPr>
              <w:t>采购人指定地点（道孚县境内）</w:t>
            </w:r>
          </w:p>
        </w:tc>
      </w:tr>
      <w:tr w14:paraId="585454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FF3F8F6">
            <w:pPr>
              <w:pStyle w:val="4"/>
              <w:jc w:val="center"/>
            </w:pPr>
            <w:r>
              <w:rPr>
                <w:rFonts w:ascii="仿宋_GB2312" w:hAnsi="仿宋_GB2312" w:eastAsia="仿宋_GB2312" w:cs="仿宋_GB2312"/>
              </w:rPr>
              <w:t>3</w:t>
            </w:r>
          </w:p>
        </w:tc>
        <w:tc>
          <w:tcPr>
            <w:tcW w:w="581" w:type="dxa"/>
          </w:tcPr>
          <w:p w14:paraId="347A4477">
            <w:pPr>
              <w:pStyle w:val="4"/>
              <w:jc w:val="center"/>
            </w:pPr>
            <w:r>
              <w:rPr>
                <w:rFonts w:ascii="仿宋_GB2312" w:hAnsi="仿宋_GB2312" w:eastAsia="仿宋_GB2312" w:cs="仿宋_GB2312"/>
              </w:rPr>
              <w:t>★</w:t>
            </w:r>
          </w:p>
        </w:tc>
        <w:tc>
          <w:tcPr>
            <w:tcW w:w="1495" w:type="dxa"/>
          </w:tcPr>
          <w:p w14:paraId="094A6B1D">
            <w:pPr>
              <w:pStyle w:val="4"/>
              <w:jc w:val="left"/>
            </w:pPr>
            <w:r>
              <w:rPr>
                <w:rFonts w:ascii="仿宋_GB2312" w:hAnsi="仿宋_GB2312" w:eastAsia="仿宋_GB2312" w:cs="仿宋_GB2312"/>
              </w:rPr>
              <w:t>支付方式</w:t>
            </w:r>
          </w:p>
        </w:tc>
        <w:tc>
          <w:tcPr>
            <w:tcW w:w="5814" w:type="dxa"/>
          </w:tcPr>
          <w:p w14:paraId="7673EA35">
            <w:pPr>
              <w:pStyle w:val="4"/>
              <w:jc w:val="left"/>
            </w:pPr>
            <w:r>
              <w:rPr>
                <w:rFonts w:ascii="仿宋_GB2312" w:hAnsi="仿宋_GB2312" w:eastAsia="仿宋_GB2312" w:cs="仿宋_GB2312"/>
              </w:rPr>
              <w:t>分期付款</w:t>
            </w:r>
          </w:p>
        </w:tc>
      </w:tr>
      <w:tr w14:paraId="4B0048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7B6513E">
            <w:pPr>
              <w:pStyle w:val="4"/>
              <w:jc w:val="center"/>
            </w:pPr>
            <w:r>
              <w:rPr>
                <w:rFonts w:ascii="仿宋_GB2312" w:hAnsi="仿宋_GB2312" w:eastAsia="仿宋_GB2312" w:cs="仿宋_GB2312"/>
              </w:rPr>
              <w:t>4</w:t>
            </w:r>
          </w:p>
        </w:tc>
        <w:tc>
          <w:tcPr>
            <w:tcW w:w="581" w:type="dxa"/>
          </w:tcPr>
          <w:p w14:paraId="4A779CF9">
            <w:pPr>
              <w:pStyle w:val="4"/>
              <w:jc w:val="center"/>
            </w:pPr>
            <w:r>
              <w:rPr>
                <w:rFonts w:ascii="仿宋_GB2312" w:hAnsi="仿宋_GB2312" w:eastAsia="仿宋_GB2312" w:cs="仿宋_GB2312"/>
              </w:rPr>
              <w:t>★</w:t>
            </w:r>
          </w:p>
        </w:tc>
        <w:tc>
          <w:tcPr>
            <w:tcW w:w="1495" w:type="dxa"/>
          </w:tcPr>
          <w:p w14:paraId="0D674976">
            <w:pPr>
              <w:pStyle w:val="4"/>
              <w:jc w:val="left"/>
            </w:pPr>
            <w:r>
              <w:rPr>
                <w:rFonts w:ascii="仿宋_GB2312" w:hAnsi="仿宋_GB2312" w:eastAsia="仿宋_GB2312" w:cs="仿宋_GB2312"/>
              </w:rPr>
              <w:t>付款进度安排</w:t>
            </w:r>
          </w:p>
        </w:tc>
        <w:tc>
          <w:tcPr>
            <w:tcW w:w="5814" w:type="dxa"/>
          </w:tcPr>
          <w:p w14:paraId="65C5E26D">
            <w:pPr>
              <w:pStyle w:val="4"/>
              <w:jc w:val="left"/>
            </w:pPr>
            <w:r>
              <w:rPr>
                <w:rFonts w:ascii="仿宋_GB2312" w:hAnsi="仿宋_GB2312" w:eastAsia="仿宋_GB2312" w:cs="仿宋_GB2312"/>
              </w:rPr>
              <w:t>1、甲方在合同签订生效之日起接到乙方通知和票据凭证资料后，达到付款条件起15日内，支付合同总金额的30.00%</w:t>
            </w:r>
          </w:p>
          <w:p w14:paraId="304ADDE4">
            <w:pPr>
              <w:pStyle w:val="4"/>
              <w:jc w:val="left"/>
            </w:pPr>
            <w:r>
              <w:rPr>
                <w:rFonts w:ascii="仿宋_GB2312" w:hAnsi="仿宋_GB2312" w:eastAsia="仿宋_GB2312" w:cs="仿宋_GB2312"/>
              </w:rPr>
              <w:t>2、全部货物安装调试完毕并验收及培训合格之日起,甲方接到乙方通知与票据凭证资料后，达到付款条件起15日内，支付合同总金额的70.00%</w:t>
            </w:r>
          </w:p>
        </w:tc>
      </w:tr>
      <w:tr w14:paraId="6B54B9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C241C4E">
            <w:pPr>
              <w:pStyle w:val="4"/>
              <w:jc w:val="center"/>
            </w:pPr>
            <w:r>
              <w:rPr>
                <w:rFonts w:ascii="仿宋_GB2312" w:hAnsi="仿宋_GB2312" w:eastAsia="仿宋_GB2312" w:cs="仿宋_GB2312"/>
              </w:rPr>
              <w:t>5</w:t>
            </w:r>
          </w:p>
        </w:tc>
        <w:tc>
          <w:tcPr>
            <w:tcW w:w="581" w:type="dxa"/>
          </w:tcPr>
          <w:p w14:paraId="275128C0">
            <w:pPr>
              <w:pStyle w:val="4"/>
              <w:jc w:val="center"/>
            </w:pPr>
            <w:r>
              <w:rPr>
                <w:rFonts w:ascii="仿宋_GB2312" w:hAnsi="仿宋_GB2312" w:eastAsia="仿宋_GB2312" w:cs="仿宋_GB2312"/>
              </w:rPr>
              <w:t>★</w:t>
            </w:r>
          </w:p>
        </w:tc>
        <w:tc>
          <w:tcPr>
            <w:tcW w:w="1495" w:type="dxa"/>
          </w:tcPr>
          <w:p w14:paraId="697389E0">
            <w:pPr>
              <w:pStyle w:val="4"/>
              <w:jc w:val="left"/>
            </w:pPr>
            <w:r>
              <w:rPr>
                <w:rFonts w:ascii="仿宋_GB2312" w:hAnsi="仿宋_GB2312" w:eastAsia="仿宋_GB2312" w:cs="仿宋_GB2312"/>
              </w:rPr>
              <w:t>验收、交付标准和方法</w:t>
            </w:r>
          </w:p>
        </w:tc>
        <w:tc>
          <w:tcPr>
            <w:tcW w:w="5814" w:type="dxa"/>
          </w:tcPr>
          <w:p w14:paraId="63DA79C1">
            <w:pPr>
              <w:pStyle w:val="4"/>
              <w:jc w:val="left"/>
            </w:pPr>
            <w:r>
              <w:rPr>
                <w:rFonts w:ascii="仿宋_GB2312" w:hAnsi="仿宋_GB2312" w:eastAsia="仿宋_GB2312" w:cs="仿宋_GB2312"/>
              </w:rPr>
              <w:t>严格按照《财政部关于进一步加强政府采购需求和履约验收管理的指导意见》（财库〔2016〕205号）文件和国家有关规定以及响应文件的质量要求和技术指标、乙方的投标文件及承诺与本合同约定标准进行验收，双方如对质量要求和技术指标的约定标准有相互抵触或异议的事项，由甲方在招标文件与乙方的投标文件中按质量要求和技术指标比较优胜的原则确定标准进行验收。</w:t>
            </w:r>
          </w:p>
        </w:tc>
      </w:tr>
      <w:tr w14:paraId="183D6E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56891A9">
            <w:pPr>
              <w:pStyle w:val="4"/>
              <w:jc w:val="center"/>
            </w:pPr>
            <w:r>
              <w:rPr>
                <w:rFonts w:ascii="仿宋_GB2312" w:hAnsi="仿宋_GB2312" w:eastAsia="仿宋_GB2312" w:cs="仿宋_GB2312"/>
              </w:rPr>
              <w:t>6</w:t>
            </w:r>
          </w:p>
        </w:tc>
        <w:tc>
          <w:tcPr>
            <w:tcW w:w="581" w:type="dxa"/>
          </w:tcPr>
          <w:p w14:paraId="3D48B604">
            <w:pPr>
              <w:pStyle w:val="4"/>
              <w:jc w:val="center"/>
            </w:pPr>
            <w:r>
              <w:rPr>
                <w:rFonts w:ascii="仿宋_GB2312" w:hAnsi="仿宋_GB2312" w:eastAsia="仿宋_GB2312" w:cs="仿宋_GB2312"/>
              </w:rPr>
              <w:t>★</w:t>
            </w:r>
          </w:p>
        </w:tc>
        <w:tc>
          <w:tcPr>
            <w:tcW w:w="1495" w:type="dxa"/>
          </w:tcPr>
          <w:p w14:paraId="1AAD33F2">
            <w:pPr>
              <w:pStyle w:val="4"/>
              <w:jc w:val="left"/>
            </w:pPr>
            <w:r>
              <w:rPr>
                <w:rFonts w:ascii="仿宋_GB2312" w:hAnsi="仿宋_GB2312" w:eastAsia="仿宋_GB2312" w:cs="仿宋_GB2312"/>
              </w:rPr>
              <w:t>质量保修范围和保修期</w:t>
            </w:r>
          </w:p>
        </w:tc>
        <w:tc>
          <w:tcPr>
            <w:tcW w:w="5814" w:type="dxa"/>
          </w:tcPr>
          <w:p w14:paraId="2E0AEDB7">
            <w:pPr>
              <w:pStyle w:val="4"/>
              <w:jc w:val="left"/>
            </w:pPr>
            <w:r>
              <w:rPr>
                <w:rFonts w:ascii="仿宋_GB2312" w:hAnsi="仿宋_GB2312" w:eastAsia="仿宋_GB2312" w:cs="仿宋_GB2312"/>
              </w:rPr>
              <w:t>原厂质保期≥1年，质保方式为整机全保，含主机、配套设备等，质保时间从试运行结束后计算。负责系统终身重装、升级，产生的费用包含在本项目报价之内。设备故障后3日内不能恢复正常使用的，需提供至少同等功能的备用机或给出能继续使用的替代方案。（若技术要求中有其他要求的，按技术要求中的执行）</w:t>
            </w:r>
          </w:p>
        </w:tc>
      </w:tr>
      <w:tr w14:paraId="0F02079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BF468AF">
            <w:pPr>
              <w:pStyle w:val="4"/>
              <w:jc w:val="center"/>
            </w:pPr>
            <w:r>
              <w:rPr>
                <w:rFonts w:ascii="仿宋_GB2312" w:hAnsi="仿宋_GB2312" w:eastAsia="仿宋_GB2312" w:cs="仿宋_GB2312"/>
              </w:rPr>
              <w:t>7</w:t>
            </w:r>
          </w:p>
        </w:tc>
        <w:tc>
          <w:tcPr>
            <w:tcW w:w="581" w:type="dxa"/>
          </w:tcPr>
          <w:p w14:paraId="40EF5D5F">
            <w:pPr>
              <w:pStyle w:val="4"/>
              <w:jc w:val="center"/>
            </w:pPr>
            <w:r>
              <w:rPr>
                <w:rFonts w:ascii="仿宋_GB2312" w:hAnsi="仿宋_GB2312" w:eastAsia="仿宋_GB2312" w:cs="仿宋_GB2312"/>
              </w:rPr>
              <w:t>★</w:t>
            </w:r>
          </w:p>
        </w:tc>
        <w:tc>
          <w:tcPr>
            <w:tcW w:w="1495" w:type="dxa"/>
          </w:tcPr>
          <w:p w14:paraId="557B08FA">
            <w:pPr>
              <w:pStyle w:val="4"/>
              <w:jc w:val="left"/>
            </w:pPr>
            <w:r>
              <w:rPr>
                <w:rFonts w:ascii="仿宋_GB2312" w:hAnsi="仿宋_GB2312" w:eastAsia="仿宋_GB2312" w:cs="仿宋_GB2312"/>
              </w:rPr>
              <w:t>违约责任与解决争议的方法</w:t>
            </w:r>
          </w:p>
        </w:tc>
        <w:tc>
          <w:tcPr>
            <w:tcW w:w="5814" w:type="dxa"/>
          </w:tcPr>
          <w:p w14:paraId="5221D807">
            <w:pPr>
              <w:pStyle w:val="4"/>
              <w:jc w:val="left"/>
            </w:pPr>
            <w:r>
              <w:rPr>
                <w:rFonts w:ascii="仿宋_GB2312" w:hAnsi="仿宋_GB2312" w:eastAsia="仿宋_GB2312" w:cs="仿宋_GB2312"/>
              </w:rPr>
              <w:t>1、甲方违约责任 （1） 甲方无正当理由拒收货物的，甲方应偿付合同总价百分之五的违约金； （2） 甲方逾期支付货款的，除应及时付足货款外，应向乙方偿付欠款总额万分之一/天的违约金；逾期付款超过120天的，乙方有权终止合同； （3） 甲方偿付的违约金不足以弥补乙方损失的，还应按乙方损失尚未弥补的部分，支付赔偿金给乙方。 2、乙方违约责任 （1）乙方交付的货物质量不符合合同规定的，乙方应向甲方支付合同总价的百分之五的违约金，并须在合同规定的交货时间内更换合格的货物给甲方，否则，视作乙方不能交付货物而违约，按本条本款下述第“（2）”项规定由乙方偿付违约赔偿金给甲方。 （2）乙方不能交付货物或逾期交付货物而违约的，除应及时交足货物外，应向甲方偿付逾期交货部分货款总额的万分之一/天的违约金；逾期交货超过90天，甲方有权终止合同，乙方则应按合同总价的百分之五的款额向甲方偿付赔偿金，并须全额退还甲方已经付给乙方的货款及其利息。 （3）乙方货物经甲方送交具有法定资格条件的质量技术监督机构检测后，如检测结果认定货物质量不符合本合同规定标准的，则视为乙方没有按时交货而违约，乙方须在3天内无条件更换合格的货物，如逾期不能更换合格的货物，甲方有权终止本合同，乙方应另付合同总价的百分之五的赔偿金给甲方。 （4）乙方保证本合同货物的权利无瑕疵，包括货物所有权及知识产权等权利无瑕疵。如任何第三方经法院（或仲裁机构）裁决有权对上述货物主张权利或国家机关依法对货物进行没收查处的，乙方除应向甲方返还已收款项外，还应另按合同总价的百分之五向甲方支付违约金并赔偿因此给甲方造成的一切损失。 （5）乙方偿付的违约金不足以弥补甲方损失的，还应按甲方损失尚未弥补的部分，支付赔偿金给甲方。 3、争议解决办法 （1）因货物的质量问题发生争议，由质量技术监督部门或其指定的质量鉴定机构进行质量鉴定。货物符合标准的，鉴定费由甲方承担；货物不符合质量标准的，鉴定费由乙方承担。（2）合同履行期间,若双方发生争议，可协商或由有关部门调解解决，协商或调解不成的，由当事人依法维护其合法权益。</w:t>
            </w:r>
          </w:p>
        </w:tc>
      </w:tr>
      <w:tr w14:paraId="49F17A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32E081B">
            <w:pPr>
              <w:pStyle w:val="4"/>
              <w:jc w:val="center"/>
            </w:pPr>
            <w:r>
              <w:rPr>
                <w:rFonts w:ascii="仿宋_GB2312" w:hAnsi="仿宋_GB2312" w:eastAsia="仿宋_GB2312" w:cs="仿宋_GB2312"/>
              </w:rPr>
              <w:t>8</w:t>
            </w:r>
          </w:p>
        </w:tc>
        <w:tc>
          <w:tcPr>
            <w:tcW w:w="581" w:type="dxa"/>
          </w:tcPr>
          <w:p w14:paraId="0499C8F8">
            <w:pPr>
              <w:pStyle w:val="4"/>
              <w:jc w:val="center"/>
            </w:pPr>
            <w:r>
              <w:rPr>
                <w:rFonts w:ascii="仿宋_GB2312" w:hAnsi="仿宋_GB2312" w:eastAsia="仿宋_GB2312" w:cs="仿宋_GB2312"/>
              </w:rPr>
              <w:t>★</w:t>
            </w:r>
          </w:p>
        </w:tc>
        <w:tc>
          <w:tcPr>
            <w:tcW w:w="1495" w:type="dxa"/>
          </w:tcPr>
          <w:p w14:paraId="6D3289B8">
            <w:pPr>
              <w:pStyle w:val="4"/>
              <w:jc w:val="left"/>
            </w:pPr>
            <w:r>
              <w:rPr>
                <w:rFonts w:ascii="仿宋_GB2312" w:hAnsi="仿宋_GB2312" w:eastAsia="仿宋_GB2312" w:cs="仿宋_GB2312"/>
              </w:rPr>
              <w:t>包装方式及运输</w:t>
            </w:r>
          </w:p>
        </w:tc>
        <w:tc>
          <w:tcPr>
            <w:tcW w:w="5814" w:type="dxa"/>
          </w:tcPr>
          <w:p w14:paraId="05BE2218">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32F4BA90">
      <w:pPr>
        <w:pStyle w:val="4"/>
        <w:jc w:val="left"/>
        <w:outlineLvl w:val="2"/>
      </w:pPr>
      <w:r>
        <w:rPr>
          <w:rFonts w:ascii="仿宋_GB2312" w:hAnsi="仿宋_GB2312" w:eastAsia="仿宋_GB2312" w:cs="仿宋_GB2312"/>
          <w:b/>
          <w:sz w:val="28"/>
        </w:rPr>
        <w:t>3.4.其他要求</w:t>
      </w:r>
    </w:p>
    <w:p w14:paraId="68278266">
      <w:r>
        <w:rPr>
          <w:rFonts w:ascii="仿宋_GB2312" w:hAnsi="仿宋_GB2312" w:eastAsia="仿宋_GB2312" w:cs="仿宋_GB2312"/>
        </w:rPr>
        <w:t>1.供应商应提供项目实施方案，包括但不限于： ①备货及运输； ②供货进度保障措施； ③特殊情况下紧急供货措施； ④项目重难点解析及应对措施； ⑤产品质量保障措施； ⑥安装调试方案； 2.供应商应提供售后服务方案，包括但不限于 ：①使用人员培训方案； ②售后服务人员配置方案； ③维修流程详细方案。 注：1.条款中，要求为明确数值且未载明大于或小于的，根据产品性能或功能需要，属于小于该数值更优的投标数值在小于时不视为负偏离，属于大于该数值更优的投标数值在大于时不视为负偏离。 2.条款中，对产品有明确性能（或功能）、技术、材质要求的，使用性能（或功能）、技术、材质相当或更优的其它性能（或功能）、技术、材质，不视为负偏离。 3.同等条件下优先采购少数民族和不发达地区产品。</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9746B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2025-11-11T04:53:42Z</dcterms:created>
  <dc:creator>zxw</dc:creator>
  <cp:lastModifiedBy>Asche</cp:lastModifiedBy>
  <dcterms:modified xsi:type="dcterms:W3CDTF">2025-11-11T04:54:33Z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eyJoZGlkIjoiMTdhNTY2MWMxYTM0MTMzZmUxZDgxMTExM2MyZDg2N2MiLCJ1c2VySWQiOiIxMzAyODMxODY5In0=</vt:lpwstr>
  </property>
  <property fmtid="{D5CDD505-2E9C-101B-9397-08002B2CF9AE}" pid="4" name="ICV">
    <vt:lpwstr>CC0CBDD5AEF94F19AB1CB2D43E42CECE_12</vt:lpwstr>
  </property>
</Properties>
</file>