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版本号：N511501202600016220260527001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宜宾市翠屏区2026年地质灾害防治驻守技术支撑服务采购项目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N5115012026000162</w:t>
      </w:r>
    </w:p>
    <w:p>
      <w:pPr>
        <w:pStyle w:val="null3"/>
        <w:jc w:val="center"/>
        <w:outlineLvl w:val="2"/>
      </w:pPr>
      <w:r>
        <w:rPr>
          <w:rFonts w:ascii="仿宋_GB2312" w:hAnsi="仿宋_GB2312" w:cs="仿宋_GB2312" w:eastAsia="仿宋_GB2312"/>
          <w:sz w:val="28"/>
          <w:b/>
        </w:rPr>
        <w:t>宜宾市自然资源和规划局翠屏区分局</w:t>
      </w:r>
    </w:p>
    <w:p>
      <w:pPr>
        <w:pStyle w:val="null3"/>
        <w:jc w:val="center"/>
        <w:outlineLvl w:val="2"/>
      </w:pPr>
      <w:r>
        <w:rPr>
          <w:rFonts w:ascii="仿宋_GB2312" w:hAnsi="仿宋_GB2312" w:cs="仿宋_GB2312" w:eastAsia="仿宋_GB2312"/>
          <w:sz w:val="28"/>
          <w:b/>
        </w:rPr>
        <w:t>融汇项目管理有限公司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融汇项目管理有限公司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宜宾市自然资源和规划局翠屏区分局</w:t>
      </w:r>
      <w:r>
        <w:rPr>
          <w:rFonts w:ascii="仿宋_GB2312" w:hAnsi="仿宋_GB2312" w:cs="仿宋_GB2312" w:eastAsia="仿宋_GB2312"/>
        </w:rPr>
        <w:t xml:space="preserve"> 委托，拟对 </w:t>
      </w:r>
      <w:r>
        <w:rPr>
          <w:rFonts w:ascii="仿宋_GB2312" w:hAnsi="仿宋_GB2312" w:cs="仿宋_GB2312" w:eastAsia="仿宋_GB2312"/>
        </w:rPr>
        <w:t>宜宾市翠屏区2026年地质灾害防治驻守技术支撑服务采购项目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N5115012026000162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宜宾市翠屏区2026年地质灾害防治驻守技术支撑服务采购项目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本项目共计1个包，此次采购宜宾市翠屏区2026年地质灾害防治驻守技术支撑服务商1名。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备行政主管部门颁发有效的地质灾害评估和治理工程勘查设计乙级及以上资质。（描述：供应商提供具备行政主管部门颁发有效的地质灾害评估和治理工程勘查设计乙级及以上资质证书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宜宾市自然资源和规划局翠屏区分局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宜宾市戎州路西段11号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余可民</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15308136103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融汇项目管理有限公司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宜宾市翠屏区岷江新区华富戎州兴城3栋2层13号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杨梅</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0831-7193270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采购包1：525,000.00元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按照四川省财政厅关于印发《四川省政府采购营商环境指标提升专项行动工作方案》的通知(川财采(2020)74号)及本项目委托协议约定，代理服务费以成本加合理利润的原则收取，以采购预算为计算基数，按差额定率累进法进行计算，并按以下费率标准收取:采购预算:525,000.00元（服务类）0---52.5万：52.5×1.500％=7875.00元，按80％计算得：6300.00元，向成交供应商收取代理服务费:6300.00元。 2.转账方式账号如下： 收款单位：融汇项目管理有限公司宜宾分公司 开户行：中国建设银行股份有限公司宜宾江北支行 账号：5105 0172 5108 0000 0976</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宜宾市自然资源和规划局翠屏区分局</w:t>
      </w:r>
      <w:r>
        <w:rPr>
          <w:rFonts w:ascii="仿宋_GB2312" w:hAnsi="仿宋_GB2312" w:cs="仿宋_GB2312" w:eastAsia="仿宋_GB2312"/>
        </w:rPr>
        <w:t xml:space="preserve"> 和 </w:t>
      </w:r>
      <w:r>
        <w:rPr>
          <w:rFonts w:ascii="仿宋_GB2312" w:hAnsi="仿宋_GB2312" w:cs="仿宋_GB2312" w:eastAsia="仿宋_GB2312"/>
        </w:rPr>
        <w:t>融汇项目管理有限公司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宜宾市自然资源和规划局翠屏区分局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融汇项目管理有限公司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供应商项目服务内容全部完成，提出验收申请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按国家有关规定以及本项目采购文件的技术要求、供应商响应文件及承诺与合同约定标准进行技术履约验收。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按采购文件商务要求和供应商响应内容进行商务履约验收。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将严格按照行业相关文件规定、竞争性磋商文件要求、成交供应商响应文件、采购合同以及《财政部关于进一步加强政府采购需求和履约验收管理的指导意见》(财库(2016)205号)的要求进行验收。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宜宾市自然资源和规划局翠屏区分局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融汇项目管理有限公司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融汇项目管理有限公司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联系人：钟女士</w:t>
      </w:r>
    </w:p>
    <w:p>
      <w:pPr>
        <w:pStyle w:val="null3"/>
        <w:jc w:val="left"/>
      </w:pPr>
      <w:r>
        <w:rPr>
          <w:rFonts w:ascii="仿宋_GB2312" w:hAnsi="仿宋_GB2312" w:cs="仿宋_GB2312" w:eastAsia="仿宋_GB2312"/>
        </w:rPr>
        <w:t>联系电话：0831-7193261</w:t>
      </w:r>
    </w:p>
    <w:p>
      <w:pPr>
        <w:pStyle w:val="null3"/>
        <w:jc w:val="left"/>
      </w:pPr>
      <w:r>
        <w:rPr>
          <w:rFonts w:ascii="仿宋_GB2312" w:hAnsi="仿宋_GB2312" w:cs="仿宋_GB2312" w:eastAsia="仿宋_GB2312"/>
        </w:rPr>
        <w:t>地址：宜宾市翠屏区岷江新区华富戎州兴城3栋2层13号</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525,000.00</w:t>
      </w:r>
    </w:p>
    <w:p>
      <w:pPr>
        <w:pStyle w:val="null3"/>
        <w:jc w:val="left"/>
      </w:pPr>
      <w:r>
        <w:rPr>
          <w:rFonts w:ascii="仿宋_GB2312" w:hAnsi="仿宋_GB2312" w:cs="仿宋_GB2312" w:eastAsia="仿宋_GB2312"/>
        </w:rPr>
        <w:t>采购包最高限价（元）: 525,000.00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C05039900 其他灾害防治和应急管理服务</w:t>
            </w:r>
          </w:p>
        </w:tc>
        <w:tc>
          <w:tcPr>
            <w:tcW w:type="dxa" w:w="821"/>
          </w:tcPr>
          <w:p>
            <w:pPr>
              <w:pStyle w:val="null3"/>
              <w:jc w:val="left"/>
            </w:pPr>
            <w:r>
              <w:rPr>
                <w:rFonts w:ascii="仿宋_GB2312" w:hAnsi="仿宋_GB2312" w:cs="仿宋_GB2312" w:eastAsia="仿宋_GB2312"/>
              </w:rPr>
              <w:t>宜宾市翠屏区2026年地质灾害防治驻守技术支撑服务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525,000.00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宜宾市翠屏区2026年地质灾害防治驻守技术支撑服务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标的名称：宜宾市翠屏区2026年地质灾害防治驻守技术支撑服务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00"/>
              <w:jc w:val="left"/>
            </w:pPr>
            <w:r>
              <w:rPr>
                <w:rFonts w:ascii="仿宋_GB2312" w:hAnsi="仿宋_GB2312" w:cs="仿宋_GB2312" w:eastAsia="仿宋_GB2312"/>
              </w:rPr>
              <w:t>供应商应承担宜宾市翠屏区</w:t>
            </w:r>
            <w:r>
              <w:rPr>
                <w:rFonts w:ascii="仿宋_GB2312" w:hAnsi="仿宋_GB2312" w:cs="仿宋_GB2312" w:eastAsia="仿宋_GB2312"/>
              </w:rPr>
              <w:t>2026年地质灾害防治驻守技术支撑服务工作，具体包括但不限于以下内容：</w:t>
            </w:r>
          </w:p>
          <w:p>
            <w:pPr>
              <w:pStyle w:val="null3"/>
              <w:ind w:firstLine="400"/>
              <w:jc w:val="left"/>
            </w:pPr>
            <w:r>
              <w:rPr>
                <w:rFonts w:ascii="仿宋_GB2312" w:hAnsi="仿宋_GB2312" w:cs="仿宋_GB2312" w:eastAsia="仿宋_GB2312"/>
              </w:rPr>
              <w:t>1.隐患风险动态巡查排查</w:t>
            </w:r>
          </w:p>
          <w:p>
            <w:pPr>
              <w:pStyle w:val="null3"/>
              <w:ind w:firstLine="400"/>
              <w:jc w:val="left"/>
            </w:pPr>
            <w:r>
              <w:rPr>
                <w:rFonts w:ascii="仿宋_GB2312" w:hAnsi="仿宋_GB2312" w:cs="仿宋_GB2312" w:eastAsia="仿宋_GB2312"/>
              </w:rPr>
              <w:t>开展汛前、汛中、汛后地质灾害隐患全覆盖巡（排）查；协助指导乡镇</w:t>
            </w:r>
            <w:r>
              <w:rPr>
                <w:rFonts w:ascii="仿宋_GB2312" w:hAnsi="仿宋_GB2312" w:cs="仿宋_GB2312" w:eastAsia="仿宋_GB2312"/>
              </w:rPr>
              <w:t>(街道)、相关部门(单位)开展县城、集镇、学校、医院、农家乐、聚居点、安置点、旅游景区、密集管网、人口聚集区、农村切坡建房户、在建工程及工棚营地等重点区域(点位)、重要设施地灾隐患排查并指导其落实防灾措施；协助指导地质灾害隐患标识标牌设立、避险转移路线规划、安置场所评估等工作；对巡查排查发现的新增隐患点，应第一时间告知当地人民政府和有关部门，提出防范应对措施建议，协助当地人民政府填制发放防灾预案表、工作明白卡和避险明白卡。</w:t>
            </w:r>
          </w:p>
          <w:p>
            <w:pPr>
              <w:pStyle w:val="null3"/>
              <w:ind w:firstLine="400"/>
              <w:jc w:val="left"/>
            </w:pPr>
            <w:r>
              <w:rPr>
                <w:rFonts w:ascii="仿宋_GB2312" w:hAnsi="仿宋_GB2312" w:cs="仿宋_GB2312" w:eastAsia="仿宋_GB2312"/>
              </w:rPr>
              <w:t>2.监测预警技术保障</w:t>
            </w:r>
          </w:p>
          <w:p>
            <w:pPr>
              <w:pStyle w:val="null3"/>
              <w:ind w:firstLine="400"/>
              <w:jc w:val="left"/>
            </w:pPr>
            <w:r>
              <w:rPr>
                <w:rFonts w:ascii="仿宋_GB2312" w:hAnsi="仿宋_GB2312" w:cs="仿宋_GB2312" w:eastAsia="仿宋_GB2312"/>
              </w:rPr>
              <w:t>承担地质灾害气象风险预警、群专结合监测预警等技术工作；指导乡镇（街道）、在建工程责任单位等逐点健全完善监测预警方案，开展监测员与设备维保人员培训；参与强降雨会商调度、预警产品制作、监测数据分析、预警阈值优化、预警响应跟踪反馈。</w:t>
            </w:r>
          </w:p>
          <w:p>
            <w:pPr>
              <w:pStyle w:val="null3"/>
              <w:ind w:firstLine="400"/>
              <w:jc w:val="left"/>
            </w:pPr>
            <w:r>
              <w:rPr>
                <w:rFonts w:ascii="仿宋_GB2312" w:hAnsi="仿宋_GB2312" w:cs="仿宋_GB2312" w:eastAsia="仿宋_GB2312"/>
              </w:rPr>
              <w:t>3.科普宣传培训演练</w:t>
            </w:r>
          </w:p>
          <w:p>
            <w:pPr>
              <w:pStyle w:val="null3"/>
              <w:ind w:firstLine="400"/>
              <w:jc w:val="left"/>
            </w:pPr>
            <w:r>
              <w:rPr>
                <w:rFonts w:ascii="仿宋_GB2312" w:hAnsi="仿宋_GB2312" w:cs="仿宋_GB2312" w:eastAsia="仿宋_GB2312"/>
              </w:rPr>
              <w:t>通过现场宣讲、资料分发、新媒体等开展地灾防治科普宣传，推动科普宣传进农村、进场镇、进社区、进机关、进学校、进工地、进隐患点威胁区域；对防灾责任人、监测责任人、监测员、受威胁群众和相关行业主管部门、在建工程等重点领域开展针对性培训；指导乡镇（街道）、村组（社区）及相关单位开展避险演练。</w:t>
            </w:r>
          </w:p>
          <w:p>
            <w:pPr>
              <w:pStyle w:val="null3"/>
              <w:ind w:firstLine="400"/>
              <w:jc w:val="left"/>
            </w:pPr>
            <w:r>
              <w:rPr>
                <w:rFonts w:ascii="仿宋_GB2312" w:hAnsi="仿宋_GB2312" w:cs="仿宋_GB2312" w:eastAsia="仿宋_GB2312"/>
              </w:rPr>
              <w:t>4.应急抢险救灾技术支撑</w:t>
            </w:r>
          </w:p>
          <w:p>
            <w:pPr>
              <w:pStyle w:val="null3"/>
              <w:ind w:firstLine="400"/>
              <w:jc w:val="left"/>
            </w:pPr>
            <w:r>
              <w:rPr>
                <w:rFonts w:ascii="仿宋_GB2312" w:hAnsi="仿宋_GB2312" w:cs="仿宋_GB2312" w:eastAsia="仿宋_GB2312"/>
              </w:rPr>
              <w:t>开展突发地质灾害应急调查、危险区划定、协助避险转移、安置点排查评估、监测预警、信息报送、避险案例编报等工作，协助有关单位做好应急预案编制；服从辖区统筹调配，重大灾害时增派力量与装备支援抢险救灾。</w:t>
            </w:r>
          </w:p>
          <w:p>
            <w:pPr>
              <w:pStyle w:val="null3"/>
              <w:ind w:firstLine="400"/>
              <w:jc w:val="left"/>
            </w:pPr>
            <w:r>
              <w:rPr>
                <w:rFonts w:ascii="仿宋_GB2312" w:hAnsi="仿宋_GB2312" w:cs="仿宋_GB2312" w:eastAsia="仿宋_GB2312"/>
              </w:rPr>
              <w:t>5.履约与日常管理服务</w:t>
            </w:r>
          </w:p>
          <w:p>
            <w:pPr>
              <w:pStyle w:val="null3"/>
              <w:ind w:firstLine="400"/>
              <w:jc w:val="left"/>
            </w:pPr>
            <w:r>
              <w:rPr>
                <w:rFonts w:ascii="仿宋_GB2312" w:hAnsi="仿宋_GB2312" w:cs="仿宋_GB2312" w:eastAsia="仿宋_GB2312"/>
              </w:rPr>
              <w:t>遵守工作纪律、工作保密规定，落实资料管理；按要求报送工作台账、监测数据、工作总结等资料；接受主管部门监督、管理与考核，保障服务质量。</w:t>
            </w:r>
          </w:p>
          <w:p>
            <w:pPr>
              <w:pStyle w:val="null3"/>
              <w:jc w:val="left"/>
            </w:pPr>
            <w:r>
              <w:rPr>
                <w:rFonts w:ascii="仿宋_GB2312" w:hAnsi="仿宋_GB2312" w:cs="仿宋_GB2312" w:eastAsia="仿宋_GB2312"/>
                <w:sz w:val="21"/>
              </w:rPr>
              <w:t xml:space="preserve">     6.完成因地质灾害防治工作需要采购人安排的其他工作任务。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工作要求</w:t>
            </w:r>
          </w:p>
        </w:tc>
        <w:tc>
          <w:tcPr>
            <w:tcW w:type="dxa" w:w="5814"/>
          </w:tcPr>
          <w:p>
            <w:pPr>
              <w:pStyle w:val="null3"/>
              <w:ind w:firstLine="400"/>
              <w:jc w:val="left"/>
            </w:pPr>
            <w:r>
              <w:rPr>
                <w:rFonts w:ascii="仿宋_GB2312" w:hAnsi="仿宋_GB2312" w:cs="仿宋_GB2312" w:eastAsia="仿宋_GB2312"/>
              </w:rPr>
              <w:t>1.</w:t>
            </w:r>
            <w:r>
              <w:rPr>
                <w:rFonts w:ascii="仿宋_GB2312" w:hAnsi="仿宋_GB2312" w:cs="仿宋_GB2312" w:eastAsia="仿宋_GB2312"/>
              </w:rPr>
              <w:t>技术支撑工作组：</w:t>
            </w:r>
            <w:r>
              <w:rPr>
                <w:rFonts w:ascii="仿宋_GB2312" w:hAnsi="仿宋_GB2312" w:cs="仿宋_GB2312" w:eastAsia="仿宋_GB2312"/>
              </w:rPr>
              <w:t>配置人员应不少于</w:t>
            </w:r>
            <w:r>
              <w:rPr>
                <w:rFonts w:ascii="仿宋_GB2312" w:hAnsi="仿宋_GB2312" w:cs="仿宋_GB2312" w:eastAsia="仿宋_GB2312"/>
              </w:rPr>
              <w:t>3名专业技术人员、1名驾驶员，配备1台及以上工作用车、无人机及相关技术装备。</w:t>
            </w:r>
          </w:p>
          <w:p>
            <w:pPr>
              <w:pStyle w:val="null3"/>
              <w:ind w:firstLine="400"/>
              <w:jc w:val="left"/>
            </w:pPr>
            <w:r>
              <w:rPr>
                <w:rFonts w:ascii="仿宋_GB2312" w:hAnsi="仿宋_GB2312" w:cs="仿宋_GB2312" w:eastAsia="仿宋_GB2312"/>
              </w:rPr>
              <w:t>2.</w:t>
            </w:r>
            <w:r>
              <w:rPr>
                <w:rFonts w:ascii="仿宋_GB2312" w:hAnsi="仿宋_GB2312" w:cs="仿宋_GB2312" w:eastAsia="仿宋_GB2312"/>
              </w:rPr>
              <w:t>服务期间食宿自行解决，车辆维护费用自理，并能应采购人要求及时增派人员和车辆；在主汛期时段外，能根据采购人的要求，提前派遣技术人员和车辆常驻宜宾市翠屏区。</w:t>
            </w:r>
          </w:p>
          <w:p>
            <w:pPr>
              <w:pStyle w:val="null3"/>
              <w:ind w:firstLine="400"/>
              <w:jc w:val="left"/>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供应商须全面负责其为本项目配置的所有工作人员的人身及财产安全。在项目服务期内，如发生人员安全事故，由此产生的法律责任和经济损失均由供应商承担。</w:t>
            </w:r>
          </w:p>
          <w:p>
            <w:pPr>
              <w:pStyle w:val="null3"/>
              <w:ind w:firstLine="400"/>
              <w:jc w:val="left"/>
            </w:pPr>
            <w:r>
              <w:rPr>
                <w:rFonts w:ascii="仿宋_GB2312" w:hAnsi="仿宋_GB2312" w:cs="仿宋_GB2312" w:eastAsia="仿宋_GB2312"/>
              </w:rPr>
              <w:t>4.在项目</w:t>
            </w:r>
            <w:r>
              <w:rPr>
                <w:rFonts w:ascii="仿宋_GB2312" w:hAnsi="仿宋_GB2312" w:cs="仿宋_GB2312" w:eastAsia="仿宋_GB2312"/>
              </w:rPr>
              <w:t>服务期间，成交供应商如被注销、吊销包括但不限于营业执照、资质证书等，或者资质等级发生变化后达不到相关要求等情况，采购人有权单方面解除已经签订的采购合同。</w:t>
            </w:r>
          </w:p>
          <w:p>
            <w:pPr>
              <w:pStyle w:val="null3"/>
              <w:ind w:firstLine="400"/>
              <w:jc w:val="left"/>
            </w:pPr>
            <w:r>
              <w:rPr>
                <w:rFonts w:ascii="仿宋_GB2312" w:hAnsi="仿宋_GB2312" w:cs="仿宋_GB2312" w:eastAsia="仿宋_GB2312"/>
              </w:rPr>
              <w:t>5.</w:t>
            </w:r>
            <w:r>
              <w:rPr>
                <w:rFonts w:ascii="仿宋_GB2312" w:hAnsi="仿宋_GB2312" w:cs="仿宋_GB2312" w:eastAsia="仿宋_GB2312"/>
              </w:rPr>
              <w:t>项目实施须严格遵守以下法律、法规、技术标准</w:t>
            </w:r>
            <w:r>
              <w:rPr>
                <w:rFonts w:ascii="仿宋_GB2312" w:hAnsi="仿宋_GB2312" w:cs="仿宋_GB2312" w:eastAsia="仿宋_GB2312"/>
              </w:rPr>
              <w:t>和政策依据</w:t>
            </w:r>
            <w:r>
              <w:rPr>
                <w:rFonts w:ascii="仿宋_GB2312" w:hAnsi="仿宋_GB2312" w:cs="仿宋_GB2312" w:eastAsia="仿宋_GB2312"/>
              </w:rPr>
              <w:t>，如有更新，按最新法律、法规及技术标准执行：</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1）《地质灾害防治条例》（国务院令第 394 号）；</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2）《地质灾害危险性评估规范》（GB/T 40112-2021）；</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3）《地质灾害排查规范》（DZ/T0284-2015）；</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）四川省自然资源厅关于加强地质灾害防治驻守技术支撑服务工作的指导意见（川自然资发〔</w:t>
            </w:r>
            <w:r>
              <w:rPr>
                <w:rFonts w:ascii="仿宋_GB2312" w:hAnsi="仿宋_GB2312" w:cs="仿宋_GB2312" w:eastAsia="仿宋_GB2312"/>
              </w:rPr>
              <w:t>2023〕13号）；</w:t>
            </w:r>
          </w:p>
          <w:p>
            <w:pPr>
              <w:pStyle w:val="null3"/>
              <w:jc w:val="left"/>
            </w:pPr>
            <w:r>
              <w:rPr>
                <w:rFonts w:ascii="仿宋_GB2312" w:hAnsi="仿宋_GB2312" w:cs="仿宋_GB2312" w:eastAsia="仿宋_GB2312"/>
                <w:sz w:val="21"/>
              </w:rPr>
              <w:t>需执行的有关标准与规范包括但不限于以上内容，若执行的技术标准、技术规范及政策要求有更新的，应以最新规范、标准和省自然资源厅要求为准。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成果要求</w:t>
            </w:r>
          </w:p>
        </w:tc>
        <w:tc>
          <w:tcPr>
            <w:tcW w:type="dxa" w:w="5814"/>
          </w:tcPr>
          <w:p>
            <w:pPr>
              <w:pStyle w:val="null3"/>
              <w:jc w:val="left"/>
            </w:pPr>
            <w:r>
              <w:rPr>
                <w:rFonts w:ascii="仿宋_GB2312" w:hAnsi="仿宋_GB2312" w:cs="仿宋_GB2312" w:eastAsia="仿宋_GB2312"/>
                <w:sz w:val="21"/>
              </w:rPr>
              <w:t xml:space="preserve">      地质灾害巡排查报告及相关图表，地质灾害应急调查报告、专家会商意见、抢险救灾方案等档案资料，指导协助开展日常地质灾害防治工作形成的档案资料等。具体份数及格式以采购人要求为准。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自合同签订之日起至2026年12月31日止。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宜宾市翠屏区（采购人指定地点）。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及交付标准：将严格按照行业相关文件规定、竞争性磋商文件要求、成交供应商响应文件、采购合同以及《财政部关于进一步加强政府采购需求和履约验收管理的指导意见》(财库(2016)205号)的要求进行验收。 2.验收方式及方法：采购人根据采购项目具体情况自行组织验收，成立验收小组，出具验收报告。</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1、预付款，合同签订后，成交供应商向采购人出具合法有效完整的完税发票，达到付款条件起10日内，支付合同总金额的40.00%</w:t>
            </w:r>
          </w:p>
          <w:p>
            <w:pPr>
              <w:pStyle w:val="null3"/>
              <w:jc w:val="left"/>
            </w:pPr>
            <w:r>
              <w:rPr>
                <w:rFonts w:ascii="仿宋_GB2312" w:hAnsi="仿宋_GB2312" w:cs="仿宋_GB2312" w:eastAsia="仿宋_GB2312"/>
              </w:rPr>
              <w:t>2、尾款，成交供应商完成合同规定的所有服务内容及完成成果资料汇交工作并经采购人及相关部门审核认可通过验收合格后，向采购人出具合法有效完整的完税发票，达到付款条件起10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1.双方必须遵守本合同并执行合同中的各项规定，保证本合同的正常履行。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二、解决争议的方法 在执行本合同中发生的或与本合同有关的争端，双方应通过友好协商解决，协商或调解不成的，向有管辖权的人民法院提起诉讼。</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设施设备配置要求</w:t>
            </w:r>
          </w:p>
        </w:tc>
        <w:tc>
          <w:tcPr>
            <w:tcW w:type="dxa" w:w="5814"/>
          </w:tcPr>
          <w:p>
            <w:pPr>
              <w:pStyle w:val="null3"/>
              <w:jc w:val="left"/>
            </w:pPr>
            <w:r>
              <w:rPr>
                <w:rFonts w:ascii="仿宋_GB2312" w:hAnsi="仿宋_GB2312" w:cs="仿宋_GB2312" w:eastAsia="仿宋_GB2312"/>
              </w:rPr>
              <w:t>供应商需根据本项目采购需求提供满足本项目需求的设施设备，并在响应文件中提供设施设备的证明材料。</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jc w:val="left"/>
            </w:pPr>
            <w:r>
              <w:rPr>
                <w:rFonts w:ascii="仿宋_GB2312" w:hAnsi="仿宋_GB2312" w:cs="仿宋_GB2312" w:eastAsia="仿宋_GB2312"/>
              </w:rPr>
              <w:t>为保障本项目规范、有序实施，供应商须组建独立的项目组，配备充足的专业技术人员，并提供相应的人员证明材料。具体要求如下： 项目负责人（1名）：具备水工环地质类专业中级及以上职称。 项目技术负责人（1名）：具备水工环地质类专业中级及以上职称。 项目团队其他人员（除负责人外）：具备水工环地质类专业中级及以上职称。</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本项目报价应包括：为实施和完成成果所需的员工工资、车辆使用或租赁费、各类保险费、福利费、加班费、资料成果打印装订费、现场踏勘费、管理费、税费和各种风险等在内的一切费用。采购人按照成交价进行结算，采购人不再承担任何额外费用。 ★2.本项目服务期内，除采购人认可发布的信息外，供应商对获取的一切资料及成果负有保密义务，未经采购人同意，供应商不得以任何形式向第三者透露信息资料，否则采购人有权追究其法律责任。 3.供应商需根据本项目采购需求编制工作实施方案，方案包含①项目背景、目标及任务分析；②区域地质环境条件分析；③地质灾害历史及现状分析；④地质灾害特征及孕灾条件分析；⑤总体工作部署（含工作主要依据、具体工作内容）；⑥项目难点及应对措施；⑦项目管理制度；⑧项目成果审核校对制度。 4.为保障项目顺利实施，供应商需结合自身实际情况编制项目保障方案，方案包含①质量保障；②应急安全保障；③售后服务保障。 5.供应商结合自身情况在响应文件中提供证明自身具有履约能力的相关证明材料，包含但不限于履约经验、组建的专业技术服务团队人员相关证明材料(具体详见竞争性磋商文件第五章5.4.2.评审细则及标准)。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针对第三章所包含的技术、服务及其他要求中的实质性要求，在磋商过程中，磋商小组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详见第七章《拟签订采购合同文本》。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供应商须具备行政主管部门颁发有效的地质灾害评估和治理工程勘查设计乙级及以上资质。</w:t>
            </w:r>
          </w:p>
        </w:tc>
        <w:tc>
          <w:tcPr>
            <w:tcW w:type="dxa" w:w="3322"/>
          </w:tcPr>
          <w:p>
            <w:pPr>
              <w:pStyle w:val="null3"/>
              <w:jc w:val="left"/>
            </w:pPr>
            <w:r>
              <w:rPr>
                <w:rFonts w:ascii="仿宋_GB2312" w:hAnsi="仿宋_GB2312" w:cs="仿宋_GB2312" w:eastAsia="仿宋_GB2312"/>
              </w:rPr>
              <w:t>供应商提供具备行政主管部门颁发有效的地质灾害评估和治理工程勘查设计乙级及以上资质证书扫描件并进行电子签章。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w:t>
            </w:r>
          </w:p>
        </w:tc>
        <w:tc>
          <w:tcPr>
            <w:tcW w:type="dxa" w:w="3322"/>
          </w:tcPr>
          <w:p>
            <w:pPr>
              <w:pStyle w:val="null3"/>
              <w:jc w:val="left"/>
            </w:pPr>
            <w:r>
              <w:rPr>
                <w:rFonts w:ascii="仿宋_GB2312" w:hAnsi="仿宋_GB2312" w:cs="仿宋_GB2312" w:eastAsia="仿宋_GB2312"/>
              </w:rPr>
              <w:t>供应商响应文件技术、服务及其他要求应答内容是否完全满足本项目竞争性磋商文件第三章的实质性要求。</w:t>
            </w:r>
          </w:p>
        </w:tc>
        <w:tc>
          <w:tcPr>
            <w:tcW w:type="dxa" w:w="1661"/>
          </w:tcPr>
          <w:p>
            <w:pPr>
              <w:pStyle w:val="null3"/>
              <w:jc w:val="left"/>
            </w:pPr>
            <w:r>
              <w:rPr>
                <w:rFonts w:ascii="仿宋_GB2312" w:hAnsi="仿宋_GB2312" w:cs="仿宋_GB2312" w:eastAsia="仿宋_GB2312"/>
              </w:rPr>
              <w:t>服务应答表,供应商应提交的其他评审相关证明材料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工作实施方案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工作实施方案</w:t>
            </w:r>
          </w:p>
        </w:tc>
        <w:tc>
          <w:tcPr>
            <w:tcW w:type="dxa" w:w="2575"/>
          </w:tcPr>
          <w:p>
            <w:pPr>
              <w:pStyle w:val="null3"/>
              <w:jc w:val="left"/>
            </w:pPr>
            <w:r>
              <w:rPr>
                <w:rFonts w:ascii="仿宋_GB2312" w:hAnsi="仿宋_GB2312" w:cs="仿宋_GB2312" w:eastAsia="仿宋_GB2312"/>
              </w:rPr>
              <w:t>根据供应商针对本项目提供的工作实施方案进行评分：方案包括①项目背景、目标及任务分析；②区域地质环境条件分析；③地质灾害历史及现状分析；④地质灾害特征及孕灾条件分析；⑤总体工作部署（含工作主要依据、具体工作内容）；⑥项目难点及应对措施；⑦项目管理制度；⑧项目成果审核校对制度。以上8项内容齐全且无缺陷的得40分，每缺少一项内容的扣5分；每项内容下，每存在一处缺陷扣减2.5分，直至该项分值扣完为止。 缺陷是指以下任意一种情况：数据错误;项目名称、地点区域错误;文字表述错误;方案标题与实际内容不相符;引用的法律、规范、标准存在失效或错误;内容与本项目需求无关;方案内容仅有框架或标题，缺乏实质性内容;照搬采购文件内容，或照搬其他地区及项目的内容。</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供应商应提交的其他评审相关证明材料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项目保障方案</w:t>
            </w:r>
          </w:p>
        </w:tc>
        <w:tc>
          <w:tcPr>
            <w:tcW w:type="dxa" w:w="2575"/>
          </w:tcPr>
          <w:p>
            <w:pPr>
              <w:pStyle w:val="null3"/>
              <w:jc w:val="left"/>
            </w:pPr>
            <w:r>
              <w:rPr>
                <w:rFonts w:ascii="仿宋_GB2312" w:hAnsi="仿宋_GB2312" w:cs="仿宋_GB2312" w:eastAsia="仿宋_GB2312"/>
              </w:rPr>
              <w:t>根据供应商针对本项目提供的项目保障方案进行评分：方案包括①质量保障；②应急安全保障；③售后服务保障。以上3项内容齐全且无缺陷的得9分，每缺少一项内容的扣3分；每项内容下，每存在一处缺陷扣减1.5分，直至该项分值扣完为止。 缺陷是指以下任意一种情况：数据错误;项目名称、地点区域错误;文字表述错误;方案标题与实际内容不相符;引用的法律、规范、标准存在失效或错误;内容与本项目需求无关;方案内容仅有框架或标题，缺乏实质性内容;照搬采购文件内容，或照搬其他地区及项目的内容。</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供应商应提交的其他评审相关证明材料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1.项目负责人（1人）：具有水工环地质类专业中级职称得3分，具有水工环地质类专业高级及以上职称得6分，本项最多可得6分。 2.项目技术负责人（1人）：具有水工环地质类专业中级职称得3分，具有水工环地质类专业高级及以上职称得6分，本项最多可得6分。 3.其他人员要求如下：项目团队配备中每有1名人员具有水工环地质类专业中级及以上职称得3.5分，此项最高得14分。 注：以上人员不重复得分，需提供有效的身份证扫描件、职称证书扫描件、在职证明材料扫描件；未提供或提供资料不全的不得分。</w:t>
            </w:r>
          </w:p>
        </w:tc>
        <w:tc>
          <w:tcPr>
            <w:tcW w:type="dxa" w:w="831"/>
          </w:tcPr>
          <w:p>
            <w:pPr>
              <w:pStyle w:val="null3"/>
              <w:jc w:val="center"/>
            </w:pPr>
            <w:r>
              <w:rPr>
                <w:rFonts w:ascii="仿宋_GB2312" w:hAnsi="仿宋_GB2312" w:cs="仿宋_GB2312" w:eastAsia="仿宋_GB2312"/>
              </w:rPr>
              <w:t>26.0000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供应商应提交的其他评审相关证明材料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供应商自2023年1月1日（含）以来具有类似项目业绩，每提供1个业绩得5分，本项最多得15分。 类似项目业绩是指：地质灾害驻守技术保障服务类项目业绩。 注：供应商需提供项目完整合同扫描件，并确保合同乙方名称与供应商名称完全一致（如有更名需提供证明），且合同时间以签订日期为准；未提供或不符合以上任一要求者，本项不得分。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供应商应提交的其他评审相关证明材料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详见附件：供应商应提交的其他评审相关证明材料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