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B8D05">
      <w:pPr>
        <w:pStyle w:val="2"/>
        <w:bidi w:val="0"/>
        <w:jc w:val="center"/>
        <w:rPr>
          <w:rFonts w:hint="default"/>
          <w:lang w:val="en-US" w:eastAsia="zh-CN"/>
        </w:rPr>
      </w:pPr>
      <w:r>
        <w:rPr>
          <w:rFonts w:hint="eastAsia"/>
          <w:lang w:val="en-US" w:eastAsia="zh-CN"/>
        </w:rPr>
        <w:t>设备技术参数整理</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118"/>
        <w:gridCol w:w="5484"/>
        <w:gridCol w:w="639"/>
        <w:gridCol w:w="639"/>
      </w:tblGrid>
      <w:tr w14:paraId="4A7E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375" w:type="pct"/>
            <w:shd w:val="clear" w:color="auto" w:fill="auto"/>
            <w:vAlign w:val="center"/>
          </w:tcPr>
          <w:p w14:paraId="572AFCD1">
            <w:pPr>
              <w:widowControl/>
              <w:adjustRightInd w:val="0"/>
              <w:snapToGrid w:val="0"/>
              <w:spacing w:line="360" w:lineRule="auto"/>
              <w:jc w:val="center"/>
              <w:textAlignment w:val="center"/>
              <w:rPr>
                <w:rFonts w:hint="eastAsia" w:ascii="宋体" w:hAnsi="宋体" w:eastAsia="宋体" w:cs="宋体"/>
                <w:color w:val="auto"/>
                <w:kern w:val="0"/>
                <w:sz w:val="24"/>
                <w:szCs w:val="24"/>
                <w:highlight w:val="none"/>
                <w:lang w:bidi="ar"/>
              </w:rPr>
            </w:pPr>
            <w:bookmarkStart w:id="0" w:name="_GoBack"/>
            <w:r>
              <w:rPr>
                <w:rFonts w:hint="eastAsia" w:ascii="宋体" w:hAnsi="宋体" w:eastAsia="宋体" w:cs="宋体"/>
                <w:b/>
                <w:bCs/>
                <w:color w:val="auto"/>
                <w:kern w:val="0"/>
                <w:sz w:val="24"/>
                <w:szCs w:val="24"/>
                <w:highlight w:val="none"/>
                <w:lang w:bidi="ar"/>
              </w:rPr>
              <w:t>序号</w:t>
            </w:r>
          </w:p>
        </w:tc>
        <w:tc>
          <w:tcPr>
            <w:tcW w:w="656" w:type="pct"/>
            <w:shd w:val="clear" w:color="auto" w:fill="auto"/>
            <w:vAlign w:val="center"/>
          </w:tcPr>
          <w:p w14:paraId="60DE6EB8">
            <w:pPr>
              <w:widowControl/>
              <w:adjustRightInd w:val="0"/>
              <w:snapToGrid w:val="0"/>
              <w:spacing w:line="360" w:lineRule="auto"/>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设备名称</w:t>
            </w:r>
          </w:p>
        </w:tc>
        <w:tc>
          <w:tcPr>
            <w:tcW w:w="3218" w:type="pct"/>
            <w:shd w:val="clear" w:color="auto" w:fill="auto"/>
            <w:vAlign w:val="center"/>
          </w:tcPr>
          <w:p w14:paraId="432B4E8A">
            <w:pPr>
              <w:widowControl/>
              <w:adjustRightInd w:val="0"/>
              <w:snapToGrid w:val="0"/>
              <w:spacing w:line="360" w:lineRule="auto"/>
              <w:jc w:val="center"/>
              <w:textAlignment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lang w:bidi="ar"/>
              </w:rPr>
              <w:t>设备技术参数</w:t>
            </w:r>
          </w:p>
        </w:tc>
        <w:tc>
          <w:tcPr>
            <w:tcW w:w="375" w:type="pct"/>
            <w:shd w:val="clear" w:color="auto" w:fill="auto"/>
            <w:vAlign w:val="center"/>
          </w:tcPr>
          <w:p w14:paraId="025DEF07">
            <w:pPr>
              <w:widowControl/>
              <w:adjustRightInd w:val="0"/>
              <w:snapToGrid w:val="0"/>
              <w:spacing w:line="360" w:lineRule="auto"/>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数量</w:t>
            </w:r>
          </w:p>
        </w:tc>
        <w:tc>
          <w:tcPr>
            <w:tcW w:w="375" w:type="pct"/>
            <w:shd w:val="clear" w:color="auto" w:fill="auto"/>
            <w:vAlign w:val="center"/>
          </w:tcPr>
          <w:p w14:paraId="314CF494">
            <w:pPr>
              <w:widowControl/>
              <w:adjustRightInd w:val="0"/>
              <w:snapToGrid w:val="0"/>
              <w:spacing w:line="360" w:lineRule="auto"/>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单位</w:t>
            </w:r>
          </w:p>
        </w:tc>
      </w:tr>
      <w:tr w14:paraId="4D8D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5" w:type="pct"/>
            <w:shd w:val="clear" w:color="auto" w:fill="auto"/>
            <w:vAlign w:val="center"/>
          </w:tcPr>
          <w:p w14:paraId="04328D3E">
            <w:pPr>
              <w:widowControl/>
              <w:adjustRightInd w:val="0"/>
              <w:snapToGrid w:val="0"/>
              <w:spacing w:line="36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656" w:type="pct"/>
            <w:shd w:val="clear" w:color="auto" w:fill="auto"/>
            <w:vAlign w:val="center"/>
          </w:tcPr>
          <w:p w14:paraId="17D047D5">
            <w:pPr>
              <w:widowControl/>
              <w:adjustRightInd w:val="0"/>
              <w:snapToGrid w:val="0"/>
              <w:spacing w:line="36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巡回检察智能视频辅助系统</w:t>
            </w:r>
          </w:p>
        </w:tc>
        <w:tc>
          <w:tcPr>
            <w:tcW w:w="3218" w:type="pct"/>
            <w:shd w:val="clear" w:color="auto" w:fill="auto"/>
            <w:vAlign w:val="center"/>
          </w:tcPr>
          <w:p w14:paraId="7B8D7DC4">
            <w:pPr>
              <w:widowControl/>
              <w:spacing w:line="360" w:lineRule="auto"/>
              <w:jc w:val="left"/>
              <w:rPr>
                <w:rFonts w:hint="eastAsia" w:ascii="宋体" w:hAnsi="宋体" w:eastAsia="宋体" w:cs="宋体"/>
                <w:color w:val="C00000"/>
                <w:kern w:val="0"/>
                <w:sz w:val="24"/>
                <w:szCs w:val="24"/>
                <w:highlight w:val="none"/>
                <w:lang w:eastAsia="zh-CN" w:bidi="lo-LA"/>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.便携式巡回检察智能视频辅助</w:t>
            </w:r>
            <w:r>
              <w:rPr>
                <w:rFonts w:hint="eastAsia" w:ascii="宋体" w:hAnsi="宋体" w:eastAsia="宋体" w:cs="宋体"/>
                <w:color w:val="auto"/>
                <w:sz w:val="24"/>
                <w:szCs w:val="24"/>
                <w:highlight w:val="none"/>
                <w:lang w:val="en-US" w:eastAsia="zh-CN"/>
              </w:rPr>
              <w:t>系统</w:t>
            </w:r>
            <w:r>
              <w:rPr>
                <w:rFonts w:hint="eastAsia" w:ascii="宋体" w:hAnsi="宋体" w:cs="宋体"/>
                <w:color w:val="auto"/>
                <w:sz w:val="24"/>
                <w:szCs w:val="24"/>
                <w:highlight w:val="none"/>
                <w:lang w:val="en-US" w:eastAsia="zh-CN"/>
              </w:rPr>
              <w:t>应</w:t>
            </w:r>
            <w:r>
              <w:rPr>
                <w:rFonts w:hint="eastAsia" w:ascii="宋体" w:hAnsi="宋体" w:eastAsia="宋体" w:cs="宋体"/>
                <w:color w:val="auto"/>
                <w:sz w:val="24"/>
                <w:szCs w:val="24"/>
                <w:highlight w:val="none"/>
              </w:rPr>
              <w:t>集</w:t>
            </w:r>
            <w:r>
              <w:rPr>
                <w:rFonts w:hint="eastAsia" w:ascii="宋体" w:hAnsi="宋体" w:cs="宋体"/>
                <w:color w:val="auto"/>
                <w:sz w:val="24"/>
                <w:szCs w:val="24"/>
                <w:highlight w:val="none"/>
                <w:lang w:val="en-US" w:eastAsia="zh-CN"/>
              </w:rPr>
              <w:t>机箱、</w:t>
            </w:r>
            <w:r>
              <w:rPr>
                <w:rFonts w:hint="eastAsia" w:ascii="宋体" w:hAnsi="宋体" w:cs="宋体"/>
                <w:color w:val="auto"/>
                <w:kern w:val="0"/>
                <w:sz w:val="24"/>
                <w:szCs w:val="24"/>
                <w:highlight w:val="none"/>
                <w:lang w:val="en-US" w:eastAsia="zh-CN" w:bidi="lo-LA"/>
              </w:rPr>
              <w:t>图像展示设备</w:t>
            </w:r>
            <w:r>
              <w:rPr>
                <w:rFonts w:hint="eastAsia" w:ascii="宋体" w:hAnsi="宋体" w:eastAsia="宋体" w:cs="宋体"/>
                <w:color w:val="auto"/>
                <w:sz w:val="24"/>
                <w:szCs w:val="24"/>
                <w:highlight w:val="none"/>
              </w:rPr>
              <w:t>、高性能双路处理器、神经网络推理芯片和巡回检察智能视频辅助功能</w:t>
            </w:r>
            <w:r>
              <w:rPr>
                <w:rFonts w:hint="eastAsia" w:ascii="宋体" w:hAnsi="宋体" w:cs="宋体"/>
                <w:color w:val="auto"/>
                <w:sz w:val="24"/>
                <w:szCs w:val="24"/>
                <w:highlight w:val="none"/>
                <w:lang w:val="en-US" w:eastAsia="zh-CN"/>
              </w:rPr>
              <w:t>于一体</w:t>
            </w:r>
            <w:r>
              <w:rPr>
                <w:rFonts w:hint="eastAsia" w:ascii="宋体" w:hAnsi="宋体" w:eastAsia="宋体" w:cs="宋体"/>
                <w:color w:val="auto"/>
                <w:sz w:val="24"/>
                <w:szCs w:val="24"/>
                <w:highlight w:val="none"/>
              </w:rPr>
              <w:t>的一体化设备；</w:t>
            </w:r>
            <w:r>
              <w:rPr>
                <w:rFonts w:hint="eastAsia" w:ascii="宋体" w:hAnsi="宋体" w:cs="宋体"/>
                <w:color w:val="auto"/>
                <w:sz w:val="24"/>
                <w:szCs w:val="24"/>
                <w:highlight w:val="none"/>
                <w:lang w:val="en-US" w:eastAsia="zh-CN"/>
              </w:rPr>
              <w:t>所配置的硬件参数：配备</w:t>
            </w:r>
            <w:r>
              <w:rPr>
                <w:rFonts w:hint="eastAsia" w:ascii="宋体" w:hAnsi="宋体" w:eastAsia="宋体" w:cs="宋体"/>
                <w:kern w:val="0"/>
                <w:sz w:val="24"/>
                <w:szCs w:val="24"/>
                <w:highlight w:val="none"/>
                <w:lang w:bidi="lo-LA"/>
              </w:rPr>
              <w:t>≥</w:t>
            </w:r>
            <w:r>
              <w:rPr>
                <w:rFonts w:hint="eastAsia" w:ascii="宋体" w:hAnsi="宋体" w:cs="宋体"/>
                <w:color w:val="auto"/>
                <w:kern w:val="0"/>
                <w:sz w:val="24"/>
                <w:szCs w:val="24"/>
                <w:highlight w:val="none"/>
                <w:lang w:val="en-US" w:eastAsia="zh-CN" w:bidi="lo-LA"/>
              </w:rPr>
              <w:t>2</w:t>
            </w:r>
            <w:r>
              <w:rPr>
                <w:rFonts w:hint="eastAsia" w:ascii="宋体" w:hAnsi="宋体" w:eastAsia="宋体" w:cs="宋体"/>
                <w:color w:val="auto"/>
                <w:kern w:val="0"/>
                <w:sz w:val="24"/>
                <w:szCs w:val="24"/>
                <w:highlight w:val="none"/>
                <w:lang w:bidi="lo-LA"/>
              </w:rPr>
              <w:t>颗</w:t>
            </w:r>
            <w:r>
              <w:rPr>
                <w:rFonts w:hint="eastAsia" w:ascii="宋体" w:hAnsi="宋体" w:cs="宋体"/>
                <w:color w:val="auto"/>
                <w:kern w:val="0"/>
                <w:sz w:val="24"/>
                <w:szCs w:val="24"/>
                <w:highlight w:val="none"/>
                <w:lang w:val="en-US" w:eastAsia="zh-CN" w:bidi="lo-LA"/>
              </w:rPr>
              <w:t>24核</w:t>
            </w:r>
            <w:r>
              <w:rPr>
                <w:rFonts w:hint="eastAsia" w:ascii="宋体" w:hAnsi="宋体" w:eastAsia="宋体" w:cs="宋体"/>
                <w:color w:val="auto"/>
                <w:kern w:val="0"/>
                <w:sz w:val="24"/>
                <w:szCs w:val="24"/>
                <w:highlight w:val="none"/>
                <w:lang w:bidi="lo-LA"/>
              </w:rPr>
              <w:t>高性能CPU</w:t>
            </w:r>
            <w:r>
              <w:rPr>
                <w:rFonts w:hint="eastAsia" w:ascii="宋体" w:hAnsi="宋体" w:cs="宋体"/>
                <w:color w:val="auto"/>
                <w:kern w:val="0"/>
                <w:sz w:val="24"/>
                <w:szCs w:val="24"/>
                <w:highlight w:val="none"/>
                <w:lang w:eastAsia="zh-CN" w:bidi="lo-LA"/>
              </w:rPr>
              <w:t>，</w:t>
            </w:r>
            <w:r>
              <w:rPr>
                <w:rFonts w:hint="eastAsia" w:ascii="宋体" w:hAnsi="宋体" w:eastAsia="宋体" w:cs="宋体"/>
                <w:kern w:val="0"/>
                <w:sz w:val="24"/>
                <w:szCs w:val="24"/>
                <w:highlight w:val="none"/>
                <w:lang w:bidi="lo-LA"/>
              </w:rPr>
              <w:t>内存：≥</w:t>
            </w:r>
            <w:r>
              <w:rPr>
                <w:rFonts w:hint="eastAsia" w:ascii="宋体" w:hAnsi="宋体" w:eastAsia="宋体" w:cs="宋体"/>
                <w:color w:val="auto"/>
                <w:kern w:val="0"/>
                <w:sz w:val="24"/>
                <w:szCs w:val="24"/>
                <w:highlight w:val="none"/>
                <w:lang w:bidi="lo-LA"/>
              </w:rPr>
              <w:t>64G</w:t>
            </w:r>
            <w:r>
              <w:rPr>
                <w:rFonts w:hint="eastAsia" w:ascii="宋体" w:hAnsi="宋体" w:cs="宋体"/>
                <w:color w:val="auto"/>
                <w:kern w:val="0"/>
                <w:sz w:val="24"/>
                <w:szCs w:val="24"/>
                <w:highlight w:val="none"/>
                <w:lang w:val="en-US" w:eastAsia="zh-CN" w:bidi="lo-LA"/>
              </w:rPr>
              <w:t>内存</w:t>
            </w:r>
            <w:r>
              <w:rPr>
                <w:rFonts w:hint="eastAsia" w:ascii="宋体" w:hAnsi="宋体" w:eastAsia="宋体" w:cs="宋体"/>
                <w:color w:val="auto"/>
                <w:kern w:val="0"/>
                <w:sz w:val="24"/>
                <w:szCs w:val="24"/>
                <w:highlight w:val="none"/>
                <w:lang w:bidi="lo-LA"/>
              </w:rPr>
              <w:t>，</w:t>
            </w:r>
            <w:r>
              <w:rPr>
                <w:rFonts w:hint="eastAsia" w:ascii="宋体" w:hAnsi="宋体" w:cs="宋体"/>
                <w:color w:val="auto"/>
                <w:kern w:val="0"/>
                <w:sz w:val="24"/>
                <w:szCs w:val="24"/>
                <w:highlight w:val="none"/>
                <w:lang w:val="en-US" w:eastAsia="zh-CN" w:bidi="lo-LA"/>
              </w:rPr>
              <w:t>硬盘存储</w:t>
            </w:r>
            <w:r>
              <w:rPr>
                <w:rFonts w:hint="eastAsia" w:ascii="宋体" w:hAnsi="宋体" w:eastAsia="宋体" w:cs="宋体"/>
                <w:kern w:val="0"/>
                <w:sz w:val="24"/>
                <w:szCs w:val="24"/>
                <w:highlight w:val="none"/>
                <w:lang w:bidi="lo-LA"/>
              </w:rPr>
              <w:t>≥</w:t>
            </w:r>
            <w:r>
              <w:rPr>
                <w:rFonts w:hint="eastAsia" w:ascii="宋体" w:hAnsi="宋体" w:eastAsia="宋体" w:cs="宋体"/>
                <w:color w:val="auto"/>
                <w:kern w:val="0"/>
                <w:sz w:val="24"/>
                <w:szCs w:val="24"/>
                <w:highlight w:val="none"/>
                <w:lang w:bidi="lo-LA"/>
              </w:rPr>
              <w:t>1T</w:t>
            </w:r>
            <w:r>
              <w:rPr>
                <w:rFonts w:hint="eastAsia" w:ascii="宋体" w:hAnsi="宋体" w:cs="宋体"/>
                <w:color w:val="auto"/>
                <w:kern w:val="0"/>
                <w:sz w:val="24"/>
                <w:szCs w:val="24"/>
                <w:highlight w:val="none"/>
                <w:lang w:eastAsia="zh-CN" w:bidi="lo-LA"/>
              </w:rPr>
              <w:t>；</w:t>
            </w:r>
            <w:r>
              <w:rPr>
                <w:rFonts w:hint="eastAsia" w:ascii="宋体" w:hAnsi="宋体" w:eastAsia="宋体" w:cs="宋体"/>
                <w:kern w:val="0"/>
                <w:sz w:val="24"/>
                <w:szCs w:val="24"/>
                <w:highlight w:val="none"/>
                <w:lang w:bidi="lo-LA"/>
              </w:rPr>
              <w:t>推理卡：≥</w:t>
            </w:r>
            <w:r>
              <w:rPr>
                <w:rFonts w:hint="eastAsia" w:ascii="宋体" w:hAnsi="宋体" w:eastAsia="宋体" w:cs="宋体"/>
                <w:color w:val="auto"/>
                <w:kern w:val="0"/>
                <w:sz w:val="24"/>
                <w:szCs w:val="24"/>
                <w:highlight w:val="none"/>
                <w:lang w:bidi="lo-LA"/>
              </w:rPr>
              <w:t>2块推理卡</w:t>
            </w:r>
            <w:r>
              <w:rPr>
                <w:rFonts w:hint="eastAsia" w:ascii="宋体" w:hAnsi="宋体" w:cs="宋体"/>
                <w:color w:val="auto"/>
                <w:kern w:val="0"/>
                <w:sz w:val="24"/>
                <w:szCs w:val="24"/>
                <w:highlight w:val="none"/>
                <w:lang w:eastAsia="zh-CN" w:bidi="lo-LA"/>
              </w:rPr>
              <w:t>，</w:t>
            </w:r>
            <w:r>
              <w:rPr>
                <w:rFonts w:hint="eastAsia" w:ascii="宋体" w:hAnsi="宋体" w:cs="宋体"/>
                <w:color w:val="auto"/>
                <w:kern w:val="0"/>
                <w:sz w:val="24"/>
                <w:szCs w:val="24"/>
                <w:highlight w:val="none"/>
                <w:lang w:val="en-US" w:eastAsia="zh-CN" w:bidi="lo-LA"/>
              </w:rPr>
              <w:t>显存</w:t>
            </w:r>
            <w:r>
              <w:rPr>
                <w:rFonts w:hint="eastAsia" w:ascii="宋体" w:hAnsi="宋体" w:eastAsia="宋体" w:cs="宋体"/>
                <w:kern w:val="0"/>
                <w:sz w:val="24"/>
                <w:szCs w:val="24"/>
                <w:highlight w:val="none"/>
                <w:lang w:bidi="lo-LA"/>
              </w:rPr>
              <w:t>≥</w:t>
            </w:r>
            <w:r>
              <w:rPr>
                <w:rFonts w:hint="eastAsia" w:ascii="宋体" w:hAnsi="宋体" w:eastAsia="宋体" w:cs="宋体"/>
                <w:color w:val="auto"/>
                <w:kern w:val="0"/>
                <w:sz w:val="24"/>
                <w:szCs w:val="24"/>
                <w:highlight w:val="none"/>
                <w:lang w:bidi="lo-LA"/>
              </w:rPr>
              <w:t>16GB</w:t>
            </w:r>
            <w:r>
              <w:rPr>
                <w:rFonts w:hint="eastAsia" w:ascii="宋体" w:hAnsi="宋体" w:cs="宋体"/>
                <w:color w:val="auto"/>
                <w:kern w:val="0"/>
                <w:sz w:val="24"/>
                <w:szCs w:val="24"/>
                <w:highlight w:val="none"/>
                <w:lang w:eastAsia="zh-CN" w:bidi="lo-LA"/>
              </w:rPr>
              <w:t>；</w:t>
            </w:r>
            <w:r>
              <w:rPr>
                <w:rFonts w:hint="eastAsia" w:ascii="宋体" w:hAnsi="宋体" w:cs="宋体"/>
                <w:color w:val="auto"/>
                <w:kern w:val="0"/>
                <w:sz w:val="24"/>
                <w:szCs w:val="24"/>
                <w:highlight w:val="none"/>
                <w:lang w:val="en-US" w:eastAsia="zh-CN" w:bidi="lo-LA"/>
              </w:rPr>
              <w:t>显示器</w:t>
            </w:r>
            <w:r>
              <w:rPr>
                <w:rFonts w:hint="eastAsia" w:ascii="宋体" w:hAnsi="宋体" w:eastAsia="宋体" w:cs="宋体"/>
                <w:kern w:val="0"/>
                <w:sz w:val="24"/>
                <w:szCs w:val="24"/>
                <w:highlight w:val="none"/>
                <w:lang w:bidi="lo-LA"/>
              </w:rPr>
              <w:t>≥</w:t>
            </w:r>
            <w:r>
              <w:rPr>
                <w:rFonts w:hint="eastAsia" w:ascii="宋体" w:hAnsi="宋体" w:cs="宋体"/>
                <w:kern w:val="0"/>
                <w:sz w:val="24"/>
                <w:szCs w:val="24"/>
                <w:highlight w:val="none"/>
                <w:lang w:val="en-US" w:eastAsia="zh-CN" w:bidi="lo-LA"/>
              </w:rPr>
              <w:t>17寸；重量</w:t>
            </w:r>
            <w:r>
              <w:rPr>
                <w:rFonts w:hint="eastAsia" w:ascii="宋体" w:hAnsi="宋体" w:eastAsia="宋体" w:cs="宋体"/>
                <w:kern w:val="0"/>
                <w:sz w:val="24"/>
                <w:szCs w:val="24"/>
                <w:highlight w:val="none"/>
                <w:lang w:val="en-US" w:eastAsia="zh-CN" w:bidi="lo-LA"/>
              </w:rPr>
              <w:t>≤</w:t>
            </w:r>
            <w:r>
              <w:rPr>
                <w:rFonts w:hint="eastAsia" w:ascii="宋体" w:hAnsi="宋体" w:cs="宋体"/>
                <w:kern w:val="0"/>
                <w:sz w:val="24"/>
                <w:szCs w:val="24"/>
                <w:highlight w:val="none"/>
                <w:lang w:val="en-US" w:eastAsia="zh-CN" w:bidi="lo-LA"/>
              </w:rPr>
              <w:t>20kg。以上硬件质保期限应符合国家规定标准。</w:t>
            </w:r>
            <w:r>
              <w:rPr>
                <w:rFonts w:hint="eastAsia" w:ascii="宋体" w:hAnsi="宋体" w:cs="宋体"/>
                <w:color w:val="auto"/>
                <w:kern w:val="0"/>
                <w:sz w:val="24"/>
                <w:szCs w:val="24"/>
                <w:highlight w:val="none"/>
                <w:lang w:val="en-US" w:eastAsia="zh-CN" w:bidi="lo-LA"/>
              </w:rPr>
              <w:t>支持</w:t>
            </w:r>
            <w:r>
              <w:rPr>
                <w:rFonts w:hint="eastAsia" w:ascii="宋体" w:hAnsi="宋体" w:eastAsia="宋体" w:cs="宋体"/>
                <w:color w:val="auto"/>
                <w:kern w:val="0"/>
                <w:sz w:val="24"/>
                <w:szCs w:val="24"/>
                <w:highlight w:val="none"/>
                <w:lang w:bidi="lo-LA"/>
              </w:rPr>
              <w:t>定制开机画面和检察徽标</w:t>
            </w:r>
            <w:r>
              <w:rPr>
                <w:rFonts w:hint="eastAsia" w:ascii="宋体" w:hAnsi="宋体" w:cs="宋体"/>
                <w:color w:val="auto"/>
                <w:kern w:val="0"/>
                <w:sz w:val="24"/>
                <w:szCs w:val="24"/>
                <w:highlight w:val="none"/>
                <w:lang w:eastAsia="zh-CN" w:bidi="lo-LA"/>
              </w:rPr>
              <w:t>。</w:t>
            </w:r>
            <w:r>
              <w:rPr>
                <w:rFonts w:hint="eastAsia" w:ascii="宋体" w:hAnsi="宋体" w:eastAsia="宋体" w:cs="宋体"/>
                <w:color w:val="auto"/>
                <w:kern w:val="0"/>
                <w:sz w:val="24"/>
                <w:szCs w:val="24"/>
                <w:highlight w:val="none"/>
                <w:lang w:val="en-US" w:eastAsia="zh-CN" w:bidi="lo-LA"/>
              </w:rPr>
              <w:t>提供设备实际图片</w:t>
            </w:r>
            <w:r>
              <w:rPr>
                <w:rFonts w:hint="eastAsia" w:ascii="宋体" w:hAnsi="宋体" w:cs="宋体"/>
                <w:color w:val="auto"/>
                <w:kern w:val="0"/>
                <w:sz w:val="24"/>
                <w:szCs w:val="24"/>
                <w:highlight w:val="none"/>
                <w:lang w:eastAsia="zh-CN" w:bidi="lo-LA"/>
              </w:rPr>
              <w:t>。</w:t>
            </w:r>
          </w:p>
          <w:p w14:paraId="44891E95">
            <w:pPr>
              <w:widowControl/>
              <w:adjustRightInd w:val="0"/>
              <w:snapToGrid w:val="0"/>
              <w:spacing w:line="360" w:lineRule="auto"/>
              <w:jc w:val="left"/>
              <w:textAlignment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便携式巡回检察智能视频辅助工作站自带监控视频快速下载工具，可以支持连接海康、大华、宇视、天地伟业等NVR、CVR等视频存储设备，快速视频下载，能够根据下载时长、下载时间进行自动归档。以上功能提供系统截图</w:t>
            </w:r>
            <w:r>
              <w:rPr>
                <w:rFonts w:hint="eastAsia" w:ascii="宋体" w:hAnsi="宋体" w:cs="宋体"/>
                <w:color w:val="auto"/>
                <w:sz w:val="24"/>
                <w:szCs w:val="24"/>
                <w:highlight w:val="none"/>
                <w:lang w:val="en-US" w:eastAsia="zh-CN"/>
              </w:rPr>
              <w:t>。</w:t>
            </w:r>
          </w:p>
          <w:p w14:paraId="2D83F751">
            <w:pPr>
              <w:widowControl/>
              <w:adjustRightInd w:val="0"/>
              <w:snapToGrid w:val="0"/>
              <w:spacing w:line="360" w:lineRule="auto"/>
              <w:jc w:val="left"/>
              <w:textAlignment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.支持海康、大华、宇视、天地伟业等的NVR、CVR等存储设备录像提取分析和IPC、NVR的实时视频分析，也支持各品牌录像设备生成的录像文件分析和非Raid硬盘存储录像分析，支持</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路平均</w:t>
            </w:r>
            <w:r>
              <w:rPr>
                <w:rFonts w:hint="eastAsia" w:ascii="宋体" w:hAnsi="宋体" w:eastAsia="宋体" w:cs="宋体"/>
                <w:color w:val="auto"/>
                <w:sz w:val="24"/>
                <w:szCs w:val="24"/>
                <w:highlight w:val="none"/>
                <w:lang w:val="en-US" w:eastAsia="zh-CN"/>
              </w:rPr>
              <w:t>不少于</w:t>
            </w:r>
            <w:r>
              <w:rPr>
                <w:rFonts w:hint="eastAsia" w:ascii="宋体" w:hAnsi="宋体" w:eastAsia="宋体" w:cs="宋体"/>
                <w:color w:val="auto"/>
                <w:sz w:val="24"/>
                <w:szCs w:val="24"/>
                <w:highlight w:val="none"/>
              </w:rPr>
              <w:t>8倍速并发分析</w:t>
            </w:r>
            <w:r>
              <w:rPr>
                <w:rFonts w:hint="eastAsia" w:ascii="宋体" w:hAnsi="宋体" w:cs="宋体"/>
                <w:color w:val="auto"/>
                <w:sz w:val="24"/>
                <w:szCs w:val="24"/>
                <w:highlight w:val="none"/>
                <w:lang w:eastAsia="zh-CN"/>
              </w:rPr>
              <w:t>。</w:t>
            </w:r>
          </w:p>
          <w:p w14:paraId="3F01DB67">
            <w:pPr>
              <w:widowControl/>
              <w:adjustRightInd w:val="0"/>
              <w:snapToGrid w:val="0"/>
              <w:spacing w:before="156" w:beforeLines="50" w:after="0" w:line="36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内置巡回检察智能视频辅助系统</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智能行为分析、智能人体特征识别、智能人体姿态识别</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服务软件；</w:t>
            </w:r>
            <w:r>
              <w:rPr>
                <w:rFonts w:hint="eastAsia" w:ascii="宋体" w:hAnsi="宋体" w:cs="宋体"/>
                <w:b w:val="0"/>
                <w:bCs w:val="0"/>
                <w:kern w:val="0"/>
                <w:sz w:val="24"/>
                <w:szCs w:val="24"/>
                <w:highlight w:val="none"/>
                <w:lang w:bidi="lo-LA"/>
              </w:rPr>
              <w:t>（提供“</w:t>
            </w:r>
            <w:r>
              <w:rPr>
                <w:rFonts w:hint="eastAsia" w:ascii="宋体" w:hAnsi="宋体" w:cs="宋体"/>
                <w:b w:val="0"/>
                <w:bCs w:val="0"/>
                <w:kern w:val="0"/>
                <w:sz w:val="24"/>
                <w:szCs w:val="24"/>
                <w:highlight w:val="none"/>
                <w:lang w:val="en-US" w:eastAsia="zh-CN" w:bidi="lo-LA"/>
              </w:rPr>
              <w:t>巡回检察</w:t>
            </w:r>
            <w:r>
              <w:rPr>
                <w:rFonts w:hint="eastAsia" w:ascii="宋体" w:hAnsi="宋体" w:cs="宋体"/>
                <w:b w:val="0"/>
                <w:bCs w:val="0"/>
                <w:kern w:val="0"/>
                <w:sz w:val="24"/>
                <w:szCs w:val="24"/>
                <w:highlight w:val="none"/>
                <w:lang w:bidi="lo-LA"/>
              </w:rPr>
              <w:t>”、“人体姿态识别”、“人体特征识别”相关软件著作权证书）</w:t>
            </w:r>
            <w:r>
              <w:rPr>
                <w:rFonts w:hint="eastAsia" w:ascii="宋体" w:hAnsi="宋体" w:cs="宋体"/>
                <w:b w:val="0"/>
                <w:bCs w:val="0"/>
                <w:kern w:val="0"/>
                <w:sz w:val="24"/>
                <w:szCs w:val="24"/>
                <w:highlight w:val="none"/>
                <w:lang w:eastAsia="zh-CN" w:bidi="lo-LA"/>
              </w:rPr>
              <w:t>。</w:t>
            </w:r>
          </w:p>
          <w:p w14:paraId="112E5152">
            <w:pPr>
              <w:widowControl/>
              <w:adjustRightInd w:val="0"/>
              <w:snapToGrid w:val="0"/>
              <w:spacing w:line="360" w:lineRule="auto"/>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5.根据巡回检察的工作要求通过对监所录像、监所的监管基础数据和监管活动记录进行多模态智能分析，对非结构化视频数据进行结构化处理</w:t>
            </w:r>
            <w:r>
              <w:rPr>
                <w:rFonts w:hint="eastAsia" w:ascii="宋体" w:hAnsi="宋体" w:cs="宋体"/>
                <w:color w:val="auto"/>
                <w:sz w:val="24"/>
                <w:szCs w:val="24"/>
                <w:highlight w:val="none"/>
                <w:lang w:val="en-US" w:eastAsia="zh-CN"/>
              </w:rPr>
              <w:t>和</w:t>
            </w:r>
            <w:r>
              <w:rPr>
                <w:rFonts w:hint="eastAsia" w:ascii="宋体" w:hAnsi="宋体" w:eastAsia="宋体" w:cs="宋体"/>
                <w:color w:val="auto"/>
                <w:sz w:val="24"/>
                <w:szCs w:val="24"/>
                <w:highlight w:val="none"/>
              </w:rPr>
              <w:t>存储，结合监管场所的监管数据和管理规定，进行多模态综合分析，快速对海量录像进行分析，模拟人工发现问题、验证疑似行为和固定证据的方式，辅助检察人员对监所内的违法违规行为，进行实时识别、告警和固定证据</w:t>
            </w:r>
            <w:r>
              <w:rPr>
                <w:rFonts w:hint="eastAsia" w:ascii="宋体" w:hAnsi="宋体" w:cs="宋体"/>
                <w:color w:val="auto"/>
                <w:sz w:val="24"/>
                <w:szCs w:val="24"/>
                <w:highlight w:val="none"/>
                <w:lang w:eastAsia="zh-CN"/>
              </w:rPr>
              <w:t>。</w:t>
            </w:r>
          </w:p>
          <w:p w14:paraId="63F77E0C">
            <w:pPr>
              <w:widowControl/>
              <w:adjustRightInd w:val="0"/>
              <w:snapToGrid w:val="0"/>
              <w:spacing w:line="360" w:lineRule="auto"/>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6.能够对多场所关联分析、同场所多视频关联分析，对画面中的人员角色、肢体姿态、行为动作等进行多模态识别；</w:t>
            </w:r>
            <w:r>
              <w:rPr>
                <w:rFonts w:hint="eastAsia" w:ascii="宋体" w:hAnsi="宋体" w:eastAsia="宋体" w:cs="宋体"/>
                <w:color w:val="000000" w:themeColor="text1"/>
                <w:sz w:val="24"/>
                <w:szCs w:val="24"/>
                <w:highlight w:val="none"/>
                <w14:textFill>
                  <w14:solidFill>
                    <w14:schemeClr w14:val="tx1"/>
                  </w14:solidFill>
                </w14:textFill>
              </w:rPr>
              <w:t>以上功能提供系统截图</w:t>
            </w:r>
            <w:r>
              <w:rPr>
                <w:rFonts w:hint="eastAsia" w:ascii="宋体" w:hAnsi="宋体" w:cs="宋体"/>
                <w:color w:val="000000" w:themeColor="text1"/>
                <w:sz w:val="24"/>
                <w:szCs w:val="24"/>
                <w:highlight w:val="none"/>
                <w:lang w:val="en-US" w:eastAsia="zh-CN"/>
                <w14:textFill>
                  <w14:solidFill>
                    <w14:schemeClr w14:val="tx1"/>
                  </w14:solidFill>
                </w14:textFill>
              </w:rPr>
              <w:t>。</w:t>
            </w:r>
          </w:p>
          <w:p w14:paraId="6D8EF813">
            <w:pPr>
              <w:widowControl/>
              <w:adjustRightInd w:val="0"/>
              <w:snapToGrid w:val="0"/>
              <w:spacing w:line="360" w:lineRule="auto"/>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7.能够离线分析监所违法违规行为、重点关注行为、逃避视频等进行识别，并进行报警、记录和固定证据</w:t>
            </w:r>
            <w:r>
              <w:rPr>
                <w:rFonts w:hint="eastAsia" w:ascii="宋体" w:hAnsi="宋体" w:cs="宋体"/>
                <w:color w:val="auto"/>
                <w:sz w:val="24"/>
                <w:szCs w:val="24"/>
                <w:highlight w:val="none"/>
                <w:lang w:eastAsia="zh-CN"/>
              </w:rPr>
              <w:t>。</w:t>
            </w:r>
          </w:p>
          <w:p w14:paraId="1E1C35B6">
            <w:pPr>
              <w:widowControl/>
              <w:adjustRightInd w:val="0"/>
              <w:snapToGrid w:val="0"/>
              <w:spacing w:line="360" w:lineRule="auto"/>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8.发现的告警记录能够根据抓拍的各关联视频的照片进行相应的录像回放，</w:t>
            </w:r>
            <w:r>
              <w:rPr>
                <w:rFonts w:hint="eastAsia" w:ascii="宋体" w:hAnsi="宋体" w:cs="宋体"/>
                <w:color w:val="auto"/>
                <w:sz w:val="24"/>
                <w:szCs w:val="24"/>
                <w:highlight w:val="none"/>
                <w:lang w:val="en-US" w:eastAsia="zh-CN"/>
              </w:rPr>
              <w:t>再</w:t>
            </w:r>
            <w:r>
              <w:rPr>
                <w:rFonts w:hint="eastAsia" w:ascii="宋体" w:hAnsi="宋体" w:eastAsia="宋体" w:cs="宋体"/>
                <w:color w:val="auto"/>
                <w:sz w:val="24"/>
                <w:szCs w:val="24"/>
                <w:highlight w:val="none"/>
              </w:rPr>
              <w:t>进行人工核验确认是否未违规，违规事件自动进行固定证据</w:t>
            </w:r>
            <w:r>
              <w:rPr>
                <w:rFonts w:hint="eastAsia" w:ascii="宋体" w:hAnsi="宋体" w:cs="宋体"/>
                <w:color w:val="auto"/>
                <w:sz w:val="24"/>
                <w:szCs w:val="24"/>
                <w:highlight w:val="none"/>
                <w:lang w:eastAsia="zh-CN"/>
              </w:rPr>
              <w:t>。</w:t>
            </w:r>
          </w:p>
          <w:p w14:paraId="709956A7">
            <w:pPr>
              <w:widowControl/>
              <w:adjustRightInd w:val="0"/>
              <w:snapToGrid w:val="0"/>
              <w:spacing w:before="156" w:beforeLines="50" w:after="0"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9.内置看守所、监狱等检测模型包括：通用模型：AB门陌生人进出、值班室离岗、值班室睡岗、监舍夜间开门、监舍夜间起身 、监舍内人员聚集 、监舍值班离岗 、监舍夜间异常 、监舍人员攀高、放风场违规滞留 、放风场人员聚集 、放风场人员倒地 、劳动场所违规滞留、劳动场所脱管 、劳动场所人员聚集 、劳动场所人员倒地 、监区单人提审 、监区巡逻漏检、审讯室人数超标、审讯室单人审讯、审讯室长时间审讯 、审讯室传递违禁品 、审讯室殴打 、家属会见人数超标 、家属会传递违禁品 、律师会见人数超标、律师约见传递违禁品、无干警监督就医、无干警监督发药、禁区出入、监管人员脱管 、人员倒地、人员聚集 、人员剧烈活动、干警与独处 、违规滞留 、人员徘徊、人员攀高 、人员过线检测、人数超标、人员检测、违规打电话等。</w:t>
            </w:r>
            <w:r>
              <w:rPr>
                <w:rFonts w:hint="eastAsia" w:ascii="宋体" w:hAnsi="宋体" w:eastAsia="宋体" w:cs="宋体"/>
                <w:kern w:val="0"/>
                <w:sz w:val="24"/>
                <w:szCs w:val="24"/>
                <w:highlight w:val="none"/>
                <w:lang w:bidi="lo-LA"/>
              </w:rPr>
              <w:t>实现监狱看守</w:t>
            </w:r>
            <w:r>
              <w:rPr>
                <w:rFonts w:hint="eastAsia" w:ascii="宋体" w:hAnsi="宋体" w:cs="宋体"/>
                <w:kern w:val="0"/>
                <w:sz w:val="24"/>
                <w:szCs w:val="24"/>
                <w:highlight w:val="none"/>
                <w:lang w:val="en-US" w:eastAsia="zh-CN" w:bidi="lo-LA"/>
              </w:rPr>
              <w:t>所</w:t>
            </w:r>
            <w:r>
              <w:rPr>
                <w:rFonts w:hint="eastAsia" w:ascii="宋体" w:hAnsi="宋体" w:eastAsia="宋体" w:cs="宋体"/>
                <w:kern w:val="0"/>
                <w:sz w:val="24"/>
                <w:szCs w:val="24"/>
                <w:highlight w:val="none"/>
                <w:lang w:bidi="lo-LA"/>
              </w:rPr>
              <w:t>的专属模型</w:t>
            </w:r>
            <w:r>
              <w:rPr>
                <w:rFonts w:hint="eastAsia" w:ascii="宋体" w:hAnsi="宋体" w:eastAsia="宋体" w:cs="宋体"/>
                <w:color w:val="auto"/>
                <w:sz w:val="24"/>
                <w:szCs w:val="24"/>
                <w:highlight w:val="none"/>
              </w:rPr>
              <w:t>：捎买带、通风报信监督模型、逃避视频监管、体罚虐待被监管人、看守所组织在押人员劳动违法违规案件监督模型、看守所监管执法活动违法违规案件监督模型、律师会见违法违规案件监督模型、看守所违法违规安排家属会见案件监督模型、突发应急事件处置违法违规案件监督模型等</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以上功能提供系统截图</w:t>
            </w:r>
            <w:r>
              <w:rPr>
                <w:rFonts w:hint="eastAsia" w:ascii="宋体" w:hAnsi="宋体" w:cs="宋体"/>
                <w:b w:val="0"/>
                <w:bCs w:val="0"/>
                <w:color w:val="auto"/>
                <w:sz w:val="24"/>
                <w:szCs w:val="24"/>
                <w:highlight w:val="none"/>
                <w:lang w:val="en-US" w:eastAsia="zh-CN"/>
              </w:rPr>
              <w:t>并提供</w:t>
            </w:r>
            <w:r>
              <w:rPr>
                <w:rFonts w:hint="eastAsia" w:ascii="宋体" w:hAnsi="宋体" w:cs="宋体"/>
                <w:b w:val="0"/>
                <w:bCs w:val="0"/>
                <w:kern w:val="0"/>
                <w:sz w:val="24"/>
                <w:szCs w:val="24"/>
                <w:highlight w:val="none"/>
                <w:lang w:bidi="lo-LA"/>
              </w:rPr>
              <w:t>模型</w:t>
            </w:r>
            <w:r>
              <w:rPr>
                <w:rFonts w:hint="eastAsia" w:ascii="宋体" w:hAnsi="宋体" w:cs="宋体"/>
                <w:b w:val="0"/>
                <w:bCs w:val="0"/>
                <w:kern w:val="0"/>
                <w:sz w:val="24"/>
                <w:szCs w:val="24"/>
                <w:highlight w:val="none"/>
                <w:lang w:val="en-US" w:eastAsia="zh-CN" w:bidi="lo-LA"/>
              </w:rPr>
              <w:t>在实战中的应用</w:t>
            </w:r>
            <w:r>
              <w:rPr>
                <w:rFonts w:hint="eastAsia" w:ascii="宋体" w:hAnsi="宋体" w:cs="宋体"/>
                <w:b w:val="0"/>
                <w:bCs w:val="0"/>
                <w:kern w:val="0"/>
                <w:sz w:val="24"/>
                <w:szCs w:val="24"/>
                <w:highlight w:val="none"/>
                <w:lang w:bidi="lo-LA"/>
              </w:rPr>
              <w:t>说明</w:t>
            </w:r>
            <w:r>
              <w:rPr>
                <w:rFonts w:hint="eastAsia" w:ascii="宋体" w:hAnsi="宋体" w:cs="宋体"/>
                <w:b w:val="0"/>
                <w:bCs w:val="0"/>
                <w:kern w:val="0"/>
                <w:sz w:val="24"/>
                <w:szCs w:val="24"/>
                <w:highlight w:val="none"/>
                <w:lang w:eastAsia="zh-CN" w:bidi="lo-LA"/>
              </w:rPr>
              <w:t>。</w:t>
            </w:r>
          </w:p>
          <w:p w14:paraId="7FD40C64">
            <w:pPr>
              <w:widowControl/>
              <w:adjustRightInd w:val="0"/>
              <w:snapToGrid w:val="0"/>
              <w:spacing w:line="360" w:lineRule="auto"/>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10.能够对分析记录进行多维度巡回检察报告，并能够根据各场所发生问题的分析思路、发生原因、违反相关规定等对单次、多次、多频次发生违法违规事件调用相应的模板自动生成分析报告</w:t>
            </w:r>
            <w:r>
              <w:rPr>
                <w:rFonts w:hint="eastAsia" w:ascii="宋体" w:hAnsi="宋体" w:cs="宋体"/>
                <w:color w:val="auto"/>
                <w:sz w:val="24"/>
                <w:szCs w:val="24"/>
                <w:highlight w:val="none"/>
                <w:lang w:eastAsia="zh-CN"/>
              </w:rPr>
              <w:t>。</w:t>
            </w:r>
          </w:p>
          <w:p w14:paraId="14EF985B">
            <w:pPr>
              <w:widowControl/>
              <w:adjustRightInd w:val="0"/>
              <w:snapToGrid w:val="0"/>
              <w:spacing w:line="360" w:lineRule="auto"/>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11.对识别告警事件自动汇聚相关多路视频的照片、录像、对应的监管数据和告警事件的分析报告等，快速形成完成证据链条、快速固定证据链，相关证据进行防删保护</w:t>
            </w:r>
            <w:r>
              <w:rPr>
                <w:rFonts w:hint="eastAsia" w:ascii="宋体" w:hAnsi="宋体" w:cs="宋体"/>
                <w:color w:val="auto"/>
                <w:sz w:val="24"/>
                <w:szCs w:val="24"/>
                <w:highlight w:val="none"/>
                <w:lang w:eastAsia="zh-CN"/>
              </w:rPr>
              <w:t>。</w:t>
            </w:r>
          </w:p>
          <w:p w14:paraId="22217193">
            <w:pPr>
              <w:widowControl/>
              <w:adjustRightInd w:val="0"/>
              <w:snapToGrid w:val="0"/>
              <w:spacing w:line="360" w:lineRule="auto"/>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12.具备存储录像分析模式、录像文件分析模式两种分析模式，两种分析模式任意切换；录像文件分析模式支持手动选择模型分析、自动识别场所分析、数字执检模型分析三种模式；以上功能提供系统截图</w:t>
            </w:r>
            <w:r>
              <w:rPr>
                <w:rFonts w:hint="eastAsia" w:ascii="宋体" w:hAnsi="宋体" w:cs="宋体"/>
                <w:color w:val="auto"/>
                <w:sz w:val="24"/>
                <w:szCs w:val="24"/>
                <w:highlight w:val="none"/>
                <w:lang w:val="en-US" w:eastAsia="zh-CN"/>
              </w:rPr>
              <w:t>。</w:t>
            </w:r>
          </w:p>
          <w:p w14:paraId="06125F06">
            <w:pPr>
              <w:widowControl/>
              <w:adjustRightInd w:val="0"/>
              <w:snapToGrid w:val="0"/>
              <w:spacing w:line="360" w:lineRule="auto"/>
              <w:jc w:val="lef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实现录像回放时对录像中发生的告警事件的录像片段进行图形标注、对视频画面中告警发生点进行自动标注；对多个视频关联分析的告警时间回放时能够同时对关联录像进行同步播放；能够实现监控录像的正播放、倒放、慢速1-16倍速播放、快放1-16倍速播放、播放录像截图、静音播放等；以上功能提供系统截图</w:t>
            </w:r>
            <w:r>
              <w:rPr>
                <w:rFonts w:hint="eastAsia" w:ascii="宋体" w:hAnsi="宋体" w:cs="宋体"/>
                <w:color w:val="auto"/>
                <w:sz w:val="24"/>
                <w:szCs w:val="24"/>
                <w:highlight w:val="none"/>
                <w:lang w:val="en-US" w:eastAsia="zh-CN"/>
              </w:rPr>
              <w:t>。</w:t>
            </w:r>
          </w:p>
          <w:p w14:paraId="450F577A">
            <w:pPr>
              <w:widowControl/>
              <w:adjustRightInd w:val="0"/>
              <w:snapToGrid w:val="0"/>
              <w:spacing w:before="156" w:beforeLines="50" w:after="0" w:line="360" w:lineRule="auto"/>
              <w:rPr>
                <w:rFonts w:hint="eastAsia" w:ascii="宋体" w:hAnsi="宋体" w:cs="宋体"/>
                <w:kern w:val="0"/>
                <w:sz w:val="24"/>
                <w:szCs w:val="24"/>
                <w:highlight w:val="none"/>
                <w:lang w:bidi="lo-LA"/>
              </w:rPr>
            </w:pPr>
            <w:r>
              <w:rPr>
                <w:rFonts w:hint="eastAsia" w:ascii="宋体" w:hAnsi="宋体" w:cs="宋体"/>
                <w:kern w:val="0"/>
                <w:sz w:val="24"/>
                <w:szCs w:val="24"/>
                <w:highlight w:val="none"/>
                <w:lang w:bidi="lo-LA"/>
              </w:rPr>
              <w:t>1</w:t>
            </w:r>
            <w:r>
              <w:rPr>
                <w:rFonts w:hint="eastAsia" w:ascii="宋体" w:hAnsi="宋体" w:cs="宋体"/>
                <w:kern w:val="0"/>
                <w:sz w:val="24"/>
                <w:szCs w:val="24"/>
                <w:highlight w:val="none"/>
                <w:lang w:val="en-US" w:eastAsia="zh-CN" w:bidi="lo-LA"/>
              </w:rPr>
              <w:t>4</w:t>
            </w:r>
            <w:r>
              <w:rPr>
                <w:rFonts w:hint="eastAsia" w:ascii="宋体" w:hAnsi="宋体" w:cs="宋体"/>
                <w:kern w:val="0"/>
                <w:sz w:val="24"/>
                <w:szCs w:val="24"/>
                <w:highlight w:val="none"/>
                <w:lang w:bidi="lo-LA"/>
              </w:rPr>
              <w:t>、支持用户访问视频监控文件时禁止屏幕截图的能力</w:t>
            </w:r>
            <w:r>
              <w:rPr>
                <w:rFonts w:hint="eastAsia" w:ascii="宋体" w:hAnsi="宋体" w:cs="宋体"/>
                <w:b/>
                <w:bCs/>
                <w:kern w:val="0"/>
                <w:sz w:val="24"/>
                <w:szCs w:val="24"/>
                <w:highlight w:val="none"/>
                <w:lang w:bidi="lo-LA"/>
              </w:rPr>
              <w:t>（提供说明）</w:t>
            </w:r>
            <w:r>
              <w:rPr>
                <w:rFonts w:hint="eastAsia" w:ascii="宋体" w:hAnsi="宋体" w:cs="宋体"/>
                <w:kern w:val="0"/>
                <w:sz w:val="24"/>
                <w:szCs w:val="24"/>
                <w:highlight w:val="none"/>
                <w:lang w:bidi="lo-LA"/>
              </w:rPr>
              <w:t>。</w:t>
            </w:r>
          </w:p>
          <w:p w14:paraId="07516642">
            <w:pPr>
              <w:widowControl/>
              <w:adjustRightInd w:val="0"/>
              <w:snapToGrid w:val="0"/>
              <w:spacing w:line="360" w:lineRule="auto"/>
              <w:jc w:val="left"/>
              <w:textAlignment w:val="center"/>
              <w:rPr>
                <w:rFonts w:hint="eastAsia" w:ascii="宋体" w:hAnsi="宋体" w:eastAsia="宋体" w:cs="宋体"/>
                <w:color w:val="auto"/>
                <w:sz w:val="24"/>
                <w:szCs w:val="24"/>
                <w:highlight w:val="none"/>
                <w:lang w:val="en-US" w:eastAsia="zh-CN"/>
              </w:rPr>
            </w:pPr>
            <w:r>
              <w:rPr>
                <w:rFonts w:hint="eastAsia" w:ascii="宋体" w:hAnsi="宋体" w:cs="宋体"/>
                <w:kern w:val="0"/>
                <w:sz w:val="24"/>
                <w:szCs w:val="24"/>
                <w:highlight w:val="none"/>
                <w:lang w:bidi="lo-LA"/>
              </w:rPr>
              <w:t>1</w:t>
            </w:r>
            <w:r>
              <w:rPr>
                <w:rFonts w:hint="eastAsia" w:ascii="宋体" w:hAnsi="宋体" w:cs="宋体"/>
                <w:kern w:val="0"/>
                <w:sz w:val="24"/>
                <w:szCs w:val="24"/>
                <w:highlight w:val="none"/>
                <w:lang w:val="en-US" w:eastAsia="zh-CN" w:bidi="lo-LA"/>
              </w:rPr>
              <w:t>5</w:t>
            </w:r>
            <w:r>
              <w:rPr>
                <w:rFonts w:hint="eastAsia" w:ascii="宋体" w:hAnsi="宋体" w:cs="宋体"/>
                <w:kern w:val="0"/>
                <w:sz w:val="24"/>
                <w:szCs w:val="24"/>
                <w:highlight w:val="none"/>
                <w:lang w:bidi="lo-LA"/>
              </w:rPr>
              <w:t>、支持防护用户通过录屏软件进行监控视频录屏的能力</w:t>
            </w:r>
            <w:r>
              <w:rPr>
                <w:rFonts w:hint="eastAsia" w:ascii="宋体" w:hAnsi="宋体" w:cs="宋体"/>
                <w:b/>
                <w:bCs/>
                <w:kern w:val="0"/>
                <w:sz w:val="24"/>
                <w:szCs w:val="24"/>
                <w:highlight w:val="none"/>
                <w:lang w:bidi="lo-LA"/>
              </w:rPr>
              <w:t>（提供说明）</w:t>
            </w:r>
            <w:r>
              <w:rPr>
                <w:rFonts w:hint="eastAsia" w:ascii="宋体" w:hAnsi="宋体" w:cs="宋体"/>
                <w:kern w:val="0"/>
                <w:sz w:val="24"/>
                <w:szCs w:val="24"/>
                <w:highlight w:val="none"/>
                <w:lang w:bidi="lo-LA"/>
              </w:rPr>
              <w:t>。</w:t>
            </w:r>
          </w:p>
          <w:p w14:paraId="27148993">
            <w:pPr>
              <w:widowControl/>
              <w:adjustRightInd w:val="0"/>
              <w:snapToGrid w:val="0"/>
              <w:spacing w:line="360" w:lineRule="auto"/>
              <w:jc w:val="left"/>
              <w:textAlignment w:val="center"/>
              <w:rPr>
                <w:rFonts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6.</w:t>
            </w:r>
            <w:r>
              <w:rPr>
                <w:rFonts w:ascii="宋体" w:hAnsi="宋体" w:eastAsia="宋体" w:cs="宋体"/>
                <w:sz w:val="24"/>
                <w:szCs w:val="24"/>
                <w:highlight w:val="none"/>
              </w:rPr>
              <w:t>系统预留大模型扩展接口，支持AI大模型赋能，可拓展多模态大模型智能审核能力；适配监所复杂执法场景深度分析需求，对机器识别、研判结果二次复核校验，减少单一算法识别偏差，提升线索、隐患核查精度，完成传统智能巡查向AI智慧精细监管升级。</w:t>
            </w:r>
          </w:p>
          <w:p w14:paraId="2F07B37C">
            <w:pPr>
              <w:widowControl/>
              <w:adjustRightInd w:val="0"/>
              <w:snapToGrid w:val="0"/>
              <w:spacing w:line="360" w:lineRule="auto"/>
              <w:jc w:val="left"/>
              <w:textAlignment w:val="center"/>
              <w:rPr>
                <w:rFonts w:hint="default" w:ascii="宋体" w:hAnsi="宋体" w:eastAsia="宋体" w:cs="宋体"/>
                <w:kern w:val="0"/>
                <w:sz w:val="24"/>
                <w:szCs w:val="24"/>
                <w:highlight w:val="none"/>
                <w:lang w:val="en-US" w:eastAsia="zh-CN" w:bidi="lo-LA"/>
              </w:rPr>
            </w:pPr>
            <w:r>
              <w:rPr>
                <w:rFonts w:hint="eastAsia" w:ascii="宋体" w:hAnsi="宋体" w:cs="宋体"/>
                <w:kern w:val="0"/>
                <w:sz w:val="24"/>
                <w:szCs w:val="24"/>
                <w:highlight w:val="none"/>
                <w:lang w:val="en-US" w:eastAsia="zh-CN"/>
              </w:rPr>
              <w:t>17.</w:t>
            </w:r>
            <w:r>
              <w:rPr>
                <w:rFonts w:hint="eastAsia" w:ascii="宋体" w:hAnsi="宋体" w:cs="宋体"/>
                <w:kern w:val="0"/>
                <w:sz w:val="24"/>
                <w:szCs w:val="24"/>
                <w:highlight w:val="none"/>
              </w:rPr>
              <w:t>技术服务：</w:t>
            </w:r>
            <w:r>
              <w:rPr>
                <w:rFonts w:hint="eastAsia" w:ascii="宋体" w:hAnsi="宋体" w:cs="宋体"/>
                <w:kern w:val="0"/>
                <w:sz w:val="24"/>
                <w:szCs w:val="24"/>
                <w:highlight w:val="none"/>
                <w:lang w:bidi="lo-LA"/>
              </w:rPr>
              <w:t>投标供应商自合同签订后根据客户需求在提供</w:t>
            </w:r>
            <w:r>
              <w:rPr>
                <w:rFonts w:hint="eastAsia" w:ascii="宋体" w:hAnsi="宋体" w:cs="宋体"/>
                <w:kern w:val="0"/>
                <w:sz w:val="24"/>
                <w:szCs w:val="24"/>
                <w:highlight w:val="none"/>
                <w:lang w:val="en-US" w:eastAsia="zh-CN" w:bidi="lo-LA"/>
              </w:rPr>
              <w:t>产品使用培训和</w:t>
            </w:r>
            <w:r>
              <w:rPr>
                <w:rFonts w:hint="eastAsia" w:ascii="宋体" w:hAnsi="宋体" w:cs="宋体"/>
                <w:kern w:val="0"/>
                <w:sz w:val="24"/>
                <w:szCs w:val="24"/>
                <w:highlight w:val="none"/>
                <w:lang w:bidi="lo-LA"/>
              </w:rPr>
              <w:t>巡回检察现场技术服务，该服务不得</w:t>
            </w:r>
            <w:r>
              <w:rPr>
                <w:rFonts w:hint="eastAsia" w:ascii="宋体" w:hAnsi="宋体" w:cs="宋体"/>
                <w:kern w:val="0"/>
                <w:sz w:val="24"/>
                <w:szCs w:val="24"/>
                <w:highlight w:val="none"/>
                <w:lang w:val="en-US" w:eastAsia="zh-CN" w:bidi="lo-LA"/>
              </w:rPr>
              <w:t>少</w:t>
            </w:r>
            <w:r>
              <w:rPr>
                <w:rFonts w:hint="eastAsia" w:ascii="宋体" w:hAnsi="宋体" w:cs="宋体"/>
                <w:kern w:val="0"/>
                <w:sz w:val="24"/>
                <w:szCs w:val="24"/>
                <w:highlight w:val="none"/>
                <w:lang w:bidi="lo-LA"/>
              </w:rPr>
              <w:t>于</w:t>
            </w:r>
            <w:r>
              <w:rPr>
                <w:rFonts w:hint="eastAsia" w:ascii="宋体" w:hAnsi="宋体" w:cs="宋体"/>
                <w:kern w:val="0"/>
                <w:sz w:val="24"/>
                <w:szCs w:val="24"/>
                <w:highlight w:val="none"/>
                <w:lang w:val="en-US" w:eastAsia="zh-CN" w:bidi="lo-LA"/>
              </w:rPr>
              <w:t>3次，</w:t>
            </w:r>
            <w:r>
              <w:rPr>
                <w:rFonts w:hint="eastAsia" w:ascii="宋体" w:hAnsi="宋体" w:cs="宋体"/>
                <w:kern w:val="0"/>
                <w:sz w:val="24"/>
                <w:szCs w:val="24"/>
                <w:highlight w:val="none"/>
                <w:lang w:bidi="lo-LA"/>
              </w:rPr>
              <w:t>每次现场技术服务时间不低于</w:t>
            </w:r>
            <w:r>
              <w:rPr>
                <w:rFonts w:hint="eastAsia" w:ascii="宋体" w:hAnsi="宋体" w:cs="宋体"/>
                <w:kern w:val="0"/>
                <w:sz w:val="24"/>
                <w:szCs w:val="24"/>
                <w:highlight w:val="none"/>
                <w:lang w:val="en-US" w:eastAsia="zh-CN" w:bidi="lo-LA"/>
              </w:rPr>
              <w:t>5</w:t>
            </w:r>
            <w:r>
              <w:rPr>
                <w:rFonts w:hint="eastAsia" w:ascii="宋体" w:hAnsi="宋体" w:cs="宋体"/>
                <w:kern w:val="0"/>
                <w:sz w:val="24"/>
                <w:szCs w:val="24"/>
                <w:highlight w:val="none"/>
                <w:lang w:bidi="lo-LA"/>
              </w:rPr>
              <w:t>天，技术服务人员产生的差旅等费用由投标方自行承担。</w:t>
            </w:r>
            <w:r>
              <w:rPr>
                <w:rFonts w:hint="eastAsia" w:ascii="宋体" w:hAnsi="宋体" w:cs="宋体"/>
                <w:kern w:val="0"/>
                <w:sz w:val="24"/>
                <w:szCs w:val="24"/>
                <w:highlight w:val="none"/>
                <w:lang w:val="en-US" w:eastAsia="zh-CN" w:bidi="lo-LA"/>
              </w:rPr>
              <w:t>系统内置分析模型3年内免费更新。</w:t>
            </w:r>
          </w:p>
          <w:p w14:paraId="1D6809EB">
            <w:pPr>
              <w:widowControl/>
              <w:adjustRightInd w:val="0"/>
              <w:snapToGrid w:val="0"/>
              <w:spacing w:line="360" w:lineRule="auto"/>
              <w:jc w:val="left"/>
              <w:textAlignment w:val="center"/>
              <w:rPr>
                <w:rFonts w:hint="eastAsia" w:ascii="宋体" w:hAnsi="宋体" w:cs="宋体"/>
                <w:kern w:val="0"/>
                <w:sz w:val="24"/>
                <w:szCs w:val="24"/>
                <w:highlight w:val="none"/>
                <w:lang w:val="en-US" w:eastAsia="zh-CN" w:bidi="lo-LA"/>
              </w:rPr>
            </w:pPr>
          </w:p>
        </w:tc>
        <w:tc>
          <w:tcPr>
            <w:tcW w:w="375" w:type="pct"/>
            <w:shd w:val="clear" w:color="auto" w:fill="auto"/>
            <w:vAlign w:val="center"/>
          </w:tcPr>
          <w:p w14:paraId="2F26185C">
            <w:pPr>
              <w:widowControl/>
              <w:adjustRightInd w:val="0"/>
              <w:snapToGrid w:val="0"/>
              <w:spacing w:line="36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375" w:type="pct"/>
            <w:shd w:val="clear" w:color="auto" w:fill="auto"/>
            <w:vAlign w:val="center"/>
          </w:tcPr>
          <w:p w14:paraId="2953073F">
            <w:pPr>
              <w:widowControl/>
              <w:adjustRightInd w:val="0"/>
              <w:snapToGrid w:val="0"/>
              <w:spacing w:line="360" w:lineRule="auto"/>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套</w:t>
            </w:r>
          </w:p>
        </w:tc>
      </w:tr>
      <w:bookmarkEnd w:id="0"/>
    </w:tbl>
    <w:p w14:paraId="1586E7A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12671"/>
    <w:rsid w:val="0E5B7D6A"/>
    <w:rsid w:val="0E6A39DD"/>
    <w:rsid w:val="1ACB3C35"/>
    <w:rsid w:val="1D216C8C"/>
    <w:rsid w:val="1F5B1814"/>
    <w:rsid w:val="20F513C6"/>
    <w:rsid w:val="2D464C3B"/>
    <w:rsid w:val="3A655477"/>
    <w:rsid w:val="42D71A17"/>
    <w:rsid w:val="47CE73C1"/>
    <w:rsid w:val="47F00E85"/>
    <w:rsid w:val="563D798B"/>
    <w:rsid w:val="5DA33C1E"/>
    <w:rsid w:val="65B35574"/>
    <w:rsid w:val="67022005"/>
    <w:rsid w:val="6E680FFF"/>
    <w:rsid w:val="74B04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jc w:val="both"/>
      <w:textAlignment w:val="baseline"/>
    </w:pPr>
    <w:rPr>
      <w:rFonts w:ascii="Times New Roman" w:hAnsi="Times New Roman" w:eastAsia="宋体" w:cs="Times New Roman"/>
      <w:kern w:val="2"/>
      <w:sz w:val="24"/>
      <w:lang w:val="en-US" w:eastAsia="zh-CN" w:bidi="ar-SA"/>
    </w:rPr>
  </w:style>
  <w:style w:type="paragraph" w:styleId="2">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adjustRightInd w:val="0"/>
      <w:spacing w:line="312" w:lineRule="atLeast"/>
      <w:textAlignment w:val="baseline"/>
    </w:pPr>
    <w:rPr>
      <w:rFonts w:ascii="宋体" w:hAnsi="Courier New"/>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1980</Words>
  <Characters>2041</Characters>
  <Lines>0</Lines>
  <Paragraphs>0</Paragraphs>
  <TotalTime>5</TotalTime>
  <ScaleCrop>false</ScaleCrop>
  <LinksUpToDate>false</LinksUpToDate>
  <CharactersWithSpaces>2062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2026-07-01T09:00:00Z</dcterms:created>
  <dc:creator>WU</dc:creator>
  <cp:lastModifiedBy>呵呼哈ki</cp:lastModifiedBy>
  <dcterms:modified xsi:type="dcterms:W3CDTF">2026-07-16T07:42:25Z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eyJoZGlkIjoiN2UyNzIwZDg0NTIyOTllYTU0YzUxNzY0MDg2M2U5ZmEiLCJ1c2VySWQiOiIzMjE4NzgyNTMifQ==</vt:lpwstr>
  </property>
  <property fmtid="{D5CDD505-2E9C-101B-9397-08002B2CF9AE}" pid="4" name="ICV">
    <vt:lpwstr>F99FC8DC48CE47E9BE3C4956F0B98657_12</vt:lpwstr>
  </property>
</Properties>
</file>