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240" w:afterLines="100" w:line="400" w:lineRule="exact"/>
        <w:jc w:val="center"/>
        <w:outlineLvl w:val="0"/>
        <w:rPr>
          <w:rFonts w:hint="eastAsia" w:ascii="黑体" w:hAnsi="宋体" w:eastAsia="黑体"/>
          <w:b/>
          <w:sz w:val="32"/>
          <w:szCs w:val="32"/>
        </w:rPr>
      </w:pPr>
      <w:r>
        <w:rPr>
          <w:rFonts w:hint="eastAsia" w:ascii="黑体" w:hAnsi="宋体" w:eastAsia="黑体"/>
          <w:b/>
          <w:sz w:val="32"/>
          <w:szCs w:val="32"/>
        </w:rPr>
        <w:t>采购项目技术、服务要求及商务要求</w:t>
      </w:r>
    </w:p>
    <w:p>
      <w:pPr>
        <w:spacing w:after="240" w:afterLines="100" w:line="400" w:lineRule="exact"/>
        <w:jc w:val="center"/>
        <w:outlineLvl w:val="0"/>
        <w:rPr>
          <w:rFonts w:hint="eastAsia" w:ascii="黑体" w:hAnsi="宋体" w:eastAsia="黑体"/>
          <w:b/>
          <w:sz w:val="32"/>
          <w:szCs w:val="32"/>
        </w:rPr>
      </w:pPr>
    </w:p>
    <w:p>
      <w:pPr>
        <w:spacing w:line="360" w:lineRule="auto"/>
        <w:ind w:firstLine="422" w:firstLineChars="175"/>
        <w:jc w:val="left"/>
        <w:rPr>
          <w:rFonts w:hint="eastAsia" w:ascii="宋体" w:hAnsi="宋体" w:cs="宋体"/>
          <w:b/>
          <w:bCs/>
          <w:sz w:val="24"/>
          <w:highlight w:val="green"/>
        </w:rPr>
      </w:pPr>
      <w:r>
        <w:rPr>
          <w:rFonts w:hint="eastAsia" w:ascii="宋体" w:hAnsi="宋体" w:cs="宋体"/>
          <w:b/>
          <w:bCs/>
          <w:sz w:val="24"/>
        </w:rPr>
        <w:t>采购需求：本项目共2个包，拟分别采购一名供应商提供2024-2025年度双校区配电监控系统运行维护服务和2024-2025年清水河校区空气源热泵热水供应系统维护服务。供应商按包参与项目。</w:t>
      </w:r>
    </w:p>
    <w:tbl>
      <w:tblPr>
        <w:tblStyle w:val="5"/>
        <w:tblW w:w="4950" w:type="pct"/>
        <w:tblInd w:w="-1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9"/>
        <w:gridCol w:w="3965"/>
        <w:gridCol w:w="773"/>
        <w:gridCol w:w="2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exact"/>
        </w:trPr>
        <w:tc>
          <w:tcPr>
            <w:tcW w:w="580" w:type="pct"/>
            <w:tcBorders>
              <w:top w:val="single" w:color="auto" w:sz="4" w:space="0"/>
              <w:left w:val="single" w:color="auto" w:sz="4" w:space="0"/>
              <w:bottom w:val="single" w:color="auto" w:sz="4" w:space="0"/>
              <w:right w:val="single" w:color="auto" w:sz="4" w:space="0"/>
            </w:tcBorders>
            <w:noWrap w:val="0"/>
            <w:vAlign w:val="center"/>
          </w:tcPr>
          <w:p>
            <w:pPr>
              <w:spacing w:after="120" w:afterLines="50" w:line="420" w:lineRule="exact"/>
              <w:jc w:val="center"/>
              <w:rPr>
                <w:rFonts w:hint="eastAsia" w:ascii="宋体" w:hAnsi="宋体" w:cs="宋体"/>
                <w:bCs/>
                <w:sz w:val="24"/>
              </w:rPr>
            </w:pPr>
            <w:r>
              <w:rPr>
                <w:rFonts w:hint="eastAsia" w:ascii="宋体" w:hAnsi="宋体" w:cs="宋体"/>
                <w:bCs/>
                <w:sz w:val="24"/>
                <w:lang w:bidi="ar"/>
              </w:rPr>
              <w:t>包号</w:t>
            </w:r>
          </w:p>
        </w:tc>
        <w:tc>
          <w:tcPr>
            <w:tcW w:w="2349" w:type="pct"/>
            <w:tcBorders>
              <w:top w:val="single" w:color="auto" w:sz="4" w:space="0"/>
              <w:left w:val="single" w:color="auto" w:sz="4" w:space="0"/>
              <w:bottom w:val="single" w:color="auto" w:sz="4" w:space="0"/>
              <w:right w:val="single" w:color="auto" w:sz="4" w:space="0"/>
            </w:tcBorders>
            <w:noWrap w:val="0"/>
            <w:vAlign w:val="center"/>
          </w:tcPr>
          <w:p>
            <w:pPr>
              <w:spacing w:after="120" w:afterLines="50" w:line="420" w:lineRule="exact"/>
              <w:jc w:val="center"/>
              <w:rPr>
                <w:rFonts w:hint="eastAsia" w:ascii="宋体" w:hAnsi="宋体" w:cs="宋体"/>
                <w:bCs/>
                <w:sz w:val="24"/>
              </w:rPr>
            </w:pPr>
            <w:r>
              <w:rPr>
                <w:rFonts w:hint="eastAsia" w:ascii="宋体" w:hAnsi="宋体" w:cs="宋体"/>
                <w:bCs/>
                <w:sz w:val="24"/>
                <w:lang w:bidi="ar"/>
              </w:rPr>
              <w:t>服务内容</w:t>
            </w:r>
          </w:p>
        </w:tc>
        <w:tc>
          <w:tcPr>
            <w:tcW w:w="458" w:type="pct"/>
            <w:tcBorders>
              <w:top w:val="single" w:color="auto" w:sz="4" w:space="0"/>
              <w:left w:val="single" w:color="auto" w:sz="4" w:space="0"/>
              <w:bottom w:val="single" w:color="auto" w:sz="4" w:space="0"/>
              <w:right w:val="single" w:color="auto" w:sz="4" w:space="0"/>
            </w:tcBorders>
            <w:noWrap w:val="0"/>
            <w:vAlign w:val="center"/>
          </w:tcPr>
          <w:p>
            <w:pPr>
              <w:spacing w:after="120" w:afterLines="50" w:line="420" w:lineRule="exact"/>
              <w:jc w:val="center"/>
              <w:rPr>
                <w:rFonts w:hint="eastAsia" w:ascii="宋体" w:hAnsi="宋体" w:cs="宋体"/>
                <w:bCs/>
                <w:sz w:val="24"/>
              </w:rPr>
            </w:pPr>
            <w:r>
              <w:rPr>
                <w:rFonts w:hint="eastAsia" w:ascii="宋体" w:hAnsi="宋体" w:cs="宋体"/>
                <w:bCs/>
                <w:sz w:val="24"/>
              </w:rPr>
              <w:t>数量</w:t>
            </w:r>
          </w:p>
        </w:tc>
        <w:tc>
          <w:tcPr>
            <w:tcW w:w="1611" w:type="pct"/>
            <w:tcBorders>
              <w:top w:val="single" w:color="auto" w:sz="4" w:space="0"/>
              <w:left w:val="single" w:color="auto" w:sz="4" w:space="0"/>
              <w:bottom w:val="single" w:color="auto" w:sz="4" w:space="0"/>
              <w:right w:val="single" w:color="auto" w:sz="4" w:space="0"/>
            </w:tcBorders>
            <w:noWrap w:val="0"/>
            <w:vAlign w:val="center"/>
          </w:tcPr>
          <w:p>
            <w:pPr>
              <w:spacing w:after="120" w:afterLines="50" w:line="420" w:lineRule="exact"/>
              <w:jc w:val="center"/>
              <w:rPr>
                <w:rFonts w:hint="eastAsia" w:ascii="宋体" w:hAnsi="宋体" w:cs="宋体"/>
                <w:sz w:val="24"/>
              </w:rPr>
            </w:pPr>
            <w:r>
              <w:rPr>
                <w:rFonts w:hint="eastAsia" w:ascii="宋体" w:hAnsi="宋体" w:cs="宋体"/>
                <w:sz w:val="24"/>
              </w:rPr>
              <w:t>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exact"/>
        </w:trPr>
        <w:tc>
          <w:tcPr>
            <w:tcW w:w="580" w:type="pct"/>
            <w:tcBorders>
              <w:top w:val="single" w:color="auto" w:sz="4" w:space="0"/>
              <w:left w:val="single" w:color="auto" w:sz="4" w:space="0"/>
              <w:bottom w:val="single" w:color="auto" w:sz="4" w:space="0"/>
              <w:right w:val="single" w:color="auto" w:sz="4" w:space="0"/>
            </w:tcBorders>
            <w:noWrap w:val="0"/>
            <w:vAlign w:val="center"/>
          </w:tcPr>
          <w:p>
            <w:pPr>
              <w:spacing w:after="120" w:afterLines="50" w:line="420" w:lineRule="exact"/>
              <w:jc w:val="center"/>
              <w:rPr>
                <w:rFonts w:hint="eastAsia" w:ascii="宋体" w:hAnsi="宋体" w:cs="宋体"/>
                <w:bCs/>
                <w:sz w:val="24"/>
              </w:rPr>
            </w:pPr>
            <w:r>
              <w:rPr>
                <w:rFonts w:hint="eastAsia" w:ascii="宋体" w:hAnsi="宋体" w:cs="宋体"/>
                <w:bCs/>
                <w:sz w:val="24"/>
                <w:lang w:bidi="ar"/>
              </w:rPr>
              <w:t>01包</w:t>
            </w:r>
          </w:p>
        </w:tc>
        <w:tc>
          <w:tcPr>
            <w:tcW w:w="2349" w:type="pct"/>
            <w:tcBorders>
              <w:top w:val="single" w:color="auto" w:sz="4" w:space="0"/>
              <w:left w:val="single" w:color="auto" w:sz="4" w:space="0"/>
              <w:bottom w:val="single" w:color="auto" w:sz="4" w:space="0"/>
              <w:right w:val="single" w:color="auto" w:sz="4" w:space="0"/>
            </w:tcBorders>
            <w:noWrap w:val="0"/>
            <w:vAlign w:val="center"/>
          </w:tcPr>
          <w:p>
            <w:pPr>
              <w:spacing w:after="120" w:afterLines="50" w:line="420" w:lineRule="exact"/>
              <w:jc w:val="center"/>
              <w:rPr>
                <w:rFonts w:hint="eastAsia" w:ascii="宋体" w:hAnsi="宋体" w:cs="宋体"/>
                <w:bCs/>
                <w:sz w:val="24"/>
              </w:rPr>
            </w:pPr>
            <w:r>
              <w:rPr>
                <w:rFonts w:hint="eastAsia" w:ascii="宋体" w:hAnsi="宋体" w:cs="宋体"/>
                <w:bCs/>
                <w:sz w:val="24"/>
              </w:rPr>
              <w:t>2024-2025年度双校区配电监控系统运行维护</w:t>
            </w:r>
          </w:p>
        </w:tc>
        <w:tc>
          <w:tcPr>
            <w:tcW w:w="458" w:type="pct"/>
            <w:tcBorders>
              <w:top w:val="single" w:color="auto" w:sz="4" w:space="0"/>
              <w:left w:val="single" w:color="auto" w:sz="4" w:space="0"/>
              <w:bottom w:val="single" w:color="auto" w:sz="4" w:space="0"/>
              <w:right w:val="single" w:color="auto" w:sz="4" w:space="0"/>
            </w:tcBorders>
            <w:noWrap w:val="0"/>
            <w:vAlign w:val="center"/>
          </w:tcPr>
          <w:p>
            <w:pPr>
              <w:spacing w:after="120" w:afterLines="50" w:line="420" w:lineRule="exact"/>
              <w:jc w:val="center"/>
              <w:rPr>
                <w:rFonts w:hint="eastAsia" w:ascii="宋体" w:hAnsi="宋体" w:cs="宋体"/>
                <w:bCs/>
                <w:sz w:val="24"/>
              </w:rPr>
            </w:pPr>
            <w:r>
              <w:rPr>
                <w:rFonts w:hint="eastAsia" w:ascii="宋体" w:hAnsi="宋体" w:cs="宋体"/>
                <w:bCs/>
                <w:sz w:val="24"/>
              </w:rPr>
              <w:t>1项</w:t>
            </w:r>
          </w:p>
        </w:tc>
        <w:tc>
          <w:tcPr>
            <w:tcW w:w="1611" w:type="pct"/>
            <w:tcBorders>
              <w:top w:val="single" w:color="auto" w:sz="4" w:space="0"/>
              <w:left w:val="single" w:color="auto" w:sz="4" w:space="0"/>
              <w:bottom w:val="single" w:color="auto" w:sz="4" w:space="0"/>
              <w:right w:val="single" w:color="auto" w:sz="4" w:space="0"/>
            </w:tcBorders>
            <w:noWrap w:val="0"/>
            <w:vAlign w:val="center"/>
          </w:tcPr>
          <w:p>
            <w:pPr>
              <w:spacing w:after="120" w:afterLines="50" w:line="420" w:lineRule="exact"/>
              <w:jc w:val="center"/>
              <w:rPr>
                <w:rFonts w:hint="eastAsia" w:ascii="宋体" w:hAnsi="宋体" w:eastAsia="宋体" w:cs="宋体"/>
                <w:sz w:val="24"/>
                <w:lang w:eastAsia="zh-CN"/>
              </w:rPr>
            </w:pPr>
            <w:r>
              <w:rPr>
                <w:rFonts w:hint="eastAsia" w:ascii="宋体" w:hAnsi="宋体" w:cs="宋体"/>
                <w:sz w:val="24"/>
                <w:lang w:eastAsia="zh-CN"/>
              </w:rPr>
              <w:t>其他未列明行业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exact"/>
        </w:trPr>
        <w:tc>
          <w:tcPr>
            <w:tcW w:w="580" w:type="pct"/>
            <w:tcBorders>
              <w:top w:val="single" w:color="auto" w:sz="4" w:space="0"/>
              <w:left w:val="single" w:color="auto" w:sz="4" w:space="0"/>
              <w:bottom w:val="single" w:color="auto" w:sz="4" w:space="0"/>
              <w:right w:val="single" w:color="auto" w:sz="4" w:space="0"/>
            </w:tcBorders>
            <w:noWrap w:val="0"/>
            <w:vAlign w:val="center"/>
          </w:tcPr>
          <w:p>
            <w:pPr>
              <w:spacing w:after="120" w:afterLines="50" w:line="420" w:lineRule="exact"/>
              <w:jc w:val="center"/>
              <w:rPr>
                <w:rFonts w:hint="eastAsia" w:ascii="宋体" w:hAnsi="宋体" w:cs="宋体"/>
                <w:bCs/>
                <w:sz w:val="24"/>
              </w:rPr>
            </w:pPr>
            <w:r>
              <w:rPr>
                <w:rFonts w:hint="eastAsia" w:ascii="宋体" w:hAnsi="宋体" w:cs="宋体"/>
                <w:bCs/>
                <w:sz w:val="24"/>
                <w:lang w:bidi="ar"/>
              </w:rPr>
              <w:t>02包</w:t>
            </w:r>
          </w:p>
        </w:tc>
        <w:tc>
          <w:tcPr>
            <w:tcW w:w="2349" w:type="pct"/>
            <w:tcBorders>
              <w:top w:val="single" w:color="auto" w:sz="4" w:space="0"/>
              <w:left w:val="single" w:color="auto" w:sz="4" w:space="0"/>
              <w:bottom w:val="single" w:color="auto" w:sz="4" w:space="0"/>
              <w:right w:val="single" w:color="auto" w:sz="4" w:space="0"/>
            </w:tcBorders>
            <w:noWrap w:val="0"/>
            <w:vAlign w:val="center"/>
          </w:tcPr>
          <w:p>
            <w:pPr>
              <w:spacing w:after="120" w:afterLines="50" w:line="420" w:lineRule="exact"/>
              <w:jc w:val="center"/>
              <w:rPr>
                <w:rFonts w:hint="eastAsia" w:ascii="宋体" w:hAnsi="宋体" w:cs="宋体"/>
                <w:sz w:val="24"/>
              </w:rPr>
            </w:pPr>
            <w:r>
              <w:rPr>
                <w:rFonts w:hint="eastAsia" w:ascii="宋体" w:hAnsi="宋体" w:cs="宋体"/>
                <w:bCs/>
                <w:sz w:val="24"/>
              </w:rPr>
              <w:t>2024-2025年度清水河校区空气源热泵热水供应系统维护</w:t>
            </w:r>
          </w:p>
        </w:tc>
        <w:tc>
          <w:tcPr>
            <w:tcW w:w="458" w:type="pct"/>
            <w:tcBorders>
              <w:top w:val="single" w:color="auto" w:sz="4" w:space="0"/>
              <w:left w:val="single" w:color="auto" w:sz="4" w:space="0"/>
              <w:bottom w:val="single" w:color="auto" w:sz="4" w:space="0"/>
              <w:right w:val="single" w:color="auto" w:sz="4" w:space="0"/>
            </w:tcBorders>
            <w:noWrap w:val="0"/>
            <w:vAlign w:val="center"/>
          </w:tcPr>
          <w:p>
            <w:pPr>
              <w:spacing w:after="120" w:afterLines="50" w:line="420" w:lineRule="exact"/>
              <w:jc w:val="center"/>
              <w:rPr>
                <w:rFonts w:hint="eastAsia" w:ascii="宋体" w:hAnsi="宋体" w:cs="宋体"/>
                <w:sz w:val="24"/>
              </w:rPr>
            </w:pPr>
            <w:r>
              <w:rPr>
                <w:rFonts w:hint="eastAsia" w:ascii="宋体" w:hAnsi="宋体" w:cs="宋体"/>
                <w:sz w:val="24"/>
              </w:rPr>
              <w:t>1项</w:t>
            </w:r>
          </w:p>
        </w:tc>
        <w:tc>
          <w:tcPr>
            <w:tcW w:w="1611" w:type="pct"/>
            <w:tcBorders>
              <w:top w:val="single" w:color="auto" w:sz="4" w:space="0"/>
              <w:left w:val="single" w:color="auto" w:sz="4" w:space="0"/>
              <w:bottom w:val="single" w:color="auto" w:sz="4" w:space="0"/>
              <w:right w:val="single" w:color="auto" w:sz="4" w:space="0"/>
            </w:tcBorders>
            <w:noWrap w:val="0"/>
            <w:vAlign w:val="center"/>
          </w:tcPr>
          <w:p>
            <w:pPr>
              <w:spacing w:after="120" w:afterLines="50" w:line="420" w:lineRule="exact"/>
              <w:jc w:val="center"/>
              <w:rPr>
                <w:rFonts w:hint="eastAsia" w:ascii="宋体" w:hAnsi="宋体" w:cs="宋体"/>
                <w:sz w:val="24"/>
              </w:rPr>
            </w:pPr>
            <w:r>
              <w:rPr>
                <w:rFonts w:hint="eastAsia" w:ascii="宋体" w:hAnsi="宋体" w:cs="宋体"/>
                <w:sz w:val="24"/>
                <w:lang w:eastAsia="zh-CN"/>
              </w:rPr>
              <w:t>其他未列明行业</w:t>
            </w:r>
          </w:p>
        </w:tc>
      </w:tr>
    </w:tbl>
    <w:p>
      <w:pPr>
        <w:spacing w:after="240" w:afterLines="100" w:line="400" w:lineRule="exact"/>
        <w:jc w:val="both"/>
        <w:outlineLvl w:val="0"/>
        <w:rPr>
          <w:rFonts w:hint="eastAsia" w:ascii="黑体" w:hAnsi="宋体" w:eastAsia="黑体"/>
          <w:b/>
          <w:sz w:val="32"/>
          <w:szCs w:val="32"/>
        </w:rPr>
      </w:pPr>
    </w:p>
    <w:p>
      <w:pPr>
        <w:spacing w:line="360" w:lineRule="auto"/>
        <w:rPr>
          <w:b/>
          <w:color w:val="000000"/>
          <w:sz w:val="24"/>
        </w:rPr>
      </w:pPr>
      <w:r>
        <w:rPr>
          <w:b/>
          <w:color w:val="000000"/>
          <w:sz w:val="24"/>
        </w:rPr>
        <w:t>一、</w:t>
      </w:r>
      <w:r>
        <w:rPr>
          <w:rFonts w:hint="eastAsia" w:cs="宋体"/>
          <w:b/>
          <w:color w:val="000000"/>
          <w:sz w:val="24"/>
        </w:rPr>
        <w:t>项目概述</w:t>
      </w:r>
    </w:p>
    <w:p>
      <w:pPr>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01包：2024-2025年度双校区配电监控系统运行维护服务</w:t>
      </w:r>
    </w:p>
    <w:p>
      <w:pPr>
        <w:pStyle w:val="3"/>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sz w:val="24"/>
          <w:szCs w:val="24"/>
        </w:rPr>
        <w:t>1、沙河校区（含九里堤）有二号站、计算中心、5系、物电大楼、3系、逸夫楼、一二教、主楼、图书馆、体育馆、体育场、学生11栋、红旗超市、成教院、东苑、通讯楼、九里堤等17个400V配电房及一个高配房。</w:t>
      </w:r>
      <w:r>
        <w:rPr>
          <w:rFonts w:hint="eastAsia" w:ascii="宋体" w:hAnsi="宋体" w:eastAsia="宋体" w:cs="宋体"/>
          <w:sz w:val="24"/>
          <w:szCs w:val="24"/>
        </w:rPr>
        <w:br w:type="textWrapping"/>
      </w:r>
      <w:r>
        <w:rPr>
          <w:rFonts w:hint="eastAsia" w:ascii="宋体" w:hAnsi="宋体" w:eastAsia="宋体" w:cs="宋体"/>
          <w:sz w:val="24"/>
          <w:szCs w:val="24"/>
        </w:rPr>
        <w:t xml:space="preserve">    2、清水河校区现有主楼A区、主楼B区、主楼C区、图书馆1楼、图书馆4楼、图书馆6楼、科研楼1、科研楼2、品学楼、立人楼、剧场、商业街、一食堂、二食堂、综合楼、5号科研楼、创新中心、经管楼、电科院、校医院、本科10栋一二段、本科10栋三四段、本科20栋、硕士7栋、硕士11栋、硕士15栋、硕士18栋、硕士22栋、2号博士公寓、体育场、体育馆、体育中心、游泳馆、1号博士公寓、四号科研楼A、四号科研楼B、四号科研楼C、四号科研楼核高基、学生公寓五期、幼儿园箱变、六号科研楼1ES、六号科研楼2ES、国际菁蓉中心（9个配电房）、学生公寓六期（硕士公寓）、宣邦楼等400V配电房及1-6号10KV开闭所。</w:t>
      </w:r>
      <w:r>
        <w:rPr>
          <w:rFonts w:hint="eastAsia" w:ascii="宋体" w:hAnsi="宋体" w:eastAsia="宋体" w:cs="宋体"/>
          <w:sz w:val="24"/>
          <w:szCs w:val="24"/>
        </w:rPr>
        <w:br w:type="textWrapping"/>
      </w:r>
      <w:r>
        <w:rPr>
          <w:rFonts w:hint="eastAsia" w:ascii="宋体" w:hAnsi="宋体" w:eastAsia="宋体" w:cs="宋体"/>
          <w:sz w:val="24"/>
          <w:szCs w:val="24"/>
        </w:rPr>
        <w:t xml:space="preserve">   3、为保障沙河（含九里堤）、清水河校区低压电网稳定运行，将校区高、低压配电房配电监控系统维护服务工作委托专业公司进行，具体服务包括：低压监控相关设备日常巡检，故障处理，确保配电监控系统稳定运行，确保配电监控专网稳定运行，定期提供用电量、负荷月报表、年报表等运行数据。</w:t>
      </w:r>
    </w:p>
    <w:p>
      <w:pPr>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000000"/>
          <w:sz w:val="24"/>
          <w:szCs w:val="24"/>
        </w:rPr>
      </w:pPr>
      <w:r>
        <w:rPr>
          <w:rFonts w:hint="eastAsia" w:ascii="宋体" w:hAnsi="宋体" w:eastAsia="宋体" w:cs="宋体"/>
          <w:b/>
          <w:bCs/>
          <w:sz w:val="24"/>
          <w:szCs w:val="24"/>
        </w:rPr>
        <w:t>02包：</w:t>
      </w:r>
      <w:r>
        <w:rPr>
          <w:rFonts w:hint="eastAsia" w:ascii="宋体" w:hAnsi="宋体" w:eastAsia="宋体" w:cs="宋体"/>
          <w:b/>
          <w:color w:val="000000"/>
          <w:sz w:val="24"/>
          <w:szCs w:val="24"/>
        </w:rPr>
        <w:t>2024-2025年清水河校区空气源热泵热水供应系统维护服务</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具体维护内容包括：热泵主机、水泵、控制系统、机组管网系统的日常运行维护管理、故障处理、运行监控、巡查、运行记录汇总、技术支撑服务等。</w:t>
      </w:r>
    </w:p>
    <w:p>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清水河校区本科1-28栋。</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上述范围的空气源热泵热水供应系统的主要设施明细如下：</w:t>
      </w:r>
    </w:p>
    <w:tbl>
      <w:tblPr>
        <w:tblStyle w:val="5"/>
        <w:tblW w:w="8402" w:type="dxa"/>
        <w:tblInd w:w="113" w:type="dxa"/>
        <w:tblLayout w:type="fixed"/>
        <w:tblCellMar>
          <w:top w:w="0" w:type="dxa"/>
          <w:left w:w="108" w:type="dxa"/>
          <w:bottom w:w="0" w:type="dxa"/>
          <w:right w:w="108" w:type="dxa"/>
        </w:tblCellMar>
      </w:tblPr>
      <w:tblGrid>
        <w:gridCol w:w="704"/>
        <w:gridCol w:w="724"/>
        <w:gridCol w:w="707"/>
        <w:gridCol w:w="1050"/>
        <w:gridCol w:w="1029"/>
        <w:gridCol w:w="985"/>
        <w:gridCol w:w="858"/>
        <w:gridCol w:w="900"/>
        <w:gridCol w:w="1445"/>
      </w:tblGrid>
      <w:tr>
        <w:tblPrEx>
          <w:tblCellMar>
            <w:top w:w="0" w:type="dxa"/>
            <w:left w:w="108" w:type="dxa"/>
            <w:bottom w:w="0" w:type="dxa"/>
            <w:right w:w="108" w:type="dxa"/>
          </w:tblCellMar>
        </w:tblPrEx>
        <w:trPr>
          <w:trHeight w:val="340" w:hRule="atLeast"/>
        </w:trPr>
        <w:tc>
          <w:tcPr>
            <w:tcW w:w="704" w:type="dxa"/>
            <w:vMerge w:val="restart"/>
            <w:tcBorders>
              <w:top w:val="single" w:color="auto" w:sz="4" w:space="0"/>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序号</w:t>
            </w:r>
          </w:p>
        </w:tc>
        <w:tc>
          <w:tcPr>
            <w:tcW w:w="724" w:type="dxa"/>
            <w:vMerge w:val="restart"/>
            <w:tcBorders>
              <w:top w:val="single" w:color="auto" w:sz="4" w:space="0"/>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楼栋</w:t>
            </w:r>
          </w:p>
        </w:tc>
        <w:tc>
          <w:tcPr>
            <w:tcW w:w="1757" w:type="dxa"/>
            <w:gridSpan w:val="2"/>
            <w:tcBorders>
              <w:top w:val="single" w:color="auto" w:sz="4" w:space="0"/>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主机</w:t>
            </w:r>
          </w:p>
        </w:tc>
        <w:tc>
          <w:tcPr>
            <w:tcW w:w="2014" w:type="dxa"/>
            <w:gridSpan w:val="2"/>
            <w:tcBorders>
              <w:top w:val="single" w:color="auto" w:sz="4" w:space="0"/>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水泵</w:t>
            </w:r>
          </w:p>
        </w:tc>
        <w:tc>
          <w:tcPr>
            <w:tcW w:w="1758" w:type="dxa"/>
            <w:gridSpan w:val="2"/>
            <w:tcBorders>
              <w:top w:val="single" w:color="auto" w:sz="4" w:space="0"/>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水箱</w:t>
            </w:r>
          </w:p>
        </w:tc>
        <w:tc>
          <w:tcPr>
            <w:tcW w:w="1445" w:type="dxa"/>
            <w:vMerge w:val="restart"/>
            <w:tcBorders>
              <w:top w:val="single" w:color="auto" w:sz="4" w:space="0"/>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安装位置</w:t>
            </w:r>
          </w:p>
        </w:tc>
      </w:tr>
      <w:tr>
        <w:tblPrEx>
          <w:tblCellMar>
            <w:top w:w="0" w:type="dxa"/>
            <w:left w:w="108" w:type="dxa"/>
            <w:bottom w:w="0" w:type="dxa"/>
            <w:right w:w="108" w:type="dxa"/>
          </w:tblCellMar>
        </w:tblPrEx>
        <w:trPr>
          <w:trHeight w:val="340" w:hRule="atLeast"/>
        </w:trPr>
        <w:tc>
          <w:tcPr>
            <w:tcW w:w="704" w:type="dxa"/>
            <w:vMerge w:val="continue"/>
            <w:tcBorders>
              <w:top w:val="single" w:color="auto" w:sz="4" w:space="0"/>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rPr>
            </w:pPr>
          </w:p>
        </w:tc>
        <w:tc>
          <w:tcPr>
            <w:tcW w:w="724" w:type="dxa"/>
            <w:vMerge w:val="continue"/>
            <w:tcBorders>
              <w:top w:val="single" w:color="auto" w:sz="4" w:space="0"/>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rPr>
            </w:pPr>
          </w:p>
        </w:tc>
        <w:tc>
          <w:tcPr>
            <w:tcW w:w="707"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品牌</w:t>
            </w:r>
          </w:p>
        </w:tc>
        <w:tc>
          <w:tcPr>
            <w:tcW w:w="1050"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数量/台</w:t>
            </w:r>
          </w:p>
        </w:tc>
        <w:tc>
          <w:tcPr>
            <w:tcW w:w="1029"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品牌</w:t>
            </w:r>
          </w:p>
        </w:tc>
        <w:tc>
          <w:tcPr>
            <w:tcW w:w="985"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数量/台</w:t>
            </w:r>
          </w:p>
        </w:tc>
        <w:tc>
          <w:tcPr>
            <w:tcW w:w="858"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品牌</w:t>
            </w:r>
          </w:p>
        </w:tc>
        <w:tc>
          <w:tcPr>
            <w:tcW w:w="900"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数量/台</w:t>
            </w:r>
          </w:p>
        </w:tc>
        <w:tc>
          <w:tcPr>
            <w:tcW w:w="1445" w:type="dxa"/>
            <w:vMerge w:val="continue"/>
            <w:tcBorders>
              <w:top w:val="single" w:color="auto" w:sz="4" w:space="0"/>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rPr>
            </w:pPr>
          </w:p>
        </w:tc>
      </w:tr>
      <w:tr>
        <w:tblPrEx>
          <w:tblCellMar>
            <w:top w:w="0" w:type="dxa"/>
            <w:left w:w="108" w:type="dxa"/>
            <w:bottom w:w="0" w:type="dxa"/>
            <w:right w:w="108" w:type="dxa"/>
          </w:tblCellMar>
        </w:tblPrEx>
        <w:trPr>
          <w:trHeight w:val="340" w:hRule="atLeast"/>
        </w:trPr>
        <w:tc>
          <w:tcPr>
            <w:tcW w:w="704"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724"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本科3栋</w:t>
            </w:r>
          </w:p>
        </w:tc>
        <w:tc>
          <w:tcPr>
            <w:tcW w:w="70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琴尔</w:t>
            </w:r>
          </w:p>
        </w:tc>
        <w:tc>
          <w:tcPr>
            <w:tcW w:w="1050"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1029"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格兰富</w:t>
            </w:r>
          </w:p>
        </w:tc>
        <w:tc>
          <w:tcPr>
            <w:tcW w:w="985"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85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邗江</w:t>
            </w:r>
          </w:p>
        </w:tc>
        <w:tc>
          <w:tcPr>
            <w:tcW w:w="900"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445"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本科3栋屋面</w:t>
            </w:r>
          </w:p>
        </w:tc>
      </w:tr>
      <w:tr>
        <w:tblPrEx>
          <w:tblCellMar>
            <w:top w:w="0" w:type="dxa"/>
            <w:left w:w="108" w:type="dxa"/>
            <w:bottom w:w="0" w:type="dxa"/>
            <w:right w:w="108" w:type="dxa"/>
          </w:tblCellMar>
        </w:tblPrEx>
        <w:trPr>
          <w:trHeight w:val="340" w:hRule="atLeast"/>
        </w:trPr>
        <w:tc>
          <w:tcPr>
            <w:tcW w:w="704"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724"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本科7栋</w:t>
            </w:r>
          </w:p>
        </w:tc>
        <w:tc>
          <w:tcPr>
            <w:tcW w:w="70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琴尔</w:t>
            </w:r>
          </w:p>
        </w:tc>
        <w:tc>
          <w:tcPr>
            <w:tcW w:w="1050"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1029"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格兰富</w:t>
            </w:r>
          </w:p>
        </w:tc>
        <w:tc>
          <w:tcPr>
            <w:tcW w:w="985"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85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邗江</w:t>
            </w:r>
          </w:p>
        </w:tc>
        <w:tc>
          <w:tcPr>
            <w:tcW w:w="900"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445"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本科7栋屋面</w:t>
            </w:r>
          </w:p>
        </w:tc>
      </w:tr>
      <w:tr>
        <w:tblPrEx>
          <w:tblCellMar>
            <w:top w:w="0" w:type="dxa"/>
            <w:left w:w="108" w:type="dxa"/>
            <w:bottom w:w="0" w:type="dxa"/>
            <w:right w:w="108" w:type="dxa"/>
          </w:tblCellMar>
        </w:tblPrEx>
        <w:trPr>
          <w:trHeight w:val="340" w:hRule="atLeast"/>
        </w:trPr>
        <w:tc>
          <w:tcPr>
            <w:tcW w:w="704"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724"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本科8栋</w:t>
            </w:r>
          </w:p>
        </w:tc>
        <w:tc>
          <w:tcPr>
            <w:tcW w:w="70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琴尔</w:t>
            </w:r>
          </w:p>
        </w:tc>
        <w:tc>
          <w:tcPr>
            <w:tcW w:w="1050"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1029"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格兰富</w:t>
            </w:r>
          </w:p>
        </w:tc>
        <w:tc>
          <w:tcPr>
            <w:tcW w:w="985"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85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邗江</w:t>
            </w:r>
          </w:p>
        </w:tc>
        <w:tc>
          <w:tcPr>
            <w:tcW w:w="900"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445"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本科8栋屋面</w:t>
            </w:r>
          </w:p>
        </w:tc>
      </w:tr>
      <w:tr>
        <w:tblPrEx>
          <w:tblCellMar>
            <w:top w:w="0" w:type="dxa"/>
            <w:left w:w="108" w:type="dxa"/>
            <w:bottom w:w="0" w:type="dxa"/>
            <w:right w:w="108" w:type="dxa"/>
          </w:tblCellMar>
        </w:tblPrEx>
        <w:trPr>
          <w:trHeight w:val="340" w:hRule="atLeast"/>
        </w:trPr>
        <w:tc>
          <w:tcPr>
            <w:tcW w:w="704"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724"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本科1栋</w:t>
            </w:r>
          </w:p>
        </w:tc>
        <w:tc>
          <w:tcPr>
            <w:tcW w:w="70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美的</w:t>
            </w:r>
          </w:p>
        </w:tc>
        <w:tc>
          <w:tcPr>
            <w:tcW w:w="1050"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7</w:t>
            </w:r>
          </w:p>
        </w:tc>
        <w:tc>
          <w:tcPr>
            <w:tcW w:w="1029"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威乐</w:t>
            </w:r>
          </w:p>
        </w:tc>
        <w:tc>
          <w:tcPr>
            <w:tcW w:w="985"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6</w:t>
            </w:r>
          </w:p>
        </w:tc>
        <w:tc>
          <w:tcPr>
            <w:tcW w:w="858"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凌群</w:t>
            </w:r>
          </w:p>
        </w:tc>
        <w:tc>
          <w:tcPr>
            <w:tcW w:w="900"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1445"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本科1栋屋面</w:t>
            </w:r>
          </w:p>
        </w:tc>
      </w:tr>
      <w:tr>
        <w:tblPrEx>
          <w:tblCellMar>
            <w:top w:w="0" w:type="dxa"/>
            <w:left w:w="108" w:type="dxa"/>
            <w:bottom w:w="0" w:type="dxa"/>
            <w:right w:w="108" w:type="dxa"/>
          </w:tblCellMar>
        </w:tblPrEx>
        <w:trPr>
          <w:trHeight w:val="340" w:hRule="atLeast"/>
        </w:trPr>
        <w:tc>
          <w:tcPr>
            <w:tcW w:w="704"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724"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本科2栋</w:t>
            </w:r>
          </w:p>
        </w:tc>
        <w:tc>
          <w:tcPr>
            <w:tcW w:w="70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美的</w:t>
            </w:r>
          </w:p>
        </w:tc>
        <w:tc>
          <w:tcPr>
            <w:tcW w:w="1050"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1029"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威乐</w:t>
            </w:r>
          </w:p>
        </w:tc>
        <w:tc>
          <w:tcPr>
            <w:tcW w:w="985"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858"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凌群</w:t>
            </w:r>
          </w:p>
        </w:tc>
        <w:tc>
          <w:tcPr>
            <w:tcW w:w="900"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445"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本科2栋屋面</w:t>
            </w:r>
          </w:p>
        </w:tc>
      </w:tr>
      <w:tr>
        <w:tblPrEx>
          <w:tblCellMar>
            <w:top w:w="0" w:type="dxa"/>
            <w:left w:w="108" w:type="dxa"/>
            <w:bottom w:w="0" w:type="dxa"/>
            <w:right w:w="108" w:type="dxa"/>
          </w:tblCellMar>
        </w:tblPrEx>
        <w:trPr>
          <w:trHeight w:val="340" w:hRule="atLeast"/>
        </w:trPr>
        <w:tc>
          <w:tcPr>
            <w:tcW w:w="704"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6</w:t>
            </w:r>
          </w:p>
        </w:tc>
        <w:tc>
          <w:tcPr>
            <w:tcW w:w="724"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本科4栋</w:t>
            </w:r>
          </w:p>
        </w:tc>
        <w:tc>
          <w:tcPr>
            <w:tcW w:w="70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美的</w:t>
            </w:r>
          </w:p>
        </w:tc>
        <w:tc>
          <w:tcPr>
            <w:tcW w:w="1050"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7</w:t>
            </w:r>
          </w:p>
        </w:tc>
        <w:tc>
          <w:tcPr>
            <w:tcW w:w="1029"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威乐</w:t>
            </w:r>
          </w:p>
        </w:tc>
        <w:tc>
          <w:tcPr>
            <w:tcW w:w="985"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6</w:t>
            </w:r>
          </w:p>
        </w:tc>
        <w:tc>
          <w:tcPr>
            <w:tcW w:w="858"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凌群</w:t>
            </w:r>
          </w:p>
        </w:tc>
        <w:tc>
          <w:tcPr>
            <w:tcW w:w="900"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1445"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本科4栋屋面</w:t>
            </w:r>
          </w:p>
        </w:tc>
      </w:tr>
      <w:tr>
        <w:tblPrEx>
          <w:tblCellMar>
            <w:top w:w="0" w:type="dxa"/>
            <w:left w:w="108" w:type="dxa"/>
            <w:bottom w:w="0" w:type="dxa"/>
            <w:right w:w="108" w:type="dxa"/>
          </w:tblCellMar>
        </w:tblPrEx>
        <w:trPr>
          <w:trHeight w:val="340" w:hRule="atLeast"/>
        </w:trPr>
        <w:tc>
          <w:tcPr>
            <w:tcW w:w="704"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7</w:t>
            </w:r>
          </w:p>
        </w:tc>
        <w:tc>
          <w:tcPr>
            <w:tcW w:w="724"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本科5栋</w:t>
            </w:r>
          </w:p>
        </w:tc>
        <w:tc>
          <w:tcPr>
            <w:tcW w:w="70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美的</w:t>
            </w:r>
          </w:p>
        </w:tc>
        <w:tc>
          <w:tcPr>
            <w:tcW w:w="1050"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1029"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威乐</w:t>
            </w:r>
          </w:p>
        </w:tc>
        <w:tc>
          <w:tcPr>
            <w:tcW w:w="985"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858"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凌群</w:t>
            </w:r>
          </w:p>
        </w:tc>
        <w:tc>
          <w:tcPr>
            <w:tcW w:w="900"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445"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本科5栋屋面</w:t>
            </w:r>
          </w:p>
        </w:tc>
      </w:tr>
      <w:tr>
        <w:tblPrEx>
          <w:tblCellMar>
            <w:top w:w="0" w:type="dxa"/>
            <w:left w:w="108" w:type="dxa"/>
            <w:bottom w:w="0" w:type="dxa"/>
            <w:right w:w="108" w:type="dxa"/>
          </w:tblCellMar>
        </w:tblPrEx>
        <w:trPr>
          <w:trHeight w:val="340" w:hRule="atLeast"/>
        </w:trPr>
        <w:tc>
          <w:tcPr>
            <w:tcW w:w="704"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8</w:t>
            </w:r>
          </w:p>
        </w:tc>
        <w:tc>
          <w:tcPr>
            <w:tcW w:w="724"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本科6栋</w:t>
            </w:r>
          </w:p>
        </w:tc>
        <w:tc>
          <w:tcPr>
            <w:tcW w:w="70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美的</w:t>
            </w:r>
          </w:p>
        </w:tc>
        <w:tc>
          <w:tcPr>
            <w:tcW w:w="1050"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7</w:t>
            </w:r>
          </w:p>
        </w:tc>
        <w:tc>
          <w:tcPr>
            <w:tcW w:w="1029"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威乐</w:t>
            </w:r>
          </w:p>
        </w:tc>
        <w:tc>
          <w:tcPr>
            <w:tcW w:w="985"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6</w:t>
            </w:r>
          </w:p>
        </w:tc>
        <w:tc>
          <w:tcPr>
            <w:tcW w:w="858"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凌群</w:t>
            </w:r>
          </w:p>
        </w:tc>
        <w:tc>
          <w:tcPr>
            <w:tcW w:w="900"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1445"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本科6栋屋面</w:t>
            </w:r>
          </w:p>
        </w:tc>
      </w:tr>
      <w:tr>
        <w:tblPrEx>
          <w:tblCellMar>
            <w:top w:w="0" w:type="dxa"/>
            <w:left w:w="108" w:type="dxa"/>
            <w:bottom w:w="0" w:type="dxa"/>
            <w:right w:w="108" w:type="dxa"/>
          </w:tblCellMar>
        </w:tblPrEx>
        <w:trPr>
          <w:trHeight w:val="340" w:hRule="atLeast"/>
        </w:trPr>
        <w:tc>
          <w:tcPr>
            <w:tcW w:w="704"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9</w:t>
            </w:r>
          </w:p>
        </w:tc>
        <w:tc>
          <w:tcPr>
            <w:tcW w:w="724"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本科9栋</w:t>
            </w:r>
          </w:p>
        </w:tc>
        <w:tc>
          <w:tcPr>
            <w:tcW w:w="70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琴尔</w:t>
            </w:r>
          </w:p>
        </w:tc>
        <w:tc>
          <w:tcPr>
            <w:tcW w:w="1050"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1029"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格兰富</w:t>
            </w:r>
          </w:p>
        </w:tc>
        <w:tc>
          <w:tcPr>
            <w:tcW w:w="985"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85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恒泰采能</w:t>
            </w:r>
          </w:p>
        </w:tc>
        <w:tc>
          <w:tcPr>
            <w:tcW w:w="900"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445"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本科9栋屋面</w:t>
            </w:r>
          </w:p>
        </w:tc>
      </w:tr>
      <w:tr>
        <w:tblPrEx>
          <w:tblCellMar>
            <w:top w:w="0" w:type="dxa"/>
            <w:left w:w="108" w:type="dxa"/>
            <w:bottom w:w="0" w:type="dxa"/>
            <w:right w:w="108" w:type="dxa"/>
          </w:tblCellMar>
        </w:tblPrEx>
        <w:trPr>
          <w:trHeight w:val="340" w:hRule="atLeast"/>
        </w:trPr>
        <w:tc>
          <w:tcPr>
            <w:tcW w:w="704"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10</w:t>
            </w:r>
          </w:p>
        </w:tc>
        <w:tc>
          <w:tcPr>
            <w:tcW w:w="724"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本科10栋</w:t>
            </w:r>
          </w:p>
        </w:tc>
        <w:tc>
          <w:tcPr>
            <w:tcW w:w="70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琴尔</w:t>
            </w:r>
          </w:p>
        </w:tc>
        <w:tc>
          <w:tcPr>
            <w:tcW w:w="1050"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1029"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格兰富</w:t>
            </w:r>
          </w:p>
        </w:tc>
        <w:tc>
          <w:tcPr>
            <w:tcW w:w="985"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85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恒泰采能</w:t>
            </w:r>
          </w:p>
        </w:tc>
        <w:tc>
          <w:tcPr>
            <w:tcW w:w="900"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445"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本科10栋屋面</w:t>
            </w:r>
          </w:p>
        </w:tc>
      </w:tr>
      <w:tr>
        <w:tblPrEx>
          <w:tblCellMar>
            <w:top w:w="0" w:type="dxa"/>
            <w:left w:w="108" w:type="dxa"/>
            <w:bottom w:w="0" w:type="dxa"/>
            <w:right w:w="108" w:type="dxa"/>
          </w:tblCellMar>
        </w:tblPrEx>
        <w:trPr>
          <w:trHeight w:val="340" w:hRule="atLeast"/>
        </w:trPr>
        <w:tc>
          <w:tcPr>
            <w:tcW w:w="704"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11</w:t>
            </w:r>
          </w:p>
        </w:tc>
        <w:tc>
          <w:tcPr>
            <w:tcW w:w="724"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本科10栋地下室</w:t>
            </w:r>
          </w:p>
        </w:tc>
        <w:tc>
          <w:tcPr>
            <w:tcW w:w="70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琴尔</w:t>
            </w:r>
          </w:p>
        </w:tc>
        <w:tc>
          <w:tcPr>
            <w:tcW w:w="1050"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16</w:t>
            </w:r>
          </w:p>
        </w:tc>
        <w:tc>
          <w:tcPr>
            <w:tcW w:w="1029"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格兰富</w:t>
            </w:r>
          </w:p>
        </w:tc>
        <w:tc>
          <w:tcPr>
            <w:tcW w:w="985"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12</w:t>
            </w:r>
          </w:p>
        </w:tc>
        <w:tc>
          <w:tcPr>
            <w:tcW w:w="85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恒泰采能</w:t>
            </w:r>
          </w:p>
        </w:tc>
        <w:tc>
          <w:tcPr>
            <w:tcW w:w="900"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1445"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本科10栋地下室</w:t>
            </w:r>
          </w:p>
        </w:tc>
      </w:tr>
      <w:tr>
        <w:tblPrEx>
          <w:tblCellMar>
            <w:top w:w="0" w:type="dxa"/>
            <w:left w:w="108" w:type="dxa"/>
            <w:bottom w:w="0" w:type="dxa"/>
            <w:right w:w="108" w:type="dxa"/>
          </w:tblCellMar>
        </w:tblPrEx>
        <w:trPr>
          <w:trHeight w:val="340" w:hRule="atLeast"/>
        </w:trPr>
        <w:tc>
          <w:tcPr>
            <w:tcW w:w="704"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12</w:t>
            </w:r>
          </w:p>
        </w:tc>
        <w:tc>
          <w:tcPr>
            <w:tcW w:w="724"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本科11栋</w:t>
            </w:r>
          </w:p>
        </w:tc>
        <w:tc>
          <w:tcPr>
            <w:tcW w:w="70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琴尔</w:t>
            </w:r>
          </w:p>
        </w:tc>
        <w:tc>
          <w:tcPr>
            <w:tcW w:w="1050"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1029"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格兰富</w:t>
            </w:r>
          </w:p>
        </w:tc>
        <w:tc>
          <w:tcPr>
            <w:tcW w:w="985"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85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恒泰采能</w:t>
            </w:r>
          </w:p>
        </w:tc>
        <w:tc>
          <w:tcPr>
            <w:tcW w:w="900"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445"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本科11栋屋面</w:t>
            </w:r>
          </w:p>
        </w:tc>
      </w:tr>
      <w:tr>
        <w:tblPrEx>
          <w:tblCellMar>
            <w:top w:w="0" w:type="dxa"/>
            <w:left w:w="108" w:type="dxa"/>
            <w:bottom w:w="0" w:type="dxa"/>
            <w:right w:w="108" w:type="dxa"/>
          </w:tblCellMar>
        </w:tblPrEx>
        <w:trPr>
          <w:trHeight w:val="340" w:hRule="atLeast"/>
        </w:trPr>
        <w:tc>
          <w:tcPr>
            <w:tcW w:w="704"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13</w:t>
            </w:r>
          </w:p>
        </w:tc>
        <w:tc>
          <w:tcPr>
            <w:tcW w:w="724"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本科12栋</w:t>
            </w:r>
          </w:p>
        </w:tc>
        <w:tc>
          <w:tcPr>
            <w:tcW w:w="70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琴尔</w:t>
            </w:r>
          </w:p>
        </w:tc>
        <w:tc>
          <w:tcPr>
            <w:tcW w:w="1050"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1029"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格兰富</w:t>
            </w:r>
          </w:p>
        </w:tc>
        <w:tc>
          <w:tcPr>
            <w:tcW w:w="985"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85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恒泰采能</w:t>
            </w:r>
          </w:p>
        </w:tc>
        <w:tc>
          <w:tcPr>
            <w:tcW w:w="900"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445"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本科12栋屋面</w:t>
            </w:r>
          </w:p>
        </w:tc>
      </w:tr>
      <w:tr>
        <w:tblPrEx>
          <w:tblCellMar>
            <w:top w:w="0" w:type="dxa"/>
            <w:left w:w="108" w:type="dxa"/>
            <w:bottom w:w="0" w:type="dxa"/>
            <w:right w:w="108" w:type="dxa"/>
          </w:tblCellMar>
        </w:tblPrEx>
        <w:trPr>
          <w:trHeight w:val="340" w:hRule="atLeast"/>
        </w:trPr>
        <w:tc>
          <w:tcPr>
            <w:tcW w:w="704"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14</w:t>
            </w:r>
          </w:p>
        </w:tc>
        <w:tc>
          <w:tcPr>
            <w:tcW w:w="724"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本科13栋</w:t>
            </w:r>
          </w:p>
        </w:tc>
        <w:tc>
          <w:tcPr>
            <w:tcW w:w="70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琴尔</w:t>
            </w:r>
          </w:p>
        </w:tc>
        <w:tc>
          <w:tcPr>
            <w:tcW w:w="1050"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1029"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格兰富</w:t>
            </w:r>
          </w:p>
        </w:tc>
        <w:tc>
          <w:tcPr>
            <w:tcW w:w="985"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85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恒泰采能</w:t>
            </w:r>
          </w:p>
        </w:tc>
        <w:tc>
          <w:tcPr>
            <w:tcW w:w="900"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445"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本科13栋屋面</w:t>
            </w:r>
          </w:p>
        </w:tc>
      </w:tr>
      <w:tr>
        <w:tblPrEx>
          <w:tblCellMar>
            <w:top w:w="0" w:type="dxa"/>
            <w:left w:w="108" w:type="dxa"/>
            <w:bottom w:w="0" w:type="dxa"/>
            <w:right w:w="108" w:type="dxa"/>
          </w:tblCellMar>
        </w:tblPrEx>
        <w:trPr>
          <w:trHeight w:val="340" w:hRule="atLeast"/>
        </w:trPr>
        <w:tc>
          <w:tcPr>
            <w:tcW w:w="704"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15</w:t>
            </w:r>
          </w:p>
        </w:tc>
        <w:tc>
          <w:tcPr>
            <w:tcW w:w="724"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本科14栋</w:t>
            </w:r>
          </w:p>
        </w:tc>
        <w:tc>
          <w:tcPr>
            <w:tcW w:w="70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琴尔</w:t>
            </w:r>
          </w:p>
        </w:tc>
        <w:tc>
          <w:tcPr>
            <w:tcW w:w="1050"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1029"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格兰富</w:t>
            </w:r>
          </w:p>
        </w:tc>
        <w:tc>
          <w:tcPr>
            <w:tcW w:w="985"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85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恒泰采能</w:t>
            </w:r>
          </w:p>
        </w:tc>
        <w:tc>
          <w:tcPr>
            <w:tcW w:w="900"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445"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本科14栋屋面</w:t>
            </w:r>
          </w:p>
        </w:tc>
      </w:tr>
      <w:tr>
        <w:tblPrEx>
          <w:tblCellMar>
            <w:top w:w="0" w:type="dxa"/>
            <w:left w:w="108" w:type="dxa"/>
            <w:bottom w:w="0" w:type="dxa"/>
            <w:right w:w="108" w:type="dxa"/>
          </w:tblCellMar>
        </w:tblPrEx>
        <w:trPr>
          <w:trHeight w:val="340" w:hRule="atLeast"/>
        </w:trPr>
        <w:tc>
          <w:tcPr>
            <w:tcW w:w="704"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16</w:t>
            </w:r>
          </w:p>
        </w:tc>
        <w:tc>
          <w:tcPr>
            <w:tcW w:w="724"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本科15栋</w:t>
            </w:r>
          </w:p>
        </w:tc>
        <w:tc>
          <w:tcPr>
            <w:tcW w:w="70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琴尔</w:t>
            </w:r>
          </w:p>
        </w:tc>
        <w:tc>
          <w:tcPr>
            <w:tcW w:w="1050"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10</w:t>
            </w:r>
          </w:p>
        </w:tc>
        <w:tc>
          <w:tcPr>
            <w:tcW w:w="1029"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格兰富</w:t>
            </w:r>
          </w:p>
        </w:tc>
        <w:tc>
          <w:tcPr>
            <w:tcW w:w="985"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8</w:t>
            </w:r>
          </w:p>
        </w:tc>
        <w:tc>
          <w:tcPr>
            <w:tcW w:w="85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恒泰采能</w:t>
            </w:r>
          </w:p>
        </w:tc>
        <w:tc>
          <w:tcPr>
            <w:tcW w:w="900"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1445"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本科15栋屋面</w:t>
            </w:r>
          </w:p>
        </w:tc>
      </w:tr>
      <w:tr>
        <w:tblPrEx>
          <w:tblCellMar>
            <w:top w:w="0" w:type="dxa"/>
            <w:left w:w="108" w:type="dxa"/>
            <w:bottom w:w="0" w:type="dxa"/>
            <w:right w:w="108" w:type="dxa"/>
          </w:tblCellMar>
        </w:tblPrEx>
        <w:trPr>
          <w:trHeight w:val="340" w:hRule="atLeast"/>
        </w:trPr>
        <w:tc>
          <w:tcPr>
            <w:tcW w:w="704"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17</w:t>
            </w:r>
          </w:p>
        </w:tc>
        <w:tc>
          <w:tcPr>
            <w:tcW w:w="724"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本科16-19栋</w:t>
            </w:r>
          </w:p>
        </w:tc>
        <w:tc>
          <w:tcPr>
            <w:tcW w:w="70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琴尔</w:t>
            </w:r>
          </w:p>
        </w:tc>
        <w:tc>
          <w:tcPr>
            <w:tcW w:w="1050"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20</w:t>
            </w:r>
          </w:p>
        </w:tc>
        <w:tc>
          <w:tcPr>
            <w:tcW w:w="1029"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格兰富</w:t>
            </w:r>
          </w:p>
        </w:tc>
        <w:tc>
          <w:tcPr>
            <w:tcW w:w="985"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12</w:t>
            </w:r>
          </w:p>
        </w:tc>
        <w:tc>
          <w:tcPr>
            <w:tcW w:w="85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恒泰采能</w:t>
            </w:r>
          </w:p>
        </w:tc>
        <w:tc>
          <w:tcPr>
            <w:tcW w:w="900"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7</w:t>
            </w:r>
          </w:p>
        </w:tc>
        <w:tc>
          <w:tcPr>
            <w:tcW w:w="1445"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本科16栋背后地面</w:t>
            </w:r>
          </w:p>
        </w:tc>
      </w:tr>
      <w:tr>
        <w:tblPrEx>
          <w:tblCellMar>
            <w:top w:w="0" w:type="dxa"/>
            <w:left w:w="108" w:type="dxa"/>
            <w:bottom w:w="0" w:type="dxa"/>
            <w:right w:w="108" w:type="dxa"/>
          </w:tblCellMar>
        </w:tblPrEx>
        <w:trPr>
          <w:trHeight w:val="340" w:hRule="atLeast"/>
        </w:trPr>
        <w:tc>
          <w:tcPr>
            <w:tcW w:w="704"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18</w:t>
            </w:r>
          </w:p>
        </w:tc>
        <w:tc>
          <w:tcPr>
            <w:tcW w:w="724"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本科22栋</w:t>
            </w:r>
          </w:p>
        </w:tc>
        <w:tc>
          <w:tcPr>
            <w:tcW w:w="70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美的</w:t>
            </w:r>
          </w:p>
        </w:tc>
        <w:tc>
          <w:tcPr>
            <w:tcW w:w="1050"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9</w:t>
            </w:r>
          </w:p>
        </w:tc>
        <w:tc>
          <w:tcPr>
            <w:tcW w:w="1029"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威乐</w:t>
            </w:r>
          </w:p>
        </w:tc>
        <w:tc>
          <w:tcPr>
            <w:tcW w:w="985"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8</w:t>
            </w:r>
          </w:p>
        </w:tc>
        <w:tc>
          <w:tcPr>
            <w:tcW w:w="85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健华</w:t>
            </w:r>
          </w:p>
        </w:tc>
        <w:tc>
          <w:tcPr>
            <w:tcW w:w="900"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1445"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本科22栋屋面</w:t>
            </w:r>
          </w:p>
        </w:tc>
      </w:tr>
      <w:tr>
        <w:tblPrEx>
          <w:tblCellMar>
            <w:top w:w="0" w:type="dxa"/>
            <w:left w:w="108" w:type="dxa"/>
            <w:bottom w:w="0" w:type="dxa"/>
            <w:right w:w="108" w:type="dxa"/>
          </w:tblCellMar>
        </w:tblPrEx>
        <w:trPr>
          <w:trHeight w:val="340" w:hRule="atLeast"/>
        </w:trPr>
        <w:tc>
          <w:tcPr>
            <w:tcW w:w="704"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19</w:t>
            </w:r>
          </w:p>
        </w:tc>
        <w:tc>
          <w:tcPr>
            <w:tcW w:w="724"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本科24栋</w:t>
            </w:r>
          </w:p>
        </w:tc>
        <w:tc>
          <w:tcPr>
            <w:tcW w:w="70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美的</w:t>
            </w:r>
          </w:p>
        </w:tc>
        <w:tc>
          <w:tcPr>
            <w:tcW w:w="1050"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1029"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威乐</w:t>
            </w:r>
          </w:p>
        </w:tc>
        <w:tc>
          <w:tcPr>
            <w:tcW w:w="985"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85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健华</w:t>
            </w:r>
          </w:p>
        </w:tc>
        <w:tc>
          <w:tcPr>
            <w:tcW w:w="900"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445"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本科24栋屋面</w:t>
            </w:r>
          </w:p>
        </w:tc>
      </w:tr>
      <w:tr>
        <w:tblPrEx>
          <w:tblCellMar>
            <w:top w:w="0" w:type="dxa"/>
            <w:left w:w="108" w:type="dxa"/>
            <w:bottom w:w="0" w:type="dxa"/>
            <w:right w:w="108" w:type="dxa"/>
          </w:tblCellMar>
        </w:tblPrEx>
        <w:trPr>
          <w:trHeight w:val="60" w:hRule="atLeast"/>
        </w:trPr>
        <w:tc>
          <w:tcPr>
            <w:tcW w:w="704"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20</w:t>
            </w:r>
          </w:p>
        </w:tc>
        <w:tc>
          <w:tcPr>
            <w:tcW w:w="724"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本科26栋</w:t>
            </w:r>
          </w:p>
        </w:tc>
        <w:tc>
          <w:tcPr>
            <w:tcW w:w="70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美的</w:t>
            </w:r>
          </w:p>
        </w:tc>
        <w:tc>
          <w:tcPr>
            <w:tcW w:w="1050"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1029"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威乐</w:t>
            </w:r>
          </w:p>
        </w:tc>
        <w:tc>
          <w:tcPr>
            <w:tcW w:w="985"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85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健华</w:t>
            </w:r>
          </w:p>
        </w:tc>
        <w:tc>
          <w:tcPr>
            <w:tcW w:w="900"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445"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本科26栋屋面</w:t>
            </w:r>
          </w:p>
        </w:tc>
      </w:tr>
    </w:tbl>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清水河校区硕士生1-33栋、留学生2栋、留学生4栋、博士7-9栋。</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上述范围的空气源热泵热水供应系统的主要设施明细如下：</w:t>
      </w:r>
    </w:p>
    <w:tbl>
      <w:tblPr>
        <w:tblStyle w:val="5"/>
        <w:tblW w:w="8493" w:type="dxa"/>
        <w:tblInd w:w="-85" w:type="dxa"/>
        <w:tblLayout w:type="fixed"/>
        <w:tblCellMar>
          <w:top w:w="0" w:type="dxa"/>
          <w:left w:w="108" w:type="dxa"/>
          <w:bottom w:w="0" w:type="dxa"/>
          <w:right w:w="108" w:type="dxa"/>
        </w:tblCellMar>
      </w:tblPr>
      <w:tblGrid>
        <w:gridCol w:w="733"/>
        <w:gridCol w:w="1303"/>
        <w:gridCol w:w="697"/>
        <w:gridCol w:w="998"/>
        <w:gridCol w:w="902"/>
        <w:gridCol w:w="972"/>
        <w:gridCol w:w="795"/>
        <w:gridCol w:w="911"/>
        <w:gridCol w:w="1182"/>
      </w:tblGrid>
      <w:tr>
        <w:tblPrEx>
          <w:tblCellMar>
            <w:top w:w="0" w:type="dxa"/>
            <w:left w:w="108" w:type="dxa"/>
            <w:bottom w:w="0" w:type="dxa"/>
            <w:right w:w="108" w:type="dxa"/>
          </w:tblCellMar>
        </w:tblPrEx>
        <w:trPr>
          <w:trHeight w:val="315" w:hRule="atLeast"/>
        </w:trPr>
        <w:tc>
          <w:tcPr>
            <w:tcW w:w="733" w:type="dxa"/>
            <w:vMerge w:val="restart"/>
            <w:tcBorders>
              <w:top w:val="single" w:color="auto" w:sz="4" w:space="0"/>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序号</w:t>
            </w:r>
          </w:p>
        </w:tc>
        <w:tc>
          <w:tcPr>
            <w:tcW w:w="1303" w:type="dxa"/>
            <w:vMerge w:val="restart"/>
            <w:tcBorders>
              <w:top w:val="single" w:color="auto" w:sz="4" w:space="0"/>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楼栋</w:t>
            </w:r>
          </w:p>
        </w:tc>
        <w:tc>
          <w:tcPr>
            <w:tcW w:w="1695" w:type="dxa"/>
            <w:gridSpan w:val="2"/>
            <w:tcBorders>
              <w:top w:val="single" w:color="auto" w:sz="4" w:space="0"/>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主机</w:t>
            </w:r>
          </w:p>
        </w:tc>
        <w:tc>
          <w:tcPr>
            <w:tcW w:w="1874" w:type="dxa"/>
            <w:gridSpan w:val="2"/>
            <w:tcBorders>
              <w:top w:val="single" w:color="auto" w:sz="4" w:space="0"/>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水泵</w:t>
            </w:r>
          </w:p>
        </w:tc>
        <w:tc>
          <w:tcPr>
            <w:tcW w:w="1706" w:type="dxa"/>
            <w:gridSpan w:val="2"/>
            <w:tcBorders>
              <w:top w:val="single" w:color="auto" w:sz="4" w:space="0"/>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水箱</w:t>
            </w:r>
          </w:p>
        </w:tc>
        <w:tc>
          <w:tcPr>
            <w:tcW w:w="1182" w:type="dxa"/>
            <w:vMerge w:val="restart"/>
            <w:tcBorders>
              <w:top w:val="single" w:color="auto" w:sz="4" w:space="0"/>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安装位置</w:t>
            </w:r>
          </w:p>
        </w:tc>
      </w:tr>
      <w:tr>
        <w:tblPrEx>
          <w:tblCellMar>
            <w:top w:w="0" w:type="dxa"/>
            <w:left w:w="108" w:type="dxa"/>
            <w:bottom w:w="0" w:type="dxa"/>
            <w:right w:w="108" w:type="dxa"/>
          </w:tblCellMar>
        </w:tblPrEx>
        <w:trPr>
          <w:trHeight w:val="315" w:hRule="atLeast"/>
        </w:trPr>
        <w:tc>
          <w:tcPr>
            <w:tcW w:w="733" w:type="dxa"/>
            <w:vMerge w:val="continue"/>
            <w:tcBorders>
              <w:top w:val="single" w:color="auto" w:sz="4" w:space="0"/>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p>
        </w:tc>
        <w:tc>
          <w:tcPr>
            <w:tcW w:w="1303" w:type="dxa"/>
            <w:vMerge w:val="continue"/>
            <w:tcBorders>
              <w:top w:val="single" w:color="auto" w:sz="4" w:space="0"/>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p>
        </w:tc>
        <w:tc>
          <w:tcPr>
            <w:tcW w:w="697"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品牌</w:t>
            </w:r>
          </w:p>
        </w:tc>
        <w:tc>
          <w:tcPr>
            <w:tcW w:w="998"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数量/台</w:t>
            </w:r>
          </w:p>
        </w:tc>
        <w:tc>
          <w:tcPr>
            <w:tcW w:w="902"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品牌</w:t>
            </w:r>
          </w:p>
        </w:tc>
        <w:tc>
          <w:tcPr>
            <w:tcW w:w="972"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数量/台</w:t>
            </w:r>
          </w:p>
        </w:tc>
        <w:tc>
          <w:tcPr>
            <w:tcW w:w="795"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品牌</w:t>
            </w:r>
          </w:p>
        </w:tc>
        <w:tc>
          <w:tcPr>
            <w:tcW w:w="911"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数量/台</w:t>
            </w:r>
          </w:p>
        </w:tc>
        <w:tc>
          <w:tcPr>
            <w:tcW w:w="1182" w:type="dxa"/>
            <w:vMerge w:val="continue"/>
            <w:tcBorders>
              <w:top w:val="single" w:color="auto" w:sz="4" w:space="0"/>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p>
        </w:tc>
      </w:tr>
      <w:tr>
        <w:tblPrEx>
          <w:tblCellMar>
            <w:top w:w="0" w:type="dxa"/>
            <w:left w:w="108" w:type="dxa"/>
            <w:bottom w:w="0" w:type="dxa"/>
            <w:right w:w="108" w:type="dxa"/>
          </w:tblCellMar>
        </w:tblPrEx>
        <w:trPr>
          <w:trHeight w:val="960" w:hRule="atLeast"/>
        </w:trPr>
        <w:tc>
          <w:tcPr>
            <w:tcW w:w="733"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303"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硕士9、10、11、12、13栋</w:t>
            </w:r>
          </w:p>
        </w:tc>
        <w:tc>
          <w:tcPr>
            <w:tcW w:w="69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琴尔</w:t>
            </w:r>
          </w:p>
        </w:tc>
        <w:tc>
          <w:tcPr>
            <w:tcW w:w="99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17</w:t>
            </w:r>
          </w:p>
        </w:tc>
        <w:tc>
          <w:tcPr>
            <w:tcW w:w="90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格兰富</w:t>
            </w:r>
          </w:p>
        </w:tc>
        <w:tc>
          <w:tcPr>
            <w:tcW w:w="97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12</w:t>
            </w:r>
          </w:p>
        </w:tc>
        <w:tc>
          <w:tcPr>
            <w:tcW w:w="795"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邗江</w:t>
            </w:r>
          </w:p>
        </w:tc>
        <w:tc>
          <w:tcPr>
            <w:tcW w:w="9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7</w:t>
            </w:r>
          </w:p>
        </w:tc>
        <w:tc>
          <w:tcPr>
            <w:tcW w:w="118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硕9背后</w:t>
            </w:r>
          </w:p>
        </w:tc>
      </w:tr>
      <w:tr>
        <w:tblPrEx>
          <w:tblCellMar>
            <w:top w:w="0" w:type="dxa"/>
            <w:left w:w="108" w:type="dxa"/>
            <w:bottom w:w="0" w:type="dxa"/>
            <w:right w:w="108" w:type="dxa"/>
          </w:tblCellMar>
        </w:tblPrEx>
        <w:trPr>
          <w:trHeight w:val="960" w:hRule="atLeast"/>
        </w:trPr>
        <w:tc>
          <w:tcPr>
            <w:tcW w:w="733"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1303"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硕士14、15、18、19、20栋</w:t>
            </w:r>
          </w:p>
        </w:tc>
        <w:tc>
          <w:tcPr>
            <w:tcW w:w="69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琴尔</w:t>
            </w:r>
          </w:p>
        </w:tc>
        <w:tc>
          <w:tcPr>
            <w:tcW w:w="99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12</w:t>
            </w:r>
          </w:p>
        </w:tc>
        <w:tc>
          <w:tcPr>
            <w:tcW w:w="90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格兰富</w:t>
            </w:r>
          </w:p>
        </w:tc>
        <w:tc>
          <w:tcPr>
            <w:tcW w:w="97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8</w:t>
            </w:r>
          </w:p>
        </w:tc>
        <w:tc>
          <w:tcPr>
            <w:tcW w:w="795"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邗江</w:t>
            </w:r>
          </w:p>
        </w:tc>
        <w:tc>
          <w:tcPr>
            <w:tcW w:w="9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118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硕14背后</w:t>
            </w:r>
          </w:p>
        </w:tc>
      </w:tr>
      <w:tr>
        <w:tblPrEx>
          <w:tblCellMar>
            <w:top w:w="0" w:type="dxa"/>
            <w:left w:w="108" w:type="dxa"/>
            <w:bottom w:w="0" w:type="dxa"/>
            <w:right w:w="108" w:type="dxa"/>
          </w:tblCellMar>
        </w:tblPrEx>
        <w:trPr>
          <w:trHeight w:val="645" w:hRule="atLeast"/>
        </w:trPr>
        <w:tc>
          <w:tcPr>
            <w:tcW w:w="733"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1303"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硕士16、17栋</w:t>
            </w:r>
          </w:p>
        </w:tc>
        <w:tc>
          <w:tcPr>
            <w:tcW w:w="69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琴尔</w:t>
            </w:r>
          </w:p>
        </w:tc>
        <w:tc>
          <w:tcPr>
            <w:tcW w:w="99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12</w:t>
            </w:r>
          </w:p>
        </w:tc>
        <w:tc>
          <w:tcPr>
            <w:tcW w:w="90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格兰富</w:t>
            </w:r>
          </w:p>
        </w:tc>
        <w:tc>
          <w:tcPr>
            <w:tcW w:w="97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8</w:t>
            </w:r>
          </w:p>
        </w:tc>
        <w:tc>
          <w:tcPr>
            <w:tcW w:w="795"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邗江</w:t>
            </w:r>
          </w:p>
        </w:tc>
        <w:tc>
          <w:tcPr>
            <w:tcW w:w="9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118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硕16背后</w:t>
            </w:r>
          </w:p>
        </w:tc>
      </w:tr>
      <w:tr>
        <w:tblPrEx>
          <w:tblCellMar>
            <w:top w:w="0" w:type="dxa"/>
            <w:left w:w="108" w:type="dxa"/>
            <w:bottom w:w="0" w:type="dxa"/>
            <w:right w:w="108" w:type="dxa"/>
          </w:tblCellMar>
        </w:tblPrEx>
        <w:trPr>
          <w:trHeight w:val="645" w:hRule="atLeast"/>
        </w:trPr>
        <w:tc>
          <w:tcPr>
            <w:tcW w:w="733"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1303"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硕士1栋</w:t>
            </w:r>
          </w:p>
        </w:tc>
        <w:tc>
          <w:tcPr>
            <w:tcW w:w="69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美的</w:t>
            </w:r>
          </w:p>
        </w:tc>
        <w:tc>
          <w:tcPr>
            <w:tcW w:w="99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90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威乐</w:t>
            </w:r>
          </w:p>
        </w:tc>
        <w:tc>
          <w:tcPr>
            <w:tcW w:w="97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795"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凌群</w:t>
            </w:r>
          </w:p>
        </w:tc>
        <w:tc>
          <w:tcPr>
            <w:tcW w:w="9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182"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硕士1栋屋面</w:t>
            </w:r>
          </w:p>
        </w:tc>
      </w:tr>
      <w:tr>
        <w:tblPrEx>
          <w:tblCellMar>
            <w:top w:w="0" w:type="dxa"/>
            <w:left w:w="108" w:type="dxa"/>
            <w:bottom w:w="0" w:type="dxa"/>
            <w:right w:w="108" w:type="dxa"/>
          </w:tblCellMar>
        </w:tblPrEx>
        <w:trPr>
          <w:trHeight w:val="645" w:hRule="atLeast"/>
        </w:trPr>
        <w:tc>
          <w:tcPr>
            <w:tcW w:w="733"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1303"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硕士2栋</w:t>
            </w:r>
          </w:p>
        </w:tc>
        <w:tc>
          <w:tcPr>
            <w:tcW w:w="69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美的</w:t>
            </w:r>
          </w:p>
        </w:tc>
        <w:tc>
          <w:tcPr>
            <w:tcW w:w="99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90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威乐</w:t>
            </w:r>
          </w:p>
        </w:tc>
        <w:tc>
          <w:tcPr>
            <w:tcW w:w="97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795"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凌群</w:t>
            </w:r>
          </w:p>
        </w:tc>
        <w:tc>
          <w:tcPr>
            <w:tcW w:w="9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182"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硕士2栋屋面</w:t>
            </w:r>
          </w:p>
        </w:tc>
      </w:tr>
      <w:tr>
        <w:tblPrEx>
          <w:tblCellMar>
            <w:top w:w="0" w:type="dxa"/>
            <w:left w:w="108" w:type="dxa"/>
            <w:bottom w:w="0" w:type="dxa"/>
            <w:right w:w="108" w:type="dxa"/>
          </w:tblCellMar>
        </w:tblPrEx>
        <w:trPr>
          <w:trHeight w:val="645" w:hRule="atLeast"/>
        </w:trPr>
        <w:tc>
          <w:tcPr>
            <w:tcW w:w="733"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6</w:t>
            </w:r>
          </w:p>
        </w:tc>
        <w:tc>
          <w:tcPr>
            <w:tcW w:w="1303"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硕士3栋</w:t>
            </w:r>
          </w:p>
        </w:tc>
        <w:tc>
          <w:tcPr>
            <w:tcW w:w="69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美的</w:t>
            </w:r>
          </w:p>
        </w:tc>
        <w:tc>
          <w:tcPr>
            <w:tcW w:w="99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90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威乐</w:t>
            </w:r>
          </w:p>
        </w:tc>
        <w:tc>
          <w:tcPr>
            <w:tcW w:w="97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795"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凌群</w:t>
            </w:r>
          </w:p>
        </w:tc>
        <w:tc>
          <w:tcPr>
            <w:tcW w:w="9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182"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硕士3栋屋面</w:t>
            </w:r>
          </w:p>
        </w:tc>
      </w:tr>
      <w:tr>
        <w:tblPrEx>
          <w:tblCellMar>
            <w:top w:w="0" w:type="dxa"/>
            <w:left w:w="108" w:type="dxa"/>
            <w:bottom w:w="0" w:type="dxa"/>
            <w:right w:w="108" w:type="dxa"/>
          </w:tblCellMar>
        </w:tblPrEx>
        <w:trPr>
          <w:trHeight w:val="645" w:hRule="atLeast"/>
        </w:trPr>
        <w:tc>
          <w:tcPr>
            <w:tcW w:w="733"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7</w:t>
            </w:r>
          </w:p>
        </w:tc>
        <w:tc>
          <w:tcPr>
            <w:tcW w:w="1303"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硕士4栋</w:t>
            </w:r>
          </w:p>
        </w:tc>
        <w:tc>
          <w:tcPr>
            <w:tcW w:w="69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美的</w:t>
            </w:r>
          </w:p>
        </w:tc>
        <w:tc>
          <w:tcPr>
            <w:tcW w:w="99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90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威乐</w:t>
            </w:r>
          </w:p>
        </w:tc>
        <w:tc>
          <w:tcPr>
            <w:tcW w:w="97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795"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凌群</w:t>
            </w:r>
          </w:p>
        </w:tc>
        <w:tc>
          <w:tcPr>
            <w:tcW w:w="9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182"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硕士4栋屋面</w:t>
            </w:r>
          </w:p>
        </w:tc>
      </w:tr>
      <w:tr>
        <w:tblPrEx>
          <w:tblCellMar>
            <w:top w:w="0" w:type="dxa"/>
            <w:left w:w="108" w:type="dxa"/>
            <w:bottom w:w="0" w:type="dxa"/>
            <w:right w:w="108" w:type="dxa"/>
          </w:tblCellMar>
        </w:tblPrEx>
        <w:trPr>
          <w:trHeight w:val="645" w:hRule="atLeast"/>
        </w:trPr>
        <w:tc>
          <w:tcPr>
            <w:tcW w:w="733"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8</w:t>
            </w:r>
          </w:p>
        </w:tc>
        <w:tc>
          <w:tcPr>
            <w:tcW w:w="1303"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硕士5栋</w:t>
            </w:r>
          </w:p>
        </w:tc>
        <w:tc>
          <w:tcPr>
            <w:tcW w:w="69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美的</w:t>
            </w:r>
          </w:p>
        </w:tc>
        <w:tc>
          <w:tcPr>
            <w:tcW w:w="99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90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威乐</w:t>
            </w:r>
          </w:p>
        </w:tc>
        <w:tc>
          <w:tcPr>
            <w:tcW w:w="97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6</w:t>
            </w:r>
          </w:p>
        </w:tc>
        <w:tc>
          <w:tcPr>
            <w:tcW w:w="795"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凌群</w:t>
            </w:r>
          </w:p>
        </w:tc>
        <w:tc>
          <w:tcPr>
            <w:tcW w:w="9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182"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硕士5栋屋面</w:t>
            </w:r>
          </w:p>
        </w:tc>
      </w:tr>
      <w:tr>
        <w:tblPrEx>
          <w:tblCellMar>
            <w:top w:w="0" w:type="dxa"/>
            <w:left w:w="108" w:type="dxa"/>
            <w:bottom w:w="0" w:type="dxa"/>
            <w:right w:w="108" w:type="dxa"/>
          </w:tblCellMar>
        </w:tblPrEx>
        <w:trPr>
          <w:trHeight w:val="645" w:hRule="atLeast"/>
        </w:trPr>
        <w:tc>
          <w:tcPr>
            <w:tcW w:w="733"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9</w:t>
            </w:r>
          </w:p>
        </w:tc>
        <w:tc>
          <w:tcPr>
            <w:tcW w:w="1303"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硕士6栋</w:t>
            </w:r>
          </w:p>
        </w:tc>
        <w:tc>
          <w:tcPr>
            <w:tcW w:w="69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美的</w:t>
            </w:r>
          </w:p>
        </w:tc>
        <w:tc>
          <w:tcPr>
            <w:tcW w:w="99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90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威乐</w:t>
            </w:r>
          </w:p>
        </w:tc>
        <w:tc>
          <w:tcPr>
            <w:tcW w:w="97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795"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凌群</w:t>
            </w:r>
          </w:p>
        </w:tc>
        <w:tc>
          <w:tcPr>
            <w:tcW w:w="9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182"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硕士6栋屋面</w:t>
            </w:r>
          </w:p>
        </w:tc>
      </w:tr>
      <w:tr>
        <w:tblPrEx>
          <w:tblCellMar>
            <w:top w:w="0" w:type="dxa"/>
            <w:left w:w="108" w:type="dxa"/>
            <w:bottom w:w="0" w:type="dxa"/>
            <w:right w:w="108" w:type="dxa"/>
          </w:tblCellMar>
        </w:tblPrEx>
        <w:trPr>
          <w:trHeight w:val="645" w:hRule="atLeast"/>
        </w:trPr>
        <w:tc>
          <w:tcPr>
            <w:tcW w:w="733"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10</w:t>
            </w:r>
          </w:p>
        </w:tc>
        <w:tc>
          <w:tcPr>
            <w:tcW w:w="1303"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硕士7栋</w:t>
            </w:r>
          </w:p>
        </w:tc>
        <w:tc>
          <w:tcPr>
            <w:tcW w:w="69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美的</w:t>
            </w:r>
          </w:p>
        </w:tc>
        <w:tc>
          <w:tcPr>
            <w:tcW w:w="99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90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威乐</w:t>
            </w:r>
          </w:p>
        </w:tc>
        <w:tc>
          <w:tcPr>
            <w:tcW w:w="97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795"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凌群</w:t>
            </w:r>
          </w:p>
        </w:tc>
        <w:tc>
          <w:tcPr>
            <w:tcW w:w="9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182"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硕士7栋屋面</w:t>
            </w:r>
          </w:p>
        </w:tc>
      </w:tr>
      <w:tr>
        <w:tblPrEx>
          <w:tblCellMar>
            <w:top w:w="0" w:type="dxa"/>
            <w:left w:w="108" w:type="dxa"/>
            <w:bottom w:w="0" w:type="dxa"/>
            <w:right w:w="108" w:type="dxa"/>
          </w:tblCellMar>
        </w:tblPrEx>
        <w:trPr>
          <w:trHeight w:val="645" w:hRule="atLeast"/>
        </w:trPr>
        <w:tc>
          <w:tcPr>
            <w:tcW w:w="733"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11</w:t>
            </w:r>
          </w:p>
        </w:tc>
        <w:tc>
          <w:tcPr>
            <w:tcW w:w="1303"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硕士8栋</w:t>
            </w:r>
          </w:p>
        </w:tc>
        <w:tc>
          <w:tcPr>
            <w:tcW w:w="69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美的</w:t>
            </w:r>
          </w:p>
        </w:tc>
        <w:tc>
          <w:tcPr>
            <w:tcW w:w="99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90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威乐</w:t>
            </w:r>
          </w:p>
        </w:tc>
        <w:tc>
          <w:tcPr>
            <w:tcW w:w="97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795"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凌群</w:t>
            </w:r>
          </w:p>
        </w:tc>
        <w:tc>
          <w:tcPr>
            <w:tcW w:w="9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182"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硕士8栋屋面</w:t>
            </w:r>
          </w:p>
        </w:tc>
      </w:tr>
      <w:tr>
        <w:tblPrEx>
          <w:tblCellMar>
            <w:top w:w="0" w:type="dxa"/>
            <w:left w:w="108" w:type="dxa"/>
            <w:bottom w:w="0" w:type="dxa"/>
            <w:right w:w="108" w:type="dxa"/>
          </w:tblCellMar>
        </w:tblPrEx>
        <w:trPr>
          <w:trHeight w:val="645" w:hRule="atLeast"/>
        </w:trPr>
        <w:tc>
          <w:tcPr>
            <w:tcW w:w="733"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12</w:t>
            </w:r>
          </w:p>
        </w:tc>
        <w:tc>
          <w:tcPr>
            <w:tcW w:w="1303"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留学生2栋</w:t>
            </w:r>
          </w:p>
        </w:tc>
        <w:tc>
          <w:tcPr>
            <w:tcW w:w="69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琴尔</w:t>
            </w:r>
          </w:p>
        </w:tc>
        <w:tc>
          <w:tcPr>
            <w:tcW w:w="99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90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格兰富</w:t>
            </w:r>
          </w:p>
        </w:tc>
        <w:tc>
          <w:tcPr>
            <w:tcW w:w="97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795"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恒泰采能</w:t>
            </w:r>
          </w:p>
        </w:tc>
        <w:tc>
          <w:tcPr>
            <w:tcW w:w="9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182"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留学生2栋屋面</w:t>
            </w:r>
          </w:p>
        </w:tc>
      </w:tr>
      <w:tr>
        <w:tblPrEx>
          <w:tblCellMar>
            <w:top w:w="0" w:type="dxa"/>
            <w:left w:w="108" w:type="dxa"/>
            <w:bottom w:w="0" w:type="dxa"/>
            <w:right w:w="108" w:type="dxa"/>
          </w:tblCellMar>
        </w:tblPrEx>
        <w:trPr>
          <w:trHeight w:val="645" w:hRule="atLeast"/>
        </w:trPr>
        <w:tc>
          <w:tcPr>
            <w:tcW w:w="733"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13</w:t>
            </w:r>
          </w:p>
        </w:tc>
        <w:tc>
          <w:tcPr>
            <w:tcW w:w="1303"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博士7栋</w:t>
            </w:r>
          </w:p>
        </w:tc>
        <w:tc>
          <w:tcPr>
            <w:tcW w:w="69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琴尔</w:t>
            </w:r>
          </w:p>
        </w:tc>
        <w:tc>
          <w:tcPr>
            <w:tcW w:w="99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90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格兰富</w:t>
            </w:r>
          </w:p>
        </w:tc>
        <w:tc>
          <w:tcPr>
            <w:tcW w:w="97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795"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恒泰采能</w:t>
            </w:r>
          </w:p>
        </w:tc>
        <w:tc>
          <w:tcPr>
            <w:tcW w:w="9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182"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博士7栋屋面</w:t>
            </w:r>
          </w:p>
        </w:tc>
      </w:tr>
      <w:tr>
        <w:tblPrEx>
          <w:tblCellMar>
            <w:top w:w="0" w:type="dxa"/>
            <w:left w:w="108" w:type="dxa"/>
            <w:bottom w:w="0" w:type="dxa"/>
            <w:right w:w="108" w:type="dxa"/>
          </w:tblCellMar>
        </w:tblPrEx>
        <w:trPr>
          <w:trHeight w:val="645" w:hRule="atLeast"/>
        </w:trPr>
        <w:tc>
          <w:tcPr>
            <w:tcW w:w="733"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14</w:t>
            </w:r>
          </w:p>
        </w:tc>
        <w:tc>
          <w:tcPr>
            <w:tcW w:w="1303"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博士8栋</w:t>
            </w:r>
          </w:p>
        </w:tc>
        <w:tc>
          <w:tcPr>
            <w:tcW w:w="69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琴尔</w:t>
            </w:r>
          </w:p>
        </w:tc>
        <w:tc>
          <w:tcPr>
            <w:tcW w:w="99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90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格兰富</w:t>
            </w:r>
          </w:p>
        </w:tc>
        <w:tc>
          <w:tcPr>
            <w:tcW w:w="97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795"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恒泰采能</w:t>
            </w:r>
          </w:p>
        </w:tc>
        <w:tc>
          <w:tcPr>
            <w:tcW w:w="9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1182"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博士8栋屋面</w:t>
            </w:r>
          </w:p>
        </w:tc>
      </w:tr>
      <w:tr>
        <w:tblPrEx>
          <w:tblCellMar>
            <w:top w:w="0" w:type="dxa"/>
            <w:left w:w="108" w:type="dxa"/>
            <w:bottom w:w="0" w:type="dxa"/>
            <w:right w:w="108" w:type="dxa"/>
          </w:tblCellMar>
        </w:tblPrEx>
        <w:trPr>
          <w:trHeight w:val="645" w:hRule="atLeast"/>
        </w:trPr>
        <w:tc>
          <w:tcPr>
            <w:tcW w:w="733"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15</w:t>
            </w:r>
          </w:p>
        </w:tc>
        <w:tc>
          <w:tcPr>
            <w:tcW w:w="1303"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博士9栋</w:t>
            </w:r>
          </w:p>
        </w:tc>
        <w:tc>
          <w:tcPr>
            <w:tcW w:w="69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琴尔</w:t>
            </w:r>
          </w:p>
        </w:tc>
        <w:tc>
          <w:tcPr>
            <w:tcW w:w="99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90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格兰富</w:t>
            </w:r>
          </w:p>
        </w:tc>
        <w:tc>
          <w:tcPr>
            <w:tcW w:w="97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795"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恒泰采能</w:t>
            </w:r>
          </w:p>
        </w:tc>
        <w:tc>
          <w:tcPr>
            <w:tcW w:w="9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182"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博士9栋屋面</w:t>
            </w:r>
          </w:p>
        </w:tc>
      </w:tr>
      <w:tr>
        <w:tblPrEx>
          <w:tblCellMar>
            <w:top w:w="0" w:type="dxa"/>
            <w:left w:w="108" w:type="dxa"/>
            <w:bottom w:w="0" w:type="dxa"/>
            <w:right w:w="108" w:type="dxa"/>
          </w:tblCellMar>
        </w:tblPrEx>
        <w:trPr>
          <w:trHeight w:val="645" w:hRule="atLeast"/>
        </w:trPr>
        <w:tc>
          <w:tcPr>
            <w:tcW w:w="733"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16</w:t>
            </w:r>
          </w:p>
        </w:tc>
        <w:tc>
          <w:tcPr>
            <w:tcW w:w="1303"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硕士21栋</w:t>
            </w:r>
          </w:p>
        </w:tc>
        <w:tc>
          <w:tcPr>
            <w:tcW w:w="69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美的</w:t>
            </w:r>
          </w:p>
        </w:tc>
        <w:tc>
          <w:tcPr>
            <w:tcW w:w="99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90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威乐</w:t>
            </w:r>
          </w:p>
        </w:tc>
        <w:tc>
          <w:tcPr>
            <w:tcW w:w="97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8</w:t>
            </w:r>
          </w:p>
        </w:tc>
        <w:tc>
          <w:tcPr>
            <w:tcW w:w="795"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健华</w:t>
            </w:r>
          </w:p>
        </w:tc>
        <w:tc>
          <w:tcPr>
            <w:tcW w:w="9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8</w:t>
            </w:r>
          </w:p>
        </w:tc>
        <w:tc>
          <w:tcPr>
            <w:tcW w:w="1182"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硕士21栋屋面</w:t>
            </w:r>
          </w:p>
        </w:tc>
      </w:tr>
      <w:tr>
        <w:tblPrEx>
          <w:tblCellMar>
            <w:top w:w="0" w:type="dxa"/>
            <w:left w:w="108" w:type="dxa"/>
            <w:bottom w:w="0" w:type="dxa"/>
            <w:right w:w="108" w:type="dxa"/>
          </w:tblCellMar>
        </w:tblPrEx>
        <w:trPr>
          <w:trHeight w:val="645" w:hRule="atLeast"/>
        </w:trPr>
        <w:tc>
          <w:tcPr>
            <w:tcW w:w="733"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17</w:t>
            </w:r>
          </w:p>
        </w:tc>
        <w:tc>
          <w:tcPr>
            <w:tcW w:w="1303"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硕士22栋</w:t>
            </w:r>
          </w:p>
        </w:tc>
        <w:tc>
          <w:tcPr>
            <w:tcW w:w="69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美的</w:t>
            </w:r>
          </w:p>
        </w:tc>
        <w:tc>
          <w:tcPr>
            <w:tcW w:w="99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90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威乐</w:t>
            </w:r>
          </w:p>
        </w:tc>
        <w:tc>
          <w:tcPr>
            <w:tcW w:w="97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795"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健华</w:t>
            </w:r>
          </w:p>
        </w:tc>
        <w:tc>
          <w:tcPr>
            <w:tcW w:w="9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1182"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硕士22栋屋面</w:t>
            </w:r>
          </w:p>
        </w:tc>
      </w:tr>
      <w:tr>
        <w:tblPrEx>
          <w:tblCellMar>
            <w:top w:w="0" w:type="dxa"/>
            <w:left w:w="108" w:type="dxa"/>
            <w:bottom w:w="0" w:type="dxa"/>
            <w:right w:w="108" w:type="dxa"/>
          </w:tblCellMar>
        </w:tblPrEx>
        <w:trPr>
          <w:trHeight w:val="645" w:hRule="atLeast"/>
        </w:trPr>
        <w:tc>
          <w:tcPr>
            <w:tcW w:w="733"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18</w:t>
            </w:r>
          </w:p>
        </w:tc>
        <w:tc>
          <w:tcPr>
            <w:tcW w:w="1303"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硕士23栋</w:t>
            </w:r>
          </w:p>
        </w:tc>
        <w:tc>
          <w:tcPr>
            <w:tcW w:w="69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美的</w:t>
            </w:r>
          </w:p>
        </w:tc>
        <w:tc>
          <w:tcPr>
            <w:tcW w:w="99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90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威乐</w:t>
            </w:r>
          </w:p>
        </w:tc>
        <w:tc>
          <w:tcPr>
            <w:tcW w:w="97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795"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健华</w:t>
            </w:r>
          </w:p>
        </w:tc>
        <w:tc>
          <w:tcPr>
            <w:tcW w:w="9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1182"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硕士23栋屋面</w:t>
            </w:r>
          </w:p>
        </w:tc>
      </w:tr>
      <w:tr>
        <w:tblPrEx>
          <w:tblCellMar>
            <w:top w:w="0" w:type="dxa"/>
            <w:left w:w="108" w:type="dxa"/>
            <w:bottom w:w="0" w:type="dxa"/>
            <w:right w:w="108" w:type="dxa"/>
          </w:tblCellMar>
        </w:tblPrEx>
        <w:trPr>
          <w:trHeight w:val="645" w:hRule="atLeast"/>
        </w:trPr>
        <w:tc>
          <w:tcPr>
            <w:tcW w:w="733"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19</w:t>
            </w:r>
          </w:p>
        </w:tc>
        <w:tc>
          <w:tcPr>
            <w:tcW w:w="1303"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硕士24栋</w:t>
            </w:r>
          </w:p>
        </w:tc>
        <w:tc>
          <w:tcPr>
            <w:tcW w:w="69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美的</w:t>
            </w:r>
          </w:p>
        </w:tc>
        <w:tc>
          <w:tcPr>
            <w:tcW w:w="99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90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威乐</w:t>
            </w:r>
          </w:p>
        </w:tc>
        <w:tc>
          <w:tcPr>
            <w:tcW w:w="97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795"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健华</w:t>
            </w:r>
          </w:p>
        </w:tc>
        <w:tc>
          <w:tcPr>
            <w:tcW w:w="9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1182"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硕士24栋屋面</w:t>
            </w:r>
          </w:p>
        </w:tc>
      </w:tr>
      <w:tr>
        <w:tblPrEx>
          <w:tblCellMar>
            <w:top w:w="0" w:type="dxa"/>
            <w:left w:w="108" w:type="dxa"/>
            <w:bottom w:w="0" w:type="dxa"/>
            <w:right w:w="108" w:type="dxa"/>
          </w:tblCellMar>
        </w:tblPrEx>
        <w:trPr>
          <w:trHeight w:val="645" w:hRule="atLeast"/>
        </w:trPr>
        <w:tc>
          <w:tcPr>
            <w:tcW w:w="733"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20</w:t>
            </w:r>
          </w:p>
        </w:tc>
        <w:tc>
          <w:tcPr>
            <w:tcW w:w="1303"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硕士25栋</w:t>
            </w:r>
          </w:p>
        </w:tc>
        <w:tc>
          <w:tcPr>
            <w:tcW w:w="69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美的</w:t>
            </w:r>
          </w:p>
        </w:tc>
        <w:tc>
          <w:tcPr>
            <w:tcW w:w="99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90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威乐</w:t>
            </w:r>
          </w:p>
        </w:tc>
        <w:tc>
          <w:tcPr>
            <w:tcW w:w="97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795"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健华</w:t>
            </w:r>
          </w:p>
        </w:tc>
        <w:tc>
          <w:tcPr>
            <w:tcW w:w="9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1182"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硕士25栋屋面</w:t>
            </w:r>
          </w:p>
        </w:tc>
      </w:tr>
      <w:tr>
        <w:tblPrEx>
          <w:tblCellMar>
            <w:top w:w="0" w:type="dxa"/>
            <w:left w:w="108" w:type="dxa"/>
            <w:bottom w:w="0" w:type="dxa"/>
            <w:right w:w="108" w:type="dxa"/>
          </w:tblCellMar>
        </w:tblPrEx>
        <w:trPr>
          <w:trHeight w:val="645" w:hRule="atLeast"/>
        </w:trPr>
        <w:tc>
          <w:tcPr>
            <w:tcW w:w="733"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21</w:t>
            </w:r>
          </w:p>
        </w:tc>
        <w:tc>
          <w:tcPr>
            <w:tcW w:w="1303"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硕士26栋</w:t>
            </w:r>
          </w:p>
        </w:tc>
        <w:tc>
          <w:tcPr>
            <w:tcW w:w="69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美的</w:t>
            </w:r>
          </w:p>
        </w:tc>
        <w:tc>
          <w:tcPr>
            <w:tcW w:w="99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90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威乐</w:t>
            </w:r>
          </w:p>
        </w:tc>
        <w:tc>
          <w:tcPr>
            <w:tcW w:w="97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8</w:t>
            </w:r>
          </w:p>
        </w:tc>
        <w:tc>
          <w:tcPr>
            <w:tcW w:w="795"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健华</w:t>
            </w:r>
          </w:p>
        </w:tc>
        <w:tc>
          <w:tcPr>
            <w:tcW w:w="9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8</w:t>
            </w:r>
          </w:p>
        </w:tc>
        <w:tc>
          <w:tcPr>
            <w:tcW w:w="1182"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硕士26栋屋面</w:t>
            </w:r>
          </w:p>
        </w:tc>
      </w:tr>
      <w:tr>
        <w:tblPrEx>
          <w:tblCellMar>
            <w:top w:w="0" w:type="dxa"/>
            <w:left w:w="108" w:type="dxa"/>
            <w:bottom w:w="0" w:type="dxa"/>
            <w:right w:w="108" w:type="dxa"/>
          </w:tblCellMar>
        </w:tblPrEx>
        <w:trPr>
          <w:trHeight w:val="645" w:hRule="atLeast"/>
        </w:trPr>
        <w:tc>
          <w:tcPr>
            <w:tcW w:w="733"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22</w:t>
            </w:r>
          </w:p>
        </w:tc>
        <w:tc>
          <w:tcPr>
            <w:tcW w:w="1303"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硕士27栋</w:t>
            </w:r>
          </w:p>
        </w:tc>
        <w:tc>
          <w:tcPr>
            <w:tcW w:w="69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美的</w:t>
            </w:r>
          </w:p>
        </w:tc>
        <w:tc>
          <w:tcPr>
            <w:tcW w:w="99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90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威乐</w:t>
            </w:r>
          </w:p>
        </w:tc>
        <w:tc>
          <w:tcPr>
            <w:tcW w:w="97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795"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健华</w:t>
            </w:r>
          </w:p>
        </w:tc>
        <w:tc>
          <w:tcPr>
            <w:tcW w:w="9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1182"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硕士27栋屋面</w:t>
            </w:r>
          </w:p>
        </w:tc>
      </w:tr>
      <w:tr>
        <w:tblPrEx>
          <w:tblCellMar>
            <w:top w:w="0" w:type="dxa"/>
            <w:left w:w="108" w:type="dxa"/>
            <w:bottom w:w="0" w:type="dxa"/>
            <w:right w:w="108" w:type="dxa"/>
          </w:tblCellMar>
        </w:tblPrEx>
        <w:trPr>
          <w:trHeight w:val="645" w:hRule="atLeast"/>
        </w:trPr>
        <w:tc>
          <w:tcPr>
            <w:tcW w:w="733"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23</w:t>
            </w:r>
          </w:p>
        </w:tc>
        <w:tc>
          <w:tcPr>
            <w:tcW w:w="1303"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硕士28栋</w:t>
            </w:r>
          </w:p>
        </w:tc>
        <w:tc>
          <w:tcPr>
            <w:tcW w:w="69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美的</w:t>
            </w:r>
          </w:p>
        </w:tc>
        <w:tc>
          <w:tcPr>
            <w:tcW w:w="99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90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威乐</w:t>
            </w:r>
          </w:p>
        </w:tc>
        <w:tc>
          <w:tcPr>
            <w:tcW w:w="97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795"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健华</w:t>
            </w:r>
          </w:p>
        </w:tc>
        <w:tc>
          <w:tcPr>
            <w:tcW w:w="9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1182"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硕士28栋屋面</w:t>
            </w:r>
          </w:p>
        </w:tc>
      </w:tr>
      <w:tr>
        <w:tblPrEx>
          <w:tblCellMar>
            <w:top w:w="0" w:type="dxa"/>
            <w:left w:w="108" w:type="dxa"/>
            <w:bottom w:w="0" w:type="dxa"/>
            <w:right w:w="108" w:type="dxa"/>
          </w:tblCellMar>
        </w:tblPrEx>
        <w:trPr>
          <w:trHeight w:val="645" w:hRule="atLeast"/>
        </w:trPr>
        <w:tc>
          <w:tcPr>
            <w:tcW w:w="733"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24</w:t>
            </w:r>
          </w:p>
        </w:tc>
        <w:tc>
          <w:tcPr>
            <w:tcW w:w="1303"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硕士29栋</w:t>
            </w:r>
          </w:p>
        </w:tc>
        <w:tc>
          <w:tcPr>
            <w:tcW w:w="69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美的</w:t>
            </w:r>
          </w:p>
        </w:tc>
        <w:tc>
          <w:tcPr>
            <w:tcW w:w="99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90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威乐</w:t>
            </w:r>
          </w:p>
        </w:tc>
        <w:tc>
          <w:tcPr>
            <w:tcW w:w="97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795"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健华</w:t>
            </w:r>
          </w:p>
        </w:tc>
        <w:tc>
          <w:tcPr>
            <w:tcW w:w="9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1182"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硕士29栋屋面</w:t>
            </w:r>
          </w:p>
        </w:tc>
      </w:tr>
      <w:tr>
        <w:tblPrEx>
          <w:tblCellMar>
            <w:top w:w="0" w:type="dxa"/>
            <w:left w:w="108" w:type="dxa"/>
            <w:bottom w:w="0" w:type="dxa"/>
            <w:right w:w="108" w:type="dxa"/>
          </w:tblCellMar>
        </w:tblPrEx>
        <w:trPr>
          <w:trHeight w:val="645" w:hRule="atLeast"/>
        </w:trPr>
        <w:tc>
          <w:tcPr>
            <w:tcW w:w="733"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25</w:t>
            </w:r>
          </w:p>
        </w:tc>
        <w:tc>
          <w:tcPr>
            <w:tcW w:w="1303"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留学生4栋</w:t>
            </w:r>
          </w:p>
        </w:tc>
        <w:tc>
          <w:tcPr>
            <w:tcW w:w="69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美的</w:t>
            </w:r>
          </w:p>
        </w:tc>
        <w:tc>
          <w:tcPr>
            <w:tcW w:w="99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90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威乐</w:t>
            </w:r>
          </w:p>
        </w:tc>
        <w:tc>
          <w:tcPr>
            <w:tcW w:w="97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795"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健华</w:t>
            </w:r>
          </w:p>
        </w:tc>
        <w:tc>
          <w:tcPr>
            <w:tcW w:w="9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1182"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留学生4栋屋面</w:t>
            </w:r>
          </w:p>
        </w:tc>
      </w:tr>
      <w:tr>
        <w:tblPrEx>
          <w:tblCellMar>
            <w:top w:w="0" w:type="dxa"/>
            <w:left w:w="108" w:type="dxa"/>
            <w:bottom w:w="0" w:type="dxa"/>
            <w:right w:w="108" w:type="dxa"/>
          </w:tblCellMar>
        </w:tblPrEx>
        <w:trPr>
          <w:trHeight w:val="645" w:hRule="atLeast"/>
        </w:trPr>
        <w:tc>
          <w:tcPr>
            <w:tcW w:w="733"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26</w:t>
            </w:r>
          </w:p>
        </w:tc>
        <w:tc>
          <w:tcPr>
            <w:tcW w:w="1303"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硕士30栋</w:t>
            </w:r>
          </w:p>
        </w:tc>
        <w:tc>
          <w:tcPr>
            <w:tcW w:w="69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美的</w:t>
            </w:r>
          </w:p>
        </w:tc>
        <w:tc>
          <w:tcPr>
            <w:tcW w:w="99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7</w:t>
            </w:r>
          </w:p>
        </w:tc>
        <w:tc>
          <w:tcPr>
            <w:tcW w:w="90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威乐</w:t>
            </w:r>
          </w:p>
        </w:tc>
        <w:tc>
          <w:tcPr>
            <w:tcW w:w="97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795"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金源泰</w:t>
            </w:r>
          </w:p>
        </w:tc>
        <w:tc>
          <w:tcPr>
            <w:tcW w:w="9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182"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硕士30栋屋面</w:t>
            </w:r>
          </w:p>
        </w:tc>
      </w:tr>
      <w:tr>
        <w:tblPrEx>
          <w:tblCellMar>
            <w:top w:w="0" w:type="dxa"/>
            <w:left w:w="108" w:type="dxa"/>
            <w:bottom w:w="0" w:type="dxa"/>
            <w:right w:w="108" w:type="dxa"/>
          </w:tblCellMar>
        </w:tblPrEx>
        <w:trPr>
          <w:trHeight w:val="645" w:hRule="atLeast"/>
        </w:trPr>
        <w:tc>
          <w:tcPr>
            <w:tcW w:w="733"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27</w:t>
            </w:r>
          </w:p>
        </w:tc>
        <w:tc>
          <w:tcPr>
            <w:tcW w:w="1303"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硕士31栋</w:t>
            </w:r>
          </w:p>
        </w:tc>
        <w:tc>
          <w:tcPr>
            <w:tcW w:w="69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美的</w:t>
            </w:r>
          </w:p>
        </w:tc>
        <w:tc>
          <w:tcPr>
            <w:tcW w:w="99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90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威乐</w:t>
            </w:r>
          </w:p>
        </w:tc>
        <w:tc>
          <w:tcPr>
            <w:tcW w:w="97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795"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金源泰</w:t>
            </w:r>
          </w:p>
        </w:tc>
        <w:tc>
          <w:tcPr>
            <w:tcW w:w="9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182"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硕士31栋屋面</w:t>
            </w:r>
          </w:p>
        </w:tc>
      </w:tr>
      <w:tr>
        <w:tblPrEx>
          <w:tblCellMar>
            <w:top w:w="0" w:type="dxa"/>
            <w:left w:w="108" w:type="dxa"/>
            <w:bottom w:w="0" w:type="dxa"/>
            <w:right w:w="108" w:type="dxa"/>
          </w:tblCellMar>
        </w:tblPrEx>
        <w:trPr>
          <w:trHeight w:val="645" w:hRule="atLeast"/>
        </w:trPr>
        <w:tc>
          <w:tcPr>
            <w:tcW w:w="733"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28</w:t>
            </w:r>
          </w:p>
        </w:tc>
        <w:tc>
          <w:tcPr>
            <w:tcW w:w="1303"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硕士32栋</w:t>
            </w:r>
          </w:p>
        </w:tc>
        <w:tc>
          <w:tcPr>
            <w:tcW w:w="69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美的</w:t>
            </w:r>
          </w:p>
        </w:tc>
        <w:tc>
          <w:tcPr>
            <w:tcW w:w="99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90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威乐</w:t>
            </w:r>
          </w:p>
        </w:tc>
        <w:tc>
          <w:tcPr>
            <w:tcW w:w="97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795"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金源泰</w:t>
            </w:r>
          </w:p>
        </w:tc>
        <w:tc>
          <w:tcPr>
            <w:tcW w:w="9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182"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硕士32栋屋面</w:t>
            </w:r>
          </w:p>
        </w:tc>
      </w:tr>
      <w:tr>
        <w:tblPrEx>
          <w:tblCellMar>
            <w:top w:w="0" w:type="dxa"/>
            <w:left w:w="108" w:type="dxa"/>
            <w:bottom w:w="0" w:type="dxa"/>
            <w:right w:w="108" w:type="dxa"/>
          </w:tblCellMar>
        </w:tblPrEx>
        <w:trPr>
          <w:trHeight w:val="645" w:hRule="atLeast"/>
        </w:trPr>
        <w:tc>
          <w:tcPr>
            <w:tcW w:w="733"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29</w:t>
            </w:r>
          </w:p>
        </w:tc>
        <w:tc>
          <w:tcPr>
            <w:tcW w:w="1303"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硕士33栋</w:t>
            </w:r>
          </w:p>
        </w:tc>
        <w:tc>
          <w:tcPr>
            <w:tcW w:w="697"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美的</w:t>
            </w:r>
          </w:p>
        </w:tc>
        <w:tc>
          <w:tcPr>
            <w:tcW w:w="998"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90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威乐</w:t>
            </w:r>
          </w:p>
        </w:tc>
        <w:tc>
          <w:tcPr>
            <w:tcW w:w="972"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795"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金源泰</w:t>
            </w:r>
          </w:p>
        </w:tc>
        <w:tc>
          <w:tcPr>
            <w:tcW w:w="9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182" w:type="dxa"/>
            <w:tcBorders>
              <w:top w:val="nil"/>
              <w:left w:val="nil"/>
              <w:bottom w:val="single" w:color="auto" w:sz="8" w:space="0"/>
              <w:right w:val="single" w:color="auto" w:sz="8"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硕士33栋屋面</w:t>
            </w:r>
          </w:p>
        </w:tc>
      </w:tr>
    </w:tbl>
    <w:p>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sz w:val="24"/>
          <w:szCs w:val="24"/>
        </w:rPr>
      </w:pPr>
    </w:p>
    <w:p>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★二、</w:t>
      </w:r>
      <w:r>
        <w:rPr>
          <w:rFonts w:hint="eastAsia" w:ascii="宋体" w:hAnsi="宋体" w:eastAsia="宋体" w:cs="宋体"/>
          <w:b/>
          <w:sz w:val="24"/>
          <w:szCs w:val="24"/>
          <w:lang w:bidi="ar"/>
        </w:rPr>
        <w:t>技术/服务要求（本项需求应在技术/服务应答表中进行应答。）</w:t>
      </w:r>
    </w:p>
    <w:p>
      <w:pPr>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b/>
          <w:sz w:val="24"/>
          <w:szCs w:val="24"/>
        </w:rPr>
      </w:pPr>
      <w:r>
        <w:rPr>
          <w:rFonts w:hint="eastAsia" w:ascii="宋体" w:hAnsi="宋体" w:eastAsia="宋体" w:cs="宋体"/>
          <w:b/>
          <w:bCs/>
          <w:sz w:val="24"/>
          <w:szCs w:val="24"/>
          <w:lang w:bidi="ar"/>
        </w:rPr>
        <w:t>【01包】2024-2025年度双校区配电监控系统运行维护</w:t>
      </w:r>
    </w:p>
    <w:p>
      <w:pPr>
        <w:pStyle w:val="3"/>
        <w:pageBreakBefore w:val="0"/>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（一）</w:t>
      </w:r>
      <w:r>
        <w:rPr>
          <w:rFonts w:hint="eastAsia" w:ascii="宋体" w:hAnsi="宋体" w:eastAsia="宋体" w:cs="宋体"/>
          <w:b/>
          <w:sz w:val="24"/>
          <w:szCs w:val="24"/>
        </w:rPr>
        <w:t>维保内容及范围</w:t>
      </w:r>
    </w:p>
    <w:p>
      <w:pPr>
        <w:pStyle w:val="3"/>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1)</w:t>
      </w:r>
      <w:r>
        <w:rPr>
          <w:rFonts w:hint="eastAsia" w:ascii="宋体" w:hAnsi="宋体" w:eastAsia="宋体" w:cs="宋体"/>
          <w:bCs/>
          <w:sz w:val="24"/>
          <w:szCs w:val="24"/>
        </w:rPr>
        <w:tab/>
      </w:r>
      <w:r>
        <w:rPr>
          <w:rFonts w:hint="eastAsia" w:ascii="宋体" w:hAnsi="宋体" w:eastAsia="宋体" w:cs="宋体"/>
          <w:bCs/>
          <w:sz w:val="24"/>
          <w:szCs w:val="24"/>
        </w:rPr>
        <w:t>沙河校区（含九里堤）</w:t>
      </w:r>
    </w:p>
    <w:p>
      <w:pPr>
        <w:pStyle w:val="3"/>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①高配房电力监控系统硬件维护内容：服务器、工作站、GPS、机柜、交换机、集中式光纤收发器。</w:t>
      </w:r>
    </w:p>
    <w:p>
      <w:pPr>
        <w:pStyle w:val="3"/>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rPr>
        <w:t>②高配房电力</w:t>
      </w:r>
      <w:r>
        <w:rPr>
          <w:rFonts w:hint="eastAsia" w:ascii="宋体" w:hAnsi="宋体" w:eastAsia="宋体" w:cs="宋体"/>
          <w:bCs/>
          <w:sz w:val="24"/>
          <w:szCs w:val="24"/>
          <w:highlight w:val="none"/>
        </w:rPr>
        <w:t>监控系统软件维护内容：监控系统软件Super-2000 SCADA/EMS V3.0，数据库软件SQL SERVER 2008，组态图形软件graph及报表系统TMAKE；以上软件除日常维护外，还需协助采购人绘制新的图形或报表，修改数据库。</w:t>
      </w:r>
    </w:p>
    <w:p>
      <w:pPr>
        <w:pStyle w:val="3"/>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highlight w:val="none"/>
        </w:rPr>
        <w:t>③400V配电室电力监控系统</w:t>
      </w:r>
      <w:r>
        <w:rPr>
          <w:rFonts w:hint="eastAsia" w:ascii="宋体" w:hAnsi="宋体" w:eastAsia="宋体" w:cs="宋体"/>
          <w:bCs/>
          <w:sz w:val="24"/>
          <w:szCs w:val="24"/>
        </w:rPr>
        <w:t>硬件维护内容：前置工作站、终端服务器、通信管理机、子站交换机、光纤收发器、UPS、智能仪表、通讯电缆、变压器温控器。</w:t>
      </w:r>
    </w:p>
    <w:p>
      <w:pPr>
        <w:pStyle w:val="3"/>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④400V配电室电力监控系统软件维护内容：电力监控软件Super-2000 SCADA/EMS V3.0，前置通讯软件Super-CCM.（400V配电室有二号站、计算中心、5系、物电大楼、3系、逸夫楼、一二教、主楼、图书馆、体育馆、体育场、学生11栋、红旗超市、成教院、东苑、通讯楼、九里堤）</w:t>
      </w:r>
    </w:p>
    <w:p>
      <w:pPr>
        <w:pStyle w:val="3"/>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⑤光纤网络及光纤收发设备维护。</w:t>
      </w:r>
    </w:p>
    <w:p>
      <w:pPr>
        <w:pStyle w:val="3"/>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⑥沙河校区电力监控系统向清水河校区能源管理系统数据传输接口维护。</w:t>
      </w:r>
    </w:p>
    <w:p>
      <w:pPr>
        <w:pStyle w:val="3"/>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九里堤：</w:t>
      </w:r>
    </w:p>
    <w:p>
      <w:pPr>
        <w:pStyle w:val="3"/>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⑦监控室电力监控系统硬件维护内容：服务器、工作站、GPS、机柜、交换机、光纤收发器机笼。</w:t>
      </w:r>
    </w:p>
    <w:p>
      <w:pPr>
        <w:pStyle w:val="3"/>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⑧监控室电力监控系统软件维护内容：监控系统软件Super-2000 SCADA/EMS V3.0，数据库软件SQL SERVER 2008，组态图形软件graph及报表系统TMAKE，以上软件除日常维护外，还需协助采购人绘制新的图形或报表，修改数据库。</w:t>
      </w:r>
    </w:p>
    <w:p>
      <w:pPr>
        <w:pStyle w:val="3"/>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⑨400V配电室电力监控系统硬件维护内容：前置工作站、终端服务器、通信管理机、子站交换机、光纤收发器、UPS、智能仪表、通讯电缆。</w:t>
      </w:r>
    </w:p>
    <w:p>
      <w:pPr>
        <w:pStyle w:val="3"/>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2)</w:t>
      </w:r>
      <w:r>
        <w:rPr>
          <w:rFonts w:hint="eastAsia" w:ascii="宋体" w:hAnsi="宋体" w:eastAsia="宋体" w:cs="宋体"/>
          <w:bCs/>
          <w:sz w:val="24"/>
          <w:szCs w:val="24"/>
        </w:rPr>
        <w:tab/>
      </w:r>
      <w:r>
        <w:rPr>
          <w:rFonts w:hint="eastAsia" w:ascii="宋体" w:hAnsi="宋体" w:eastAsia="宋体" w:cs="宋体"/>
          <w:bCs/>
          <w:sz w:val="24"/>
          <w:szCs w:val="24"/>
        </w:rPr>
        <w:t>清水河校区</w:t>
      </w:r>
    </w:p>
    <w:p>
      <w:pPr>
        <w:pStyle w:val="3"/>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①能源中心电力监控系统硬件维护内容：服务器、工作站、GPS、机柜、交换机、光纤收发器机笼。</w:t>
      </w:r>
    </w:p>
    <w:p>
      <w:pPr>
        <w:pStyle w:val="3"/>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②能源中心电力监控系统软件维护内容：监控系统软件Super-2000 SCADA/EMS V3.0，数据库软件My SQL，组态图形软件graph及报表系统TMAKE，以上软件除日常维护外，还需协助采购人绘制新的图形或报表，修改数据库。</w:t>
      </w:r>
    </w:p>
    <w:p>
      <w:pPr>
        <w:pStyle w:val="3"/>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③10KV开闭所电力监控系统硬件维护内容：前置工作站、终端服务器、通信管理机、子站交换机、光纤收发器、UPS、保护装置、智能仪表、通讯电缆。</w:t>
      </w:r>
    </w:p>
    <w:p>
      <w:pPr>
        <w:pStyle w:val="3"/>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④10KV开闭所电力监控系统软件维护内容：电力监控软件Super-2000 SCADA/EMS V3.0，前置通讯软件Super-CCM.（10KV开闭所</w:t>
      </w:r>
      <w:r>
        <w:rPr>
          <w:rFonts w:hint="eastAsia" w:ascii="宋体" w:hAnsi="宋体" w:eastAsia="宋体" w:cs="宋体"/>
          <w:bCs/>
          <w:sz w:val="24"/>
          <w:szCs w:val="24"/>
          <w:lang w:eastAsia="zh-CN"/>
        </w:rPr>
        <w:t>：</w:t>
      </w:r>
      <w:r>
        <w:rPr>
          <w:rFonts w:hint="eastAsia" w:ascii="宋体" w:hAnsi="宋体" w:eastAsia="宋体" w:cs="宋体"/>
          <w:bCs/>
          <w:sz w:val="24"/>
          <w:szCs w:val="24"/>
        </w:rPr>
        <w:t>1#、2#、3#、4#、5#、6#）</w:t>
      </w:r>
    </w:p>
    <w:p>
      <w:pPr>
        <w:pStyle w:val="3"/>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⑤400V配电室电力监控系统硬件维护内容：前置工作站、终端服务器、通信管理机、子站交换机、光纤收发器、UPS、智能仪表、通讯电缆、变压器温控器。</w:t>
      </w:r>
    </w:p>
    <w:p>
      <w:pPr>
        <w:pStyle w:val="3"/>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⑥400V配电室电力监控系统软件维护内容：电力监控软件Super-2000 SCADA/EMS V3.0，前置通讯软件Super-CCM.（400V配电室有主楼A区、主楼B区、主楼C区、图书馆1楼、图书馆4楼、图书馆6楼、科研楼1、科研楼2、品学楼、立人楼、剧场、商业街、一食堂、二食堂、综合楼、5号科研楼、创新中心、经管楼、电科院、校医院、本科10栋一二段、本科10栋三四段、本科20栋、硕士7栋、硕士11栋、硕士15栋、硕士18栋、硕士22栋、2号博士公寓、体育场、体育馆、体育中心、游泳馆、1号博士公寓、四号科研楼A、四号科研楼B、四号科研楼C、四号科研楼核高基、学生公寓五期、幼儿园箱变、六号科研楼1ES、六号科研楼2ES、国际菁蓉中心（9个配电房）、</w:t>
      </w:r>
      <w:r>
        <w:rPr>
          <w:rFonts w:hint="eastAsia" w:ascii="宋体" w:hAnsi="宋体" w:eastAsia="宋体" w:cs="宋体"/>
          <w:sz w:val="24"/>
          <w:szCs w:val="24"/>
        </w:rPr>
        <w:t>学生公寓六期（硕士公寓）、宣邦楼</w:t>
      </w:r>
      <w:r>
        <w:rPr>
          <w:rFonts w:hint="eastAsia" w:ascii="宋体" w:hAnsi="宋体" w:eastAsia="宋体" w:cs="宋体"/>
          <w:bCs/>
          <w:sz w:val="24"/>
          <w:szCs w:val="24"/>
        </w:rPr>
        <w:t>）</w:t>
      </w:r>
    </w:p>
    <w:p>
      <w:pPr>
        <w:pStyle w:val="3"/>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⑦光纤环网及3个分中心网络节点设备维护。</w:t>
      </w:r>
    </w:p>
    <w:p>
      <w:pPr>
        <w:pStyle w:val="3"/>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⑧清水河校区电力监控系统向清水河校区能源管理系统数据传输接口维护。</w:t>
      </w:r>
    </w:p>
    <w:p>
      <w:pPr>
        <w:pStyle w:val="3"/>
        <w:pageBreakBefore w:val="0"/>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（二）</w:t>
      </w:r>
      <w:r>
        <w:rPr>
          <w:rFonts w:hint="eastAsia" w:ascii="宋体" w:hAnsi="宋体" w:eastAsia="宋体" w:cs="宋体"/>
          <w:b/>
          <w:sz w:val="24"/>
          <w:szCs w:val="24"/>
        </w:rPr>
        <w:t>服务需求</w:t>
      </w:r>
    </w:p>
    <w:p>
      <w:pPr>
        <w:pStyle w:val="3"/>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1.总体要求：</w:t>
      </w:r>
    </w:p>
    <w:p>
      <w:pPr>
        <w:pStyle w:val="3"/>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1)</w:t>
      </w:r>
      <w:r>
        <w:rPr>
          <w:rFonts w:hint="eastAsia" w:ascii="宋体" w:hAnsi="宋体" w:eastAsia="宋体" w:cs="宋体"/>
          <w:bCs/>
          <w:sz w:val="24"/>
          <w:szCs w:val="24"/>
        </w:rPr>
        <w:tab/>
      </w:r>
      <w:r>
        <w:rPr>
          <w:rFonts w:hint="eastAsia" w:ascii="宋体" w:hAnsi="宋体" w:eastAsia="宋体" w:cs="宋体"/>
          <w:bCs/>
          <w:sz w:val="24"/>
          <w:szCs w:val="24"/>
        </w:rPr>
        <w:t>各个校区配电监控系统的</w:t>
      </w:r>
      <w:r>
        <w:rPr>
          <w:rFonts w:hint="eastAsia" w:ascii="宋体" w:hAnsi="宋体" w:eastAsia="宋体" w:cs="宋体"/>
          <w:sz w:val="24"/>
          <w:szCs w:val="24"/>
        </w:rPr>
        <w:t>维保设备的日常环境清洁维护、</w:t>
      </w:r>
      <w:r>
        <w:rPr>
          <w:rFonts w:hint="eastAsia" w:ascii="宋体" w:hAnsi="宋体" w:eastAsia="宋体" w:cs="宋体"/>
          <w:bCs/>
          <w:sz w:val="24"/>
          <w:szCs w:val="24"/>
        </w:rPr>
        <w:t>日常运行、维护、应急突发维修，确保系统正常运行。</w:t>
      </w:r>
    </w:p>
    <w:p>
      <w:pPr>
        <w:pStyle w:val="3"/>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2)</w:t>
      </w:r>
      <w:r>
        <w:rPr>
          <w:rFonts w:hint="eastAsia" w:ascii="宋体" w:hAnsi="宋体" w:eastAsia="宋体" w:cs="宋体"/>
          <w:bCs/>
          <w:sz w:val="24"/>
          <w:szCs w:val="24"/>
        </w:rPr>
        <w:tab/>
      </w:r>
      <w:r>
        <w:rPr>
          <w:rFonts w:hint="eastAsia" w:ascii="宋体" w:hAnsi="宋体" w:eastAsia="宋体" w:cs="宋体"/>
          <w:bCs/>
          <w:sz w:val="24"/>
          <w:szCs w:val="24"/>
        </w:rPr>
        <w:t>确保配电监控系统通讯专网正常运行。</w:t>
      </w:r>
    </w:p>
    <w:p>
      <w:pPr>
        <w:pStyle w:val="3"/>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3)</w:t>
      </w:r>
      <w:r>
        <w:rPr>
          <w:rFonts w:hint="eastAsia" w:ascii="宋体" w:hAnsi="宋体" w:eastAsia="宋体" w:cs="宋体"/>
          <w:bCs/>
          <w:sz w:val="24"/>
          <w:szCs w:val="24"/>
        </w:rPr>
        <w:tab/>
      </w:r>
      <w:r>
        <w:rPr>
          <w:rFonts w:hint="eastAsia" w:ascii="宋体" w:hAnsi="宋体" w:eastAsia="宋体" w:cs="宋体"/>
          <w:bCs/>
          <w:sz w:val="24"/>
          <w:szCs w:val="24"/>
        </w:rPr>
        <w:t>随时响应校方运行管理部门对系统提出的需求，如制作数据报表，制作监控画面。</w:t>
      </w:r>
    </w:p>
    <w:p>
      <w:pPr>
        <w:pStyle w:val="3"/>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4)</w:t>
      </w:r>
      <w:r>
        <w:rPr>
          <w:rFonts w:hint="eastAsia" w:ascii="宋体" w:hAnsi="宋体" w:eastAsia="宋体" w:cs="宋体"/>
          <w:bCs/>
          <w:sz w:val="24"/>
          <w:szCs w:val="24"/>
        </w:rPr>
        <w:tab/>
      </w:r>
      <w:r>
        <w:rPr>
          <w:rFonts w:hint="eastAsia" w:ascii="宋体" w:hAnsi="宋体" w:eastAsia="宋体" w:cs="宋体"/>
          <w:bCs/>
          <w:sz w:val="24"/>
          <w:szCs w:val="24"/>
        </w:rPr>
        <w:t>若有新增间隔或出线，待新增完毕，配套的设备监控数据需要随时接入原监控系统。</w:t>
      </w:r>
    </w:p>
    <w:p>
      <w:pPr>
        <w:pStyle w:val="3"/>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5)</w:t>
      </w:r>
      <w:r>
        <w:rPr>
          <w:rFonts w:hint="eastAsia" w:ascii="宋体" w:hAnsi="宋体" w:eastAsia="宋体" w:cs="宋体"/>
          <w:bCs/>
          <w:sz w:val="24"/>
          <w:szCs w:val="24"/>
        </w:rPr>
        <w:tab/>
      </w:r>
      <w:r>
        <w:rPr>
          <w:rFonts w:hint="eastAsia" w:ascii="宋体" w:hAnsi="宋体" w:eastAsia="宋体" w:cs="宋体"/>
          <w:bCs/>
          <w:sz w:val="24"/>
          <w:szCs w:val="24"/>
        </w:rPr>
        <w:t>提供校区用电报表，如电度量月报，负荷月报。</w:t>
      </w:r>
    </w:p>
    <w:p>
      <w:pPr>
        <w:pStyle w:val="3"/>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6)</w:t>
      </w:r>
      <w:r>
        <w:rPr>
          <w:rFonts w:hint="eastAsia" w:ascii="宋体" w:hAnsi="宋体" w:eastAsia="宋体" w:cs="宋体"/>
          <w:bCs/>
          <w:sz w:val="24"/>
          <w:szCs w:val="24"/>
        </w:rPr>
        <w:tab/>
      </w:r>
      <w:r>
        <w:rPr>
          <w:rFonts w:hint="eastAsia" w:ascii="宋体" w:hAnsi="宋体" w:eastAsia="宋体" w:cs="宋体"/>
          <w:bCs/>
          <w:sz w:val="24"/>
          <w:szCs w:val="24"/>
        </w:rPr>
        <w:t>提供每月巡检月报，设备运行月报。</w:t>
      </w:r>
    </w:p>
    <w:p>
      <w:pPr>
        <w:pStyle w:val="3"/>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7)</w:t>
      </w:r>
      <w:r>
        <w:rPr>
          <w:rFonts w:hint="eastAsia" w:ascii="宋体" w:hAnsi="宋体" w:eastAsia="宋体" w:cs="宋体"/>
          <w:bCs/>
          <w:sz w:val="24"/>
          <w:szCs w:val="24"/>
        </w:rPr>
        <w:tab/>
      </w:r>
      <w:r>
        <w:rPr>
          <w:rFonts w:hint="eastAsia" w:ascii="宋体" w:hAnsi="宋体" w:eastAsia="宋体" w:cs="宋体"/>
          <w:bCs/>
          <w:sz w:val="24"/>
          <w:szCs w:val="24"/>
        </w:rPr>
        <w:t>提供各校区低压电网运行半年报</w:t>
      </w:r>
      <w:r>
        <w:rPr>
          <w:rFonts w:hint="eastAsia" w:ascii="宋体" w:hAnsi="宋体" w:eastAsia="宋体" w:cs="宋体"/>
          <w:bCs/>
          <w:sz w:val="24"/>
          <w:szCs w:val="24"/>
          <w:lang w:eastAsia="zh-CN"/>
        </w:rPr>
        <w:t>、年报表</w:t>
      </w:r>
      <w:r>
        <w:rPr>
          <w:rFonts w:hint="eastAsia" w:ascii="宋体" w:hAnsi="宋体" w:eastAsia="宋体" w:cs="宋体"/>
          <w:bCs/>
          <w:sz w:val="24"/>
          <w:szCs w:val="24"/>
        </w:rPr>
        <w:t>。</w:t>
      </w:r>
    </w:p>
    <w:p>
      <w:pPr>
        <w:pStyle w:val="3"/>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8)</w:t>
      </w:r>
      <w:r>
        <w:rPr>
          <w:rFonts w:hint="eastAsia" w:ascii="宋体" w:hAnsi="宋体" w:eastAsia="宋体" w:cs="宋体"/>
          <w:bCs/>
          <w:sz w:val="24"/>
          <w:szCs w:val="24"/>
        </w:rPr>
        <w:tab/>
      </w:r>
      <w:r>
        <w:rPr>
          <w:rFonts w:hint="eastAsia" w:ascii="宋体" w:hAnsi="宋体" w:eastAsia="宋体" w:cs="宋体"/>
          <w:bCs/>
          <w:sz w:val="24"/>
          <w:szCs w:val="24"/>
        </w:rPr>
        <w:t>对存在故障或隐患的地方提出维保建议或方案。</w:t>
      </w:r>
    </w:p>
    <w:p>
      <w:pPr>
        <w:pStyle w:val="3"/>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9)</w:t>
      </w:r>
      <w:r>
        <w:rPr>
          <w:rFonts w:hint="eastAsia" w:ascii="宋体" w:hAnsi="宋体" w:eastAsia="宋体" w:cs="宋体"/>
          <w:bCs/>
          <w:sz w:val="24"/>
          <w:szCs w:val="24"/>
        </w:rPr>
        <w:tab/>
      </w:r>
      <w:r>
        <w:rPr>
          <w:rFonts w:hint="eastAsia" w:ascii="宋体" w:hAnsi="宋体" w:eastAsia="宋体" w:cs="宋体"/>
          <w:bCs/>
          <w:sz w:val="24"/>
          <w:szCs w:val="24"/>
        </w:rPr>
        <w:t>提供技术培训相关工作。</w:t>
      </w:r>
    </w:p>
    <w:p>
      <w:pPr>
        <w:pStyle w:val="3"/>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rPr>
        <w:t>10）《电子科技大学2024-2025年度双校区配电监控系统运行维护服务合同</w:t>
      </w:r>
      <w:r>
        <w:rPr>
          <w:rFonts w:hint="eastAsia" w:ascii="宋体" w:hAnsi="宋体" w:eastAsia="宋体" w:cs="宋体"/>
          <w:bCs/>
          <w:sz w:val="24"/>
          <w:szCs w:val="24"/>
          <w:highlight w:val="none"/>
        </w:rPr>
        <w:t>》中的其他有关内容。</w:t>
      </w:r>
    </w:p>
    <w:p>
      <w:pPr>
        <w:pageBreakBefore w:val="0"/>
        <w:kinsoku/>
        <w:wordWrap/>
        <w:overflowPunct/>
        <w:topLinePunct w:val="0"/>
        <w:autoSpaceDE/>
        <w:autoSpaceDN/>
        <w:bidi w:val="0"/>
        <w:adjustRightInd/>
        <w:snapToGrid/>
        <w:spacing w:line="360" w:lineRule="auto"/>
        <w:ind w:firstLine="360" w:firstLineChars="1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.服务期内，白天确保双校区各有1名维修人员在校区服务。确保有1名管理人员在校区协调管理服务。</w:t>
      </w:r>
    </w:p>
    <w:p>
      <w:pPr>
        <w:pageBreakBefore w:val="0"/>
        <w:kinsoku/>
        <w:wordWrap/>
        <w:overflowPunct/>
        <w:topLinePunct w:val="0"/>
        <w:autoSpaceDE/>
        <w:autoSpaceDN/>
        <w:bidi w:val="0"/>
        <w:adjustRightInd/>
        <w:snapToGrid/>
        <w:spacing w:line="360" w:lineRule="auto"/>
        <w:ind w:firstLine="360" w:firstLineChars="1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.白天10分钟内对校方管理部门的报修做出响应，30分钟内达到报修载明的区域，开展维修服务工作。</w:t>
      </w:r>
    </w:p>
    <w:p>
      <w:pPr>
        <w:pageBreakBefore w:val="0"/>
        <w:kinsoku/>
        <w:wordWrap/>
        <w:overflowPunct/>
        <w:topLinePunct w:val="0"/>
        <w:autoSpaceDE/>
        <w:autoSpaceDN/>
        <w:bidi w:val="0"/>
        <w:adjustRightInd/>
        <w:snapToGrid/>
        <w:spacing w:line="360" w:lineRule="auto"/>
        <w:ind w:firstLine="360" w:firstLineChars="150"/>
        <w:textAlignment w:val="auto"/>
        <w:rPr>
          <w:rFonts w:hint="eastAsia" w:ascii="宋体" w:hAnsi="宋体" w:eastAsia="宋体" w:cs="宋体"/>
          <w:sz w:val="24"/>
          <w:szCs w:val="24"/>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.对报修实地排查，明确维修</w:t>
      </w:r>
      <w:r>
        <w:rPr>
          <w:rFonts w:hint="eastAsia" w:ascii="宋体" w:hAnsi="宋体" w:eastAsia="宋体" w:cs="宋体"/>
          <w:sz w:val="24"/>
          <w:szCs w:val="24"/>
        </w:rPr>
        <w:t>方案，按管理部门批准的方案开展维修。</w:t>
      </w:r>
    </w:p>
    <w:p>
      <w:pPr>
        <w:pageBreakBefore w:val="0"/>
        <w:kinsoku/>
        <w:wordWrap/>
        <w:overflowPunct/>
        <w:topLinePunct w:val="0"/>
        <w:autoSpaceDE/>
        <w:autoSpaceDN/>
        <w:bidi w:val="0"/>
        <w:adjustRightInd/>
        <w:snapToGrid/>
        <w:spacing w:line="360" w:lineRule="auto"/>
        <w:ind w:firstLine="360" w:firstLineChars="15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.维修过程中，接受采购人管理部门的管理。</w:t>
      </w:r>
    </w:p>
    <w:p>
      <w:pPr>
        <w:pageBreakBefore w:val="0"/>
        <w:kinsoku/>
        <w:wordWrap/>
        <w:overflowPunct/>
        <w:topLinePunct w:val="0"/>
        <w:autoSpaceDE/>
        <w:autoSpaceDN/>
        <w:bidi w:val="0"/>
        <w:adjustRightInd/>
        <w:snapToGrid/>
        <w:spacing w:line="360" w:lineRule="auto"/>
        <w:ind w:firstLine="360" w:firstLineChars="15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.每月报送维修维护工作量报表，每季度提交维护运行报告。</w:t>
      </w:r>
    </w:p>
    <w:p>
      <w:pPr>
        <w:pageBreakBefore w:val="0"/>
        <w:kinsoku/>
        <w:wordWrap/>
        <w:overflowPunct/>
        <w:topLinePunct w:val="0"/>
        <w:autoSpaceDE/>
        <w:autoSpaceDN/>
        <w:bidi w:val="0"/>
        <w:adjustRightInd/>
        <w:snapToGrid/>
        <w:spacing w:line="360" w:lineRule="auto"/>
        <w:ind w:firstLine="360" w:firstLineChars="15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.无条件协助采购人管理部门排查相关隐患，提出维护、改造建议或方案。</w:t>
      </w:r>
    </w:p>
    <w:p>
      <w:pPr>
        <w:pageBreakBefore w:val="0"/>
        <w:kinsoku/>
        <w:wordWrap/>
        <w:overflowPunct/>
        <w:topLinePunct w:val="0"/>
        <w:autoSpaceDE/>
        <w:autoSpaceDN/>
        <w:bidi w:val="0"/>
        <w:adjustRightInd/>
        <w:snapToGrid/>
        <w:spacing w:line="360" w:lineRule="auto"/>
        <w:ind w:firstLine="360" w:firstLineChars="150"/>
        <w:textAlignment w:val="auto"/>
        <w:rPr>
          <w:rFonts w:hint="eastAsia" w:ascii="宋体" w:hAnsi="宋体" w:eastAsia="宋体" w:cs="宋体"/>
          <w:sz w:val="24"/>
          <w:szCs w:val="24"/>
        </w:rPr>
      </w:pPr>
      <w:r>
        <w:rPr>
          <w:rFonts w:hint="eastAsia" w:ascii="宋体" w:hAnsi="宋体" w:eastAsia="宋体" w:cs="宋体"/>
          <w:bCs/>
          <w:sz w:val="24"/>
          <w:szCs w:val="24"/>
          <w:lang w:val="en-US" w:eastAsia="zh-CN"/>
        </w:rPr>
        <w:t>8</w:t>
      </w:r>
      <w:r>
        <w:rPr>
          <w:rFonts w:hint="eastAsia" w:ascii="宋体" w:hAnsi="宋体" w:eastAsia="宋体" w:cs="宋体"/>
          <w:bCs/>
          <w:sz w:val="24"/>
          <w:szCs w:val="24"/>
        </w:rPr>
        <w:t>.</w:t>
      </w:r>
      <w:r>
        <w:rPr>
          <w:rFonts w:hint="eastAsia" w:ascii="宋体" w:hAnsi="宋体" w:eastAsia="宋体" w:cs="宋体"/>
          <w:sz w:val="24"/>
          <w:szCs w:val="24"/>
        </w:rPr>
        <w:t>在保维服务期内需遵守</w:t>
      </w:r>
      <w:r>
        <w:rPr>
          <w:rFonts w:hint="eastAsia" w:ascii="宋体" w:hAnsi="宋体" w:eastAsia="宋体" w:cs="宋体"/>
          <w:sz w:val="24"/>
          <w:szCs w:val="24"/>
          <w:lang w:eastAsia="zh-CN"/>
        </w:rPr>
        <w:t>采购人</w:t>
      </w:r>
      <w:r>
        <w:rPr>
          <w:rFonts w:hint="eastAsia" w:ascii="宋体" w:hAnsi="宋体" w:eastAsia="宋体" w:cs="宋体"/>
          <w:sz w:val="24"/>
          <w:szCs w:val="24"/>
        </w:rPr>
        <w:t>制定的设施设备维保服务考核标准，如下:</w:t>
      </w:r>
    </w:p>
    <w:p>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设施设备维保服务考核表</w:t>
      </w:r>
    </w:p>
    <w:tbl>
      <w:tblPr>
        <w:tblStyle w:val="5"/>
        <w:tblW w:w="8799" w:type="dxa"/>
        <w:tblInd w:w="-176" w:type="dxa"/>
        <w:tblLayout w:type="fixed"/>
        <w:tblCellMar>
          <w:top w:w="0" w:type="dxa"/>
          <w:left w:w="108" w:type="dxa"/>
          <w:bottom w:w="0" w:type="dxa"/>
          <w:right w:w="108" w:type="dxa"/>
        </w:tblCellMar>
      </w:tblPr>
      <w:tblGrid>
        <w:gridCol w:w="813"/>
        <w:gridCol w:w="1240"/>
        <w:gridCol w:w="4841"/>
        <w:gridCol w:w="1905"/>
      </w:tblGrid>
      <w:tr>
        <w:tblPrEx>
          <w:tblCellMar>
            <w:top w:w="0" w:type="dxa"/>
            <w:left w:w="108" w:type="dxa"/>
            <w:bottom w:w="0" w:type="dxa"/>
            <w:right w:w="108" w:type="dxa"/>
          </w:tblCellMar>
        </w:tblPrEx>
        <w:trPr>
          <w:trHeight w:val="480" w:hRule="atLeast"/>
        </w:trPr>
        <w:tc>
          <w:tcPr>
            <w:tcW w:w="813" w:type="dxa"/>
            <w:tcBorders>
              <w:top w:val="single" w:color="auto" w:sz="4" w:space="0"/>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序号</w:t>
            </w:r>
          </w:p>
        </w:tc>
        <w:tc>
          <w:tcPr>
            <w:tcW w:w="1240" w:type="dxa"/>
            <w:tcBorders>
              <w:top w:val="single" w:color="auto" w:sz="4" w:space="0"/>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考核项目</w:t>
            </w:r>
          </w:p>
        </w:tc>
        <w:tc>
          <w:tcPr>
            <w:tcW w:w="4841" w:type="dxa"/>
            <w:tcBorders>
              <w:top w:val="single" w:color="auto" w:sz="4" w:space="0"/>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考核要求</w:t>
            </w:r>
          </w:p>
        </w:tc>
        <w:tc>
          <w:tcPr>
            <w:tcW w:w="1905" w:type="dxa"/>
            <w:tcBorders>
              <w:top w:val="single" w:color="auto" w:sz="4" w:space="0"/>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评分标准</w:t>
            </w:r>
          </w:p>
        </w:tc>
      </w:tr>
      <w:tr>
        <w:tblPrEx>
          <w:tblCellMar>
            <w:top w:w="0" w:type="dxa"/>
            <w:left w:w="108" w:type="dxa"/>
            <w:bottom w:w="0" w:type="dxa"/>
            <w:right w:w="108" w:type="dxa"/>
          </w:tblCellMar>
        </w:tblPrEx>
        <w:trPr>
          <w:trHeight w:val="285" w:hRule="atLeast"/>
        </w:trPr>
        <w:tc>
          <w:tcPr>
            <w:tcW w:w="813" w:type="dxa"/>
            <w:vMerge w:val="restart"/>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1240" w:type="dxa"/>
            <w:vMerge w:val="restart"/>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团队管理</w:t>
            </w:r>
          </w:p>
        </w:tc>
        <w:tc>
          <w:tcPr>
            <w:tcW w:w="4841"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1、维保单位常驻人员需持证上岗，提供单位聘用证明，进出楼宇需工作证件齐全，服从甲方及校内楼栋管理人员管理；</w:t>
            </w:r>
          </w:p>
        </w:tc>
        <w:tc>
          <w:tcPr>
            <w:tcW w:w="1905"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发生一次扣1分</w:t>
            </w:r>
          </w:p>
        </w:tc>
      </w:tr>
      <w:tr>
        <w:tblPrEx>
          <w:tblCellMar>
            <w:top w:w="0" w:type="dxa"/>
            <w:left w:w="108" w:type="dxa"/>
            <w:bottom w:w="0" w:type="dxa"/>
            <w:right w:w="108" w:type="dxa"/>
          </w:tblCellMar>
        </w:tblPrEx>
        <w:trPr>
          <w:trHeight w:val="810" w:hRule="atLeast"/>
        </w:trPr>
        <w:tc>
          <w:tcPr>
            <w:tcW w:w="813"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40"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841"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2、维保单位常驻人员合同履行期间需到甲方校内指定地点完成考勤打卡（打卡时间上午：9:30，配电监控系统维护标段各校区每周至少2人次），请假需有本公司开具证明；</w:t>
            </w:r>
          </w:p>
        </w:tc>
        <w:tc>
          <w:tcPr>
            <w:tcW w:w="1905"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发生一次扣1分</w:t>
            </w:r>
          </w:p>
        </w:tc>
      </w:tr>
      <w:tr>
        <w:tblPrEx>
          <w:tblCellMar>
            <w:top w:w="0" w:type="dxa"/>
            <w:left w:w="108" w:type="dxa"/>
            <w:bottom w:w="0" w:type="dxa"/>
            <w:right w:w="108" w:type="dxa"/>
          </w:tblCellMar>
        </w:tblPrEx>
        <w:trPr>
          <w:trHeight w:val="285" w:hRule="atLeast"/>
        </w:trPr>
        <w:tc>
          <w:tcPr>
            <w:tcW w:w="813"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40"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841"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3、维保单位常驻人员未按要求穿着劳防用品、严禁酒后作业，公共场所内吸烟；</w:t>
            </w:r>
          </w:p>
        </w:tc>
        <w:tc>
          <w:tcPr>
            <w:tcW w:w="1905"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发生一次扣1分</w:t>
            </w:r>
          </w:p>
        </w:tc>
      </w:tr>
      <w:tr>
        <w:tblPrEx>
          <w:tblCellMar>
            <w:top w:w="0" w:type="dxa"/>
            <w:left w:w="108" w:type="dxa"/>
            <w:bottom w:w="0" w:type="dxa"/>
            <w:right w:w="108" w:type="dxa"/>
          </w:tblCellMar>
        </w:tblPrEx>
        <w:trPr>
          <w:trHeight w:val="285" w:hRule="atLeast"/>
        </w:trPr>
        <w:tc>
          <w:tcPr>
            <w:tcW w:w="813"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40"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841"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4、维保单位需加强常驻人员培训，严禁发生盗窃事件；</w:t>
            </w:r>
          </w:p>
        </w:tc>
        <w:tc>
          <w:tcPr>
            <w:tcW w:w="1905"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发生一次扣5分</w:t>
            </w:r>
          </w:p>
        </w:tc>
      </w:tr>
      <w:tr>
        <w:tblPrEx>
          <w:tblCellMar>
            <w:top w:w="0" w:type="dxa"/>
            <w:left w:w="108" w:type="dxa"/>
            <w:bottom w:w="0" w:type="dxa"/>
            <w:right w:w="108" w:type="dxa"/>
          </w:tblCellMar>
        </w:tblPrEx>
        <w:trPr>
          <w:trHeight w:val="540" w:hRule="atLeast"/>
        </w:trPr>
        <w:tc>
          <w:tcPr>
            <w:tcW w:w="813"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40"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841"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5、维修单位需严格按维修团队清单配置人员，不得随意更换项目维修人员。若确需更换，需提前7天通知甲方，得到甲方认可后才能进行更换，同时做好工作交接；</w:t>
            </w:r>
          </w:p>
        </w:tc>
        <w:tc>
          <w:tcPr>
            <w:tcW w:w="1905"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发生一次扣1分</w:t>
            </w:r>
          </w:p>
        </w:tc>
      </w:tr>
      <w:tr>
        <w:tblPrEx>
          <w:tblCellMar>
            <w:top w:w="0" w:type="dxa"/>
            <w:left w:w="108" w:type="dxa"/>
            <w:bottom w:w="0" w:type="dxa"/>
            <w:right w:w="108" w:type="dxa"/>
          </w:tblCellMar>
        </w:tblPrEx>
        <w:trPr>
          <w:trHeight w:val="285" w:hRule="atLeast"/>
        </w:trPr>
        <w:tc>
          <w:tcPr>
            <w:tcW w:w="813"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40"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841"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6、维保单位常驻人员违反学校后勤保障部及维修服务中心相关管理规定；</w:t>
            </w:r>
          </w:p>
        </w:tc>
        <w:tc>
          <w:tcPr>
            <w:tcW w:w="1905"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发生一次扣5分</w:t>
            </w:r>
          </w:p>
        </w:tc>
      </w:tr>
      <w:tr>
        <w:tblPrEx>
          <w:tblCellMar>
            <w:top w:w="0" w:type="dxa"/>
            <w:left w:w="108" w:type="dxa"/>
            <w:bottom w:w="0" w:type="dxa"/>
            <w:right w:w="108" w:type="dxa"/>
          </w:tblCellMar>
        </w:tblPrEx>
        <w:trPr>
          <w:trHeight w:val="540" w:hRule="atLeast"/>
        </w:trPr>
        <w:tc>
          <w:tcPr>
            <w:tcW w:w="813"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40"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841"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7、维修现场管理不规范，维修后存在遗留问题，产生不良影响造成使用或管理部门投诉；</w:t>
            </w:r>
          </w:p>
        </w:tc>
        <w:tc>
          <w:tcPr>
            <w:tcW w:w="1905"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发生一次扣3分</w:t>
            </w:r>
          </w:p>
        </w:tc>
      </w:tr>
      <w:tr>
        <w:tblPrEx>
          <w:tblCellMar>
            <w:top w:w="0" w:type="dxa"/>
            <w:left w:w="108" w:type="dxa"/>
            <w:bottom w:w="0" w:type="dxa"/>
            <w:right w:w="108" w:type="dxa"/>
          </w:tblCellMar>
        </w:tblPrEx>
        <w:trPr>
          <w:trHeight w:val="285" w:hRule="atLeast"/>
        </w:trPr>
        <w:tc>
          <w:tcPr>
            <w:tcW w:w="813"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40"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841"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8、维保单位常驻人员与师生发生争吵。</w:t>
            </w:r>
          </w:p>
        </w:tc>
        <w:tc>
          <w:tcPr>
            <w:tcW w:w="1905"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发生一次扣5分</w:t>
            </w:r>
          </w:p>
        </w:tc>
      </w:tr>
      <w:tr>
        <w:tblPrEx>
          <w:tblCellMar>
            <w:top w:w="0" w:type="dxa"/>
            <w:left w:w="108" w:type="dxa"/>
            <w:bottom w:w="0" w:type="dxa"/>
            <w:right w:w="108" w:type="dxa"/>
          </w:tblCellMar>
        </w:tblPrEx>
        <w:trPr>
          <w:trHeight w:val="285" w:hRule="atLeast"/>
        </w:trPr>
        <w:tc>
          <w:tcPr>
            <w:tcW w:w="813" w:type="dxa"/>
            <w:vMerge w:val="restart"/>
            <w:tcBorders>
              <w:top w:val="nil"/>
              <w:left w:val="single" w:color="auto" w:sz="4" w:space="0"/>
              <w:bottom w:val="single" w:color="000000"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p>
        </w:tc>
        <w:tc>
          <w:tcPr>
            <w:tcW w:w="1240" w:type="dxa"/>
            <w:vMerge w:val="restart"/>
            <w:tcBorders>
              <w:top w:val="nil"/>
              <w:left w:val="single" w:color="auto" w:sz="4" w:space="0"/>
              <w:bottom w:val="single" w:color="000000"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日常维保考核</w:t>
            </w:r>
          </w:p>
        </w:tc>
        <w:tc>
          <w:tcPr>
            <w:tcW w:w="4841"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1、原则上每季度进行一次多方联合检查，接到甲方通知后未按时派人参加；</w:t>
            </w:r>
          </w:p>
        </w:tc>
        <w:tc>
          <w:tcPr>
            <w:tcW w:w="1905"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发生一次扣2分</w:t>
            </w:r>
          </w:p>
        </w:tc>
      </w:tr>
      <w:tr>
        <w:tblPrEx>
          <w:tblCellMar>
            <w:top w:w="0" w:type="dxa"/>
            <w:left w:w="108" w:type="dxa"/>
            <w:bottom w:w="0" w:type="dxa"/>
            <w:right w:w="108" w:type="dxa"/>
          </w:tblCellMar>
        </w:tblPrEx>
        <w:trPr>
          <w:trHeight w:val="285" w:hRule="atLeast"/>
        </w:trPr>
        <w:tc>
          <w:tcPr>
            <w:tcW w:w="813" w:type="dxa"/>
            <w:vMerge w:val="continue"/>
            <w:tcBorders>
              <w:top w:val="nil"/>
              <w:left w:val="single" w:color="auto" w:sz="4" w:space="0"/>
              <w:bottom w:val="single" w:color="000000"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40" w:type="dxa"/>
            <w:vMerge w:val="continue"/>
            <w:tcBorders>
              <w:top w:val="nil"/>
              <w:left w:val="single" w:color="auto" w:sz="4" w:space="0"/>
              <w:bottom w:val="single" w:color="000000"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841"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xml:space="preserve">2、季度检查中维保单位未按合同细则及维保手册要求实施维修保养工作； </w:t>
            </w:r>
          </w:p>
        </w:tc>
        <w:tc>
          <w:tcPr>
            <w:tcW w:w="1905"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发生一次扣2分</w:t>
            </w:r>
          </w:p>
        </w:tc>
      </w:tr>
      <w:tr>
        <w:tblPrEx>
          <w:tblCellMar>
            <w:top w:w="0" w:type="dxa"/>
            <w:left w:w="108" w:type="dxa"/>
            <w:bottom w:w="0" w:type="dxa"/>
            <w:right w:w="108" w:type="dxa"/>
          </w:tblCellMar>
        </w:tblPrEx>
        <w:trPr>
          <w:trHeight w:val="540" w:hRule="atLeast"/>
        </w:trPr>
        <w:tc>
          <w:tcPr>
            <w:tcW w:w="813" w:type="dxa"/>
            <w:vMerge w:val="continue"/>
            <w:tcBorders>
              <w:top w:val="nil"/>
              <w:left w:val="single" w:color="auto" w:sz="4" w:space="0"/>
              <w:bottom w:val="single" w:color="000000"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40" w:type="dxa"/>
            <w:vMerge w:val="continue"/>
            <w:tcBorders>
              <w:top w:val="nil"/>
              <w:left w:val="single" w:color="auto" w:sz="4" w:space="0"/>
              <w:bottom w:val="single" w:color="000000"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841"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3、维保单位负责设备区域内发现日常维护不到位行为（包括：大量杂草、落叶、烟头等杂物，设备严重锈蚀、长期漏水、漏液、线路裸露等情况）；</w:t>
            </w:r>
          </w:p>
        </w:tc>
        <w:tc>
          <w:tcPr>
            <w:tcW w:w="1905"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发生一次扣2分</w:t>
            </w:r>
          </w:p>
        </w:tc>
      </w:tr>
      <w:tr>
        <w:tblPrEx>
          <w:tblCellMar>
            <w:top w:w="0" w:type="dxa"/>
            <w:left w:w="108" w:type="dxa"/>
            <w:bottom w:w="0" w:type="dxa"/>
            <w:right w:w="108" w:type="dxa"/>
          </w:tblCellMar>
        </w:tblPrEx>
        <w:trPr>
          <w:trHeight w:val="540" w:hRule="atLeast"/>
        </w:trPr>
        <w:tc>
          <w:tcPr>
            <w:tcW w:w="813" w:type="dxa"/>
            <w:vMerge w:val="continue"/>
            <w:tcBorders>
              <w:top w:val="nil"/>
              <w:left w:val="single" w:color="auto" w:sz="4" w:space="0"/>
              <w:bottom w:val="single" w:color="000000"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40" w:type="dxa"/>
            <w:vMerge w:val="continue"/>
            <w:tcBorders>
              <w:top w:val="nil"/>
              <w:left w:val="single" w:color="auto" w:sz="4" w:space="0"/>
              <w:bottom w:val="single" w:color="000000"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841"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4、维保单位负责区域内发现日常维修不规范行为（包括：螺栓未归位、设备盖板门锁未复位，维修后旧件未按要求放置到指定位置，防护保温未及时恢复）。</w:t>
            </w:r>
          </w:p>
        </w:tc>
        <w:tc>
          <w:tcPr>
            <w:tcW w:w="1905"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发生一次扣2分</w:t>
            </w:r>
          </w:p>
        </w:tc>
      </w:tr>
      <w:tr>
        <w:tblPrEx>
          <w:tblCellMar>
            <w:top w:w="0" w:type="dxa"/>
            <w:left w:w="108" w:type="dxa"/>
            <w:bottom w:w="0" w:type="dxa"/>
            <w:right w:w="108" w:type="dxa"/>
          </w:tblCellMar>
        </w:tblPrEx>
        <w:trPr>
          <w:trHeight w:val="285" w:hRule="atLeast"/>
        </w:trPr>
        <w:tc>
          <w:tcPr>
            <w:tcW w:w="813" w:type="dxa"/>
            <w:vMerge w:val="restart"/>
            <w:tcBorders>
              <w:top w:val="nil"/>
              <w:left w:val="single" w:color="auto" w:sz="4" w:space="0"/>
              <w:bottom w:val="single" w:color="000000"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w:t>
            </w:r>
          </w:p>
        </w:tc>
        <w:tc>
          <w:tcPr>
            <w:tcW w:w="1240" w:type="dxa"/>
            <w:vMerge w:val="restart"/>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服务质量</w:t>
            </w:r>
          </w:p>
        </w:tc>
        <w:tc>
          <w:tcPr>
            <w:tcW w:w="4841"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1、维保单位常驻人员因工作不规范，造成设备故障或影响到设备运行；</w:t>
            </w:r>
          </w:p>
        </w:tc>
        <w:tc>
          <w:tcPr>
            <w:tcW w:w="1905"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发生一次扣1分</w:t>
            </w:r>
          </w:p>
        </w:tc>
      </w:tr>
      <w:tr>
        <w:tblPrEx>
          <w:tblCellMar>
            <w:top w:w="0" w:type="dxa"/>
            <w:left w:w="108" w:type="dxa"/>
            <w:bottom w:w="0" w:type="dxa"/>
            <w:right w:w="108" w:type="dxa"/>
          </w:tblCellMar>
        </w:tblPrEx>
        <w:trPr>
          <w:trHeight w:val="285" w:hRule="atLeast"/>
        </w:trPr>
        <w:tc>
          <w:tcPr>
            <w:tcW w:w="813" w:type="dxa"/>
            <w:vMerge w:val="continue"/>
            <w:tcBorders>
              <w:top w:val="nil"/>
              <w:left w:val="single" w:color="auto" w:sz="4" w:space="0"/>
              <w:bottom w:val="single" w:color="000000"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40"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841"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2、维保单位各类申报结算表单、维修单、未按实际工作内容填写或填写不规范；</w:t>
            </w:r>
          </w:p>
        </w:tc>
        <w:tc>
          <w:tcPr>
            <w:tcW w:w="1905"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发生一次扣1分</w:t>
            </w:r>
          </w:p>
        </w:tc>
      </w:tr>
      <w:tr>
        <w:tblPrEx>
          <w:tblCellMar>
            <w:top w:w="0" w:type="dxa"/>
            <w:left w:w="108" w:type="dxa"/>
            <w:bottom w:w="0" w:type="dxa"/>
            <w:right w:w="108" w:type="dxa"/>
          </w:tblCellMar>
        </w:tblPrEx>
        <w:trPr>
          <w:trHeight w:val="285" w:hRule="atLeast"/>
        </w:trPr>
        <w:tc>
          <w:tcPr>
            <w:tcW w:w="813" w:type="dxa"/>
            <w:vMerge w:val="continue"/>
            <w:tcBorders>
              <w:top w:val="nil"/>
              <w:left w:val="single" w:color="auto" w:sz="4" w:space="0"/>
              <w:bottom w:val="single" w:color="000000"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40"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841"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3、未按要求及时提供季度工作报告；</w:t>
            </w:r>
          </w:p>
        </w:tc>
        <w:tc>
          <w:tcPr>
            <w:tcW w:w="1905"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发生一次扣2分</w:t>
            </w:r>
          </w:p>
        </w:tc>
      </w:tr>
      <w:tr>
        <w:tblPrEx>
          <w:tblCellMar>
            <w:top w:w="0" w:type="dxa"/>
            <w:left w:w="108" w:type="dxa"/>
            <w:bottom w:w="0" w:type="dxa"/>
            <w:right w:w="108" w:type="dxa"/>
          </w:tblCellMar>
        </w:tblPrEx>
        <w:trPr>
          <w:trHeight w:val="285" w:hRule="atLeast"/>
        </w:trPr>
        <w:tc>
          <w:tcPr>
            <w:tcW w:w="813" w:type="dxa"/>
            <w:vMerge w:val="continue"/>
            <w:tcBorders>
              <w:top w:val="nil"/>
              <w:left w:val="single" w:color="auto" w:sz="4" w:space="0"/>
              <w:bottom w:val="single" w:color="000000"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40"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841"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4、维保单位接到通知后，未派人按时参加相关检查或会议；</w:t>
            </w:r>
          </w:p>
        </w:tc>
        <w:tc>
          <w:tcPr>
            <w:tcW w:w="1905"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发生一次扣1分</w:t>
            </w:r>
          </w:p>
        </w:tc>
      </w:tr>
      <w:tr>
        <w:tblPrEx>
          <w:tblCellMar>
            <w:top w:w="0" w:type="dxa"/>
            <w:left w:w="108" w:type="dxa"/>
            <w:bottom w:w="0" w:type="dxa"/>
            <w:right w:w="108" w:type="dxa"/>
          </w:tblCellMar>
        </w:tblPrEx>
        <w:trPr>
          <w:trHeight w:val="285" w:hRule="atLeast"/>
        </w:trPr>
        <w:tc>
          <w:tcPr>
            <w:tcW w:w="813" w:type="dxa"/>
            <w:vMerge w:val="continue"/>
            <w:tcBorders>
              <w:top w:val="nil"/>
              <w:left w:val="single" w:color="auto" w:sz="4" w:space="0"/>
              <w:bottom w:val="single" w:color="000000"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40"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841"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5、维保管理范围内，同一设备在一月内同一故障是否存在再次发生的情况；</w:t>
            </w:r>
          </w:p>
        </w:tc>
        <w:tc>
          <w:tcPr>
            <w:tcW w:w="1905"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发生一次扣2分</w:t>
            </w:r>
          </w:p>
        </w:tc>
      </w:tr>
      <w:tr>
        <w:tblPrEx>
          <w:tblCellMar>
            <w:top w:w="0" w:type="dxa"/>
            <w:left w:w="108" w:type="dxa"/>
            <w:bottom w:w="0" w:type="dxa"/>
            <w:right w:w="108" w:type="dxa"/>
          </w:tblCellMar>
        </w:tblPrEx>
        <w:trPr>
          <w:trHeight w:val="540" w:hRule="atLeast"/>
        </w:trPr>
        <w:tc>
          <w:tcPr>
            <w:tcW w:w="813" w:type="dxa"/>
            <w:vMerge w:val="continue"/>
            <w:tcBorders>
              <w:top w:val="nil"/>
              <w:left w:val="single" w:color="auto" w:sz="4" w:space="0"/>
              <w:bottom w:val="single" w:color="000000"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40"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841"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6、维保单位判断故障失误或维保手册要求做好备品条件、必要工器具等原因影响维保维修进度，造成维修周期延长或设备、系统故障；</w:t>
            </w:r>
          </w:p>
        </w:tc>
        <w:tc>
          <w:tcPr>
            <w:tcW w:w="1905"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发生一次扣2分</w:t>
            </w:r>
          </w:p>
        </w:tc>
      </w:tr>
      <w:tr>
        <w:tblPrEx>
          <w:tblCellMar>
            <w:top w:w="0" w:type="dxa"/>
            <w:left w:w="108" w:type="dxa"/>
            <w:bottom w:w="0" w:type="dxa"/>
            <w:right w:w="108" w:type="dxa"/>
          </w:tblCellMar>
        </w:tblPrEx>
        <w:trPr>
          <w:trHeight w:val="285" w:hRule="atLeast"/>
        </w:trPr>
        <w:tc>
          <w:tcPr>
            <w:tcW w:w="813" w:type="dxa"/>
            <w:vMerge w:val="continue"/>
            <w:tcBorders>
              <w:top w:val="nil"/>
              <w:left w:val="single" w:color="auto" w:sz="4" w:space="0"/>
              <w:bottom w:val="single" w:color="000000"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40"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841"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7、维保单位处理一般故障时，邀请非合同公司人员协助处理。</w:t>
            </w:r>
          </w:p>
        </w:tc>
        <w:tc>
          <w:tcPr>
            <w:tcW w:w="1905"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发生一次扣1分</w:t>
            </w:r>
          </w:p>
        </w:tc>
      </w:tr>
      <w:tr>
        <w:tblPrEx>
          <w:tblCellMar>
            <w:top w:w="0" w:type="dxa"/>
            <w:left w:w="108" w:type="dxa"/>
            <w:bottom w:w="0" w:type="dxa"/>
            <w:right w:w="108" w:type="dxa"/>
          </w:tblCellMar>
        </w:tblPrEx>
        <w:trPr>
          <w:trHeight w:val="285" w:hRule="atLeast"/>
        </w:trPr>
        <w:tc>
          <w:tcPr>
            <w:tcW w:w="813" w:type="dxa"/>
            <w:vMerge w:val="continue"/>
            <w:tcBorders>
              <w:top w:val="nil"/>
              <w:left w:val="single" w:color="auto" w:sz="4" w:space="0"/>
              <w:bottom w:val="single" w:color="000000"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40"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841"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8、严禁私自向师生收取维修费用或索取好处（好评、感谢信等）</w:t>
            </w:r>
          </w:p>
        </w:tc>
        <w:tc>
          <w:tcPr>
            <w:tcW w:w="1905"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发生一次扣3分</w:t>
            </w:r>
          </w:p>
        </w:tc>
      </w:tr>
      <w:tr>
        <w:tblPrEx>
          <w:tblCellMar>
            <w:top w:w="0" w:type="dxa"/>
            <w:left w:w="108" w:type="dxa"/>
            <w:bottom w:w="0" w:type="dxa"/>
            <w:right w:w="108" w:type="dxa"/>
          </w:tblCellMar>
        </w:tblPrEx>
        <w:trPr>
          <w:trHeight w:val="285" w:hRule="atLeast"/>
        </w:trPr>
        <w:tc>
          <w:tcPr>
            <w:tcW w:w="813" w:type="dxa"/>
            <w:vMerge w:val="restart"/>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w:t>
            </w:r>
          </w:p>
        </w:tc>
        <w:tc>
          <w:tcPr>
            <w:tcW w:w="1240" w:type="dxa"/>
            <w:vMerge w:val="restart"/>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服务响应</w:t>
            </w:r>
          </w:p>
        </w:tc>
        <w:tc>
          <w:tcPr>
            <w:tcW w:w="4841"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1、维保单位未按合同承诺时间完成日常维修、应急维修并没有合理书面解释的；</w:t>
            </w:r>
          </w:p>
        </w:tc>
        <w:tc>
          <w:tcPr>
            <w:tcW w:w="1905"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发生一次扣4分</w:t>
            </w:r>
          </w:p>
        </w:tc>
      </w:tr>
      <w:tr>
        <w:tblPrEx>
          <w:tblCellMar>
            <w:top w:w="0" w:type="dxa"/>
            <w:left w:w="108" w:type="dxa"/>
            <w:bottom w:w="0" w:type="dxa"/>
            <w:right w:w="108" w:type="dxa"/>
          </w:tblCellMar>
        </w:tblPrEx>
        <w:trPr>
          <w:trHeight w:val="285" w:hRule="atLeast"/>
        </w:trPr>
        <w:tc>
          <w:tcPr>
            <w:tcW w:w="813"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40"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841"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2、维保单位接到任务后超出合同约定时间抵达现场、提供技术支持。</w:t>
            </w:r>
          </w:p>
        </w:tc>
        <w:tc>
          <w:tcPr>
            <w:tcW w:w="1905"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发生一次扣4分</w:t>
            </w:r>
          </w:p>
        </w:tc>
      </w:tr>
      <w:tr>
        <w:tblPrEx>
          <w:tblCellMar>
            <w:top w:w="0" w:type="dxa"/>
            <w:left w:w="108" w:type="dxa"/>
            <w:bottom w:w="0" w:type="dxa"/>
            <w:right w:w="108" w:type="dxa"/>
          </w:tblCellMar>
        </w:tblPrEx>
        <w:trPr>
          <w:trHeight w:val="540" w:hRule="atLeast"/>
        </w:trPr>
        <w:tc>
          <w:tcPr>
            <w:tcW w:w="813" w:type="dxa"/>
            <w:vMerge w:val="restart"/>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w:t>
            </w:r>
          </w:p>
        </w:tc>
        <w:tc>
          <w:tcPr>
            <w:tcW w:w="1240" w:type="dxa"/>
            <w:vMerge w:val="restart"/>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安全管理</w:t>
            </w:r>
          </w:p>
        </w:tc>
        <w:tc>
          <w:tcPr>
            <w:tcW w:w="4841"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1、维保单位开展维修作业时，安全的预防和保护措施不到位，安全生产工具和器具配置不齐全，特殊作业的维修人员无上岗证，无安全保护装置；</w:t>
            </w:r>
          </w:p>
        </w:tc>
        <w:tc>
          <w:tcPr>
            <w:tcW w:w="1905"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发生一次扣2分</w:t>
            </w:r>
          </w:p>
        </w:tc>
      </w:tr>
      <w:tr>
        <w:tblPrEx>
          <w:tblCellMar>
            <w:top w:w="0" w:type="dxa"/>
            <w:left w:w="108" w:type="dxa"/>
            <w:bottom w:w="0" w:type="dxa"/>
            <w:right w:w="108" w:type="dxa"/>
          </w:tblCellMar>
        </w:tblPrEx>
        <w:trPr>
          <w:trHeight w:val="285" w:hRule="atLeast"/>
        </w:trPr>
        <w:tc>
          <w:tcPr>
            <w:tcW w:w="813"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40"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841"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2、维保单位使用机械作业或登高、高空作业时，未按规范操作；</w:t>
            </w:r>
          </w:p>
        </w:tc>
        <w:tc>
          <w:tcPr>
            <w:tcW w:w="1905"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发生一次扣2分</w:t>
            </w:r>
          </w:p>
        </w:tc>
      </w:tr>
      <w:tr>
        <w:tblPrEx>
          <w:tblCellMar>
            <w:top w:w="0" w:type="dxa"/>
            <w:left w:w="108" w:type="dxa"/>
            <w:bottom w:w="0" w:type="dxa"/>
            <w:right w:w="108" w:type="dxa"/>
          </w:tblCellMar>
        </w:tblPrEx>
        <w:trPr>
          <w:trHeight w:val="285" w:hRule="atLeast"/>
        </w:trPr>
        <w:tc>
          <w:tcPr>
            <w:tcW w:w="813"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40"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841"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3、维保单位使用气体、气瓶时，无人看管或不及时回收处置。</w:t>
            </w:r>
          </w:p>
        </w:tc>
        <w:tc>
          <w:tcPr>
            <w:tcW w:w="1905"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发生一次扣2分</w:t>
            </w:r>
          </w:p>
        </w:tc>
      </w:tr>
      <w:tr>
        <w:tblPrEx>
          <w:tblCellMar>
            <w:top w:w="0" w:type="dxa"/>
            <w:left w:w="108" w:type="dxa"/>
            <w:bottom w:w="0" w:type="dxa"/>
            <w:right w:w="108" w:type="dxa"/>
          </w:tblCellMar>
        </w:tblPrEx>
        <w:trPr>
          <w:trHeight w:val="285" w:hRule="atLeast"/>
        </w:trPr>
        <w:tc>
          <w:tcPr>
            <w:tcW w:w="813" w:type="dxa"/>
            <w:vMerge w:val="restart"/>
            <w:tcBorders>
              <w:top w:val="nil"/>
              <w:left w:val="single" w:color="auto" w:sz="4" w:space="0"/>
              <w:bottom w:val="single" w:color="000000"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w:t>
            </w:r>
          </w:p>
        </w:tc>
        <w:tc>
          <w:tcPr>
            <w:tcW w:w="1240" w:type="dxa"/>
            <w:vMerge w:val="restart"/>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合同履行</w:t>
            </w:r>
          </w:p>
        </w:tc>
        <w:tc>
          <w:tcPr>
            <w:tcW w:w="4841"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1、维保单位未按合同约定及时开具相应票据，配合学校结算；</w:t>
            </w:r>
          </w:p>
        </w:tc>
        <w:tc>
          <w:tcPr>
            <w:tcW w:w="1905"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发生一次扣3分</w:t>
            </w:r>
          </w:p>
        </w:tc>
      </w:tr>
      <w:tr>
        <w:tblPrEx>
          <w:tblCellMar>
            <w:top w:w="0" w:type="dxa"/>
            <w:left w:w="108" w:type="dxa"/>
            <w:bottom w:w="0" w:type="dxa"/>
            <w:right w:w="108" w:type="dxa"/>
          </w:tblCellMar>
        </w:tblPrEx>
        <w:trPr>
          <w:trHeight w:val="285" w:hRule="atLeast"/>
        </w:trPr>
        <w:tc>
          <w:tcPr>
            <w:tcW w:w="813" w:type="dxa"/>
            <w:vMerge w:val="continue"/>
            <w:tcBorders>
              <w:top w:val="nil"/>
              <w:left w:val="single" w:color="auto" w:sz="4" w:space="0"/>
              <w:bottom w:val="single" w:color="000000"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40"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841"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2、合同到期前，配合甲方完成与接收单位的移交，在验收移交过程中发现一处未经甲方确认的故障。</w:t>
            </w:r>
          </w:p>
        </w:tc>
        <w:tc>
          <w:tcPr>
            <w:tcW w:w="1905"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发生一次扣3分</w:t>
            </w:r>
          </w:p>
        </w:tc>
      </w:tr>
      <w:tr>
        <w:tblPrEx>
          <w:tblCellMar>
            <w:top w:w="0" w:type="dxa"/>
            <w:left w:w="108" w:type="dxa"/>
            <w:bottom w:w="0" w:type="dxa"/>
            <w:right w:w="108" w:type="dxa"/>
          </w:tblCellMar>
        </w:tblPrEx>
        <w:trPr>
          <w:trHeight w:val="285" w:hRule="atLeast"/>
        </w:trPr>
        <w:tc>
          <w:tcPr>
            <w:tcW w:w="813" w:type="dxa"/>
            <w:vMerge w:val="restart"/>
            <w:tcBorders>
              <w:top w:val="nil"/>
              <w:left w:val="single" w:color="auto" w:sz="4" w:space="0"/>
              <w:bottom w:val="single" w:color="000000"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7</w:t>
            </w:r>
          </w:p>
        </w:tc>
        <w:tc>
          <w:tcPr>
            <w:tcW w:w="1240" w:type="dxa"/>
            <w:vMerge w:val="restart"/>
            <w:tcBorders>
              <w:top w:val="nil"/>
              <w:left w:val="single" w:color="auto" w:sz="4" w:space="0"/>
              <w:bottom w:val="single" w:color="000000"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维保优良</w:t>
            </w:r>
          </w:p>
        </w:tc>
        <w:tc>
          <w:tcPr>
            <w:tcW w:w="4841"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1、季度检查过程中无扣分项发生；</w:t>
            </w:r>
          </w:p>
        </w:tc>
        <w:tc>
          <w:tcPr>
            <w:tcW w:w="1905"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单次加2分</w:t>
            </w:r>
          </w:p>
        </w:tc>
      </w:tr>
      <w:tr>
        <w:tblPrEx>
          <w:tblCellMar>
            <w:top w:w="0" w:type="dxa"/>
            <w:left w:w="108" w:type="dxa"/>
            <w:bottom w:w="0" w:type="dxa"/>
            <w:right w:w="108" w:type="dxa"/>
          </w:tblCellMar>
        </w:tblPrEx>
        <w:trPr>
          <w:trHeight w:val="285" w:hRule="atLeast"/>
        </w:trPr>
        <w:tc>
          <w:tcPr>
            <w:tcW w:w="813" w:type="dxa"/>
            <w:vMerge w:val="continue"/>
            <w:tcBorders>
              <w:top w:val="nil"/>
              <w:left w:val="single" w:color="auto" w:sz="4" w:space="0"/>
              <w:bottom w:val="single" w:color="000000"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40" w:type="dxa"/>
            <w:vMerge w:val="continue"/>
            <w:tcBorders>
              <w:top w:val="nil"/>
              <w:left w:val="single" w:color="auto" w:sz="4" w:space="0"/>
              <w:bottom w:val="single" w:color="000000"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841"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2、日常维保过程中获得师生书面好评或表扬信；</w:t>
            </w:r>
          </w:p>
        </w:tc>
        <w:tc>
          <w:tcPr>
            <w:tcW w:w="1905"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单次加0.5分</w:t>
            </w:r>
          </w:p>
        </w:tc>
      </w:tr>
      <w:tr>
        <w:tblPrEx>
          <w:tblCellMar>
            <w:top w:w="0" w:type="dxa"/>
            <w:left w:w="108" w:type="dxa"/>
            <w:bottom w:w="0" w:type="dxa"/>
            <w:right w:w="108" w:type="dxa"/>
          </w:tblCellMar>
        </w:tblPrEx>
        <w:trPr>
          <w:trHeight w:val="285" w:hRule="atLeast"/>
        </w:trPr>
        <w:tc>
          <w:tcPr>
            <w:tcW w:w="813" w:type="dxa"/>
            <w:vMerge w:val="continue"/>
            <w:tcBorders>
              <w:top w:val="nil"/>
              <w:left w:val="single" w:color="auto" w:sz="4" w:space="0"/>
              <w:bottom w:val="single" w:color="000000"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40" w:type="dxa"/>
            <w:vMerge w:val="continue"/>
            <w:tcBorders>
              <w:top w:val="nil"/>
              <w:left w:val="single" w:color="auto" w:sz="4" w:space="0"/>
              <w:bottom w:val="single" w:color="000000"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841"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3、积极配合甲方在接收设备过程中发现未经甲方确认的合同维修按实收费项设备缺陷。</w:t>
            </w:r>
          </w:p>
        </w:tc>
        <w:tc>
          <w:tcPr>
            <w:tcW w:w="1905"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一处加0.5分</w:t>
            </w:r>
          </w:p>
        </w:tc>
      </w:tr>
      <w:tr>
        <w:tblPrEx>
          <w:tblCellMar>
            <w:top w:w="0" w:type="dxa"/>
            <w:left w:w="108" w:type="dxa"/>
            <w:bottom w:w="0" w:type="dxa"/>
            <w:right w:w="108" w:type="dxa"/>
          </w:tblCellMar>
        </w:tblPrEx>
        <w:trPr>
          <w:trHeight w:val="690" w:hRule="atLeast"/>
        </w:trPr>
        <w:tc>
          <w:tcPr>
            <w:tcW w:w="813" w:type="dxa"/>
            <w:vMerge w:val="restart"/>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备注：</w:t>
            </w:r>
          </w:p>
        </w:tc>
        <w:tc>
          <w:tcPr>
            <w:tcW w:w="7986" w:type="dxa"/>
            <w:gridSpan w:val="3"/>
            <w:tcBorders>
              <w:top w:val="single" w:color="auto" w:sz="4" w:space="0"/>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年度维保考核总分为100分，每季度联合检查后进行一次维保考核得分确认，单个合同期结束时进行考核得分累计。合同期结束，年度维保考核累计得分低于60分全额扣除合同中最后一次支付的年度维保服务包干费，累计得分低于80分扣除合同中最后一次支付的年度维保服务包干费的50%，累计得分高于80分每扣一分扣除合同中最后一次支付的年度维保服务包干费的2%。</w:t>
            </w:r>
          </w:p>
        </w:tc>
      </w:tr>
      <w:tr>
        <w:tblPrEx>
          <w:tblCellMar>
            <w:top w:w="0" w:type="dxa"/>
            <w:left w:w="108" w:type="dxa"/>
            <w:bottom w:w="0" w:type="dxa"/>
            <w:right w:w="108" w:type="dxa"/>
          </w:tblCellMar>
        </w:tblPrEx>
        <w:trPr>
          <w:trHeight w:val="390" w:hRule="atLeast"/>
        </w:trPr>
        <w:tc>
          <w:tcPr>
            <w:tcW w:w="813"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7986" w:type="dxa"/>
            <w:gridSpan w:val="3"/>
            <w:tcBorders>
              <w:top w:val="single" w:color="auto" w:sz="4" w:space="0"/>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2、维保单位驻点人员因工作不规范，造成我方经济损失的，全部由维保单位承担。</w:t>
            </w:r>
          </w:p>
        </w:tc>
      </w:tr>
    </w:tbl>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p>
    <w:p>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sz w:val="24"/>
          <w:szCs w:val="24"/>
        </w:rPr>
      </w:pPr>
      <w:bookmarkStart w:id="0" w:name="_Hlk172384432"/>
      <w:r>
        <w:rPr>
          <w:rFonts w:hint="eastAsia" w:ascii="宋体" w:hAnsi="宋体" w:eastAsia="宋体" w:cs="宋体"/>
          <w:b/>
          <w:bCs/>
          <w:sz w:val="24"/>
          <w:szCs w:val="24"/>
          <w:lang w:val="en-US" w:eastAsia="zh-CN"/>
        </w:rPr>
        <w:t>（三）</w:t>
      </w:r>
      <w:r>
        <w:rPr>
          <w:rFonts w:hint="eastAsia" w:ascii="宋体" w:hAnsi="宋体" w:eastAsia="宋体" w:cs="宋体"/>
          <w:b/>
          <w:bCs/>
          <w:sz w:val="24"/>
          <w:szCs w:val="24"/>
        </w:rPr>
        <w:t>年度维保服务包干费费用以内的器件及耗材清单</w:t>
      </w:r>
      <w:bookmarkEnd w:id="0"/>
    </w:p>
    <w:p>
      <w:pPr>
        <w:pStyle w:val="2"/>
        <w:pageBreakBefore w:val="0"/>
        <w:kinsoku/>
        <w:wordWrap/>
        <w:overflowPunct/>
        <w:topLinePunct w:val="0"/>
        <w:autoSpaceDE/>
        <w:autoSpaceDN/>
        <w:bidi w:val="0"/>
        <w:adjustRightInd/>
        <w:snapToGrid/>
        <w:spacing w:before="0" w:after="0" w:line="360" w:lineRule="auto"/>
        <w:jc w:val="left"/>
        <w:textAlignment w:val="auto"/>
        <w:rPr>
          <w:rFonts w:hint="eastAsia" w:ascii="宋体" w:hAnsi="宋体" w:eastAsia="宋体" w:cs="宋体"/>
          <w:sz w:val="24"/>
          <w:szCs w:val="24"/>
        </w:rPr>
      </w:pPr>
    </w:p>
    <w:tbl>
      <w:tblPr>
        <w:tblStyle w:val="5"/>
        <w:tblW w:w="8330" w:type="dxa"/>
        <w:tblInd w:w="0" w:type="dxa"/>
        <w:tblLayout w:type="autofit"/>
        <w:tblCellMar>
          <w:top w:w="0" w:type="dxa"/>
          <w:left w:w="108" w:type="dxa"/>
          <w:bottom w:w="0" w:type="dxa"/>
          <w:right w:w="108" w:type="dxa"/>
        </w:tblCellMar>
      </w:tblPr>
      <w:tblGrid>
        <w:gridCol w:w="1040"/>
        <w:gridCol w:w="3037"/>
        <w:gridCol w:w="4253"/>
      </w:tblGrid>
      <w:tr>
        <w:tblPrEx>
          <w:tblCellMar>
            <w:top w:w="0" w:type="dxa"/>
            <w:left w:w="108" w:type="dxa"/>
            <w:bottom w:w="0" w:type="dxa"/>
            <w:right w:w="108" w:type="dxa"/>
          </w:tblCellMar>
        </w:tblPrEx>
        <w:trPr>
          <w:trHeight w:val="195" w:hRule="atLeast"/>
        </w:trPr>
        <w:tc>
          <w:tcPr>
            <w:tcW w:w="10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序号</w:t>
            </w:r>
          </w:p>
        </w:tc>
        <w:tc>
          <w:tcPr>
            <w:tcW w:w="3037"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产品名称</w:t>
            </w:r>
          </w:p>
        </w:tc>
        <w:tc>
          <w:tcPr>
            <w:tcW w:w="4253"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规格型号</w:t>
            </w:r>
          </w:p>
        </w:tc>
      </w:tr>
      <w:tr>
        <w:tblPrEx>
          <w:tblCellMar>
            <w:top w:w="0" w:type="dxa"/>
            <w:left w:w="108" w:type="dxa"/>
            <w:bottom w:w="0" w:type="dxa"/>
            <w:right w:w="108" w:type="dxa"/>
          </w:tblCellMar>
        </w:tblPrEx>
        <w:trPr>
          <w:trHeight w:val="37" w:hRule="atLeast"/>
        </w:trPr>
        <w:tc>
          <w:tcPr>
            <w:tcW w:w="1040" w:type="dxa"/>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3037"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光纤收发器</w:t>
            </w:r>
          </w:p>
        </w:tc>
        <w:tc>
          <w:tcPr>
            <w:tcW w:w="4253"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百兆单模</w:t>
            </w:r>
          </w:p>
        </w:tc>
      </w:tr>
      <w:tr>
        <w:tblPrEx>
          <w:tblCellMar>
            <w:top w:w="0" w:type="dxa"/>
            <w:left w:w="108" w:type="dxa"/>
            <w:bottom w:w="0" w:type="dxa"/>
            <w:right w:w="108" w:type="dxa"/>
          </w:tblCellMar>
        </w:tblPrEx>
        <w:trPr>
          <w:trHeight w:val="119" w:hRule="atLeast"/>
        </w:trPr>
        <w:tc>
          <w:tcPr>
            <w:tcW w:w="1040" w:type="dxa"/>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p>
        </w:tc>
        <w:tc>
          <w:tcPr>
            <w:tcW w:w="3037"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光纤收发器</w:t>
            </w:r>
          </w:p>
        </w:tc>
        <w:tc>
          <w:tcPr>
            <w:tcW w:w="4253"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百兆多模</w:t>
            </w:r>
          </w:p>
        </w:tc>
      </w:tr>
      <w:tr>
        <w:tblPrEx>
          <w:tblCellMar>
            <w:top w:w="0" w:type="dxa"/>
            <w:left w:w="108" w:type="dxa"/>
            <w:bottom w:w="0" w:type="dxa"/>
            <w:right w:w="108" w:type="dxa"/>
          </w:tblCellMar>
        </w:tblPrEx>
        <w:trPr>
          <w:trHeight w:val="37" w:hRule="atLeast"/>
        </w:trPr>
        <w:tc>
          <w:tcPr>
            <w:tcW w:w="1040" w:type="dxa"/>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w:t>
            </w:r>
          </w:p>
        </w:tc>
        <w:tc>
          <w:tcPr>
            <w:tcW w:w="3037"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光纤尾纤</w:t>
            </w:r>
          </w:p>
        </w:tc>
        <w:tc>
          <w:tcPr>
            <w:tcW w:w="4253"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FC、SC、ST</w:t>
            </w:r>
          </w:p>
        </w:tc>
      </w:tr>
      <w:tr>
        <w:tblPrEx>
          <w:tblCellMar>
            <w:top w:w="0" w:type="dxa"/>
            <w:left w:w="108" w:type="dxa"/>
            <w:bottom w:w="0" w:type="dxa"/>
            <w:right w:w="108" w:type="dxa"/>
          </w:tblCellMar>
        </w:tblPrEx>
        <w:trPr>
          <w:trHeight w:val="43" w:hRule="atLeast"/>
        </w:trPr>
        <w:tc>
          <w:tcPr>
            <w:tcW w:w="1040" w:type="dxa"/>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w:t>
            </w:r>
          </w:p>
        </w:tc>
        <w:tc>
          <w:tcPr>
            <w:tcW w:w="3037"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光纤跳线</w:t>
            </w:r>
          </w:p>
        </w:tc>
        <w:tc>
          <w:tcPr>
            <w:tcW w:w="4253"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FC、SC、ST</w:t>
            </w:r>
          </w:p>
        </w:tc>
      </w:tr>
      <w:tr>
        <w:tblPrEx>
          <w:tblCellMar>
            <w:top w:w="0" w:type="dxa"/>
            <w:left w:w="108" w:type="dxa"/>
            <w:bottom w:w="0" w:type="dxa"/>
            <w:right w:w="108" w:type="dxa"/>
          </w:tblCellMar>
        </w:tblPrEx>
        <w:trPr>
          <w:trHeight w:val="37" w:hRule="atLeast"/>
        </w:trPr>
        <w:tc>
          <w:tcPr>
            <w:tcW w:w="1040" w:type="dxa"/>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w:t>
            </w:r>
          </w:p>
        </w:tc>
        <w:tc>
          <w:tcPr>
            <w:tcW w:w="3037"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鼠标</w:t>
            </w:r>
          </w:p>
        </w:tc>
        <w:tc>
          <w:tcPr>
            <w:tcW w:w="4253"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光电USB接口</w:t>
            </w:r>
          </w:p>
        </w:tc>
      </w:tr>
      <w:tr>
        <w:tblPrEx>
          <w:tblCellMar>
            <w:top w:w="0" w:type="dxa"/>
            <w:left w:w="108" w:type="dxa"/>
            <w:bottom w:w="0" w:type="dxa"/>
            <w:right w:w="108" w:type="dxa"/>
          </w:tblCellMar>
        </w:tblPrEx>
        <w:trPr>
          <w:trHeight w:val="109" w:hRule="atLeast"/>
        </w:trPr>
        <w:tc>
          <w:tcPr>
            <w:tcW w:w="1040" w:type="dxa"/>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w:t>
            </w:r>
          </w:p>
        </w:tc>
        <w:tc>
          <w:tcPr>
            <w:tcW w:w="3037"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键盘</w:t>
            </w:r>
          </w:p>
        </w:tc>
        <w:tc>
          <w:tcPr>
            <w:tcW w:w="4253"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USB接口</w:t>
            </w:r>
          </w:p>
        </w:tc>
      </w:tr>
      <w:tr>
        <w:tblPrEx>
          <w:tblCellMar>
            <w:top w:w="0" w:type="dxa"/>
            <w:left w:w="108" w:type="dxa"/>
            <w:bottom w:w="0" w:type="dxa"/>
            <w:right w:w="108" w:type="dxa"/>
          </w:tblCellMar>
        </w:tblPrEx>
        <w:trPr>
          <w:trHeight w:val="280" w:hRule="atLeast"/>
        </w:trPr>
        <w:tc>
          <w:tcPr>
            <w:tcW w:w="1040" w:type="dxa"/>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7</w:t>
            </w:r>
          </w:p>
        </w:tc>
        <w:tc>
          <w:tcPr>
            <w:tcW w:w="3037"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网线</w:t>
            </w:r>
          </w:p>
        </w:tc>
        <w:tc>
          <w:tcPr>
            <w:tcW w:w="4253"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百兆超5类</w:t>
            </w:r>
          </w:p>
        </w:tc>
      </w:tr>
      <w:tr>
        <w:tblPrEx>
          <w:tblCellMar>
            <w:top w:w="0" w:type="dxa"/>
            <w:left w:w="108" w:type="dxa"/>
            <w:bottom w:w="0" w:type="dxa"/>
            <w:right w:w="108" w:type="dxa"/>
          </w:tblCellMar>
        </w:tblPrEx>
        <w:trPr>
          <w:trHeight w:val="280" w:hRule="atLeast"/>
        </w:trPr>
        <w:tc>
          <w:tcPr>
            <w:tcW w:w="1040" w:type="dxa"/>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8</w:t>
            </w:r>
          </w:p>
        </w:tc>
        <w:tc>
          <w:tcPr>
            <w:tcW w:w="3037"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机柜PDU</w:t>
            </w:r>
          </w:p>
        </w:tc>
        <w:tc>
          <w:tcPr>
            <w:tcW w:w="4253"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6位</w:t>
            </w:r>
          </w:p>
        </w:tc>
      </w:tr>
      <w:tr>
        <w:tblPrEx>
          <w:tblCellMar>
            <w:top w:w="0" w:type="dxa"/>
            <w:left w:w="108" w:type="dxa"/>
            <w:bottom w:w="0" w:type="dxa"/>
            <w:right w:w="108" w:type="dxa"/>
          </w:tblCellMar>
        </w:tblPrEx>
        <w:trPr>
          <w:trHeight w:val="280" w:hRule="atLeast"/>
        </w:trPr>
        <w:tc>
          <w:tcPr>
            <w:tcW w:w="1040" w:type="dxa"/>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9</w:t>
            </w:r>
          </w:p>
        </w:tc>
        <w:tc>
          <w:tcPr>
            <w:tcW w:w="3037"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空气开关</w:t>
            </w:r>
          </w:p>
        </w:tc>
        <w:tc>
          <w:tcPr>
            <w:tcW w:w="4253"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20A</w:t>
            </w:r>
          </w:p>
        </w:tc>
      </w:tr>
      <w:tr>
        <w:tblPrEx>
          <w:tblCellMar>
            <w:top w:w="0" w:type="dxa"/>
            <w:left w:w="108" w:type="dxa"/>
            <w:bottom w:w="0" w:type="dxa"/>
            <w:right w:w="108" w:type="dxa"/>
          </w:tblCellMar>
        </w:tblPrEx>
        <w:trPr>
          <w:trHeight w:val="280" w:hRule="atLeast"/>
        </w:trPr>
        <w:tc>
          <w:tcPr>
            <w:tcW w:w="1040" w:type="dxa"/>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10</w:t>
            </w:r>
          </w:p>
        </w:tc>
        <w:tc>
          <w:tcPr>
            <w:tcW w:w="3037"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通信端子</w:t>
            </w:r>
          </w:p>
        </w:tc>
        <w:tc>
          <w:tcPr>
            <w:tcW w:w="4253"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2.5平方</w:t>
            </w:r>
          </w:p>
        </w:tc>
      </w:tr>
      <w:tr>
        <w:tblPrEx>
          <w:tblCellMar>
            <w:top w:w="0" w:type="dxa"/>
            <w:left w:w="108" w:type="dxa"/>
            <w:bottom w:w="0" w:type="dxa"/>
            <w:right w:w="108" w:type="dxa"/>
          </w:tblCellMar>
        </w:tblPrEx>
        <w:trPr>
          <w:trHeight w:val="37" w:hRule="atLeast"/>
        </w:trPr>
        <w:tc>
          <w:tcPr>
            <w:tcW w:w="1040" w:type="dxa"/>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11</w:t>
            </w:r>
          </w:p>
        </w:tc>
        <w:tc>
          <w:tcPr>
            <w:tcW w:w="3037"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通信电缆</w:t>
            </w:r>
          </w:p>
        </w:tc>
        <w:tc>
          <w:tcPr>
            <w:tcW w:w="4253"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RVVP 2*0.75</w:t>
            </w:r>
          </w:p>
        </w:tc>
      </w:tr>
      <w:tr>
        <w:tblPrEx>
          <w:tblCellMar>
            <w:top w:w="0" w:type="dxa"/>
            <w:left w:w="108" w:type="dxa"/>
            <w:bottom w:w="0" w:type="dxa"/>
            <w:right w:w="108" w:type="dxa"/>
          </w:tblCellMar>
        </w:tblPrEx>
        <w:trPr>
          <w:trHeight w:val="280" w:hRule="atLeast"/>
        </w:trPr>
        <w:tc>
          <w:tcPr>
            <w:tcW w:w="1040" w:type="dxa"/>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12</w:t>
            </w:r>
          </w:p>
        </w:tc>
        <w:tc>
          <w:tcPr>
            <w:tcW w:w="3037"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UPS</w:t>
            </w:r>
          </w:p>
        </w:tc>
        <w:tc>
          <w:tcPr>
            <w:tcW w:w="4253"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3KVA</w:t>
            </w:r>
          </w:p>
        </w:tc>
      </w:tr>
      <w:tr>
        <w:tblPrEx>
          <w:tblCellMar>
            <w:top w:w="0" w:type="dxa"/>
            <w:left w:w="108" w:type="dxa"/>
            <w:bottom w:w="0" w:type="dxa"/>
            <w:right w:w="108" w:type="dxa"/>
          </w:tblCellMar>
        </w:tblPrEx>
        <w:trPr>
          <w:trHeight w:val="37" w:hRule="atLeast"/>
        </w:trPr>
        <w:tc>
          <w:tcPr>
            <w:tcW w:w="1040" w:type="dxa"/>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13</w:t>
            </w:r>
          </w:p>
        </w:tc>
        <w:tc>
          <w:tcPr>
            <w:tcW w:w="3037"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UPS</w:t>
            </w:r>
          </w:p>
        </w:tc>
        <w:tc>
          <w:tcPr>
            <w:tcW w:w="4253"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6KVA</w:t>
            </w:r>
          </w:p>
        </w:tc>
      </w:tr>
      <w:tr>
        <w:tblPrEx>
          <w:tblCellMar>
            <w:top w:w="0" w:type="dxa"/>
            <w:left w:w="108" w:type="dxa"/>
            <w:bottom w:w="0" w:type="dxa"/>
            <w:right w:w="108" w:type="dxa"/>
          </w:tblCellMar>
        </w:tblPrEx>
        <w:trPr>
          <w:trHeight w:val="280" w:hRule="atLeast"/>
        </w:trPr>
        <w:tc>
          <w:tcPr>
            <w:tcW w:w="1040" w:type="dxa"/>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14</w:t>
            </w:r>
          </w:p>
        </w:tc>
        <w:tc>
          <w:tcPr>
            <w:tcW w:w="3037"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电源线</w:t>
            </w:r>
          </w:p>
        </w:tc>
        <w:tc>
          <w:tcPr>
            <w:tcW w:w="4253"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2.5平方</w:t>
            </w:r>
          </w:p>
        </w:tc>
      </w:tr>
    </w:tbl>
    <w:p>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kern w:val="0"/>
          <w:sz w:val="24"/>
          <w:szCs w:val="24"/>
        </w:rPr>
      </w:pPr>
      <w:r>
        <w:rPr>
          <w:rFonts w:hint="eastAsia" w:ascii="宋体" w:hAnsi="宋体" w:eastAsia="宋体" w:cs="宋体"/>
          <w:b/>
          <w:kern w:val="0"/>
          <w:sz w:val="24"/>
          <w:szCs w:val="24"/>
        </w:rPr>
        <w:t>注：常规维护所需器件及耗材（包含不限于上表中器件及耗材）的成本均包含在年度维保服务包干费报价中。</w:t>
      </w:r>
    </w:p>
    <w:p>
      <w:pPr>
        <w:pStyle w:val="4"/>
        <w:pageBreakBefore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kern w:val="0"/>
          <w:sz w:val="24"/>
          <w:szCs w:val="24"/>
          <w:lang w:val="en-US" w:eastAsia="zh-CN" w:bidi="ar-SA"/>
        </w:rPr>
      </w:pPr>
      <w:bookmarkStart w:id="1" w:name="_Toc12876"/>
    </w:p>
    <w:p>
      <w:pPr>
        <w:pStyle w:val="4"/>
        <w:pageBreakBefore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kern w:val="0"/>
          <w:sz w:val="24"/>
          <w:szCs w:val="24"/>
          <w:lang w:val="en-US" w:eastAsia="zh-CN" w:bidi="ar-SA"/>
        </w:rPr>
      </w:pPr>
      <w:r>
        <w:rPr>
          <w:rFonts w:hint="eastAsia" w:ascii="宋体" w:hAnsi="宋体" w:eastAsia="宋体" w:cs="宋体"/>
          <w:b/>
          <w:kern w:val="0"/>
          <w:sz w:val="24"/>
          <w:szCs w:val="24"/>
          <w:lang w:val="en-US" w:eastAsia="zh-CN" w:bidi="ar-SA"/>
        </w:rPr>
        <w:t>（四）按实收费维修项目清单</w:t>
      </w:r>
      <w:bookmarkEnd w:id="1"/>
    </w:p>
    <w:p>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w:t>
      </w:r>
      <w:r>
        <w:rPr>
          <w:rFonts w:hint="eastAsia" w:ascii="宋体" w:hAnsi="宋体" w:eastAsia="宋体" w:cs="宋体"/>
          <w:sz w:val="24"/>
          <w:szCs w:val="24"/>
        </w:rPr>
        <w:t>按实收费维修项目清单</w:t>
      </w:r>
    </w:p>
    <w:tbl>
      <w:tblPr>
        <w:tblStyle w:val="5"/>
        <w:tblW w:w="8290" w:type="dxa"/>
        <w:tblInd w:w="-102" w:type="dxa"/>
        <w:tblLayout w:type="fixed"/>
        <w:tblCellMar>
          <w:top w:w="0" w:type="dxa"/>
          <w:left w:w="108" w:type="dxa"/>
          <w:bottom w:w="0" w:type="dxa"/>
          <w:right w:w="108" w:type="dxa"/>
        </w:tblCellMar>
      </w:tblPr>
      <w:tblGrid>
        <w:gridCol w:w="700"/>
        <w:gridCol w:w="1717"/>
        <w:gridCol w:w="1416"/>
        <w:gridCol w:w="650"/>
        <w:gridCol w:w="650"/>
        <w:gridCol w:w="1881"/>
        <w:gridCol w:w="1276"/>
      </w:tblGrid>
      <w:tr>
        <w:tblPrEx>
          <w:tblCellMar>
            <w:top w:w="0" w:type="dxa"/>
            <w:left w:w="108" w:type="dxa"/>
            <w:bottom w:w="0" w:type="dxa"/>
            <w:right w:w="108" w:type="dxa"/>
          </w:tblCellMar>
        </w:tblPrEx>
        <w:trPr>
          <w:trHeight w:val="825"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序号</w:t>
            </w:r>
          </w:p>
        </w:tc>
        <w:tc>
          <w:tcPr>
            <w:tcW w:w="1717" w:type="dxa"/>
            <w:tcBorders>
              <w:top w:val="single" w:color="auto" w:sz="4" w:space="0"/>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维修清单内容</w:t>
            </w:r>
          </w:p>
        </w:tc>
        <w:tc>
          <w:tcPr>
            <w:tcW w:w="1416" w:type="dxa"/>
            <w:tcBorders>
              <w:top w:val="single" w:color="auto" w:sz="4" w:space="0"/>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规格型号</w:t>
            </w:r>
          </w:p>
        </w:tc>
        <w:tc>
          <w:tcPr>
            <w:tcW w:w="650" w:type="dxa"/>
            <w:tcBorders>
              <w:top w:val="single" w:color="auto" w:sz="4" w:space="0"/>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单位</w:t>
            </w:r>
          </w:p>
        </w:tc>
        <w:tc>
          <w:tcPr>
            <w:tcW w:w="650" w:type="dxa"/>
            <w:tcBorders>
              <w:top w:val="single" w:color="auto" w:sz="4" w:space="0"/>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数量</w:t>
            </w:r>
          </w:p>
        </w:tc>
        <w:tc>
          <w:tcPr>
            <w:tcW w:w="1881" w:type="dxa"/>
            <w:tcBorders>
              <w:top w:val="single" w:color="auto" w:sz="4" w:space="0"/>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维修项目单价（元）</w:t>
            </w:r>
          </w:p>
        </w:tc>
        <w:tc>
          <w:tcPr>
            <w:tcW w:w="1276" w:type="dxa"/>
            <w:tcBorders>
              <w:top w:val="single" w:color="auto" w:sz="4" w:space="0"/>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维修项目合价（元）</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1717"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监控电脑</w:t>
            </w:r>
          </w:p>
        </w:tc>
        <w:tc>
          <w:tcPr>
            <w:tcW w:w="1416"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IPC-610L</w:t>
            </w:r>
          </w:p>
        </w:tc>
        <w:tc>
          <w:tcPr>
            <w:tcW w:w="650"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台</w:t>
            </w:r>
          </w:p>
        </w:tc>
        <w:tc>
          <w:tcPr>
            <w:tcW w:w="6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188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8500</w:t>
            </w:r>
          </w:p>
        </w:tc>
        <w:tc>
          <w:tcPr>
            <w:tcW w:w="1276"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25500</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p>
        </w:tc>
        <w:tc>
          <w:tcPr>
            <w:tcW w:w="1717"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显示器</w:t>
            </w:r>
          </w:p>
        </w:tc>
        <w:tc>
          <w:tcPr>
            <w:tcW w:w="1416"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24寸液晶</w:t>
            </w:r>
          </w:p>
        </w:tc>
        <w:tc>
          <w:tcPr>
            <w:tcW w:w="650"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台</w:t>
            </w:r>
          </w:p>
        </w:tc>
        <w:tc>
          <w:tcPr>
            <w:tcW w:w="6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188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2000</w:t>
            </w:r>
          </w:p>
        </w:tc>
        <w:tc>
          <w:tcPr>
            <w:tcW w:w="1276"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4000</w:t>
            </w:r>
          </w:p>
        </w:tc>
      </w:tr>
      <w:tr>
        <w:tblPrEx>
          <w:tblCellMar>
            <w:top w:w="0" w:type="dxa"/>
            <w:left w:w="108" w:type="dxa"/>
            <w:bottom w:w="0" w:type="dxa"/>
            <w:right w:w="108" w:type="dxa"/>
          </w:tblCellMar>
        </w:tblPrEx>
        <w:trPr>
          <w:trHeight w:val="642" w:hRule="atLeast"/>
        </w:trPr>
        <w:tc>
          <w:tcPr>
            <w:tcW w:w="700" w:type="dxa"/>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w:t>
            </w:r>
          </w:p>
        </w:tc>
        <w:tc>
          <w:tcPr>
            <w:tcW w:w="1717"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UPS蓄电池</w:t>
            </w:r>
          </w:p>
        </w:tc>
        <w:tc>
          <w:tcPr>
            <w:tcW w:w="1416"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12V</w:t>
            </w:r>
          </w:p>
        </w:tc>
        <w:tc>
          <w:tcPr>
            <w:tcW w:w="650"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6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10</w:t>
            </w:r>
          </w:p>
        </w:tc>
        <w:tc>
          <w:tcPr>
            <w:tcW w:w="188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800</w:t>
            </w:r>
          </w:p>
        </w:tc>
        <w:tc>
          <w:tcPr>
            <w:tcW w:w="1276"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8000</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w:t>
            </w:r>
          </w:p>
        </w:tc>
        <w:tc>
          <w:tcPr>
            <w:tcW w:w="1717"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多功能仪表</w:t>
            </w:r>
          </w:p>
        </w:tc>
        <w:tc>
          <w:tcPr>
            <w:tcW w:w="1416"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DEP-961S</w:t>
            </w:r>
          </w:p>
        </w:tc>
        <w:tc>
          <w:tcPr>
            <w:tcW w:w="650"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6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10</w:t>
            </w:r>
          </w:p>
        </w:tc>
        <w:tc>
          <w:tcPr>
            <w:tcW w:w="188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1250</w:t>
            </w:r>
          </w:p>
        </w:tc>
        <w:tc>
          <w:tcPr>
            <w:tcW w:w="1276"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12500</w:t>
            </w:r>
          </w:p>
        </w:tc>
      </w:tr>
      <w:tr>
        <w:tblPrEx>
          <w:tblCellMar>
            <w:top w:w="0" w:type="dxa"/>
            <w:left w:w="108" w:type="dxa"/>
            <w:bottom w:w="0" w:type="dxa"/>
            <w:right w:w="108" w:type="dxa"/>
          </w:tblCellMar>
        </w:tblPrEx>
        <w:trPr>
          <w:trHeight w:val="642" w:hRule="atLeast"/>
        </w:trPr>
        <w:tc>
          <w:tcPr>
            <w:tcW w:w="700" w:type="dxa"/>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w:t>
            </w:r>
          </w:p>
        </w:tc>
        <w:tc>
          <w:tcPr>
            <w:tcW w:w="1717"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UPS主机</w:t>
            </w:r>
          </w:p>
        </w:tc>
        <w:tc>
          <w:tcPr>
            <w:tcW w:w="1416"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C3KS</w:t>
            </w:r>
          </w:p>
        </w:tc>
        <w:tc>
          <w:tcPr>
            <w:tcW w:w="650"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台</w:t>
            </w:r>
          </w:p>
        </w:tc>
        <w:tc>
          <w:tcPr>
            <w:tcW w:w="6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188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4500</w:t>
            </w:r>
          </w:p>
        </w:tc>
        <w:tc>
          <w:tcPr>
            <w:tcW w:w="1276"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13500</w:t>
            </w:r>
          </w:p>
        </w:tc>
      </w:tr>
      <w:tr>
        <w:tblPrEx>
          <w:tblCellMar>
            <w:top w:w="0" w:type="dxa"/>
            <w:left w:w="108" w:type="dxa"/>
            <w:bottom w:w="0" w:type="dxa"/>
            <w:right w:w="108" w:type="dxa"/>
          </w:tblCellMar>
        </w:tblPrEx>
        <w:trPr>
          <w:trHeight w:val="642" w:hRule="atLeast"/>
        </w:trPr>
        <w:tc>
          <w:tcPr>
            <w:tcW w:w="700" w:type="dxa"/>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w:t>
            </w:r>
          </w:p>
        </w:tc>
        <w:tc>
          <w:tcPr>
            <w:tcW w:w="1717"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UPS主机</w:t>
            </w:r>
          </w:p>
        </w:tc>
        <w:tc>
          <w:tcPr>
            <w:tcW w:w="1416"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C6KS</w:t>
            </w:r>
          </w:p>
        </w:tc>
        <w:tc>
          <w:tcPr>
            <w:tcW w:w="650"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台</w:t>
            </w:r>
          </w:p>
        </w:tc>
        <w:tc>
          <w:tcPr>
            <w:tcW w:w="6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188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6500</w:t>
            </w:r>
          </w:p>
        </w:tc>
        <w:tc>
          <w:tcPr>
            <w:tcW w:w="1276"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19500</w:t>
            </w:r>
          </w:p>
        </w:tc>
      </w:tr>
      <w:tr>
        <w:tblPrEx>
          <w:tblCellMar>
            <w:top w:w="0" w:type="dxa"/>
            <w:left w:w="108" w:type="dxa"/>
            <w:bottom w:w="0" w:type="dxa"/>
            <w:right w:w="108" w:type="dxa"/>
          </w:tblCellMar>
        </w:tblPrEx>
        <w:trPr>
          <w:trHeight w:val="642" w:hRule="atLeast"/>
        </w:trPr>
        <w:tc>
          <w:tcPr>
            <w:tcW w:w="700" w:type="dxa"/>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7</w:t>
            </w:r>
          </w:p>
        </w:tc>
        <w:tc>
          <w:tcPr>
            <w:tcW w:w="1717"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线路保护</w:t>
            </w:r>
          </w:p>
        </w:tc>
        <w:tc>
          <w:tcPr>
            <w:tcW w:w="1416"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DEP-571N</w:t>
            </w:r>
          </w:p>
        </w:tc>
        <w:tc>
          <w:tcPr>
            <w:tcW w:w="650"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6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188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8500</w:t>
            </w:r>
          </w:p>
        </w:tc>
        <w:tc>
          <w:tcPr>
            <w:tcW w:w="1276"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25500</w:t>
            </w:r>
          </w:p>
        </w:tc>
      </w:tr>
      <w:tr>
        <w:tblPrEx>
          <w:tblCellMar>
            <w:top w:w="0" w:type="dxa"/>
            <w:left w:w="108" w:type="dxa"/>
            <w:bottom w:w="0" w:type="dxa"/>
            <w:right w:w="108" w:type="dxa"/>
          </w:tblCellMar>
        </w:tblPrEx>
        <w:trPr>
          <w:trHeight w:val="642" w:hRule="atLeast"/>
        </w:trPr>
        <w:tc>
          <w:tcPr>
            <w:tcW w:w="700" w:type="dxa"/>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8</w:t>
            </w:r>
          </w:p>
        </w:tc>
        <w:tc>
          <w:tcPr>
            <w:tcW w:w="1717"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变压器保护</w:t>
            </w:r>
          </w:p>
        </w:tc>
        <w:tc>
          <w:tcPr>
            <w:tcW w:w="1416"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DEP-536N</w:t>
            </w:r>
          </w:p>
        </w:tc>
        <w:tc>
          <w:tcPr>
            <w:tcW w:w="650"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6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188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8500</w:t>
            </w:r>
          </w:p>
        </w:tc>
        <w:tc>
          <w:tcPr>
            <w:tcW w:w="1276"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25500</w:t>
            </w:r>
          </w:p>
        </w:tc>
      </w:tr>
      <w:tr>
        <w:tblPrEx>
          <w:tblCellMar>
            <w:top w:w="0" w:type="dxa"/>
            <w:left w:w="108" w:type="dxa"/>
            <w:bottom w:w="0" w:type="dxa"/>
            <w:right w:w="108" w:type="dxa"/>
          </w:tblCellMar>
        </w:tblPrEx>
        <w:trPr>
          <w:trHeight w:val="642" w:hRule="atLeast"/>
        </w:trPr>
        <w:tc>
          <w:tcPr>
            <w:tcW w:w="700" w:type="dxa"/>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9</w:t>
            </w:r>
          </w:p>
        </w:tc>
        <w:tc>
          <w:tcPr>
            <w:tcW w:w="1717"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PT保护</w:t>
            </w:r>
          </w:p>
        </w:tc>
        <w:tc>
          <w:tcPr>
            <w:tcW w:w="1416"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DEP-557N</w:t>
            </w:r>
          </w:p>
        </w:tc>
        <w:tc>
          <w:tcPr>
            <w:tcW w:w="650"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6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188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8500</w:t>
            </w:r>
          </w:p>
        </w:tc>
        <w:tc>
          <w:tcPr>
            <w:tcW w:w="1276"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25500</w:t>
            </w:r>
          </w:p>
        </w:tc>
      </w:tr>
      <w:tr>
        <w:tblPrEx>
          <w:tblCellMar>
            <w:top w:w="0" w:type="dxa"/>
            <w:left w:w="108" w:type="dxa"/>
            <w:bottom w:w="0" w:type="dxa"/>
            <w:right w:w="108" w:type="dxa"/>
          </w:tblCellMar>
        </w:tblPrEx>
        <w:trPr>
          <w:trHeight w:val="642" w:hRule="atLeast"/>
        </w:trPr>
        <w:tc>
          <w:tcPr>
            <w:tcW w:w="700" w:type="dxa"/>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10</w:t>
            </w:r>
          </w:p>
        </w:tc>
        <w:tc>
          <w:tcPr>
            <w:tcW w:w="1717"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综合测控装置</w:t>
            </w:r>
          </w:p>
        </w:tc>
        <w:tc>
          <w:tcPr>
            <w:tcW w:w="1416"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DEP-612N</w:t>
            </w:r>
          </w:p>
        </w:tc>
        <w:tc>
          <w:tcPr>
            <w:tcW w:w="650"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6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188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8500</w:t>
            </w:r>
          </w:p>
        </w:tc>
        <w:tc>
          <w:tcPr>
            <w:tcW w:w="1276"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25500</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11</w:t>
            </w:r>
          </w:p>
        </w:tc>
        <w:tc>
          <w:tcPr>
            <w:tcW w:w="1717"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通讯管理机</w:t>
            </w:r>
          </w:p>
        </w:tc>
        <w:tc>
          <w:tcPr>
            <w:tcW w:w="1416"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DEP-765N</w:t>
            </w:r>
          </w:p>
        </w:tc>
        <w:tc>
          <w:tcPr>
            <w:tcW w:w="650"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6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88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21000</w:t>
            </w:r>
          </w:p>
        </w:tc>
        <w:tc>
          <w:tcPr>
            <w:tcW w:w="1276"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21000</w:t>
            </w:r>
          </w:p>
        </w:tc>
      </w:tr>
      <w:tr>
        <w:tblPrEx>
          <w:tblCellMar>
            <w:top w:w="0" w:type="dxa"/>
            <w:left w:w="108" w:type="dxa"/>
            <w:bottom w:w="0" w:type="dxa"/>
            <w:right w:w="108" w:type="dxa"/>
          </w:tblCellMar>
        </w:tblPrEx>
        <w:trPr>
          <w:trHeight w:val="615" w:hRule="atLeast"/>
        </w:trPr>
        <w:tc>
          <w:tcPr>
            <w:tcW w:w="700" w:type="dxa"/>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12</w:t>
            </w:r>
          </w:p>
        </w:tc>
        <w:tc>
          <w:tcPr>
            <w:tcW w:w="1717"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机柜</w:t>
            </w:r>
          </w:p>
        </w:tc>
        <w:tc>
          <w:tcPr>
            <w:tcW w:w="1416"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标准网络机柜42U</w:t>
            </w:r>
          </w:p>
        </w:tc>
        <w:tc>
          <w:tcPr>
            <w:tcW w:w="650"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6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88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4000</w:t>
            </w:r>
          </w:p>
        </w:tc>
        <w:tc>
          <w:tcPr>
            <w:tcW w:w="1276"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4000</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13</w:t>
            </w:r>
          </w:p>
        </w:tc>
        <w:tc>
          <w:tcPr>
            <w:tcW w:w="1717"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交换机</w:t>
            </w:r>
          </w:p>
        </w:tc>
        <w:tc>
          <w:tcPr>
            <w:tcW w:w="1416"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S5700系列</w:t>
            </w:r>
          </w:p>
        </w:tc>
        <w:tc>
          <w:tcPr>
            <w:tcW w:w="650"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6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188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4000</w:t>
            </w:r>
          </w:p>
        </w:tc>
        <w:tc>
          <w:tcPr>
            <w:tcW w:w="1276"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20000</w:t>
            </w:r>
          </w:p>
        </w:tc>
      </w:tr>
      <w:tr>
        <w:tblPrEx>
          <w:tblCellMar>
            <w:top w:w="0" w:type="dxa"/>
            <w:left w:w="108" w:type="dxa"/>
            <w:bottom w:w="0" w:type="dxa"/>
            <w:right w:w="108" w:type="dxa"/>
          </w:tblCellMar>
        </w:tblPrEx>
        <w:trPr>
          <w:trHeight w:val="285" w:hRule="atLeast"/>
        </w:trPr>
        <w:tc>
          <w:tcPr>
            <w:tcW w:w="4483" w:type="dxa"/>
            <w:gridSpan w:val="4"/>
            <w:tcBorders>
              <w:top w:val="single" w:color="auto" w:sz="4" w:space="0"/>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合计(元）</w:t>
            </w:r>
          </w:p>
        </w:tc>
        <w:tc>
          <w:tcPr>
            <w:tcW w:w="3807" w:type="dxa"/>
            <w:gridSpan w:val="3"/>
            <w:tcBorders>
              <w:top w:val="single" w:color="auto" w:sz="4" w:space="0"/>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230000</w:t>
            </w:r>
          </w:p>
        </w:tc>
      </w:tr>
    </w:tbl>
    <w:p>
      <w:pPr>
        <w:pStyle w:val="4"/>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 w:val="24"/>
          <w:szCs w:val="24"/>
        </w:rPr>
      </w:pPr>
    </w:p>
    <w:p>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eastAsia="zh-CN"/>
        </w:rPr>
        <w:t>）</w:t>
      </w:r>
      <w:r>
        <w:rPr>
          <w:rFonts w:hint="eastAsia" w:ascii="宋体" w:hAnsi="宋体" w:eastAsia="宋体" w:cs="宋体"/>
          <w:sz w:val="24"/>
          <w:szCs w:val="24"/>
        </w:rPr>
        <w:t>按实收费维修项目报价清单</w:t>
      </w:r>
      <w:r>
        <w:rPr>
          <w:rFonts w:hint="eastAsia" w:ascii="宋体" w:hAnsi="宋体" w:eastAsia="宋体" w:cs="宋体"/>
          <w:sz w:val="24"/>
          <w:szCs w:val="24"/>
          <w:lang w:eastAsia="zh-CN"/>
        </w:rPr>
        <w:t>（无需应答报价清单，于响应文件中完整报出视为已应答）</w:t>
      </w:r>
    </w:p>
    <w:tbl>
      <w:tblPr>
        <w:tblStyle w:val="5"/>
        <w:tblW w:w="8257" w:type="dxa"/>
        <w:tblInd w:w="-69" w:type="dxa"/>
        <w:tblLayout w:type="fixed"/>
        <w:tblCellMar>
          <w:top w:w="0" w:type="dxa"/>
          <w:left w:w="108" w:type="dxa"/>
          <w:bottom w:w="0" w:type="dxa"/>
          <w:right w:w="108" w:type="dxa"/>
        </w:tblCellMar>
      </w:tblPr>
      <w:tblGrid>
        <w:gridCol w:w="650"/>
        <w:gridCol w:w="1659"/>
        <w:gridCol w:w="1508"/>
        <w:gridCol w:w="633"/>
        <w:gridCol w:w="667"/>
        <w:gridCol w:w="1723"/>
        <w:gridCol w:w="1417"/>
      </w:tblGrid>
      <w:tr>
        <w:tblPrEx>
          <w:tblCellMar>
            <w:top w:w="0" w:type="dxa"/>
            <w:left w:w="108" w:type="dxa"/>
            <w:bottom w:w="0" w:type="dxa"/>
            <w:right w:w="108" w:type="dxa"/>
          </w:tblCellMar>
        </w:tblPrEx>
        <w:trPr>
          <w:trHeight w:val="825" w:hRule="atLeast"/>
        </w:trPr>
        <w:tc>
          <w:tcPr>
            <w:tcW w:w="650" w:type="dxa"/>
            <w:tcBorders>
              <w:top w:val="single" w:color="auto" w:sz="4" w:space="0"/>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序号</w:t>
            </w:r>
          </w:p>
        </w:tc>
        <w:tc>
          <w:tcPr>
            <w:tcW w:w="1659" w:type="dxa"/>
            <w:tcBorders>
              <w:top w:val="single" w:color="auto" w:sz="4" w:space="0"/>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维修清单内容</w:t>
            </w:r>
          </w:p>
        </w:tc>
        <w:tc>
          <w:tcPr>
            <w:tcW w:w="1508" w:type="dxa"/>
            <w:tcBorders>
              <w:top w:val="single" w:color="auto" w:sz="4" w:space="0"/>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规格型号</w:t>
            </w:r>
          </w:p>
        </w:tc>
        <w:tc>
          <w:tcPr>
            <w:tcW w:w="633" w:type="dxa"/>
            <w:tcBorders>
              <w:top w:val="single" w:color="auto" w:sz="4" w:space="0"/>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单位</w:t>
            </w:r>
          </w:p>
        </w:tc>
        <w:tc>
          <w:tcPr>
            <w:tcW w:w="667" w:type="dxa"/>
            <w:tcBorders>
              <w:top w:val="single" w:color="auto" w:sz="4" w:space="0"/>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数量</w:t>
            </w:r>
          </w:p>
        </w:tc>
        <w:tc>
          <w:tcPr>
            <w:tcW w:w="1723" w:type="dxa"/>
            <w:tcBorders>
              <w:top w:val="single" w:color="auto" w:sz="4" w:space="0"/>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维修项目单价（元）</w:t>
            </w:r>
          </w:p>
        </w:tc>
        <w:tc>
          <w:tcPr>
            <w:tcW w:w="1417" w:type="dxa"/>
            <w:tcBorders>
              <w:top w:val="single" w:color="auto" w:sz="4" w:space="0"/>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维修项目合价（元）</w:t>
            </w:r>
          </w:p>
        </w:tc>
      </w:tr>
      <w:tr>
        <w:tblPrEx>
          <w:tblCellMar>
            <w:top w:w="0" w:type="dxa"/>
            <w:left w:w="108" w:type="dxa"/>
            <w:bottom w:w="0" w:type="dxa"/>
            <w:right w:w="108" w:type="dxa"/>
          </w:tblCellMar>
        </w:tblPrEx>
        <w:trPr>
          <w:trHeight w:val="360" w:hRule="atLeast"/>
        </w:trPr>
        <w:tc>
          <w:tcPr>
            <w:tcW w:w="650" w:type="dxa"/>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1659"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监控电脑</w:t>
            </w:r>
          </w:p>
        </w:tc>
        <w:tc>
          <w:tcPr>
            <w:tcW w:w="1508"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IPC-610L</w:t>
            </w:r>
          </w:p>
        </w:tc>
        <w:tc>
          <w:tcPr>
            <w:tcW w:w="633"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台</w:t>
            </w:r>
          </w:p>
        </w:tc>
        <w:tc>
          <w:tcPr>
            <w:tcW w:w="66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172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41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60" w:hRule="atLeast"/>
        </w:trPr>
        <w:tc>
          <w:tcPr>
            <w:tcW w:w="650" w:type="dxa"/>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p>
        </w:tc>
        <w:tc>
          <w:tcPr>
            <w:tcW w:w="1659"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显示器</w:t>
            </w:r>
          </w:p>
        </w:tc>
        <w:tc>
          <w:tcPr>
            <w:tcW w:w="1508"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24寸液晶</w:t>
            </w:r>
          </w:p>
        </w:tc>
        <w:tc>
          <w:tcPr>
            <w:tcW w:w="633"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台</w:t>
            </w:r>
          </w:p>
        </w:tc>
        <w:tc>
          <w:tcPr>
            <w:tcW w:w="66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172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41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642" w:hRule="atLeast"/>
        </w:trPr>
        <w:tc>
          <w:tcPr>
            <w:tcW w:w="650" w:type="dxa"/>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w:t>
            </w:r>
          </w:p>
        </w:tc>
        <w:tc>
          <w:tcPr>
            <w:tcW w:w="1659"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UPS蓄电池</w:t>
            </w:r>
          </w:p>
        </w:tc>
        <w:tc>
          <w:tcPr>
            <w:tcW w:w="1508"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12V</w:t>
            </w:r>
          </w:p>
        </w:tc>
        <w:tc>
          <w:tcPr>
            <w:tcW w:w="633"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66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10</w:t>
            </w:r>
          </w:p>
        </w:tc>
        <w:tc>
          <w:tcPr>
            <w:tcW w:w="172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41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60" w:hRule="atLeast"/>
        </w:trPr>
        <w:tc>
          <w:tcPr>
            <w:tcW w:w="650" w:type="dxa"/>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w:t>
            </w:r>
          </w:p>
        </w:tc>
        <w:tc>
          <w:tcPr>
            <w:tcW w:w="1659"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多功能仪表</w:t>
            </w:r>
          </w:p>
        </w:tc>
        <w:tc>
          <w:tcPr>
            <w:tcW w:w="1508"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DEP-961S</w:t>
            </w:r>
          </w:p>
        </w:tc>
        <w:tc>
          <w:tcPr>
            <w:tcW w:w="633"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66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10</w:t>
            </w:r>
          </w:p>
        </w:tc>
        <w:tc>
          <w:tcPr>
            <w:tcW w:w="172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41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642" w:hRule="atLeast"/>
        </w:trPr>
        <w:tc>
          <w:tcPr>
            <w:tcW w:w="650" w:type="dxa"/>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w:t>
            </w:r>
          </w:p>
        </w:tc>
        <w:tc>
          <w:tcPr>
            <w:tcW w:w="1659"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UPS主机</w:t>
            </w:r>
          </w:p>
        </w:tc>
        <w:tc>
          <w:tcPr>
            <w:tcW w:w="1508"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C3KS</w:t>
            </w:r>
          </w:p>
        </w:tc>
        <w:tc>
          <w:tcPr>
            <w:tcW w:w="633"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台</w:t>
            </w:r>
          </w:p>
        </w:tc>
        <w:tc>
          <w:tcPr>
            <w:tcW w:w="66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172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41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642" w:hRule="atLeast"/>
        </w:trPr>
        <w:tc>
          <w:tcPr>
            <w:tcW w:w="650" w:type="dxa"/>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w:t>
            </w:r>
          </w:p>
        </w:tc>
        <w:tc>
          <w:tcPr>
            <w:tcW w:w="1659"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UPS主机</w:t>
            </w:r>
          </w:p>
        </w:tc>
        <w:tc>
          <w:tcPr>
            <w:tcW w:w="1508"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C6KS</w:t>
            </w:r>
          </w:p>
        </w:tc>
        <w:tc>
          <w:tcPr>
            <w:tcW w:w="633"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台</w:t>
            </w:r>
          </w:p>
        </w:tc>
        <w:tc>
          <w:tcPr>
            <w:tcW w:w="66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172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41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642" w:hRule="atLeast"/>
        </w:trPr>
        <w:tc>
          <w:tcPr>
            <w:tcW w:w="650" w:type="dxa"/>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7</w:t>
            </w:r>
          </w:p>
        </w:tc>
        <w:tc>
          <w:tcPr>
            <w:tcW w:w="1659"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线路保护</w:t>
            </w:r>
          </w:p>
        </w:tc>
        <w:tc>
          <w:tcPr>
            <w:tcW w:w="1508"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DEP-571N</w:t>
            </w:r>
          </w:p>
        </w:tc>
        <w:tc>
          <w:tcPr>
            <w:tcW w:w="633"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66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172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41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642" w:hRule="atLeast"/>
        </w:trPr>
        <w:tc>
          <w:tcPr>
            <w:tcW w:w="650" w:type="dxa"/>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8</w:t>
            </w:r>
          </w:p>
        </w:tc>
        <w:tc>
          <w:tcPr>
            <w:tcW w:w="1659"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变压器保护</w:t>
            </w:r>
          </w:p>
        </w:tc>
        <w:tc>
          <w:tcPr>
            <w:tcW w:w="1508"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DEP-536N</w:t>
            </w:r>
          </w:p>
        </w:tc>
        <w:tc>
          <w:tcPr>
            <w:tcW w:w="633"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66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172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41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642" w:hRule="atLeast"/>
        </w:trPr>
        <w:tc>
          <w:tcPr>
            <w:tcW w:w="650" w:type="dxa"/>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9</w:t>
            </w:r>
          </w:p>
        </w:tc>
        <w:tc>
          <w:tcPr>
            <w:tcW w:w="1659"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PT保护</w:t>
            </w:r>
          </w:p>
        </w:tc>
        <w:tc>
          <w:tcPr>
            <w:tcW w:w="1508"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DEP-557N</w:t>
            </w:r>
          </w:p>
        </w:tc>
        <w:tc>
          <w:tcPr>
            <w:tcW w:w="633"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66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172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41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642" w:hRule="atLeast"/>
        </w:trPr>
        <w:tc>
          <w:tcPr>
            <w:tcW w:w="650" w:type="dxa"/>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10</w:t>
            </w:r>
          </w:p>
        </w:tc>
        <w:tc>
          <w:tcPr>
            <w:tcW w:w="1659"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综合测控装置</w:t>
            </w:r>
          </w:p>
        </w:tc>
        <w:tc>
          <w:tcPr>
            <w:tcW w:w="1508"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DEP-612N</w:t>
            </w:r>
          </w:p>
        </w:tc>
        <w:tc>
          <w:tcPr>
            <w:tcW w:w="633"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66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172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41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60" w:hRule="atLeast"/>
        </w:trPr>
        <w:tc>
          <w:tcPr>
            <w:tcW w:w="650" w:type="dxa"/>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11</w:t>
            </w:r>
          </w:p>
        </w:tc>
        <w:tc>
          <w:tcPr>
            <w:tcW w:w="1659"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通讯管理机</w:t>
            </w:r>
          </w:p>
        </w:tc>
        <w:tc>
          <w:tcPr>
            <w:tcW w:w="1508"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DEP-765N</w:t>
            </w:r>
          </w:p>
        </w:tc>
        <w:tc>
          <w:tcPr>
            <w:tcW w:w="633"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66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72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41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615" w:hRule="atLeast"/>
        </w:trPr>
        <w:tc>
          <w:tcPr>
            <w:tcW w:w="650" w:type="dxa"/>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12</w:t>
            </w:r>
          </w:p>
        </w:tc>
        <w:tc>
          <w:tcPr>
            <w:tcW w:w="1659"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机柜</w:t>
            </w:r>
          </w:p>
        </w:tc>
        <w:tc>
          <w:tcPr>
            <w:tcW w:w="1508"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标准网络机柜42U</w:t>
            </w:r>
          </w:p>
        </w:tc>
        <w:tc>
          <w:tcPr>
            <w:tcW w:w="633"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66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72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41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60" w:hRule="atLeast"/>
        </w:trPr>
        <w:tc>
          <w:tcPr>
            <w:tcW w:w="650" w:type="dxa"/>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13</w:t>
            </w:r>
          </w:p>
        </w:tc>
        <w:tc>
          <w:tcPr>
            <w:tcW w:w="1659"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交换机</w:t>
            </w:r>
          </w:p>
        </w:tc>
        <w:tc>
          <w:tcPr>
            <w:tcW w:w="1508"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S5700系列</w:t>
            </w:r>
          </w:p>
        </w:tc>
        <w:tc>
          <w:tcPr>
            <w:tcW w:w="633"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66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172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41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285" w:hRule="atLeast"/>
        </w:trPr>
        <w:tc>
          <w:tcPr>
            <w:tcW w:w="4450" w:type="dxa"/>
            <w:gridSpan w:val="4"/>
            <w:tcBorders>
              <w:top w:val="single" w:color="auto" w:sz="4" w:space="0"/>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合计（元）</w:t>
            </w:r>
          </w:p>
        </w:tc>
        <w:tc>
          <w:tcPr>
            <w:tcW w:w="3807" w:type="dxa"/>
            <w:gridSpan w:val="3"/>
            <w:tcBorders>
              <w:top w:val="single" w:color="auto" w:sz="4" w:space="0"/>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xml:space="preserve"> </w:t>
            </w:r>
          </w:p>
        </w:tc>
      </w:tr>
    </w:tbl>
    <w:p>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pPr>
        <w:pageBreakBefore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kern w:val="0"/>
          <w:sz w:val="24"/>
          <w:szCs w:val="24"/>
          <w:shd w:val="clear" w:color="auto" w:fill="FFFFFF"/>
        </w:rPr>
      </w:pPr>
      <w:r>
        <w:rPr>
          <w:rFonts w:hint="eastAsia" w:ascii="宋体" w:hAnsi="宋体" w:eastAsia="宋体" w:cs="宋体"/>
          <w:b/>
          <w:bCs/>
          <w:kern w:val="0"/>
          <w:sz w:val="24"/>
          <w:szCs w:val="24"/>
          <w:shd w:val="clear" w:color="auto" w:fill="FFFFFF"/>
        </w:rPr>
        <w:t>特别说明：</w:t>
      </w:r>
    </w:p>
    <w:p>
      <w:pPr>
        <w:pageBreakBefore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sz w:val="24"/>
          <w:szCs w:val="24"/>
        </w:rPr>
      </w:pPr>
      <w:r>
        <w:rPr>
          <w:rFonts w:hint="eastAsia" w:ascii="宋体" w:hAnsi="宋体" w:eastAsia="宋体" w:cs="宋体"/>
          <w:b/>
          <w:bCs/>
          <w:kern w:val="0"/>
          <w:sz w:val="24"/>
          <w:szCs w:val="24"/>
          <w:shd w:val="clear" w:color="auto" w:fill="FFFFFF"/>
        </w:rPr>
        <w:t>1、本表所列维护维修项目为项目合同按实收费项目清单，</w:t>
      </w:r>
      <w:r>
        <w:rPr>
          <w:rFonts w:hint="eastAsia" w:ascii="宋体" w:hAnsi="宋体" w:eastAsia="宋体" w:cs="宋体"/>
          <w:b/>
          <w:sz w:val="24"/>
          <w:szCs w:val="24"/>
        </w:rPr>
        <w:t>维护期内按实申报、结算</w:t>
      </w:r>
      <w:r>
        <w:rPr>
          <w:rFonts w:hint="eastAsia" w:ascii="宋体" w:hAnsi="宋体" w:eastAsia="宋体" w:cs="宋体"/>
          <w:b/>
          <w:bCs/>
          <w:kern w:val="0"/>
          <w:sz w:val="24"/>
          <w:szCs w:val="24"/>
          <w:shd w:val="clear" w:color="auto" w:fill="FFFFFF"/>
        </w:rPr>
        <w:t>，合同内按实收费项目清单维修项目以外的设备维修费用均包含在年度维保服务包干费用报价中，不在另行收取任何费用。</w:t>
      </w:r>
    </w:p>
    <w:p>
      <w:pPr>
        <w:pageBreakBefore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kern w:val="0"/>
          <w:sz w:val="24"/>
          <w:szCs w:val="24"/>
          <w:shd w:val="clear" w:color="auto" w:fill="FFFFFF"/>
        </w:rPr>
      </w:pPr>
      <w:r>
        <w:rPr>
          <w:rFonts w:hint="eastAsia" w:ascii="宋体" w:hAnsi="宋体" w:eastAsia="宋体" w:cs="宋体"/>
          <w:b/>
          <w:bCs/>
          <w:kern w:val="0"/>
          <w:sz w:val="24"/>
          <w:szCs w:val="24"/>
          <w:shd w:val="clear" w:color="auto" w:fill="FFFFFF"/>
        </w:rPr>
        <w:t>2、按实收费维修项目价格包含但不限于器件费、人工、运输、机械使用费、管理费、税金等，</w:t>
      </w:r>
      <w:r>
        <w:rPr>
          <w:rFonts w:hint="eastAsia" w:ascii="宋体" w:hAnsi="宋体" w:eastAsia="宋体" w:cs="宋体"/>
          <w:b/>
          <w:bCs/>
          <w:kern w:val="0"/>
          <w:sz w:val="24"/>
          <w:szCs w:val="24"/>
          <w:shd w:val="clear" w:color="auto" w:fill="FFFFFF"/>
          <w:lang w:eastAsia="zh-CN"/>
        </w:rPr>
        <w:t>采购人</w:t>
      </w:r>
      <w:r>
        <w:rPr>
          <w:rFonts w:hint="eastAsia" w:ascii="宋体" w:hAnsi="宋体" w:eastAsia="宋体" w:cs="宋体"/>
          <w:b/>
          <w:bCs/>
          <w:kern w:val="0"/>
          <w:sz w:val="24"/>
          <w:szCs w:val="24"/>
          <w:shd w:val="clear" w:color="auto" w:fill="FFFFFF"/>
        </w:rPr>
        <w:t>不再支付其他费用。</w:t>
      </w:r>
    </w:p>
    <w:p>
      <w:pPr>
        <w:pageBreakBefore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kern w:val="0"/>
          <w:sz w:val="24"/>
          <w:szCs w:val="24"/>
          <w:shd w:val="clear" w:color="auto" w:fill="FFFFFF"/>
          <w:lang w:eastAsia="zh-CN"/>
        </w:rPr>
      </w:pPr>
      <w:r>
        <w:rPr>
          <w:rFonts w:hint="eastAsia" w:ascii="宋体" w:hAnsi="宋体" w:eastAsia="宋体" w:cs="宋体"/>
          <w:b/>
          <w:bCs/>
          <w:kern w:val="0"/>
          <w:sz w:val="24"/>
          <w:szCs w:val="24"/>
          <w:shd w:val="clear" w:color="auto" w:fill="FFFFFF"/>
        </w:rPr>
        <w:t>3、供应商应完整、合理的填报相对应的维修项目单价、合价及总价。报价清单总价不得高于清单总价， 报价清单单项维修项目单价不得高于清单单项维修项目单价15%，</w:t>
      </w:r>
      <w:r>
        <w:rPr>
          <w:rFonts w:hint="eastAsia" w:ascii="宋体" w:hAnsi="宋体" w:eastAsia="宋体" w:cs="宋体"/>
          <w:b/>
          <w:bCs/>
          <w:kern w:val="0"/>
          <w:sz w:val="24"/>
          <w:szCs w:val="24"/>
          <w:shd w:val="clear" w:color="auto" w:fill="FFFFFF"/>
          <w:lang w:eastAsia="zh-CN"/>
        </w:rPr>
        <w:t>（于响应文件中报出，</w:t>
      </w:r>
      <w:r>
        <w:rPr>
          <w:rFonts w:hint="eastAsia" w:ascii="宋体" w:hAnsi="宋体" w:eastAsia="宋体" w:cs="宋体"/>
          <w:b/>
          <w:bCs/>
          <w:kern w:val="0"/>
          <w:sz w:val="24"/>
          <w:szCs w:val="24"/>
          <w:shd w:val="clear" w:color="auto" w:fill="FFFFFF"/>
        </w:rPr>
        <w:t>否则视为有效性、完整性和响应程度审查</w:t>
      </w:r>
      <w:r>
        <w:rPr>
          <w:rFonts w:hint="eastAsia" w:ascii="宋体" w:hAnsi="宋体" w:eastAsia="宋体" w:cs="宋体"/>
          <w:b/>
          <w:bCs/>
          <w:kern w:val="0"/>
          <w:sz w:val="24"/>
          <w:szCs w:val="24"/>
          <w:shd w:val="clear" w:color="auto" w:fill="FFFFFF"/>
          <w:lang w:eastAsia="zh-CN"/>
        </w:rPr>
        <w:t>不通过）</w:t>
      </w:r>
      <w:r>
        <w:rPr>
          <w:rFonts w:hint="eastAsia" w:ascii="宋体" w:hAnsi="宋体" w:eastAsia="宋体" w:cs="宋体"/>
          <w:b/>
          <w:bCs/>
          <w:kern w:val="0"/>
          <w:sz w:val="24"/>
          <w:szCs w:val="24"/>
          <w:shd w:val="clear" w:color="auto" w:fill="FFFFFF"/>
        </w:rPr>
        <w:t>。</w:t>
      </w:r>
    </w:p>
    <w:p>
      <w:pPr>
        <w:pageBreakBefore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kern w:val="0"/>
          <w:sz w:val="24"/>
          <w:szCs w:val="24"/>
          <w:shd w:val="clear" w:color="auto" w:fill="FFFFFF"/>
        </w:rPr>
      </w:pPr>
      <w:r>
        <w:rPr>
          <w:rFonts w:hint="eastAsia" w:ascii="宋体" w:hAnsi="宋体" w:eastAsia="宋体" w:cs="宋体"/>
          <w:b/>
          <w:bCs/>
          <w:kern w:val="0"/>
          <w:sz w:val="24"/>
          <w:szCs w:val="24"/>
          <w:shd w:val="clear" w:color="auto" w:fill="FFFFFF"/>
        </w:rPr>
        <w:t>4、维护服务过程中，如涉及上述表中的维护维修项目时，</w:t>
      </w:r>
      <w:r>
        <w:rPr>
          <w:rFonts w:hint="eastAsia" w:ascii="宋体" w:hAnsi="宋体" w:eastAsia="宋体" w:cs="宋体"/>
          <w:b/>
          <w:bCs/>
          <w:kern w:val="0"/>
          <w:sz w:val="24"/>
          <w:szCs w:val="24"/>
          <w:shd w:val="clear" w:color="auto" w:fill="FFFFFF"/>
          <w:lang w:eastAsia="zh-CN"/>
        </w:rPr>
        <w:t>成交</w:t>
      </w:r>
      <w:r>
        <w:rPr>
          <w:rFonts w:hint="eastAsia" w:ascii="宋体" w:hAnsi="宋体" w:eastAsia="宋体" w:cs="宋体"/>
          <w:b/>
          <w:bCs/>
          <w:kern w:val="0"/>
          <w:sz w:val="24"/>
          <w:szCs w:val="24"/>
          <w:shd w:val="clear" w:color="auto" w:fill="FFFFFF"/>
        </w:rPr>
        <w:t>供应商不能以任何理由拒绝维护维修。</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p>
    <w:p>
      <w:pPr>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sz w:val="24"/>
          <w:szCs w:val="24"/>
          <w:lang w:bidi="ar"/>
        </w:rPr>
      </w:pPr>
    </w:p>
    <w:p>
      <w:pPr>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rPr>
      </w:pPr>
      <w:r>
        <w:rPr>
          <w:rFonts w:hint="eastAsia" w:ascii="宋体" w:hAnsi="宋体" w:eastAsia="宋体" w:cs="宋体"/>
          <w:b/>
          <w:bCs/>
          <w:sz w:val="24"/>
          <w:szCs w:val="24"/>
          <w:lang w:bidi="ar"/>
        </w:rPr>
        <w:t>【02包】2024-2025年清水河校区空气源热泵热水供应系统维护</w:t>
      </w:r>
    </w:p>
    <w:p>
      <w:pPr>
        <w:pStyle w:val="4"/>
        <w:pageBreakBefore w:val="0"/>
        <w:numPr>
          <w:ilvl w:val="0"/>
          <w:numId w:val="0"/>
        </w:numPr>
        <w:kinsoku/>
        <w:wordWrap/>
        <w:overflowPunct/>
        <w:topLinePunct w:val="0"/>
        <w:autoSpaceDE/>
        <w:autoSpaceDN/>
        <w:bidi w:val="0"/>
        <w:adjustRightInd/>
        <w:snapToGrid/>
        <w:spacing w:after="0" w:line="360" w:lineRule="auto"/>
        <w:ind w:firstLine="0" w:firstLineChars="0"/>
        <w:textAlignment w:val="auto"/>
        <w:rPr>
          <w:rFonts w:hint="eastAsia" w:ascii="宋体" w:hAnsi="宋体" w:eastAsia="宋体" w:cs="宋体"/>
          <w:b/>
          <w:sz w:val="24"/>
          <w:szCs w:val="24"/>
        </w:rPr>
      </w:pPr>
      <w:r>
        <w:rPr>
          <w:rFonts w:hint="eastAsia" w:ascii="宋体" w:hAnsi="宋体" w:eastAsia="宋体" w:cs="宋体"/>
          <w:b/>
          <w:kern w:val="2"/>
          <w:sz w:val="24"/>
          <w:szCs w:val="24"/>
          <w:lang w:val="en-US" w:eastAsia="zh-CN" w:bidi="ar-SA"/>
        </w:rPr>
        <w:t>（一）</w:t>
      </w:r>
      <w:r>
        <w:rPr>
          <w:rFonts w:hint="eastAsia" w:ascii="宋体" w:hAnsi="宋体" w:eastAsia="宋体" w:cs="宋体"/>
          <w:b/>
          <w:sz w:val="24"/>
          <w:szCs w:val="24"/>
        </w:rPr>
        <w:t>维保内容及范围</w:t>
      </w:r>
    </w:p>
    <w:p>
      <w:pPr>
        <w:pStyle w:val="4"/>
        <w:pageBreakBefore w:val="0"/>
        <w:kinsoku/>
        <w:wordWrap/>
        <w:overflowPunct/>
        <w:topLinePunct w:val="0"/>
        <w:autoSpaceDE/>
        <w:autoSpaceDN/>
        <w:bidi w:val="0"/>
        <w:adjustRightInd/>
        <w:snapToGrid/>
        <w:spacing w:after="0" w:line="360" w:lineRule="auto"/>
        <w:ind w:firstLine="420" w:firstLine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1.总体要求：</w:t>
      </w:r>
    </w:p>
    <w:p>
      <w:pPr>
        <w:pStyle w:val="4"/>
        <w:pageBreakBefore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（1）负责设备的日常环境清洁维护。</w:t>
      </w:r>
    </w:p>
    <w:p>
      <w:pPr>
        <w:pStyle w:val="4"/>
        <w:pageBreakBefore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（2）负责系统室主机设备的日常维护、应急维修；</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（3）负责系统水泵、控制系统、机组管网系统等的日常维护、应急维修；</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（4）负责系统日常运行的监控、巡查、运行记录汇总。</w:t>
      </w:r>
    </w:p>
    <w:p>
      <w:pPr>
        <w:pageBreakBefore w:val="0"/>
        <w:kinsoku/>
        <w:wordWrap/>
        <w:overflowPunct/>
        <w:topLinePunct w:val="0"/>
        <w:autoSpaceDE/>
        <w:autoSpaceDN/>
        <w:bidi w:val="0"/>
        <w:adjustRightInd/>
        <w:snapToGrid/>
        <w:spacing w:line="360" w:lineRule="auto"/>
        <w:ind w:firstLine="360" w:firstLineChars="15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.确保热泵热水供应系统正常运行，开展维护保养、应急维修、换季检修的工作。</w:t>
      </w:r>
    </w:p>
    <w:p>
      <w:pPr>
        <w:pageBreakBefore w:val="0"/>
        <w:kinsoku/>
        <w:wordWrap/>
        <w:overflowPunct/>
        <w:topLinePunct w:val="0"/>
        <w:autoSpaceDE/>
        <w:autoSpaceDN/>
        <w:bidi w:val="0"/>
        <w:adjustRightInd/>
        <w:snapToGrid/>
        <w:spacing w:line="360" w:lineRule="auto"/>
        <w:ind w:firstLine="360" w:firstLineChars="15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.服务期内，白天确保有2名维修人员在校区服务。确保有1名管理人员在校区协调管理服务。</w:t>
      </w:r>
    </w:p>
    <w:p>
      <w:pPr>
        <w:pageBreakBefore w:val="0"/>
        <w:kinsoku/>
        <w:wordWrap/>
        <w:overflowPunct/>
        <w:topLinePunct w:val="0"/>
        <w:autoSpaceDE/>
        <w:autoSpaceDN/>
        <w:bidi w:val="0"/>
        <w:adjustRightInd/>
        <w:snapToGrid/>
        <w:spacing w:line="360" w:lineRule="auto"/>
        <w:ind w:firstLine="360" w:firstLineChars="15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.白天10分钟内对校方管理部门的报修做出响应，30分钟内达到报修载明的区域，开展维修服务工作。</w:t>
      </w:r>
    </w:p>
    <w:p>
      <w:pPr>
        <w:pageBreakBefore w:val="0"/>
        <w:kinsoku/>
        <w:wordWrap/>
        <w:overflowPunct/>
        <w:topLinePunct w:val="0"/>
        <w:autoSpaceDE/>
        <w:autoSpaceDN/>
        <w:bidi w:val="0"/>
        <w:adjustRightInd/>
        <w:snapToGrid/>
        <w:spacing w:line="360" w:lineRule="auto"/>
        <w:ind w:firstLine="360" w:firstLineChars="15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 对报修实地排查，明确维修方案，按管理部门批准的方案开展维修。</w:t>
      </w:r>
    </w:p>
    <w:p>
      <w:pPr>
        <w:pageBreakBefore w:val="0"/>
        <w:kinsoku/>
        <w:wordWrap/>
        <w:overflowPunct/>
        <w:topLinePunct w:val="0"/>
        <w:autoSpaceDE/>
        <w:autoSpaceDN/>
        <w:bidi w:val="0"/>
        <w:adjustRightInd/>
        <w:snapToGrid/>
        <w:spacing w:line="360" w:lineRule="auto"/>
        <w:ind w:firstLine="360" w:firstLineChars="15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.维修过程中，接受采购人管理部门的管理。</w:t>
      </w:r>
    </w:p>
    <w:p>
      <w:pPr>
        <w:pageBreakBefore w:val="0"/>
        <w:kinsoku/>
        <w:wordWrap/>
        <w:overflowPunct/>
        <w:topLinePunct w:val="0"/>
        <w:autoSpaceDE/>
        <w:autoSpaceDN/>
        <w:bidi w:val="0"/>
        <w:adjustRightInd/>
        <w:snapToGrid/>
        <w:spacing w:line="360" w:lineRule="auto"/>
        <w:ind w:firstLine="360" w:firstLineChars="15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.每月报送维修维护工作量报表，每季度提交维护运行报告。</w:t>
      </w:r>
    </w:p>
    <w:p>
      <w:pPr>
        <w:pageBreakBefore w:val="0"/>
        <w:kinsoku/>
        <w:wordWrap/>
        <w:overflowPunct/>
        <w:topLinePunct w:val="0"/>
        <w:autoSpaceDE/>
        <w:autoSpaceDN/>
        <w:bidi w:val="0"/>
        <w:adjustRightInd/>
        <w:snapToGrid/>
        <w:spacing w:line="360" w:lineRule="auto"/>
        <w:ind w:firstLine="360" w:firstLineChars="15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.协助采购人管理部门排查相关隐患，给出维护、改造建议或方案，为管理部门提供决策帮助。</w:t>
      </w:r>
    </w:p>
    <w:p>
      <w:pPr>
        <w:pageBreakBefore w:val="0"/>
        <w:kinsoku/>
        <w:wordWrap/>
        <w:overflowPunct/>
        <w:topLinePunct w:val="0"/>
        <w:autoSpaceDE/>
        <w:autoSpaceDN/>
        <w:bidi w:val="0"/>
        <w:adjustRightInd/>
        <w:snapToGrid/>
        <w:spacing w:line="360" w:lineRule="auto"/>
        <w:ind w:firstLine="360" w:firstLineChars="15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9.供应商拟派遣的维保人员（至少2人）须具有《中华人民共和国特种作业操作证》（制冷与空调作业）。</w:t>
      </w:r>
    </w:p>
    <w:p>
      <w:pPr>
        <w:pageBreakBefore w:val="0"/>
        <w:kinsoku/>
        <w:wordWrap/>
        <w:overflowPunct/>
        <w:topLinePunct w:val="0"/>
        <w:autoSpaceDE/>
        <w:autoSpaceDN/>
        <w:bidi w:val="0"/>
        <w:adjustRightInd/>
        <w:snapToGrid/>
        <w:spacing w:line="360" w:lineRule="auto"/>
        <w:ind w:firstLine="360" w:firstLineChars="150"/>
        <w:textAlignment w:val="auto"/>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10.</w:t>
      </w:r>
      <w:r>
        <w:rPr>
          <w:rFonts w:hint="eastAsia" w:ascii="宋体" w:hAnsi="宋体" w:eastAsia="宋体" w:cs="宋体"/>
          <w:bCs/>
          <w:sz w:val="24"/>
          <w:szCs w:val="24"/>
        </w:rPr>
        <w:t>《电子科技大学2024-2025年度清水河校区空气源热泵热水供应系统维护服务合同》中的其他有关内容</w:t>
      </w:r>
      <w:r>
        <w:rPr>
          <w:rFonts w:hint="eastAsia" w:ascii="宋体" w:hAnsi="宋体" w:eastAsia="宋体" w:cs="宋体"/>
          <w:bCs/>
          <w:sz w:val="24"/>
          <w:szCs w:val="24"/>
          <w:lang w:eastAsia="zh-CN"/>
        </w:rPr>
        <w:t>。</w:t>
      </w:r>
    </w:p>
    <w:p>
      <w:pPr>
        <w:pageBreakBefore w:val="0"/>
        <w:kinsoku/>
        <w:wordWrap/>
        <w:overflowPunct/>
        <w:topLinePunct w:val="0"/>
        <w:autoSpaceDE/>
        <w:autoSpaceDN/>
        <w:bidi w:val="0"/>
        <w:adjustRightInd/>
        <w:snapToGrid/>
        <w:spacing w:line="360" w:lineRule="auto"/>
        <w:ind w:firstLine="360" w:firstLineChars="150"/>
        <w:textAlignment w:val="auto"/>
        <w:rPr>
          <w:rFonts w:hint="eastAsia" w:ascii="宋体" w:hAnsi="宋体" w:eastAsia="宋体" w:cs="宋体"/>
          <w:sz w:val="24"/>
          <w:szCs w:val="24"/>
          <w:lang w:eastAsia="zh-CN"/>
        </w:rPr>
      </w:pPr>
      <w:r>
        <w:rPr>
          <w:rFonts w:hint="eastAsia" w:ascii="宋体" w:hAnsi="宋体" w:eastAsia="宋体" w:cs="宋体"/>
          <w:bCs/>
          <w:sz w:val="24"/>
          <w:szCs w:val="24"/>
          <w:lang w:val="en-US" w:eastAsia="zh-CN"/>
        </w:rPr>
        <w:t>11</w:t>
      </w:r>
      <w:r>
        <w:rPr>
          <w:rFonts w:hint="eastAsia" w:ascii="宋体" w:hAnsi="宋体" w:eastAsia="宋体" w:cs="宋体"/>
          <w:bCs/>
          <w:sz w:val="24"/>
          <w:szCs w:val="24"/>
        </w:rPr>
        <w:t>.</w:t>
      </w:r>
      <w:r>
        <w:rPr>
          <w:rFonts w:hint="eastAsia" w:ascii="宋体" w:hAnsi="宋体" w:eastAsia="宋体" w:cs="宋体"/>
          <w:sz w:val="24"/>
          <w:szCs w:val="24"/>
        </w:rPr>
        <w:t>在保维服务期内需遵守采购人制定的设施设备维保服务考核标准</w:t>
      </w:r>
      <w:r>
        <w:rPr>
          <w:rFonts w:hint="eastAsia" w:ascii="宋体" w:hAnsi="宋体" w:eastAsia="宋体" w:cs="宋体"/>
          <w:sz w:val="24"/>
          <w:szCs w:val="24"/>
          <w:lang w:eastAsia="zh-CN"/>
        </w:rPr>
        <w:t>，如下</w:t>
      </w:r>
    </w:p>
    <w:p>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设施设备维保服务考核表</w:t>
      </w:r>
    </w:p>
    <w:tbl>
      <w:tblPr>
        <w:tblStyle w:val="5"/>
        <w:tblW w:w="0" w:type="auto"/>
        <w:tblInd w:w="-176" w:type="dxa"/>
        <w:tblLayout w:type="fixed"/>
        <w:tblCellMar>
          <w:top w:w="0" w:type="dxa"/>
          <w:left w:w="108" w:type="dxa"/>
          <w:bottom w:w="0" w:type="dxa"/>
          <w:right w:w="108" w:type="dxa"/>
        </w:tblCellMar>
      </w:tblPr>
      <w:tblGrid>
        <w:gridCol w:w="846"/>
        <w:gridCol w:w="1268"/>
        <w:gridCol w:w="4595"/>
        <w:gridCol w:w="1933"/>
      </w:tblGrid>
      <w:tr>
        <w:tblPrEx>
          <w:tblCellMar>
            <w:top w:w="0" w:type="dxa"/>
            <w:left w:w="108" w:type="dxa"/>
            <w:bottom w:w="0" w:type="dxa"/>
            <w:right w:w="108" w:type="dxa"/>
          </w:tblCellMar>
        </w:tblPrEx>
        <w:trPr>
          <w:trHeight w:val="480" w:hRule="atLeast"/>
        </w:trPr>
        <w:tc>
          <w:tcPr>
            <w:tcW w:w="846" w:type="dxa"/>
            <w:tcBorders>
              <w:top w:val="single" w:color="auto" w:sz="4" w:space="0"/>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序号</w:t>
            </w:r>
          </w:p>
        </w:tc>
        <w:tc>
          <w:tcPr>
            <w:tcW w:w="1268" w:type="dxa"/>
            <w:tcBorders>
              <w:top w:val="single" w:color="auto" w:sz="4" w:space="0"/>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考核项目</w:t>
            </w:r>
          </w:p>
        </w:tc>
        <w:tc>
          <w:tcPr>
            <w:tcW w:w="4595" w:type="dxa"/>
            <w:tcBorders>
              <w:top w:val="single" w:color="auto" w:sz="4" w:space="0"/>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考核要求</w:t>
            </w:r>
          </w:p>
        </w:tc>
        <w:tc>
          <w:tcPr>
            <w:tcW w:w="1933" w:type="dxa"/>
            <w:tcBorders>
              <w:top w:val="single" w:color="auto" w:sz="4" w:space="0"/>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评分标准</w:t>
            </w:r>
          </w:p>
        </w:tc>
      </w:tr>
      <w:tr>
        <w:tblPrEx>
          <w:tblCellMar>
            <w:top w:w="0" w:type="dxa"/>
            <w:left w:w="108" w:type="dxa"/>
            <w:bottom w:w="0" w:type="dxa"/>
            <w:right w:w="108" w:type="dxa"/>
          </w:tblCellMar>
        </w:tblPrEx>
        <w:trPr>
          <w:trHeight w:val="285" w:hRule="atLeast"/>
        </w:trPr>
        <w:tc>
          <w:tcPr>
            <w:tcW w:w="846" w:type="dxa"/>
            <w:vMerge w:val="restart"/>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1268" w:type="dxa"/>
            <w:vMerge w:val="restart"/>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团队管理</w:t>
            </w:r>
          </w:p>
        </w:tc>
        <w:tc>
          <w:tcPr>
            <w:tcW w:w="4595"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1、维保单位常驻人员需持证上岗，提供单位聘用证明，进出楼宇需工作证件齐全，服从甲方及校内楼栋管理人员管理；</w:t>
            </w:r>
          </w:p>
        </w:tc>
        <w:tc>
          <w:tcPr>
            <w:tcW w:w="193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发生一次扣1分</w:t>
            </w:r>
          </w:p>
        </w:tc>
      </w:tr>
      <w:tr>
        <w:tblPrEx>
          <w:tblCellMar>
            <w:top w:w="0" w:type="dxa"/>
            <w:left w:w="108" w:type="dxa"/>
            <w:bottom w:w="0" w:type="dxa"/>
            <w:right w:w="108" w:type="dxa"/>
          </w:tblCellMar>
        </w:tblPrEx>
        <w:trPr>
          <w:trHeight w:val="810" w:hRule="atLeast"/>
        </w:trPr>
        <w:tc>
          <w:tcPr>
            <w:tcW w:w="846"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68"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595"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2、维保单位常驻人员合同履行期间需到甲方校内指定地点完成考勤打卡（打卡时间上午：9:30，清水河校区空气源热泵热水供应标段每天至少2人次），请假需有本公司开具证明；</w:t>
            </w:r>
          </w:p>
        </w:tc>
        <w:tc>
          <w:tcPr>
            <w:tcW w:w="193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发生一次扣1分</w:t>
            </w:r>
          </w:p>
        </w:tc>
      </w:tr>
      <w:tr>
        <w:tblPrEx>
          <w:tblCellMar>
            <w:top w:w="0" w:type="dxa"/>
            <w:left w:w="108" w:type="dxa"/>
            <w:bottom w:w="0" w:type="dxa"/>
            <w:right w:w="108" w:type="dxa"/>
          </w:tblCellMar>
        </w:tblPrEx>
        <w:trPr>
          <w:trHeight w:val="285" w:hRule="atLeast"/>
        </w:trPr>
        <w:tc>
          <w:tcPr>
            <w:tcW w:w="846"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68"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595"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3、维保单位常驻人员未按要求穿着劳防用品、严禁酒后作业，公共场所内吸烟；</w:t>
            </w:r>
          </w:p>
        </w:tc>
        <w:tc>
          <w:tcPr>
            <w:tcW w:w="193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发生一次扣1分</w:t>
            </w:r>
          </w:p>
        </w:tc>
      </w:tr>
      <w:tr>
        <w:tblPrEx>
          <w:tblCellMar>
            <w:top w:w="0" w:type="dxa"/>
            <w:left w:w="108" w:type="dxa"/>
            <w:bottom w:w="0" w:type="dxa"/>
            <w:right w:w="108" w:type="dxa"/>
          </w:tblCellMar>
        </w:tblPrEx>
        <w:trPr>
          <w:trHeight w:val="285" w:hRule="atLeast"/>
        </w:trPr>
        <w:tc>
          <w:tcPr>
            <w:tcW w:w="846"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68"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595"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4、维保单位需加强常驻人员培训，严禁发生盗窃事件；</w:t>
            </w:r>
          </w:p>
        </w:tc>
        <w:tc>
          <w:tcPr>
            <w:tcW w:w="193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发生一次扣5分</w:t>
            </w:r>
          </w:p>
        </w:tc>
      </w:tr>
      <w:tr>
        <w:tblPrEx>
          <w:tblCellMar>
            <w:top w:w="0" w:type="dxa"/>
            <w:left w:w="108" w:type="dxa"/>
            <w:bottom w:w="0" w:type="dxa"/>
            <w:right w:w="108" w:type="dxa"/>
          </w:tblCellMar>
        </w:tblPrEx>
        <w:trPr>
          <w:trHeight w:val="540" w:hRule="atLeast"/>
        </w:trPr>
        <w:tc>
          <w:tcPr>
            <w:tcW w:w="846"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68"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595"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5、维修单位需严格按维修团队清单配置人员，不得随意更换项目维修人员。若确需更换，需提前7天通知甲方，得到甲方认可后才能进行更换，同时做好工作交接；</w:t>
            </w:r>
          </w:p>
        </w:tc>
        <w:tc>
          <w:tcPr>
            <w:tcW w:w="193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发生一次扣1分</w:t>
            </w:r>
          </w:p>
        </w:tc>
      </w:tr>
      <w:tr>
        <w:tblPrEx>
          <w:tblCellMar>
            <w:top w:w="0" w:type="dxa"/>
            <w:left w:w="108" w:type="dxa"/>
            <w:bottom w:w="0" w:type="dxa"/>
            <w:right w:w="108" w:type="dxa"/>
          </w:tblCellMar>
        </w:tblPrEx>
        <w:trPr>
          <w:trHeight w:val="285" w:hRule="atLeast"/>
        </w:trPr>
        <w:tc>
          <w:tcPr>
            <w:tcW w:w="846"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68"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595"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6、维保单位常驻人员违反学校后勤保障部及维修服务中心相关管理规定；</w:t>
            </w:r>
          </w:p>
        </w:tc>
        <w:tc>
          <w:tcPr>
            <w:tcW w:w="193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发生一次扣5分</w:t>
            </w:r>
          </w:p>
        </w:tc>
      </w:tr>
      <w:tr>
        <w:tblPrEx>
          <w:tblCellMar>
            <w:top w:w="0" w:type="dxa"/>
            <w:left w:w="108" w:type="dxa"/>
            <w:bottom w:w="0" w:type="dxa"/>
            <w:right w:w="108" w:type="dxa"/>
          </w:tblCellMar>
        </w:tblPrEx>
        <w:trPr>
          <w:trHeight w:val="540" w:hRule="atLeast"/>
        </w:trPr>
        <w:tc>
          <w:tcPr>
            <w:tcW w:w="846"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68"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595"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7、维修现场管理不规范，维修后存在遗留问题，产生不良影响造成使用或管理部门投诉；</w:t>
            </w:r>
          </w:p>
        </w:tc>
        <w:tc>
          <w:tcPr>
            <w:tcW w:w="193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发生一次扣3分</w:t>
            </w:r>
          </w:p>
        </w:tc>
      </w:tr>
      <w:tr>
        <w:tblPrEx>
          <w:tblCellMar>
            <w:top w:w="0" w:type="dxa"/>
            <w:left w:w="108" w:type="dxa"/>
            <w:bottom w:w="0" w:type="dxa"/>
            <w:right w:w="108" w:type="dxa"/>
          </w:tblCellMar>
        </w:tblPrEx>
        <w:trPr>
          <w:trHeight w:val="285" w:hRule="atLeast"/>
        </w:trPr>
        <w:tc>
          <w:tcPr>
            <w:tcW w:w="846"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68"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595"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8、维保单位常驻人员与师生发生争吵。</w:t>
            </w:r>
          </w:p>
        </w:tc>
        <w:tc>
          <w:tcPr>
            <w:tcW w:w="193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发生一次扣5分</w:t>
            </w:r>
          </w:p>
        </w:tc>
      </w:tr>
      <w:tr>
        <w:tblPrEx>
          <w:tblCellMar>
            <w:top w:w="0" w:type="dxa"/>
            <w:left w:w="108" w:type="dxa"/>
            <w:bottom w:w="0" w:type="dxa"/>
            <w:right w:w="108" w:type="dxa"/>
          </w:tblCellMar>
        </w:tblPrEx>
        <w:trPr>
          <w:trHeight w:val="285" w:hRule="atLeast"/>
        </w:trPr>
        <w:tc>
          <w:tcPr>
            <w:tcW w:w="846" w:type="dxa"/>
            <w:vMerge w:val="restart"/>
            <w:tcBorders>
              <w:top w:val="nil"/>
              <w:left w:val="single" w:color="auto" w:sz="4" w:space="0"/>
              <w:bottom w:val="single" w:color="000000"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p>
        </w:tc>
        <w:tc>
          <w:tcPr>
            <w:tcW w:w="1268" w:type="dxa"/>
            <w:vMerge w:val="restart"/>
            <w:tcBorders>
              <w:top w:val="nil"/>
              <w:left w:val="single" w:color="auto" w:sz="4" w:space="0"/>
              <w:bottom w:val="single" w:color="000000"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日常维保考核</w:t>
            </w:r>
          </w:p>
        </w:tc>
        <w:tc>
          <w:tcPr>
            <w:tcW w:w="4595"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1、原则上每季度进行一次多方联合检查，接到甲方通知后未按时派人参加；</w:t>
            </w:r>
          </w:p>
        </w:tc>
        <w:tc>
          <w:tcPr>
            <w:tcW w:w="193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发生一次扣2分</w:t>
            </w:r>
          </w:p>
        </w:tc>
      </w:tr>
      <w:tr>
        <w:tblPrEx>
          <w:tblCellMar>
            <w:top w:w="0" w:type="dxa"/>
            <w:left w:w="108" w:type="dxa"/>
            <w:bottom w:w="0" w:type="dxa"/>
            <w:right w:w="108" w:type="dxa"/>
          </w:tblCellMar>
        </w:tblPrEx>
        <w:trPr>
          <w:trHeight w:val="285" w:hRule="atLeast"/>
        </w:trPr>
        <w:tc>
          <w:tcPr>
            <w:tcW w:w="846" w:type="dxa"/>
            <w:vMerge w:val="continue"/>
            <w:tcBorders>
              <w:top w:val="nil"/>
              <w:left w:val="single" w:color="auto" w:sz="4" w:space="0"/>
              <w:bottom w:val="single" w:color="000000"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68" w:type="dxa"/>
            <w:vMerge w:val="continue"/>
            <w:tcBorders>
              <w:top w:val="nil"/>
              <w:left w:val="single" w:color="auto" w:sz="4" w:space="0"/>
              <w:bottom w:val="single" w:color="000000"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595"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xml:space="preserve">2、季度检查中维保单位未按合同细则及维保手册要求实施维修保养工作； </w:t>
            </w:r>
          </w:p>
        </w:tc>
        <w:tc>
          <w:tcPr>
            <w:tcW w:w="193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发生一次扣2分</w:t>
            </w:r>
          </w:p>
        </w:tc>
      </w:tr>
      <w:tr>
        <w:tblPrEx>
          <w:tblCellMar>
            <w:top w:w="0" w:type="dxa"/>
            <w:left w:w="108" w:type="dxa"/>
            <w:bottom w:w="0" w:type="dxa"/>
            <w:right w:w="108" w:type="dxa"/>
          </w:tblCellMar>
        </w:tblPrEx>
        <w:trPr>
          <w:trHeight w:val="540" w:hRule="atLeast"/>
        </w:trPr>
        <w:tc>
          <w:tcPr>
            <w:tcW w:w="846" w:type="dxa"/>
            <w:vMerge w:val="continue"/>
            <w:tcBorders>
              <w:top w:val="nil"/>
              <w:left w:val="single" w:color="auto" w:sz="4" w:space="0"/>
              <w:bottom w:val="single" w:color="000000"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68" w:type="dxa"/>
            <w:vMerge w:val="continue"/>
            <w:tcBorders>
              <w:top w:val="nil"/>
              <w:left w:val="single" w:color="auto" w:sz="4" w:space="0"/>
              <w:bottom w:val="single" w:color="000000"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595"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3、维保单位负责设备区域内发现日常维护不到位行为（包括：大量杂草、落叶、烟头等杂物，设备严重锈蚀、长期漏水、漏液、线路裸露等情况）；</w:t>
            </w:r>
          </w:p>
        </w:tc>
        <w:tc>
          <w:tcPr>
            <w:tcW w:w="193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发生一次扣2分</w:t>
            </w:r>
          </w:p>
        </w:tc>
      </w:tr>
      <w:tr>
        <w:tblPrEx>
          <w:tblCellMar>
            <w:top w:w="0" w:type="dxa"/>
            <w:left w:w="108" w:type="dxa"/>
            <w:bottom w:w="0" w:type="dxa"/>
            <w:right w:w="108" w:type="dxa"/>
          </w:tblCellMar>
        </w:tblPrEx>
        <w:trPr>
          <w:trHeight w:val="540" w:hRule="atLeast"/>
        </w:trPr>
        <w:tc>
          <w:tcPr>
            <w:tcW w:w="846" w:type="dxa"/>
            <w:vMerge w:val="continue"/>
            <w:tcBorders>
              <w:top w:val="nil"/>
              <w:left w:val="single" w:color="auto" w:sz="4" w:space="0"/>
              <w:bottom w:val="single" w:color="000000"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68" w:type="dxa"/>
            <w:vMerge w:val="continue"/>
            <w:tcBorders>
              <w:top w:val="nil"/>
              <w:left w:val="single" w:color="auto" w:sz="4" w:space="0"/>
              <w:bottom w:val="single" w:color="000000"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595"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4、维保单位负责区域内发现日常维修不规范行为（包括：螺栓未归位、设备盖板门锁未复位，维修后旧件未按要求放置到指定位置，防护保温未及时恢复）。</w:t>
            </w:r>
          </w:p>
        </w:tc>
        <w:tc>
          <w:tcPr>
            <w:tcW w:w="193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发生一次扣2分</w:t>
            </w:r>
          </w:p>
        </w:tc>
      </w:tr>
      <w:tr>
        <w:tblPrEx>
          <w:tblCellMar>
            <w:top w:w="0" w:type="dxa"/>
            <w:left w:w="108" w:type="dxa"/>
            <w:bottom w:w="0" w:type="dxa"/>
            <w:right w:w="108" w:type="dxa"/>
          </w:tblCellMar>
        </w:tblPrEx>
        <w:trPr>
          <w:trHeight w:val="285" w:hRule="atLeast"/>
        </w:trPr>
        <w:tc>
          <w:tcPr>
            <w:tcW w:w="846" w:type="dxa"/>
            <w:vMerge w:val="restart"/>
            <w:tcBorders>
              <w:top w:val="nil"/>
              <w:left w:val="single" w:color="auto" w:sz="4" w:space="0"/>
              <w:bottom w:val="single" w:color="000000"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w:t>
            </w:r>
          </w:p>
        </w:tc>
        <w:tc>
          <w:tcPr>
            <w:tcW w:w="1268" w:type="dxa"/>
            <w:vMerge w:val="restart"/>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服务质量</w:t>
            </w:r>
          </w:p>
        </w:tc>
        <w:tc>
          <w:tcPr>
            <w:tcW w:w="4595"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1、维保单位常驻人员因工作不规范，造成设备故障或影响到设备运行；</w:t>
            </w:r>
          </w:p>
        </w:tc>
        <w:tc>
          <w:tcPr>
            <w:tcW w:w="193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发生一次扣1分</w:t>
            </w:r>
          </w:p>
        </w:tc>
      </w:tr>
      <w:tr>
        <w:tblPrEx>
          <w:tblCellMar>
            <w:top w:w="0" w:type="dxa"/>
            <w:left w:w="108" w:type="dxa"/>
            <w:bottom w:w="0" w:type="dxa"/>
            <w:right w:w="108" w:type="dxa"/>
          </w:tblCellMar>
        </w:tblPrEx>
        <w:trPr>
          <w:trHeight w:val="285" w:hRule="atLeast"/>
        </w:trPr>
        <w:tc>
          <w:tcPr>
            <w:tcW w:w="846" w:type="dxa"/>
            <w:vMerge w:val="continue"/>
            <w:tcBorders>
              <w:top w:val="nil"/>
              <w:left w:val="single" w:color="auto" w:sz="4" w:space="0"/>
              <w:bottom w:val="single" w:color="000000"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68"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595"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2、维保单位各类申报结算表单、维修单、未按实际工作内容填写或填写不规范；</w:t>
            </w:r>
          </w:p>
        </w:tc>
        <w:tc>
          <w:tcPr>
            <w:tcW w:w="193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发生一次扣1分</w:t>
            </w:r>
          </w:p>
        </w:tc>
      </w:tr>
      <w:tr>
        <w:tblPrEx>
          <w:tblCellMar>
            <w:top w:w="0" w:type="dxa"/>
            <w:left w:w="108" w:type="dxa"/>
            <w:bottom w:w="0" w:type="dxa"/>
            <w:right w:w="108" w:type="dxa"/>
          </w:tblCellMar>
        </w:tblPrEx>
        <w:trPr>
          <w:trHeight w:val="285" w:hRule="atLeast"/>
        </w:trPr>
        <w:tc>
          <w:tcPr>
            <w:tcW w:w="846" w:type="dxa"/>
            <w:vMerge w:val="continue"/>
            <w:tcBorders>
              <w:top w:val="nil"/>
              <w:left w:val="single" w:color="auto" w:sz="4" w:space="0"/>
              <w:bottom w:val="single" w:color="000000"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68"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595"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3、未按要求及时提供季度工作报告；</w:t>
            </w:r>
          </w:p>
        </w:tc>
        <w:tc>
          <w:tcPr>
            <w:tcW w:w="193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发生一次扣2分</w:t>
            </w:r>
          </w:p>
        </w:tc>
      </w:tr>
      <w:tr>
        <w:tblPrEx>
          <w:tblCellMar>
            <w:top w:w="0" w:type="dxa"/>
            <w:left w:w="108" w:type="dxa"/>
            <w:bottom w:w="0" w:type="dxa"/>
            <w:right w:w="108" w:type="dxa"/>
          </w:tblCellMar>
        </w:tblPrEx>
        <w:trPr>
          <w:trHeight w:val="285" w:hRule="atLeast"/>
        </w:trPr>
        <w:tc>
          <w:tcPr>
            <w:tcW w:w="846" w:type="dxa"/>
            <w:vMerge w:val="continue"/>
            <w:tcBorders>
              <w:top w:val="nil"/>
              <w:left w:val="single" w:color="auto" w:sz="4" w:space="0"/>
              <w:bottom w:val="single" w:color="000000"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68"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595"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4、维保单位接到通知后，未派人按时参加相关检查或会议；</w:t>
            </w:r>
          </w:p>
        </w:tc>
        <w:tc>
          <w:tcPr>
            <w:tcW w:w="193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发生一次扣1分</w:t>
            </w:r>
          </w:p>
        </w:tc>
      </w:tr>
      <w:tr>
        <w:tblPrEx>
          <w:tblCellMar>
            <w:top w:w="0" w:type="dxa"/>
            <w:left w:w="108" w:type="dxa"/>
            <w:bottom w:w="0" w:type="dxa"/>
            <w:right w:w="108" w:type="dxa"/>
          </w:tblCellMar>
        </w:tblPrEx>
        <w:trPr>
          <w:trHeight w:val="285" w:hRule="atLeast"/>
        </w:trPr>
        <w:tc>
          <w:tcPr>
            <w:tcW w:w="846" w:type="dxa"/>
            <w:vMerge w:val="continue"/>
            <w:tcBorders>
              <w:top w:val="nil"/>
              <w:left w:val="single" w:color="auto" w:sz="4" w:space="0"/>
              <w:bottom w:val="single" w:color="000000"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68"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595"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5、维保管理范围内，同一设备在一月内同一故障是否存在再次发生的情况；</w:t>
            </w:r>
          </w:p>
        </w:tc>
        <w:tc>
          <w:tcPr>
            <w:tcW w:w="193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发生一次扣2分</w:t>
            </w:r>
          </w:p>
        </w:tc>
      </w:tr>
      <w:tr>
        <w:tblPrEx>
          <w:tblCellMar>
            <w:top w:w="0" w:type="dxa"/>
            <w:left w:w="108" w:type="dxa"/>
            <w:bottom w:w="0" w:type="dxa"/>
            <w:right w:w="108" w:type="dxa"/>
          </w:tblCellMar>
        </w:tblPrEx>
        <w:trPr>
          <w:trHeight w:val="540" w:hRule="atLeast"/>
        </w:trPr>
        <w:tc>
          <w:tcPr>
            <w:tcW w:w="846" w:type="dxa"/>
            <w:vMerge w:val="continue"/>
            <w:tcBorders>
              <w:top w:val="nil"/>
              <w:left w:val="single" w:color="auto" w:sz="4" w:space="0"/>
              <w:bottom w:val="single" w:color="000000"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68"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595"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6、维保单位判断故障失误或维保手册要求做好备品条件、必要工器具等原因影响维保维修进度，造成维修周期延长或设备、系统故障；</w:t>
            </w:r>
          </w:p>
        </w:tc>
        <w:tc>
          <w:tcPr>
            <w:tcW w:w="193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发生一次扣2分</w:t>
            </w:r>
          </w:p>
        </w:tc>
      </w:tr>
      <w:tr>
        <w:tblPrEx>
          <w:tblCellMar>
            <w:top w:w="0" w:type="dxa"/>
            <w:left w:w="108" w:type="dxa"/>
            <w:bottom w:w="0" w:type="dxa"/>
            <w:right w:w="108" w:type="dxa"/>
          </w:tblCellMar>
        </w:tblPrEx>
        <w:trPr>
          <w:trHeight w:val="285" w:hRule="atLeast"/>
        </w:trPr>
        <w:tc>
          <w:tcPr>
            <w:tcW w:w="846" w:type="dxa"/>
            <w:vMerge w:val="continue"/>
            <w:tcBorders>
              <w:top w:val="nil"/>
              <w:left w:val="single" w:color="auto" w:sz="4" w:space="0"/>
              <w:bottom w:val="single" w:color="000000"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68"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595"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7、维保单位处理一般故障时，邀请非合同公司人员协助处理。</w:t>
            </w:r>
          </w:p>
        </w:tc>
        <w:tc>
          <w:tcPr>
            <w:tcW w:w="193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发生一次扣1分</w:t>
            </w:r>
          </w:p>
        </w:tc>
      </w:tr>
      <w:tr>
        <w:tblPrEx>
          <w:tblCellMar>
            <w:top w:w="0" w:type="dxa"/>
            <w:left w:w="108" w:type="dxa"/>
            <w:bottom w:w="0" w:type="dxa"/>
            <w:right w:w="108" w:type="dxa"/>
          </w:tblCellMar>
        </w:tblPrEx>
        <w:trPr>
          <w:trHeight w:val="285" w:hRule="atLeast"/>
        </w:trPr>
        <w:tc>
          <w:tcPr>
            <w:tcW w:w="846" w:type="dxa"/>
            <w:vMerge w:val="continue"/>
            <w:tcBorders>
              <w:top w:val="nil"/>
              <w:left w:val="single" w:color="auto" w:sz="4" w:space="0"/>
              <w:bottom w:val="single" w:color="000000"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68"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595"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8、严禁私自向师生收取维修费用或索取好处（好评、感谢信等）</w:t>
            </w:r>
          </w:p>
        </w:tc>
        <w:tc>
          <w:tcPr>
            <w:tcW w:w="193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发生一次扣3分</w:t>
            </w:r>
          </w:p>
        </w:tc>
      </w:tr>
      <w:tr>
        <w:tblPrEx>
          <w:tblCellMar>
            <w:top w:w="0" w:type="dxa"/>
            <w:left w:w="108" w:type="dxa"/>
            <w:bottom w:w="0" w:type="dxa"/>
            <w:right w:w="108" w:type="dxa"/>
          </w:tblCellMar>
        </w:tblPrEx>
        <w:trPr>
          <w:trHeight w:val="285" w:hRule="atLeast"/>
        </w:trPr>
        <w:tc>
          <w:tcPr>
            <w:tcW w:w="846" w:type="dxa"/>
            <w:vMerge w:val="restart"/>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w:t>
            </w:r>
          </w:p>
        </w:tc>
        <w:tc>
          <w:tcPr>
            <w:tcW w:w="1268" w:type="dxa"/>
            <w:vMerge w:val="restart"/>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服务响应</w:t>
            </w:r>
          </w:p>
        </w:tc>
        <w:tc>
          <w:tcPr>
            <w:tcW w:w="4595"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1、维保单位未按合同承诺时间完成日常维修、应急维修并没有合理书面解释的；</w:t>
            </w:r>
          </w:p>
        </w:tc>
        <w:tc>
          <w:tcPr>
            <w:tcW w:w="193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发生一次扣4分</w:t>
            </w:r>
          </w:p>
        </w:tc>
      </w:tr>
      <w:tr>
        <w:tblPrEx>
          <w:tblCellMar>
            <w:top w:w="0" w:type="dxa"/>
            <w:left w:w="108" w:type="dxa"/>
            <w:bottom w:w="0" w:type="dxa"/>
            <w:right w:w="108" w:type="dxa"/>
          </w:tblCellMar>
        </w:tblPrEx>
        <w:trPr>
          <w:trHeight w:val="285" w:hRule="atLeast"/>
        </w:trPr>
        <w:tc>
          <w:tcPr>
            <w:tcW w:w="846"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68"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595"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2、维保单位接到任务后超出合同约定时间抵达现场、提供技术支持。</w:t>
            </w:r>
          </w:p>
        </w:tc>
        <w:tc>
          <w:tcPr>
            <w:tcW w:w="193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发生一次扣4分</w:t>
            </w:r>
          </w:p>
        </w:tc>
      </w:tr>
      <w:tr>
        <w:tblPrEx>
          <w:tblCellMar>
            <w:top w:w="0" w:type="dxa"/>
            <w:left w:w="108" w:type="dxa"/>
            <w:bottom w:w="0" w:type="dxa"/>
            <w:right w:w="108" w:type="dxa"/>
          </w:tblCellMar>
        </w:tblPrEx>
        <w:trPr>
          <w:trHeight w:val="540" w:hRule="atLeast"/>
        </w:trPr>
        <w:tc>
          <w:tcPr>
            <w:tcW w:w="846" w:type="dxa"/>
            <w:vMerge w:val="restart"/>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w:t>
            </w:r>
          </w:p>
        </w:tc>
        <w:tc>
          <w:tcPr>
            <w:tcW w:w="1268" w:type="dxa"/>
            <w:vMerge w:val="restart"/>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安全管理</w:t>
            </w:r>
          </w:p>
        </w:tc>
        <w:tc>
          <w:tcPr>
            <w:tcW w:w="4595"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1、维保单位开展维修作业时，安全的预防和保护措施不到位，安全生产工具和器具配置不齐全，特殊作业的维修人员无上岗证，无安全保护装置；</w:t>
            </w:r>
          </w:p>
        </w:tc>
        <w:tc>
          <w:tcPr>
            <w:tcW w:w="193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发生一次扣2分</w:t>
            </w:r>
          </w:p>
        </w:tc>
      </w:tr>
      <w:tr>
        <w:tblPrEx>
          <w:tblCellMar>
            <w:top w:w="0" w:type="dxa"/>
            <w:left w:w="108" w:type="dxa"/>
            <w:bottom w:w="0" w:type="dxa"/>
            <w:right w:w="108" w:type="dxa"/>
          </w:tblCellMar>
        </w:tblPrEx>
        <w:trPr>
          <w:trHeight w:val="285" w:hRule="atLeast"/>
        </w:trPr>
        <w:tc>
          <w:tcPr>
            <w:tcW w:w="846"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68"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595"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2、维保单位使用机械作业或登高、高空作业时，未按规范操作；</w:t>
            </w:r>
          </w:p>
        </w:tc>
        <w:tc>
          <w:tcPr>
            <w:tcW w:w="193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发生一次扣2分</w:t>
            </w:r>
          </w:p>
        </w:tc>
      </w:tr>
      <w:tr>
        <w:tblPrEx>
          <w:tblCellMar>
            <w:top w:w="0" w:type="dxa"/>
            <w:left w:w="108" w:type="dxa"/>
            <w:bottom w:w="0" w:type="dxa"/>
            <w:right w:w="108" w:type="dxa"/>
          </w:tblCellMar>
        </w:tblPrEx>
        <w:trPr>
          <w:trHeight w:val="285" w:hRule="atLeast"/>
        </w:trPr>
        <w:tc>
          <w:tcPr>
            <w:tcW w:w="846"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68"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595"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3、维保单位使用气体、气瓶时，无人看管或不及时回收处置。</w:t>
            </w:r>
          </w:p>
        </w:tc>
        <w:tc>
          <w:tcPr>
            <w:tcW w:w="193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发生一次扣2分</w:t>
            </w:r>
          </w:p>
        </w:tc>
      </w:tr>
      <w:tr>
        <w:tblPrEx>
          <w:tblCellMar>
            <w:top w:w="0" w:type="dxa"/>
            <w:left w:w="108" w:type="dxa"/>
            <w:bottom w:w="0" w:type="dxa"/>
            <w:right w:w="108" w:type="dxa"/>
          </w:tblCellMar>
        </w:tblPrEx>
        <w:trPr>
          <w:trHeight w:val="285" w:hRule="atLeast"/>
        </w:trPr>
        <w:tc>
          <w:tcPr>
            <w:tcW w:w="846" w:type="dxa"/>
            <w:vMerge w:val="restart"/>
            <w:tcBorders>
              <w:top w:val="nil"/>
              <w:left w:val="single" w:color="auto" w:sz="4" w:space="0"/>
              <w:bottom w:val="single" w:color="000000"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w:t>
            </w:r>
          </w:p>
        </w:tc>
        <w:tc>
          <w:tcPr>
            <w:tcW w:w="1268" w:type="dxa"/>
            <w:vMerge w:val="restart"/>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合同履行</w:t>
            </w:r>
          </w:p>
        </w:tc>
        <w:tc>
          <w:tcPr>
            <w:tcW w:w="4595"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1、维保单位未按合同约定及时开具相应票据，配合学校结算；</w:t>
            </w:r>
          </w:p>
        </w:tc>
        <w:tc>
          <w:tcPr>
            <w:tcW w:w="193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发生一次扣3分</w:t>
            </w:r>
          </w:p>
        </w:tc>
      </w:tr>
      <w:tr>
        <w:tblPrEx>
          <w:tblCellMar>
            <w:top w:w="0" w:type="dxa"/>
            <w:left w:w="108" w:type="dxa"/>
            <w:bottom w:w="0" w:type="dxa"/>
            <w:right w:w="108" w:type="dxa"/>
          </w:tblCellMar>
        </w:tblPrEx>
        <w:trPr>
          <w:trHeight w:val="285" w:hRule="atLeast"/>
        </w:trPr>
        <w:tc>
          <w:tcPr>
            <w:tcW w:w="846" w:type="dxa"/>
            <w:vMerge w:val="continue"/>
            <w:tcBorders>
              <w:top w:val="nil"/>
              <w:left w:val="single" w:color="auto" w:sz="4" w:space="0"/>
              <w:bottom w:val="single" w:color="000000"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68"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595"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2、合同到期前，配合甲方完成与接收单位的移交，在验收移交过程中发现一处未经甲方确认的故障。</w:t>
            </w:r>
          </w:p>
        </w:tc>
        <w:tc>
          <w:tcPr>
            <w:tcW w:w="193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发生一次扣3分</w:t>
            </w:r>
          </w:p>
        </w:tc>
      </w:tr>
      <w:tr>
        <w:tblPrEx>
          <w:tblCellMar>
            <w:top w:w="0" w:type="dxa"/>
            <w:left w:w="108" w:type="dxa"/>
            <w:bottom w:w="0" w:type="dxa"/>
            <w:right w:w="108" w:type="dxa"/>
          </w:tblCellMar>
        </w:tblPrEx>
        <w:trPr>
          <w:trHeight w:val="285" w:hRule="atLeast"/>
        </w:trPr>
        <w:tc>
          <w:tcPr>
            <w:tcW w:w="846" w:type="dxa"/>
            <w:vMerge w:val="restart"/>
            <w:tcBorders>
              <w:top w:val="nil"/>
              <w:left w:val="single" w:color="auto" w:sz="4" w:space="0"/>
              <w:bottom w:val="single" w:color="000000"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7</w:t>
            </w:r>
          </w:p>
        </w:tc>
        <w:tc>
          <w:tcPr>
            <w:tcW w:w="1268" w:type="dxa"/>
            <w:vMerge w:val="restart"/>
            <w:tcBorders>
              <w:top w:val="nil"/>
              <w:left w:val="single" w:color="auto" w:sz="4" w:space="0"/>
              <w:bottom w:val="single" w:color="000000"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维保优良</w:t>
            </w:r>
          </w:p>
        </w:tc>
        <w:tc>
          <w:tcPr>
            <w:tcW w:w="4595"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1、季度检查过程中无扣分项发生；</w:t>
            </w:r>
          </w:p>
        </w:tc>
        <w:tc>
          <w:tcPr>
            <w:tcW w:w="193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单次加2分</w:t>
            </w:r>
          </w:p>
        </w:tc>
      </w:tr>
      <w:tr>
        <w:tblPrEx>
          <w:tblCellMar>
            <w:top w:w="0" w:type="dxa"/>
            <w:left w:w="108" w:type="dxa"/>
            <w:bottom w:w="0" w:type="dxa"/>
            <w:right w:w="108" w:type="dxa"/>
          </w:tblCellMar>
        </w:tblPrEx>
        <w:trPr>
          <w:trHeight w:val="285" w:hRule="atLeast"/>
        </w:trPr>
        <w:tc>
          <w:tcPr>
            <w:tcW w:w="846" w:type="dxa"/>
            <w:vMerge w:val="continue"/>
            <w:tcBorders>
              <w:top w:val="nil"/>
              <w:left w:val="single" w:color="auto" w:sz="4" w:space="0"/>
              <w:bottom w:val="single" w:color="000000"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68" w:type="dxa"/>
            <w:vMerge w:val="continue"/>
            <w:tcBorders>
              <w:top w:val="nil"/>
              <w:left w:val="single" w:color="auto" w:sz="4" w:space="0"/>
              <w:bottom w:val="single" w:color="000000"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595"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2、日常维保过程中获得师生书面好评或表扬信；</w:t>
            </w:r>
          </w:p>
        </w:tc>
        <w:tc>
          <w:tcPr>
            <w:tcW w:w="193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单次加0.5分</w:t>
            </w:r>
          </w:p>
        </w:tc>
      </w:tr>
      <w:tr>
        <w:tblPrEx>
          <w:tblCellMar>
            <w:top w:w="0" w:type="dxa"/>
            <w:left w:w="108" w:type="dxa"/>
            <w:bottom w:w="0" w:type="dxa"/>
            <w:right w:w="108" w:type="dxa"/>
          </w:tblCellMar>
        </w:tblPrEx>
        <w:trPr>
          <w:trHeight w:val="285" w:hRule="atLeast"/>
        </w:trPr>
        <w:tc>
          <w:tcPr>
            <w:tcW w:w="846" w:type="dxa"/>
            <w:vMerge w:val="continue"/>
            <w:tcBorders>
              <w:top w:val="nil"/>
              <w:left w:val="single" w:color="auto" w:sz="4" w:space="0"/>
              <w:bottom w:val="single" w:color="000000"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1268" w:type="dxa"/>
            <w:vMerge w:val="continue"/>
            <w:tcBorders>
              <w:top w:val="nil"/>
              <w:left w:val="single" w:color="auto" w:sz="4" w:space="0"/>
              <w:bottom w:val="single" w:color="000000"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4595" w:type="dxa"/>
            <w:tcBorders>
              <w:top w:val="nil"/>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3、积极配合甲方在接收设备过程中发现未经甲方确认的合同维修按实收费项设备缺陷。</w:t>
            </w:r>
          </w:p>
        </w:tc>
        <w:tc>
          <w:tcPr>
            <w:tcW w:w="193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一处加0.5分</w:t>
            </w:r>
          </w:p>
        </w:tc>
      </w:tr>
      <w:tr>
        <w:tblPrEx>
          <w:tblCellMar>
            <w:top w:w="0" w:type="dxa"/>
            <w:left w:w="108" w:type="dxa"/>
            <w:bottom w:w="0" w:type="dxa"/>
            <w:right w:w="108" w:type="dxa"/>
          </w:tblCellMar>
        </w:tblPrEx>
        <w:trPr>
          <w:trHeight w:val="690" w:hRule="atLeast"/>
        </w:trPr>
        <w:tc>
          <w:tcPr>
            <w:tcW w:w="846" w:type="dxa"/>
            <w:vMerge w:val="restart"/>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备注：</w:t>
            </w:r>
          </w:p>
        </w:tc>
        <w:tc>
          <w:tcPr>
            <w:tcW w:w="7796" w:type="dxa"/>
            <w:gridSpan w:val="3"/>
            <w:tcBorders>
              <w:top w:val="single" w:color="auto" w:sz="4" w:space="0"/>
              <w:left w:val="nil"/>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年度维保考核总分为100分，每季度联合检查后进行一次维保考核得分确认，单个合同期结束时进行考核得分累计。合同期结束，年度维保考核累计得分低于60分全额扣除合同中最后一次支付的年度维保服务包干费，累计得分低于80分扣除合同中最后一次支付的年度维保服务包干费的50%，累计得分高于80分每扣一分扣除合同中最后一次支付的年度维保服务包干费的2%。</w:t>
            </w:r>
          </w:p>
        </w:tc>
      </w:tr>
      <w:tr>
        <w:tblPrEx>
          <w:tblCellMar>
            <w:top w:w="0" w:type="dxa"/>
            <w:left w:w="108" w:type="dxa"/>
            <w:bottom w:w="0" w:type="dxa"/>
            <w:right w:w="108" w:type="dxa"/>
          </w:tblCellMar>
        </w:tblPrEx>
        <w:trPr>
          <w:trHeight w:val="390" w:hRule="atLeast"/>
        </w:trPr>
        <w:tc>
          <w:tcPr>
            <w:tcW w:w="846" w:type="dxa"/>
            <w:vMerge w:val="continue"/>
            <w:tcBorders>
              <w:top w:val="nil"/>
              <w:left w:val="single" w:color="auto" w:sz="4" w:space="0"/>
              <w:bottom w:val="single" w:color="auto" w:sz="4" w:space="0"/>
              <w:right w:val="single" w:color="auto" w:sz="4" w:space="0"/>
            </w:tcBorders>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p>
        </w:tc>
        <w:tc>
          <w:tcPr>
            <w:tcW w:w="7796" w:type="dxa"/>
            <w:gridSpan w:val="3"/>
            <w:tcBorders>
              <w:top w:val="single" w:color="auto" w:sz="4" w:space="0"/>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2、维保单位驻点人员因工作不规范，造成我方经济损失的，全部由维保单位承担。</w:t>
            </w:r>
          </w:p>
        </w:tc>
      </w:tr>
    </w:tbl>
    <w:p>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sz w:val="24"/>
          <w:szCs w:val="24"/>
        </w:rPr>
      </w:pPr>
      <w:r>
        <w:rPr>
          <w:rFonts w:hint="eastAsia" w:ascii="宋体" w:hAnsi="宋体" w:eastAsia="宋体" w:cs="宋体"/>
          <w:b/>
          <w:kern w:val="2"/>
          <w:sz w:val="24"/>
          <w:szCs w:val="24"/>
          <w:lang w:val="en-US" w:eastAsia="zh-CN" w:bidi="ar-SA"/>
        </w:rPr>
        <w:t>（二）</w:t>
      </w:r>
      <w:r>
        <w:rPr>
          <w:rFonts w:hint="eastAsia" w:ascii="宋体" w:hAnsi="宋体" w:eastAsia="宋体" w:cs="宋体"/>
          <w:b/>
          <w:bCs/>
          <w:sz w:val="24"/>
          <w:szCs w:val="24"/>
        </w:rPr>
        <w:t>年度维保服务包干费费用以内的器件及耗材清单</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9"/>
        <w:gridCol w:w="4179"/>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519" w:type="dxa"/>
            <w:noWrap w:val="0"/>
            <w:vAlign w:val="center"/>
          </w:tcPr>
          <w:p>
            <w:pPr>
              <w:pageBreakBefore w:val="0"/>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eastAsia="宋体" w:cs="宋体"/>
                <w:spacing w:val="14"/>
                <w:sz w:val="24"/>
                <w:szCs w:val="24"/>
              </w:rPr>
            </w:pPr>
            <w:r>
              <w:rPr>
                <w:rFonts w:hint="eastAsia" w:ascii="宋体" w:hAnsi="宋体" w:eastAsia="宋体" w:cs="宋体"/>
                <w:spacing w:val="14"/>
                <w:sz w:val="24"/>
                <w:szCs w:val="24"/>
              </w:rPr>
              <w:t>序号</w:t>
            </w:r>
          </w:p>
        </w:tc>
        <w:tc>
          <w:tcPr>
            <w:tcW w:w="4179" w:type="dxa"/>
            <w:noWrap w:val="0"/>
            <w:vAlign w:val="center"/>
          </w:tcPr>
          <w:p>
            <w:pPr>
              <w:pageBreakBefore w:val="0"/>
              <w:kinsoku/>
              <w:wordWrap/>
              <w:overflowPunct/>
              <w:topLinePunct w:val="0"/>
              <w:autoSpaceDE/>
              <w:autoSpaceDN/>
              <w:bidi w:val="0"/>
              <w:adjustRightInd/>
              <w:snapToGrid/>
              <w:spacing w:before="100" w:beforeAutospacing="1" w:after="100" w:afterAutospacing="1" w:line="360" w:lineRule="auto"/>
              <w:jc w:val="left"/>
              <w:textAlignment w:val="auto"/>
              <w:rPr>
                <w:rFonts w:hint="eastAsia" w:ascii="宋体" w:hAnsi="宋体" w:eastAsia="宋体" w:cs="宋体"/>
                <w:spacing w:val="14"/>
                <w:sz w:val="24"/>
                <w:szCs w:val="24"/>
              </w:rPr>
            </w:pPr>
            <w:r>
              <w:rPr>
                <w:rFonts w:hint="eastAsia" w:ascii="宋体" w:hAnsi="宋体" w:eastAsia="宋体" w:cs="宋体"/>
                <w:spacing w:val="14"/>
                <w:sz w:val="24"/>
                <w:szCs w:val="24"/>
              </w:rPr>
              <w:t>产品名称</w:t>
            </w:r>
          </w:p>
        </w:tc>
        <w:tc>
          <w:tcPr>
            <w:tcW w:w="1417" w:type="dxa"/>
            <w:noWrap w:val="0"/>
            <w:vAlign w:val="center"/>
          </w:tcPr>
          <w:p>
            <w:pPr>
              <w:pageBreakBefore w:val="0"/>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eastAsia="宋体" w:cs="宋体"/>
                <w:spacing w:val="14"/>
                <w:sz w:val="24"/>
                <w:szCs w:val="24"/>
              </w:rPr>
            </w:pPr>
            <w:r>
              <w:rPr>
                <w:rFonts w:hint="eastAsia" w:ascii="宋体" w:hAnsi="宋体" w:eastAsia="宋体" w:cs="宋体"/>
                <w:spacing w:val="14"/>
                <w:sz w:val="24"/>
                <w:szCs w:val="24"/>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519" w:type="dxa"/>
            <w:noWrap w:val="0"/>
            <w:vAlign w:val="center"/>
          </w:tcPr>
          <w:p>
            <w:pPr>
              <w:pageBreakBefore w:val="0"/>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eastAsia="宋体" w:cs="宋体"/>
                <w:spacing w:val="14"/>
                <w:sz w:val="24"/>
                <w:szCs w:val="24"/>
              </w:rPr>
            </w:pPr>
            <w:r>
              <w:rPr>
                <w:rFonts w:hint="eastAsia" w:ascii="宋体" w:hAnsi="宋体" w:eastAsia="宋体" w:cs="宋体"/>
                <w:spacing w:val="14"/>
                <w:sz w:val="24"/>
                <w:szCs w:val="24"/>
              </w:rPr>
              <w:t>1</w:t>
            </w:r>
          </w:p>
        </w:tc>
        <w:tc>
          <w:tcPr>
            <w:tcW w:w="4179" w:type="dxa"/>
            <w:noWrap w:val="0"/>
            <w:vAlign w:val="top"/>
          </w:tcPr>
          <w:p>
            <w:pPr>
              <w:pageBreakBefore w:val="0"/>
              <w:kinsoku/>
              <w:wordWrap/>
              <w:overflowPunct/>
              <w:topLinePunct w:val="0"/>
              <w:autoSpaceDE/>
              <w:autoSpaceDN/>
              <w:bidi w:val="0"/>
              <w:adjustRightInd/>
              <w:snapToGrid/>
              <w:spacing w:before="66" w:line="360" w:lineRule="auto"/>
              <w:jc w:val="left"/>
              <w:textAlignment w:val="auto"/>
              <w:rPr>
                <w:rFonts w:hint="eastAsia" w:ascii="宋体" w:hAnsi="宋体" w:eastAsia="宋体" w:cs="宋体"/>
                <w:sz w:val="24"/>
                <w:szCs w:val="24"/>
              </w:rPr>
            </w:pPr>
            <w:r>
              <w:rPr>
                <w:rFonts w:hint="eastAsia" w:ascii="宋体" w:hAnsi="宋体" w:eastAsia="宋体" w:cs="宋体"/>
                <w:spacing w:val="-1"/>
                <w:sz w:val="24"/>
                <w:szCs w:val="24"/>
              </w:rPr>
              <w:t>施耐德继电</w:t>
            </w:r>
            <w:r>
              <w:rPr>
                <w:rFonts w:hint="eastAsia" w:ascii="宋体" w:hAnsi="宋体" w:eastAsia="宋体" w:cs="宋体"/>
                <w:sz w:val="24"/>
                <w:szCs w:val="24"/>
              </w:rPr>
              <w:t>器LADN22C 24V</w:t>
            </w:r>
          </w:p>
        </w:tc>
        <w:tc>
          <w:tcPr>
            <w:tcW w:w="1417" w:type="dxa"/>
            <w:noWrap w:val="0"/>
            <w:vAlign w:val="center"/>
          </w:tcPr>
          <w:p>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sz w:val="24"/>
                <w:szCs w:val="24"/>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519" w:type="dxa"/>
            <w:noWrap w:val="0"/>
            <w:vAlign w:val="center"/>
          </w:tcPr>
          <w:p>
            <w:pPr>
              <w:pageBreakBefore w:val="0"/>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eastAsia="宋体" w:cs="宋体"/>
                <w:spacing w:val="14"/>
                <w:sz w:val="24"/>
                <w:szCs w:val="24"/>
              </w:rPr>
            </w:pPr>
            <w:r>
              <w:rPr>
                <w:rFonts w:hint="eastAsia" w:ascii="宋体" w:hAnsi="宋体" w:eastAsia="宋体" w:cs="宋体"/>
                <w:spacing w:val="14"/>
                <w:sz w:val="24"/>
                <w:szCs w:val="24"/>
              </w:rPr>
              <w:t>2</w:t>
            </w:r>
          </w:p>
        </w:tc>
        <w:tc>
          <w:tcPr>
            <w:tcW w:w="4179" w:type="dxa"/>
            <w:noWrap w:val="0"/>
            <w:vAlign w:val="top"/>
          </w:tcPr>
          <w:p>
            <w:pPr>
              <w:pageBreakBefore w:val="0"/>
              <w:kinsoku/>
              <w:wordWrap/>
              <w:overflowPunct/>
              <w:topLinePunct w:val="0"/>
              <w:autoSpaceDE/>
              <w:autoSpaceDN/>
              <w:bidi w:val="0"/>
              <w:adjustRightInd/>
              <w:snapToGrid/>
              <w:spacing w:before="67" w:line="360" w:lineRule="auto"/>
              <w:jc w:val="left"/>
              <w:textAlignment w:val="auto"/>
              <w:rPr>
                <w:rFonts w:hint="eastAsia" w:ascii="宋体" w:hAnsi="宋体" w:eastAsia="宋体" w:cs="宋体"/>
                <w:sz w:val="24"/>
                <w:szCs w:val="24"/>
              </w:rPr>
            </w:pPr>
            <w:r>
              <w:rPr>
                <w:rFonts w:hint="eastAsia" w:ascii="宋体" w:hAnsi="宋体" w:eastAsia="宋体" w:cs="宋体"/>
                <w:spacing w:val="-1"/>
                <w:sz w:val="24"/>
                <w:szCs w:val="24"/>
              </w:rPr>
              <w:t>施耐德继电</w:t>
            </w:r>
            <w:r>
              <w:rPr>
                <w:rFonts w:hint="eastAsia" w:ascii="宋体" w:hAnsi="宋体" w:eastAsia="宋体" w:cs="宋体"/>
                <w:sz w:val="24"/>
                <w:szCs w:val="24"/>
              </w:rPr>
              <w:t>器MY2N-J 24VDC</w:t>
            </w:r>
          </w:p>
        </w:tc>
        <w:tc>
          <w:tcPr>
            <w:tcW w:w="1417" w:type="dxa"/>
            <w:noWrap w:val="0"/>
            <w:vAlign w:val="center"/>
          </w:tcPr>
          <w:p>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sz w:val="24"/>
                <w:szCs w:val="24"/>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519" w:type="dxa"/>
            <w:noWrap w:val="0"/>
            <w:vAlign w:val="center"/>
          </w:tcPr>
          <w:p>
            <w:pPr>
              <w:pageBreakBefore w:val="0"/>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eastAsia="宋体" w:cs="宋体"/>
                <w:spacing w:val="14"/>
                <w:sz w:val="24"/>
                <w:szCs w:val="24"/>
              </w:rPr>
            </w:pPr>
            <w:r>
              <w:rPr>
                <w:rFonts w:hint="eastAsia" w:ascii="宋体" w:hAnsi="宋体" w:eastAsia="宋体" w:cs="宋体"/>
                <w:spacing w:val="14"/>
                <w:sz w:val="24"/>
                <w:szCs w:val="24"/>
              </w:rPr>
              <w:t>3</w:t>
            </w:r>
          </w:p>
        </w:tc>
        <w:tc>
          <w:tcPr>
            <w:tcW w:w="4179" w:type="dxa"/>
            <w:noWrap w:val="0"/>
            <w:vAlign w:val="center"/>
          </w:tcPr>
          <w:p>
            <w:pPr>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rPr>
            </w:pPr>
            <w:r>
              <w:rPr>
                <w:rFonts w:hint="eastAsia" w:ascii="宋体" w:hAnsi="宋体" w:eastAsia="宋体" w:cs="宋体"/>
                <w:sz w:val="24"/>
                <w:szCs w:val="24"/>
              </w:rPr>
              <w:t>变压器E48-23-29</w:t>
            </w:r>
          </w:p>
        </w:tc>
        <w:tc>
          <w:tcPr>
            <w:tcW w:w="1417" w:type="dxa"/>
            <w:noWrap w:val="0"/>
            <w:vAlign w:val="center"/>
          </w:tcPr>
          <w:p>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sz w:val="24"/>
                <w:szCs w:val="24"/>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519" w:type="dxa"/>
            <w:noWrap w:val="0"/>
            <w:vAlign w:val="center"/>
          </w:tcPr>
          <w:p>
            <w:pPr>
              <w:pageBreakBefore w:val="0"/>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eastAsia="宋体" w:cs="宋体"/>
                <w:spacing w:val="14"/>
                <w:sz w:val="24"/>
                <w:szCs w:val="24"/>
              </w:rPr>
            </w:pPr>
            <w:r>
              <w:rPr>
                <w:rFonts w:hint="eastAsia" w:ascii="宋体" w:hAnsi="宋体" w:eastAsia="宋体" w:cs="宋体"/>
                <w:spacing w:val="14"/>
                <w:sz w:val="24"/>
                <w:szCs w:val="24"/>
              </w:rPr>
              <w:t>4</w:t>
            </w:r>
          </w:p>
        </w:tc>
        <w:tc>
          <w:tcPr>
            <w:tcW w:w="4179" w:type="dxa"/>
            <w:noWrap w:val="0"/>
            <w:vAlign w:val="center"/>
          </w:tcPr>
          <w:p>
            <w:pPr>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rPr>
            </w:pPr>
            <w:r>
              <w:rPr>
                <w:rFonts w:hint="eastAsia" w:ascii="宋体" w:hAnsi="宋体" w:eastAsia="宋体" w:cs="宋体"/>
                <w:sz w:val="24"/>
                <w:szCs w:val="24"/>
              </w:rPr>
              <w:t>过滤器</w:t>
            </w:r>
          </w:p>
        </w:tc>
        <w:tc>
          <w:tcPr>
            <w:tcW w:w="1417" w:type="dxa"/>
            <w:noWrap w:val="0"/>
            <w:vAlign w:val="center"/>
          </w:tcPr>
          <w:p>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sz w:val="24"/>
                <w:szCs w:val="24"/>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519" w:type="dxa"/>
            <w:noWrap w:val="0"/>
            <w:vAlign w:val="center"/>
          </w:tcPr>
          <w:p>
            <w:pPr>
              <w:pageBreakBefore w:val="0"/>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eastAsia="宋体" w:cs="宋体"/>
                <w:spacing w:val="14"/>
                <w:sz w:val="24"/>
                <w:szCs w:val="24"/>
              </w:rPr>
            </w:pPr>
            <w:r>
              <w:rPr>
                <w:rFonts w:hint="eastAsia" w:ascii="宋体" w:hAnsi="宋体" w:eastAsia="宋体" w:cs="宋体"/>
                <w:spacing w:val="14"/>
                <w:sz w:val="24"/>
                <w:szCs w:val="24"/>
              </w:rPr>
              <w:t>5</w:t>
            </w:r>
          </w:p>
        </w:tc>
        <w:tc>
          <w:tcPr>
            <w:tcW w:w="4179" w:type="dxa"/>
            <w:noWrap w:val="0"/>
            <w:vAlign w:val="center"/>
          </w:tcPr>
          <w:p>
            <w:pPr>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rPr>
            </w:pPr>
            <w:r>
              <w:rPr>
                <w:rFonts w:hint="eastAsia" w:ascii="宋体" w:hAnsi="宋体" w:eastAsia="宋体" w:cs="宋体"/>
                <w:sz w:val="24"/>
                <w:szCs w:val="24"/>
              </w:rPr>
              <w:t>电加热带</w:t>
            </w:r>
          </w:p>
        </w:tc>
        <w:tc>
          <w:tcPr>
            <w:tcW w:w="1417" w:type="dxa"/>
            <w:noWrap w:val="0"/>
            <w:vAlign w:val="center"/>
          </w:tcPr>
          <w:p>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sz w:val="24"/>
                <w:szCs w:val="24"/>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519" w:type="dxa"/>
            <w:noWrap w:val="0"/>
            <w:vAlign w:val="center"/>
          </w:tcPr>
          <w:p>
            <w:pPr>
              <w:pageBreakBefore w:val="0"/>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eastAsia="宋体" w:cs="宋体"/>
                <w:spacing w:val="14"/>
                <w:sz w:val="24"/>
                <w:szCs w:val="24"/>
              </w:rPr>
            </w:pPr>
            <w:r>
              <w:rPr>
                <w:rFonts w:hint="eastAsia" w:ascii="宋体" w:hAnsi="宋体" w:eastAsia="宋体" w:cs="宋体"/>
                <w:spacing w:val="14"/>
                <w:sz w:val="24"/>
                <w:szCs w:val="24"/>
              </w:rPr>
              <w:t>6</w:t>
            </w:r>
          </w:p>
        </w:tc>
        <w:tc>
          <w:tcPr>
            <w:tcW w:w="4179" w:type="dxa"/>
            <w:noWrap w:val="0"/>
            <w:vAlign w:val="center"/>
          </w:tcPr>
          <w:p>
            <w:pPr>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rPr>
            </w:pPr>
            <w:r>
              <w:rPr>
                <w:rFonts w:hint="eastAsia" w:ascii="宋体" w:hAnsi="宋体" w:eastAsia="宋体" w:cs="宋体"/>
                <w:sz w:val="24"/>
                <w:szCs w:val="24"/>
              </w:rPr>
              <w:t>铜闸阀DN32以下</w:t>
            </w:r>
          </w:p>
        </w:tc>
        <w:tc>
          <w:tcPr>
            <w:tcW w:w="1417" w:type="dxa"/>
            <w:noWrap w:val="0"/>
            <w:vAlign w:val="center"/>
          </w:tcPr>
          <w:p>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sz w:val="24"/>
                <w:szCs w:val="24"/>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519" w:type="dxa"/>
            <w:noWrap w:val="0"/>
            <w:vAlign w:val="center"/>
          </w:tcPr>
          <w:p>
            <w:pPr>
              <w:pageBreakBefore w:val="0"/>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eastAsia="宋体" w:cs="宋体"/>
                <w:spacing w:val="14"/>
                <w:sz w:val="24"/>
                <w:szCs w:val="24"/>
              </w:rPr>
            </w:pPr>
            <w:r>
              <w:rPr>
                <w:rFonts w:hint="eastAsia" w:ascii="宋体" w:hAnsi="宋体" w:eastAsia="宋体" w:cs="宋体"/>
                <w:spacing w:val="14"/>
                <w:sz w:val="24"/>
                <w:szCs w:val="24"/>
              </w:rPr>
              <w:t>7</w:t>
            </w:r>
          </w:p>
        </w:tc>
        <w:tc>
          <w:tcPr>
            <w:tcW w:w="4179" w:type="dxa"/>
            <w:noWrap w:val="0"/>
            <w:vAlign w:val="center"/>
          </w:tcPr>
          <w:p>
            <w:pPr>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rPr>
            </w:pPr>
            <w:r>
              <w:rPr>
                <w:rFonts w:hint="eastAsia" w:ascii="宋体" w:hAnsi="宋体" w:eastAsia="宋体" w:cs="宋体"/>
                <w:sz w:val="24"/>
                <w:szCs w:val="24"/>
              </w:rPr>
              <w:t>铜球阀DN32以下</w:t>
            </w:r>
          </w:p>
        </w:tc>
        <w:tc>
          <w:tcPr>
            <w:tcW w:w="1417" w:type="dxa"/>
            <w:noWrap w:val="0"/>
            <w:vAlign w:val="center"/>
          </w:tcPr>
          <w:p>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sz w:val="24"/>
                <w:szCs w:val="24"/>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519" w:type="dxa"/>
            <w:noWrap w:val="0"/>
            <w:vAlign w:val="center"/>
          </w:tcPr>
          <w:p>
            <w:pPr>
              <w:pageBreakBefore w:val="0"/>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eastAsia="宋体" w:cs="宋体"/>
                <w:spacing w:val="14"/>
                <w:sz w:val="24"/>
                <w:szCs w:val="24"/>
              </w:rPr>
            </w:pPr>
            <w:r>
              <w:rPr>
                <w:rFonts w:hint="eastAsia" w:ascii="宋体" w:hAnsi="宋体" w:eastAsia="宋体" w:cs="宋体"/>
                <w:spacing w:val="14"/>
                <w:sz w:val="24"/>
                <w:szCs w:val="24"/>
              </w:rPr>
              <w:t>8</w:t>
            </w:r>
          </w:p>
        </w:tc>
        <w:tc>
          <w:tcPr>
            <w:tcW w:w="4179" w:type="dxa"/>
            <w:noWrap w:val="0"/>
            <w:vAlign w:val="center"/>
          </w:tcPr>
          <w:p>
            <w:pPr>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rPr>
            </w:pPr>
            <w:r>
              <w:rPr>
                <w:rFonts w:hint="eastAsia" w:ascii="宋体" w:hAnsi="宋体" w:eastAsia="宋体" w:cs="宋体"/>
                <w:sz w:val="24"/>
                <w:szCs w:val="24"/>
              </w:rPr>
              <w:t>端子接线排</w:t>
            </w:r>
          </w:p>
        </w:tc>
        <w:tc>
          <w:tcPr>
            <w:tcW w:w="1417" w:type="dxa"/>
            <w:noWrap w:val="0"/>
            <w:vAlign w:val="center"/>
          </w:tcPr>
          <w:p>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sz w:val="24"/>
                <w:szCs w:val="24"/>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519" w:type="dxa"/>
            <w:noWrap w:val="0"/>
            <w:vAlign w:val="center"/>
          </w:tcPr>
          <w:p>
            <w:pPr>
              <w:pageBreakBefore w:val="0"/>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eastAsia="宋体" w:cs="宋体"/>
                <w:spacing w:val="14"/>
                <w:sz w:val="24"/>
                <w:szCs w:val="24"/>
              </w:rPr>
            </w:pPr>
            <w:r>
              <w:rPr>
                <w:rFonts w:hint="eastAsia" w:ascii="宋体" w:hAnsi="宋体" w:eastAsia="宋体" w:cs="宋体"/>
                <w:spacing w:val="14"/>
                <w:sz w:val="24"/>
                <w:szCs w:val="24"/>
              </w:rPr>
              <w:t>9</w:t>
            </w:r>
          </w:p>
        </w:tc>
        <w:tc>
          <w:tcPr>
            <w:tcW w:w="4179" w:type="dxa"/>
            <w:noWrap w:val="0"/>
            <w:vAlign w:val="center"/>
          </w:tcPr>
          <w:p>
            <w:pPr>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rPr>
            </w:pPr>
            <w:r>
              <w:rPr>
                <w:rFonts w:hint="eastAsia" w:ascii="宋体" w:hAnsi="宋体" w:eastAsia="宋体" w:cs="宋体"/>
                <w:sz w:val="24"/>
                <w:szCs w:val="24"/>
              </w:rPr>
              <w:t>冷媒加液阀</w:t>
            </w:r>
          </w:p>
        </w:tc>
        <w:tc>
          <w:tcPr>
            <w:tcW w:w="1417" w:type="dxa"/>
            <w:noWrap w:val="0"/>
            <w:vAlign w:val="center"/>
          </w:tcPr>
          <w:p>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sz w:val="24"/>
                <w:szCs w:val="24"/>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519" w:type="dxa"/>
            <w:noWrap w:val="0"/>
            <w:vAlign w:val="center"/>
          </w:tcPr>
          <w:p>
            <w:pPr>
              <w:pageBreakBefore w:val="0"/>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eastAsia="宋体" w:cs="宋体"/>
                <w:spacing w:val="14"/>
                <w:sz w:val="24"/>
                <w:szCs w:val="24"/>
              </w:rPr>
            </w:pPr>
            <w:r>
              <w:rPr>
                <w:rFonts w:hint="eastAsia" w:ascii="宋体" w:hAnsi="宋体" w:eastAsia="宋体" w:cs="宋体"/>
                <w:spacing w:val="14"/>
                <w:sz w:val="24"/>
                <w:szCs w:val="24"/>
              </w:rPr>
              <w:t>10</w:t>
            </w:r>
          </w:p>
        </w:tc>
        <w:tc>
          <w:tcPr>
            <w:tcW w:w="4179" w:type="dxa"/>
            <w:noWrap w:val="0"/>
            <w:vAlign w:val="center"/>
          </w:tcPr>
          <w:p>
            <w:pPr>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rPr>
            </w:pPr>
            <w:r>
              <w:rPr>
                <w:rFonts w:hint="eastAsia" w:ascii="宋体" w:hAnsi="宋体" w:eastAsia="宋体" w:cs="宋体"/>
                <w:sz w:val="24"/>
                <w:szCs w:val="24"/>
              </w:rPr>
              <w:t>Y型三通</w:t>
            </w:r>
          </w:p>
        </w:tc>
        <w:tc>
          <w:tcPr>
            <w:tcW w:w="1417" w:type="dxa"/>
            <w:noWrap w:val="0"/>
            <w:vAlign w:val="center"/>
          </w:tcPr>
          <w:p>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sz w:val="24"/>
                <w:szCs w:val="24"/>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519" w:type="dxa"/>
            <w:noWrap w:val="0"/>
            <w:vAlign w:val="center"/>
          </w:tcPr>
          <w:p>
            <w:pPr>
              <w:pageBreakBefore w:val="0"/>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eastAsia="宋体" w:cs="宋体"/>
                <w:spacing w:val="14"/>
                <w:sz w:val="24"/>
                <w:szCs w:val="24"/>
              </w:rPr>
            </w:pPr>
            <w:r>
              <w:rPr>
                <w:rFonts w:hint="eastAsia" w:ascii="宋体" w:hAnsi="宋体" w:eastAsia="宋体" w:cs="宋体"/>
                <w:spacing w:val="14"/>
                <w:sz w:val="24"/>
                <w:szCs w:val="24"/>
              </w:rPr>
              <w:t>11</w:t>
            </w:r>
          </w:p>
        </w:tc>
        <w:tc>
          <w:tcPr>
            <w:tcW w:w="4179" w:type="dxa"/>
            <w:noWrap w:val="0"/>
            <w:vAlign w:val="center"/>
          </w:tcPr>
          <w:p>
            <w:pPr>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rPr>
            </w:pPr>
            <w:r>
              <w:rPr>
                <w:rFonts w:hint="eastAsia" w:ascii="宋体" w:hAnsi="宋体" w:eastAsia="宋体" w:cs="宋体"/>
                <w:sz w:val="24"/>
                <w:szCs w:val="24"/>
              </w:rPr>
              <w:t>T型三通</w:t>
            </w:r>
          </w:p>
        </w:tc>
        <w:tc>
          <w:tcPr>
            <w:tcW w:w="1417" w:type="dxa"/>
            <w:noWrap w:val="0"/>
            <w:vAlign w:val="center"/>
          </w:tcPr>
          <w:p>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sz w:val="24"/>
                <w:szCs w:val="24"/>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519" w:type="dxa"/>
            <w:noWrap w:val="0"/>
            <w:vAlign w:val="center"/>
          </w:tcPr>
          <w:p>
            <w:pPr>
              <w:pageBreakBefore w:val="0"/>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eastAsia="宋体" w:cs="宋体"/>
                <w:spacing w:val="14"/>
                <w:sz w:val="24"/>
                <w:szCs w:val="24"/>
              </w:rPr>
            </w:pPr>
            <w:r>
              <w:rPr>
                <w:rFonts w:hint="eastAsia" w:ascii="宋体" w:hAnsi="宋体" w:eastAsia="宋体" w:cs="宋体"/>
                <w:spacing w:val="14"/>
                <w:sz w:val="24"/>
                <w:szCs w:val="24"/>
              </w:rPr>
              <w:t>12</w:t>
            </w:r>
          </w:p>
        </w:tc>
        <w:tc>
          <w:tcPr>
            <w:tcW w:w="4179" w:type="dxa"/>
            <w:noWrap w:val="0"/>
            <w:vAlign w:val="center"/>
          </w:tcPr>
          <w:p>
            <w:pPr>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rPr>
            </w:pPr>
            <w:r>
              <w:rPr>
                <w:rFonts w:hint="eastAsia" w:ascii="宋体" w:hAnsi="宋体" w:eastAsia="宋体" w:cs="宋体"/>
                <w:sz w:val="24"/>
                <w:szCs w:val="24"/>
              </w:rPr>
              <w:t>开关电源</w:t>
            </w:r>
          </w:p>
        </w:tc>
        <w:tc>
          <w:tcPr>
            <w:tcW w:w="1417" w:type="dxa"/>
            <w:noWrap w:val="0"/>
            <w:vAlign w:val="center"/>
          </w:tcPr>
          <w:p>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sz w:val="24"/>
                <w:szCs w:val="24"/>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519" w:type="dxa"/>
            <w:noWrap w:val="0"/>
            <w:vAlign w:val="center"/>
          </w:tcPr>
          <w:p>
            <w:pPr>
              <w:pageBreakBefore w:val="0"/>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eastAsia="宋体" w:cs="宋体"/>
                <w:spacing w:val="14"/>
                <w:sz w:val="24"/>
                <w:szCs w:val="24"/>
              </w:rPr>
            </w:pPr>
            <w:r>
              <w:rPr>
                <w:rFonts w:hint="eastAsia" w:ascii="宋体" w:hAnsi="宋体" w:eastAsia="宋体" w:cs="宋体"/>
                <w:spacing w:val="14"/>
                <w:sz w:val="24"/>
                <w:szCs w:val="24"/>
              </w:rPr>
              <w:t>13</w:t>
            </w:r>
          </w:p>
        </w:tc>
        <w:tc>
          <w:tcPr>
            <w:tcW w:w="4179" w:type="dxa"/>
            <w:noWrap w:val="0"/>
            <w:vAlign w:val="center"/>
          </w:tcPr>
          <w:p>
            <w:pPr>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rPr>
            </w:pPr>
            <w:r>
              <w:rPr>
                <w:rFonts w:hint="eastAsia" w:ascii="宋体" w:hAnsi="宋体" w:eastAsia="宋体" w:cs="宋体"/>
                <w:sz w:val="24"/>
                <w:szCs w:val="24"/>
              </w:rPr>
              <w:t>电磁阀DN40以下</w:t>
            </w:r>
          </w:p>
        </w:tc>
        <w:tc>
          <w:tcPr>
            <w:tcW w:w="1417" w:type="dxa"/>
            <w:noWrap w:val="0"/>
            <w:vAlign w:val="center"/>
          </w:tcPr>
          <w:p>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sz w:val="24"/>
                <w:szCs w:val="24"/>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519" w:type="dxa"/>
            <w:noWrap w:val="0"/>
            <w:vAlign w:val="center"/>
          </w:tcPr>
          <w:p>
            <w:pPr>
              <w:pageBreakBefore w:val="0"/>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eastAsia="宋体" w:cs="宋体"/>
                <w:spacing w:val="14"/>
                <w:sz w:val="24"/>
                <w:szCs w:val="24"/>
              </w:rPr>
            </w:pPr>
            <w:r>
              <w:rPr>
                <w:rFonts w:hint="eastAsia" w:ascii="宋体" w:hAnsi="宋体" w:eastAsia="宋体" w:cs="宋体"/>
                <w:spacing w:val="14"/>
                <w:sz w:val="24"/>
                <w:szCs w:val="24"/>
              </w:rPr>
              <w:t>14</w:t>
            </w:r>
          </w:p>
        </w:tc>
        <w:tc>
          <w:tcPr>
            <w:tcW w:w="4179" w:type="dxa"/>
            <w:noWrap w:val="0"/>
            <w:vAlign w:val="center"/>
          </w:tcPr>
          <w:p>
            <w:pPr>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rPr>
            </w:pPr>
            <w:r>
              <w:rPr>
                <w:rFonts w:hint="eastAsia" w:ascii="宋体" w:hAnsi="宋体" w:eastAsia="宋体" w:cs="宋体"/>
                <w:sz w:val="24"/>
                <w:szCs w:val="24"/>
              </w:rPr>
              <w:t>橡胶软接DN40以下</w:t>
            </w:r>
          </w:p>
        </w:tc>
        <w:tc>
          <w:tcPr>
            <w:tcW w:w="1417" w:type="dxa"/>
            <w:noWrap w:val="0"/>
            <w:vAlign w:val="center"/>
          </w:tcPr>
          <w:p>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sz w:val="24"/>
                <w:szCs w:val="24"/>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519" w:type="dxa"/>
            <w:noWrap w:val="0"/>
            <w:vAlign w:val="center"/>
          </w:tcPr>
          <w:p>
            <w:pPr>
              <w:pageBreakBefore w:val="0"/>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eastAsia="宋体" w:cs="宋体"/>
                <w:spacing w:val="14"/>
                <w:sz w:val="24"/>
                <w:szCs w:val="24"/>
              </w:rPr>
            </w:pPr>
            <w:r>
              <w:rPr>
                <w:rFonts w:hint="eastAsia" w:ascii="宋体" w:hAnsi="宋体" w:eastAsia="宋体" w:cs="宋体"/>
                <w:spacing w:val="14"/>
                <w:sz w:val="24"/>
                <w:szCs w:val="24"/>
              </w:rPr>
              <w:t>15</w:t>
            </w:r>
          </w:p>
        </w:tc>
        <w:tc>
          <w:tcPr>
            <w:tcW w:w="4179" w:type="dxa"/>
            <w:noWrap w:val="0"/>
            <w:vAlign w:val="center"/>
          </w:tcPr>
          <w:p>
            <w:pPr>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rPr>
            </w:pPr>
            <w:r>
              <w:rPr>
                <w:rFonts w:hint="eastAsia" w:ascii="宋体" w:hAnsi="宋体" w:eastAsia="宋体" w:cs="宋体"/>
                <w:sz w:val="24"/>
                <w:szCs w:val="24"/>
              </w:rPr>
              <w:t>手柄蝶阀DN40以下</w:t>
            </w:r>
          </w:p>
        </w:tc>
        <w:tc>
          <w:tcPr>
            <w:tcW w:w="1417" w:type="dxa"/>
            <w:noWrap w:val="0"/>
            <w:vAlign w:val="center"/>
          </w:tcPr>
          <w:p>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519" w:type="dxa"/>
            <w:noWrap w:val="0"/>
            <w:vAlign w:val="center"/>
          </w:tcPr>
          <w:p>
            <w:pPr>
              <w:pageBreakBefore w:val="0"/>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eastAsia="宋体" w:cs="宋体"/>
                <w:spacing w:val="14"/>
                <w:sz w:val="24"/>
                <w:szCs w:val="24"/>
              </w:rPr>
            </w:pPr>
            <w:r>
              <w:rPr>
                <w:rFonts w:hint="eastAsia" w:ascii="宋体" w:hAnsi="宋体" w:eastAsia="宋体" w:cs="宋体"/>
                <w:spacing w:val="14"/>
                <w:sz w:val="24"/>
                <w:szCs w:val="24"/>
              </w:rPr>
              <w:t>16</w:t>
            </w:r>
          </w:p>
        </w:tc>
        <w:tc>
          <w:tcPr>
            <w:tcW w:w="4179" w:type="dxa"/>
            <w:noWrap w:val="0"/>
            <w:vAlign w:val="center"/>
          </w:tcPr>
          <w:p>
            <w:pPr>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止回阀</w:t>
            </w:r>
            <w:r>
              <w:rPr>
                <w:rFonts w:hint="eastAsia" w:ascii="宋体" w:hAnsi="宋体" w:eastAsia="宋体" w:cs="宋体"/>
                <w:sz w:val="24"/>
                <w:szCs w:val="24"/>
              </w:rPr>
              <w:t>DN40以下</w:t>
            </w:r>
          </w:p>
        </w:tc>
        <w:tc>
          <w:tcPr>
            <w:tcW w:w="1417" w:type="dxa"/>
            <w:noWrap w:val="0"/>
            <w:vAlign w:val="center"/>
          </w:tcPr>
          <w:p>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sz w:val="24"/>
                <w:szCs w:val="24"/>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519" w:type="dxa"/>
            <w:noWrap w:val="0"/>
            <w:vAlign w:val="center"/>
          </w:tcPr>
          <w:p>
            <w:pPr>
              <w:pageBreakBefore w:val="0"/>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eastAsia="宋体" w:cs="宋体"/>
                <w:spacing w:val="14"/>
                <w:sz w:val="24"/>
                <w:szCs w:val="24"/>
              </w:rPr>
            </w:pPr>
            <w:r>
              <w:rPr>
                <w:rFonts w:hint="eastAsia" w:ascii="宋体" w:hAnsi="宋体" w:eastAsia="宋体" w:cs="宋体"/>
                <w:spacing w:val="14"/>
                <w:sz w:val="24"/>
                <w:szCs w:val="24"/>
              </w:rPr>
              <w:t>17</w:t>
            </w:r>
          </w:p>
        </w:tc>
        <w:tc>
          <w:tcPr>
            <w:tcW w:w="4179" w:type="dxa"/>
            <w:noWrap w:val="0"/>
            <w:vAlign w:val="center"/>
          </w:tcPr>
          <w:p>
            <w:pPr>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rPr>
            </w:pPr>
            <w:r>
              <w:rPr>
                <w:rFonts w:hint="eastAsia" w:ascii="宋体" w:hAnsi="宋体" w:eastAsia="宋体" w:cs="宋体"/>
                <w:sz w:val="24"/>
                <w:szCs w:val="24"/>
              </w:rPr>
              <w:t>进出水软管DN40以下</w:t>
            </w:r>
          </w:p>
        </w:tc>
        <w:tc>
          <w:tcPr>
            <w:tcW w:w="1417" w:type="dxa"/>
            <w:noWrap w:val="0"/>
            <w:vAlign w:val="center"/>
          </w:tcPr>
          <w:p>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sz w:val="24"/>
                <w:szCs w:val="24"/>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519" w:type="dxa"/>
            <w:noWrap w:val="0"/>
            <w:vAlign w:val="center"/>
          </w:tcPr>
          <w:p>
            <w:pPr>
              <w:pageBreakBefore w:val="0"/>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eastAsia="宋体" w:cs="宋体"/>
                <w:spacing w:val="14"/>
                <w:sz w:val="24"/>
                <w:szCs w:val="24"/>
              </w:rPr>
            </w:pPr>
            <w:r>
              <w:rPr>
                <w:rFonts w:hint="eastAsia" w:ascii="宋体" w:hAnsi="宋体" w:eastAsia="宋体" w:cs="宋体"/>
                <w:spacing w:val="14"/>
                <w:sz w:val="24"/>
                <w:szCs w:val="24"/>
              </w:rPr>
              <w:t>18</w:t>
            </w:r>
          </w:p>
        </w:tc>
        <w:tc>
          <w:tcPr>
            <w:tcW w:w="4179" w:type="dxa"/>
            <w:noWrap w:val="0"/>
            <w:vAlign w:val="center"/>
          </w:tcPr>
          <w:p>
            <w:pPr>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温度计0-100℃</w:t>
            </w:r>
          </w:p>
        </w:tc>
        <w:tc>
          <w:tcPr>
            <w:tcW w:w="1417" w:type="dxa"/>
            <w:noWrap w:val="0"/>
            <w:vAlign w:val="center"/>
          </w:tcPr>
          <w:p>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519" w:type="dxa"/>
            <w:noWrap w:val="0"/>
            <w:vAlign w:val="center"/>
          </w:tcPr>
          <w:p>
            <w:pPr>
              <w:pageBreakBefore w:val="0"/>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eastAsia="宋体" w:cs="宋体"/>
                <w:spacing w:val="14"/>
                <w:sz w:val="24"/>
                <w:szCs w:val="24"/>
              </w:rPr>
            </w:pPr>
            <w:r>
              <w:rPr>
                <w:rFonts w:hint="eastAsia" w:ascii="宋体" w:hAnsi="宋体" w:eastAsia="宋体" w:cs="宋体"/>
                <w:spacing w:val="14"/>
                <w:sz w:val="24"/>
                <w:szCs w:val="24"/>
              </w:rPr>
              <w:t>19</w:t>
            </w:r>
          </w:p>
        </w:tc>
        <w:tc>
          <w:tcPr>
            <w:tcW w:w="4179" w:type="dxa"/>
            <w:noWrap w:val="0"/>
            <w:vAlign w:val="center"/>
          </w:tcPr>
          <w:p>
            <w:pPr>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压力表1.6mpa</w:t>
            </w:r>
          </w:p>
        </w:tc>
        <w:tc>
          <w:tcPr>
            <w:tcW w:w="1417" w:type="dxa"/>
            <w:noWrap w:val="0"/>
            <w:vAlign w:val="center"/>
          </w:tcPr>
          <w:p>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519" w:type="dxa"/>
            <w:noWrap w:val="0"/>
            <w:vAlign w:val="center"/>
          </w:tcPr>
          <w:p>
            <w:pPr>
              <w:pageBreakBefore w:val="0"/>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eastAsia="宋体" w:cs="宋体"/>
                <w:spacing w:val="14"/>
                <w:sz w:val="24"/>
                <w:szCs w:val="24"/>
              </w:rPr>
            </w:pPr>
            <w:r>
              <w:rPr>
                <w:rFonts w:hint="eastAsia" w:ascii="宋体" w:hAnsi="宋体" w:eastAsia="宋体" w:cs="宋体"/>
                <w:spacing w:val="14"/>
                <w:sz w:val="24"/>
                <w:szCs w:val="24"/>
              </w:rPr>
              <w:t>20</w:t>
            </w:r>
          </w:p>
        </w:tc>
        <w:tc>
          <w:tcPr>
            <w:tcW w:w="4179" w:type="dxa"/>
            <w:noWrap w:val="0"/>
            <w:vAlign w:val="center"/>
          </w:tcPr>
          <w:p>
            <w:pPr>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排气阀</w:t>
            </w:r>
            <w:r>
              <w:rPr>
                <w:rFonts w:hint="eastAsia" w:ascii="宋体" w:hAnsi="宋体" w:eastAsia="宋体" w:cs="宋体"/>
                <w:sz w:val="24"/>
                <w:szCs w:val="24"/>
              </w:rPr>
              <w:t>DN32</w:t>
            </w:r>
          </w:p>
        </w:tc>
        <w:tc>
          <w:tcPr>
            <w:tcW w:w="1417" w:type="dxa"/>
            <w:noWrap w:val="0"/>
            <w:vAlign w:val="center"/>
          </w:tcPr>
          <w:p>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519" w:type="dxa"/>
            <w:noWrap w:val="0"/>
            <w:vAlign w:val="center"/>
          </w:tcPr>
          <w:p>
            <w:pPr>
              <w:pageBreakBefore w:val="0"/>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eastAsia="宋体" w:cs="宋体"/>
                <w:spacing w:val="14"/>
                <w:sz w:val="24"/>
                <w:szCs w:val="24"/>
              </w:rPr>
            </w:pPr>
            <w:r>
              <w:rPr>
                <w:rFonts w:hint="eastAsia" w:ascii="宋体" w:hAnsi="宋体" w:eastAsia="宋体" w:cs="宋体"/>
                <w:spacing w:val="14"/>
                <w:sz w:val="24"/>
                <w:szCs w:val="24"/>
              </w:rPr>
              <w:t>21</w:t>
            </w:r>
          </w:p>
        </w:tc>
        <w:tc>
          <w:tcPr>
            <w:tcW w:w="4179" w:type="dxa"/>
            <w:noWrap w:val="0"/>
            <w:vAlign w:val="center"/>
          </w:tcPr>
          <w:p>
            <w:pPr>
              <w:pStyle w:val="7"/>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断路保护器32A以下</w:t>
            </w:r>
          </w:p>
        </w:tc>
        <w:tc>
          <w:tcPr>
            <w:tcW w:w="1417" w:type="dxa"/>
            <w:noWrap w:val="0"/>
            <w:vAlign w:val="center"/>
          </w:tcPr>
          <w:p>
            <w:pPr>
              <w:pStyle w:val="7"/>
              <w:pageBreakBefore w:val="0"/>
              <w:kinsoku/>
              <w:wordWrap/>
              <w:overflowPunct/>
              <w:topLinePunct w:val="0"/>
              <w:autoSpaceDE/>
              <w:autoSpaceDN/>
              <w:bidi w:val="0"/>
              <w:adjustRightInd/>
              <w:snapToGrid/>
              <w:spacing w:line="360" w:lineRule="auto"/>
              <w:ind w:firstLine="600" w:firstLineChars="250"/>
              <w:textAlignment w:val="auto"/>
              <w:rPr>
                <w:rFonts w:hint="eastAsia" w:ascii="宋体" w:hAnsi="宋体" w:eastAsia="宋体" w:cs="宋体"/>
                <w:sz w:val="24"/>
                <w:szCs w:val="24"/>
              </w:rPr>
            </w:pPr>
            <w:r>
              <w:rPr>
                <w:rFonts w:hint="eastAsia" w:ascii="宋体" w:hAnsi="宋体" w:eastAsia="宋体" w:cs="宋体"/>
                <w:sz w:val="24"/>
                <w:szCs w:val="24"/>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519" w:type="dxa"/>
            <w:noWrap w:val="0"/>
            <w:vAlign w:val="center"/>
          </w:tcPr>
          <w:p>
            <w:pPr>
              <w:pageBreakBefore w:val="0"/>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eastAsia="宋体" w:cs="宋体"/>
                <w:spacing w:val="14"/>
                <w:sz w:val="24"/>
                <w:szCs w:val="24"/>
              </w:rPr>
            </w:pPr>
            <w:r>
              <w:rPr>
                <w:rFonts w:hint="eastAsia" w:ascii="宋体" w:hAnsi="宋体" w:eastAsia="宋体" w:cs="宋体"/>
                <w:spacing w:val="14"/>
                <w:sz w:val="24"/>
                <w:szCs w:val="24"/>
              </w:rPr>
              <w:t>22</w:t>
            </w:r>
          </w:p>
        </w:tc>
        <w:tc>
          <w:tcPr>
            <w:tcW w:w="4179" w:type="dxa"/>
            <w:noWrap w:val="0"/>
            <w:vAlign w:val="center"/>
          </w:tcPr>
          <w:p>
            <w:pPr>
              <w:pStyle w:val="7"/>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风机电容</w:t>
            </w:r>
          </w:p>
        </w:tc>
        <w:tc>
          <w:tcPr>
            <w:tcW w:w="1417" w:type="dxa"/>
            <w:noWrap w:val="0"/>
            <w:vAlign w:val="center"/>
          </w:tcPr>
          <w:p>
            <w:pPr>
              <w:pStyle w:val="7"/>
              <w:pageBreakBefore w:val="0"/>
              <w:kinsoku/>
              <w:wordWrap/>
              <w:overflowPunct/>
              <w:topLinePunct w:val="0"/>
              <w:autoSpaceDE/>
              <w:autoSpaceDN/>
              <w:bidi w:val="0"/>
              <w:adjustRightInd/>
              <w:snapToGrid/>
              <w:spacing w:line="360" w:lineRule="auto"/>
              <w:ind w:firstLine="600" w:firstLineChars="250"/>
              <w:textAlignment w:val="auto"/>
              <w:rPr>
                <w:rFonts w:hint="eastAsia" w:ascii="宋体" w:hAnsi="宋体" w:eastAsia="宋体" w:cs="宋体"/>
                <w:sz w:val="24"/>
                <w:szCs w:val="24"/>
              </w:rPr>
            </w:pPr>
            <w:r>
              <w:rPr>
                <w:rFonts w:hint="eastAsia" w:ascii="宋体" w:hAnsi="宋体" w:eastAsia="宋体" w:cs="宋体"/>
                <w:sz w:val="24"/>
                <w:szCs w:val="24"/>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519" w:type="dxa"/>
            <w:noWrap w:val="0"/>
            <w:vAlign w:val="center"/>
          </w:tcPr>
          <w:p>
            <w:pPr>
              <w:pageBreakBefore w:val="0"/>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eastAsia="宋体" w:cs="宋体"/>
                <w:spacing w:val="14"/>
                <w:sz w:val="24"/>
                <w:szCs w:val="24"/>
              </w:rPr>
            </w:pPr>
            <w:r>
              <w:rPr>
                <w:rFonts w:hint="eastAsia" w:ascii="宋体" w:hAnsi="宋体" w:eastAsia="宋体" w:cs="宋体"/>
                <w:spacing w:val="14"/>
                <w:sz w:val="24"/>
                <w:szCs w:val="24"/>
              </w:rPr>
              <w:t>23</w:t>
            </w:r>
          </w:p>
        </w:tc>
        <w:tc>
          <w:tcPr>
            <w:tcW w:w="4179" w:type="dxa"/>
            <w:noWrap w:val="0"/>
            <w:vAlign w:val="center"/>
          </w:tcPr>
          <w:p>
            <w:pPr>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rPr>
            </w:pPr>
            <w:r>
              <w:rPr>
                <w:rFonts w:hint="eastAsia" w:ascii="宋体" w:hAnsi="宋体" w:eastAsia="宋体" w:cs="宋体"/>
                <w:sz w:val="24"/>
                <w:szCs w:val="24"/>
              </w:rPr>
              <w:t>中间继电器</w:t>
            </w:r>
          </w:p>
        </w:tc>
        <w:tc>
          <w:tcPr>
            <w:tcW w:w="1417" w:type="dxa"/>
            <w:noWrap w:val="0"/>
            <w:vAlign w:val="center"/>
          </w:tcPr>
          <w:p>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sz w:val="24"/>
                <w:szCs w:val="24"/>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519" w:type="dxa"/>
            <w:noWrap w:val="0"/>
            <w:vAlign w:val="center"/>
          </w:tcPr>
          <w:p>
            <w:pPr>
              <w:pageBreakBefore w:val="0"/>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eastAsia="宋体" w:cs="宋体"/>
                <w:spacing w:val="14"/>
                <w:sz w:val="24"/>
                <w:szCs w:val="24"/>
              </w:rPr>
            </w:pPr>
            <w:r>
              <w:rPr>
                <w:rFonts w:hint="eastAsia" w:ascii="宋体" w:hAnsi="宋体" w:eastAsia="宋体" w:cs="宋体"/>
                <w:spacing w:val="14"/>
                <w:sz w:val="24"/>
                <w:szCs w:val="24"/>
              </w:rPr>
              <w:t>24</w:t>
            </w:r>
          </w:p>
        </w:tc>
        <w:tc>
          <w:tcPr>
            <w:tcW w:w="4179" w:type="dxa"/>
            <w:noWrap w:val="0"/>
            <w:vAlign w:val="center"/>
          </w:tcPr>
          <w:p>
            <w:pPr>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rPr>
            </w:pPr>
            <w:r>
              <w:rPr>
                <w:rFonts w:hint="eastAsia" w:ascii="宋体" w:hAnsi="宋体" w:eastAsia="宋体" w:cs="宋体"/>
                <w:sz w:val="24"/>
                <w:szCs w:val="24"/>
              </w:rPr>
              <w:t>电源端子台</w:t>
            </w:r>
          </w:p>
        </w:tc>
        <w:tc>
          <w:tcPr>
            <w:tcW w:w="1417" w:type="dxa"/>
            <w:noWrap w:val="0"/>
            <w:vAlign w:val="center"/>
          </w:tcPr>
          <w:p>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sz w:val="24"/>
                <w:szCs w:val="24"/>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519" w:type="dxa"/>
            <w:noWrap w:val="0"/>
            <w:vAlign w:val="center"/>
          </w:tcPr>
          <w:p>
            <w:pPr>
              <w:pageBreakBefore w:val="0"/>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eastAsia="宋体" w:cs="宋体"/>
                <w:spacing w:val="14"/>
                <w:sz w:val="24"/>
                <w:szCs w:val="24"/>
              </w:rPr>
            </w:pPr>
            <w:r>
              <w:rPr>
                <w:rFonts w:hint="eastAsia" w:ascii="宋体" w:hAnsi="宋体" w:eastAsia="宋体" w:cs="宋体"/>
                <w:spacing w:val="14"/>
                <w:sz w:val="24"/>
                <w:szCs w:val="24"/>
              </w:rPr>
              <w:t>25</w:t>
            </w:r>
          </w:p>
        </w:tc>
        <w:tc>
          <w:tcPr>
            <w:tcW w:w="4179" w:type="dxa"/>
            <w:noWrap w:val="0"/>
            <w:vAlign w:val="center"/>
          </w:tcPr>
          <w:p>
            <w:pPr>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rPr>
            </w:pPr>
            <w:r>
              <w:rPr>
                <w:rFonts w:hint="eastAsia" w:ascii="宋体" w:hAnsi="宋体" w:eastAsia="宋体" w:cs="宋体"/>
                <w:sz w:val="24"/>
                <w:szCs w:val="24"/>
              </w:rPr>
              <w:t>485转232双接头</w:t>
            </w:r>
          </w:p>
        </w:tc>
        <w:tc>
          <w:tcPr>
            <w:tcW w:w="1417" w:type="dxa"/>
            <w:noWrap w:val="0"/>
            <w:vAlign w:val="center"/>
          </w:tcPr>
          <w:p>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sz w:val="24"/>
                <w:szCs w:val="24"/>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519" w:type="dxa"/>
            <w:noWrap w:val="0"/>
            <w:vAlign w:val="center"/>
          </w:tcPr>
          <w:p>
            <w:pPr>
              <w:pageBreakBefore w:val="0"/>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eastAsia="宋体" w:cs="宋体"/>
                <w:spacing w:val="14"/>
                <w:sz w:val="24"/>
                <w:szCs w:val="24"/>
              </w:rPr>
            </w:pPr>
            <w:r>
              <w:rPr>
                <w:rFonts w:hint="eastAsia" w:ascii="宋体" w:hAnsi="宋体" w:eastAsia="宋体" w:cs="宋体"/>
                <w:spacing w:val="14"/>
                <w:sz w:val="24"/>
                <w:szCs w:val="24"/>
              </w:rPr>
              <w:t>26</w:t>
            </w:r>
          </w:p>
        </w:tc>
        <w:tc>
          <w:tcPr>
            <w:tcW w:w="4179" w:type="dxa"/>
            <w:noWrap w:val="0"/>
            <w:vAlign w:val="center"/>
          </w:tcPr>
          <w:p>
            <w:pPr>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rPr>
            </w:pPr>
            <w:r>
              <w:rPr>
                <w:rFonts w:hint="eastAsia" w:ascii="宋体" w:hAnsi="宋体" w:eastAsia="宋体" w:cs="宋体"/>
                <w:sz w:val="24"/>
                <w:szCs w:val="24"/>
              </w:rPr>
              <w:t>单向阀</w:t>
            </w:r>
          </w:p>
        </w:tc>
        <w:tc>
          <w:tcPr>
            <w:tcW w:w="1417" w:type="dxa"/>
            <w:noWrap w:val="0"/>
            <w:vAlign w:val="center"/>
          </w:tcPr>
          <w:p>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sz w:val="24"/>
                <w:szCs w:val="24"/>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519" w:type="dxa"/>
            <w:noWrap w:val="0"/>
            <w:vAlign w:val="center"/>
          </w:tcPr>
          <w:p>
            <w:pPr>
              <w:pageBreakBefore w:val="0"/>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eastAsia="宋体" w:cs="宋体"/>
                <w:spacing w:val="14"/>
                <w:sz w:val="24"/>
                <w:szCs w:val="24"/>
              </w:rPr>
            </w:pPr>
            <w:r>
              <w:rPr>
                <w:rFonts w:hint="eastAsia" w:ascii="宋体" w:hAnsi="宋体" w:eastAsia="宋体" w:cs="宋体"/>
                <w:spacing w:val="14"/>
                <w:sz w:val="24"/>
                <w:szCs w:val="24"/>
              </w:rPr>
              <w:t>27</w:t>
            </w:r>
          </w:p>
        </w:tc>
        <w:tc>
          <w:tcPr>
            <w:tcW w:w="4179" w:type="dxa"/>
            <w:noWrap w:val="0"/>
            <w:vAlign w:val="center"/>
          </w:tcPr>
          <w:p>
            <w:pPr>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rPr>
            </w:pPr>
            <w:r>
              <w:rPr>
                <w:rFonts w:hint="eastAsia" w:ascii="宋体" w:hAnsi="宋体" w:eastAsia="宋体" w:cs="宋体"/>
                <w:sz w:val="24"/>
                <w:szCs w:val="24"/>
              </w:rPr>
              <w:t>温度传感器</w:t>
            </w:r>
          </w:p>
        </w:tc>
        <w:tc>
          <w:tcPr>
            <w:tcW w:w="1417" w:type="dxa"/>
            <w:noWrap w:val="0"/>
            <w:vAlign w:val="center"/>
          </w:tcPr>
          <w:p>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sz w:val="24"/>
                <w:szCs w:val="24"/>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519" w:type="dxa"/>
            <w:noWrap w:val="0"/>
            <w:vAlign w:val="center"/>
          </w:tcPr>
          <w:p>
            <w:pPr>
              <w:pageBreakBefore w:val="0"/>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eastAsia="宋体" w:cs="宋体"/>
                <w:spacing w:val="14"/>
                <w:sz w:val="24"/>
                <w:szCs w:val="24"/>
              </w:rPr>
            </w:pPr>
            <w:r>
              <w:rPr>
                <w:rFonts w:hint="eastAsia" w:ascii="宋体" w:hAnsi="宋体" w:eastAsia="宋体" w:cs="宋体"/>
                <w:spacing w:val="14"/>
                <w:sz w:val="24"/>
                <w:szCs w:val="24"/>
              </w:rPr>
              <w:t>28</w:t>
            </w:r>
          </w:p>
        </w:tc>
        <w:tc>
          <w:tcPr>
            <w:tcW w:w="4179" w:type="dxa"/>
            <w:noWrap w:val="0"/>
            <w:vAlign w:val="center"/>
          </w:tcPr>
          <w:p>
            <w:pPr>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rPr>
            </w:pPr>
            <w:r>
              <w:rPr>
                <w:rFonts w:hint="eastAsia" w:ascii="宋体" w:hAnsi="宋体" w:eastAsia="宋体" w:cs="宋体"/>
                <w:sz w:val="24"/>
                <w:szCs w:val="24"/>
              </w:rPr>
              <w:t>高低压控制开关</w:t>
            </w:r>
          </w:p>
        </w:tc>
        <w:tc>
          <w:tcPr>
            <w:tcW w:w="1417" w:type="dxa"/>
            <w:noWrap w:val="0"/>
            <w:vAlign w:val="center"/>
          </w:tcPr>
          <w:p>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sz w:val="24"/>
                <w:szCs w:val="24"/>
              </w:rPr>
              <w:t>只</w:t>
            </w:r>
          </w:p>
        </w:tc>
      </w:tr>
      <w:tr>
        <w:tblPrEx>
          <w:tblCellMar>
            <w:top w:w="0" w:type="dxa"/>
            <w:left w:w="108" w:type="dxa"/>
            <w:bottom w:w="0" w:type="dxa"/>
            <w:right w:w="108" w:type="dxa"/>
          </w:tblCellMar>
        </w:tblPrEx>
        <w:trPr>
          <w:trHeight w:val="375" w:hRule="atLeast"/>
          <w:jc w:val="center"/>
        </w:trPr>
        <w:tc>
          <w:tcPr>
            <w:tcW w:w="1519" w:type="dxa"/>
            <w:noWrap w:val="0"/>
            <w:vAlign w:val="center"/>
          </w:tcPr>
          <w:p>
            <w:pPr>
              <w:pageBreakBefore w:val="0"/>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eastAsia="宋体" w:cs="宋体"/>
                <w:spacing w:val="14"/>
                <w:sz w:val="24"/>
                <w:szCs w:val="24"/>
              </w:rPr>
            </w:pPr>
            <w:r>
              <w:rPr>
                <w:rFonts w:hint="eastAsia" w:ascii="宋体" w:hAnsi="宋体" w:eastAsia="宋体" w:cs="宋体"/>
                <w:spacing w:val="14"/>
                <w:sz w:val="24"/>
                <w:szCs w:val="24"/>
              </w:rPr>
              <w:t>29</w:t>
            </w:r>
          </w:p>
        </w:tc>
        <w:tc>
          <w:tcPr>
            <w:tcW w:w="4179" w:type="dxa"/>
            <w:noWrap w:val="0"/>
            <w:vAlign w:val="center"/>
          </w:tcPr>
          <w:p>
            <w:pPr>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rPr>
            </w:pPr>
            <w:r>
              <w:rPr>
                <w:rFonts w:hint="eastAsia" w:ascii="宋体" w:hAnsi="宋体" w:eastAsia="宋体" w:cs="宋体"/>
                <w:sz w:val="24"/>
                <w:szCs w:val="24"/>
              </w:rPr>
              <w:t>系统高压软管</w:t>
            </w:r>
          </w:p>
        </w:tc>
        <w:tc>
          <w:tcPr>
            <w:tcW w:w="1417" w:type="dxa"/>
            <w:noWrap w:val="0"/>
            <w:vAlign w:val="center"/>
          </w:tcPr>
          <w:p>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sz w:val="24"/>
                <w:szCs w:val="24"/>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519" w:type="dxa"/>
            <w:noWrap w:val="0"/>
            <w:vAlign w:val="center"/>
          </w:tcPr>
          <w:p>
            <w:pPr>
              <w:pageBreakBefore w:val="0"/>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eastAsia="宋体" w:cs="宋体"/>
                <w:spacing w:val="14"/>
                <w:sz w:val="24"/>
                <w:szCs w:val="24"/>
              </w:rPr>
            </w:pPr>
            <w:r>
              <w:rPr>
                <w:rFonts w:hint="eastAsia" w:ascii="宋体" w:hAnsi="宋体" w:eastAsia="宋体" w:cs="宋体"/>
                <w:spacing w:val="14"/>
                <w:sz w:val="24"/>
                <w:szCs w:val="24"/>
              </w:rPr>
              <w:t>30</w:t>
            </w:r>
          </w:p>
        </w:tc>
        <w:tc>
          <w:tcPr>
            <w:tcW w:w="4179" w:type="dxa"/>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水温传感器</w:t>
            </w:r>
          </w:p>
        </w:tc>
        <w:tc>
          <w:tcPr>
            <w:tcW w:w="1417"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519" w:type="dxa"/>
            <w:noWrap w:val="0"/>
            <w:vAlign w:val="center"/>
          </w:tcPr>
          <w:p>
            <w:pPr>
              <w:pageBreakBefore w:val="0"/>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eastAsia="宋体" w:cs="宋体"/>
                <w:spacing w:val="14"/>
                <w:sz w:val="24"/>
                <w:szCs w:val="24"/>
              </w:rPr>
            </w:pPr>
            <w:r>
              <w:rPr>
                <w:rFonts w:hint="eastAsia" w:ascii="宋体" w:hAnsi="宋体" w:eastAsia="宋体" w:cs="宋体"/>
                <w:spacing w:val="14"/>
                <w:sz w:val="24"/>
                <w:szCs w:val="24"/>
              </w:rPr>
              <w:t>31</w:t>
            </w:r>
          </w:p>
        </w:tc>
        <w:tc>
          <w:tcPr>
            <w:tcW w:w="4179" w:type="dxa"/>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压缩机隔音棉</w:t>
            </w:r>
          </w:p>
        </w:tc>
        <w:tc>
          <w:tcPr>
            <w:tcW w:w="1417"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副</w:t>
            </w:r>
          </w:p>
        </w:tc>
      </w:tr>
    </w:tbl>
    <w:p>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kern w:val="0"/>
          <w:sz w:val="24"/>
          <w:szCs w:val="24"/>
        </w:rPr>
      </w:pPr>
      <w:r>
        <w:rPr>
          <w:rFonts w:hint="eastAsia" w:ascii="宋体" w:hAnsi="宋体" w:eastAsia="宋体" w:cs="宋体"/>
          <w:b/>
          <w:kern w:val="0"/>
          <w:sz w:val="24"/>
          <w:szCs w:val="24"/>
        </w:rPr>
        <w:t>注：常规维护所需器件及耗材（包含不限于上表中器件及耗材）的成本均包含</w:t>
      </w:r>
    </w:p>
    <w:p>
      <w:pPr>
        <w:pageBreakBefore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b/>
          <w:kern w:val="0"/>
          <w:sz w:val="24"/>
          <w:szCs w:val="24"/>
        </w:rPr>
      </w:pPr>
      <w:r>
        <w:rPr>
          <w:rFonts w:hint="eastAsia" w:ascii="宋体" w:hAnsi="宋体" w:eastAsia="宋体" w:cs="宋体"/>
          <w:b/>
          <w:kern w:val="2"/>
          <w:sz w:val="24"/>
          <w:szCs w:val="24"/>
          <w:lang w:val="en-US" w:eastAsia="zh-CN" w:bidi="ar-SA"/>
        </w:rPr>
        <w:t>（三）</w:t>
      </w:r>
      <w:r>
        <w:rPr>
          <w:rFonts w:hint="eastAsia" w:ascii="宋体" w:hAnsi="宋体" w:eastAsia="宋体" w:cs="宋体"/>
          <w:b/>
          <w:kern w:val="0"/>
          <w:sz w:val="24"/>
          <w:szCs w:val="24"/>
        </w:rPr>
        <w:t>合同内按实收费维修项目清单</w:t>
      </w:r>
    </w:p>
    <w:p>
      <w:pPr>
        <w:pageBreakBefore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1、按实收费维修项目清单</w:t>
      </w:r>
    </w:p>
    <w:tbl>
      <w:tblPr>
        <w:tblStyle w:val="5"/>
        <w:tblW w:w="8359" w:type="dxa"/>
        <w:tblInd w:w="113" w:type="dxa"/>
        <w:tblLayout w:type="autofit"/>
        <w:tblCellMar>
          <w:top w:w="0" w:type="dxa"/>
          <w:left w:w="108" w:type="dxa"/>
          <w:bottom w:w="0" w:type="dxa"/>
          <w:right w:w="108" w:type="dxa"/>
        </w:tblCellMar>
      </w:tblPr>
      <w:tblGrid>
        <w:gridCol w:w="695"/>
        <w:gridCol w:w="1718"/>
        <w:gridCol w:w="2739"/>
        <w:gridCol w:w="819"/>
        <w:gridCol w:w="590"/>
        <w:gridCol w:w="924"/>
        <w:gridCol w:w="924"/>
      </w:tblGrid>
      <w:tr>
        <w:tblPrEx>
          <w:tblCellMar>
            <w:top w:w="0" w:type="dxa"/>
            <w:left w:w="108" w:type="dxa"/>
            <w:bottom w:w="0" w:type="dxa"/>
            <w:right w:w="108" w:type="dxa"/>
          </w:tblCellMar>
        </w:tblPrEx>
        <w:trPr>
          <w:trHeight w:val="814" w:hRule="atLeast"/>
        </w:trPr>
        <w:tc>
          <w:tcPr>
            <w:tcW w:w="704" w:type="dxa"/>
            <w:tcBorders>
              <w:top w:val="single" w:color="auto" w:sz="4" w:space="0"/>
              <w:left w:val="single" w:color="auto" w:sz="4" w:space="0"/>
              <w:bottom w:val="single" w:color="auto" w:sz="4" w:space="0"/>
              <w:right w:val="single" w:color="auto" w:sz="4" w:space="0"/>
            </w:tcBorders>
            <w:shd w:val="clear" w:color="000000" w:fill="auto"/>
            <w:noWrap w:val="0"/>
            <w:vAlign w:val="center"/>
          </w:tcPr>
          <w:p>
            <w:pPr>
              <w:pageBreakBefore w:val="0"/>
              <w:widowControl/>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序号</w:t>
            </w:r>
          </w:p>
        </w:tc>
        <w:tc>
          <w:tcPr>
            <w:tcW w:w="1744" w:type="dxa"/>
            <w:tcBorders>
              <w:top w:val="single" w:color="auto" w:sz="4" w:space="0"/>
              <w:left w:val="nil"/>
              <w:bottom w:val="single" w:color="auto" w:sz="4" w:space="0"/>
              <w:right w:val="single" w:color="auto" w:sz="4" w:space="0"/>
            </w:tcBorders>
            <w:shd w:val="clear" w:color="000000" w:fill="auto"/>
            <w:noWrap w:val="0"/>
            <w:vAlign w:val="center"/>
          </w:tcPr>
          <w:p>
            <w:pPr>
              <w:pageBreakBefore w:val="0"/>
              <w:widowControl/>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项目分类</w:t>
            </w:r>
          </w:p>
        </w:tc>
        <w:tc>
          <w:tcPr>
            <w:tcW w:w="2783" w:type="dxa"/>
            <w:tcBorders>
              <w:top w:val="single" w:color="auto" w:sz="4" w:space="0"/>
              <w:left w:val="nil"/>
              <w:bottom w:val="single" w:color="auto" w:sz="4" w:space="0"/>
              <w:right w:val="single" w:color="auto" w:sz="4" w:space="0"/>
            </w:tcBorders>
            <w:shd w:val="clear" w:color="000000" w:fill="auto"/>
            <w:noWrap w:val="0"/>
            <w:vAlign w:val="center"/>
          </w:tcPr>
          <w:p>
            <w:pPr>
              <w:pageBreakBefore w:val="0"/>
              <w:widowControl/>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清单内容</w:t>
            </w:r>
          </w:p>
        </w:tc>
        <w:tc>
          <w:tcPr>
            <w:tcW w:w="830" w:type="dxa"/>
            <w:tcBorders>
              <w:top w:val="single" w:color="auto" w:sz="4" w:space="0"/>
              <w:left w:val="nil"/>
              <w:bottom w:val="single" w:color="auto" w:sz="4" w:space="0"/>
              <w:right w:val="single" w:color="auto" w:sz="4" w:space="0"/>
            </w:tcBorders>
            <w:shd w:val="clear" w:color="000000" w:fill="auto"/>
            <w:noWrap w:val="0"/>
            <w:vAlign w:val="center"/>
          </w:tcPr>
          <w:p>
            <w:pPr>
              <w:pageBreakBefore w:val="0"/>
              <w:widowControl/>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单位</w:t>
            </w:r>
          </w:p>
        </w:tc>
        <w:tc>
          <w:tcPr>
            <w:tcW w:w="597" w:type="dxa"/>
            <w:tcBorders>
              <w:top w:val="single" w:color="auto" w:sz="4" w:space="0"/>
              <w:left w:val="nil"/>
              <w:bottom w:val="single" w:color="auto" w:sz="4" w:space="0"/>
              <w:right w:val="single" w:color="auto" w:sz="4" w:space="0"/>
            </w:tcBorders>
            <w:shd w:val="clear" w:color="000000" w:fill="auto"/>
            <w:noWrap w:val="0"/>
            <w:vAlign w:val="center"/>
          </w:tcPr>
          <w:p>
            <w:pPr>
              <w:pageBreakBefore w:val="0"/>
              <w:widowControl/>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数量</w:t>
            </w:r>
          </w:p>
        </w:tc>
        <w:tc>
          <w:tcPr>
            <w:tcW w:w="850" w:type="dxa"/>
            <w:tcBorders>
              <w:top w:val="single" w:color="auto" w:sz="4" w:space="0"/>
              <w:left w:val="nil"/>
              <w:bottom w:val="single" w:color="auto" w:sz="4" w:space="0"/>
              <w:right w:val="single" w:color="auto" w:sz="4" w:space="0"/>
            </w:tcBorders>
            <w:shd w:val="clear" w:color="000000" w:fill="auto"/>
            <w:noWrap w:val="0"/>
            <w:vAlign w:val="center"/>
          </w:tcPr>
          <w:p>
            <w:pPr>
              <w:pageBreakBefore w:val="0"/>
              <w:widowControl/>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维修项目单价（元）</w:t>
            </w:r>
          </w:p>
        </w:tc>
        <w:tc>
          <w:tcPr>
            <w:tcW w:w="851" w:type="dxa"/>
            <w:tcBorders>
              <w:top w:val="single" w:color="auto" w:sz="4" w:space="0"/>
              <w:left w:val="nil"/>
              <w:bottom w:val="single" w:color="auto" w:sz="4" w:space="0"/>
              <w:right w:val="single" w:color="auto" w:sz="4" w:space="0"/>
            </w:tcBorders>
            <w:shd w:val="clear" w:color="000000" w:fill="auto"/>
            <w:noWrap w:val="0"/>
            <w:vAlign w:val="center"/>
          </w:tcPr>
          <w:p>
            <w:pPr>
              <w:pageBreakBefore w:val="0"/>
              <w:widowControl/>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维修项目合价（元）</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1744" w:type="dxa"/>
            <w:tcBorders>
              <w:top w:val="nil"/>
              <w:left w:val="nil"/>
              <w:bottom w:val="single" w:color="auto" w:sz="4" w:space="0"/>
              <w:right w:val="single" w:color="auto" w:sz="4" w:space="0"/>
            </w:tcBorders>
            <w:noWrap/>
            <w:vAlign w:val="center"/>
          </w:tcPr>
          <w:p>
            <w:pPr>
              <w:pageBreakBefore w:val="0"/>
              <w:widowControl/>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机组主机</w:t>
            </w:r>
          </w:p>
        </w:tc>
        <w:tc>
          <w:tcPr>
            <w:tcW w:w="2783" w:type="dxa"/>
            <w:tcBorders>
              <w:top w:val="nil"/>
              <w:left w:val="nil"/>
              <w:bottom w:val="single" w:color="auto" w:sz="4" w:space="0"/>
              <w:right w:val="single" w:color="auto" w:sz="4" w:space="0"/>
            </w:tcBorders>
            <w:noWrap/>
            <w:vAlign w:val="center"/>
          </w:tcPr>
          <w:p>
            <w:pPr>
              <w:pageBreakBefore w:val="0"/>
              <w:widowControl/>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抽真空、氮气保压</w:t>
            </w:r>
          </w:p>
        </w:tc>
        <w:tc>
          <w:tcPr>
            <w:tcW w:w="830" w:type="dxa"/>
            <w:tcBorders>
              <w:top w:val="nil"/>
              <w:left w:val="nil"/>
              <w:bottom w:val="single" w:color="auto" w:sz="4" w:space="0"/>
              <w:right w:val="single" w:color="auto" w:sz="4" w:space="0"/>
            </w:tcBorders>
            <w:noWrap/>
            <w:vAlign w:val="center"/>
          </w:tcPr>
          <w:p>
            <w:pPr>
              <w:pageBreakBefore w:val="0"/>
              <w:widowControl/>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台次</w:t>
            </w:r>
          </w:p>
        </w:tc>
        <w:tc>
          <w:tcPr>
            <w:tcW w:w="597" w:type="dxa"/>
            <w:tcBorders>
              <w:top w:val="nil"/>
              <w:left w:val="nil"/>
              <w:bottom w:val="single" w:color="auto" w:sz="4" w:space="0"/>
              <w:right w:val="single" w:color="auto" w:sz="4" w:space="0"/>
            </w:tcBorders>
            <w:noWrap/>
            <w:vAlign w:val="center"/>
          </w:tcPr>
          <w:p>
            <w:pPr>
              <w:pageBreakBefore w:val="0"/>
              <w:widowControl/>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1500</w:t>
            </w:r>
          </w:p>
        </w:tc>
        <w:tc>
          <w:tcPr>
            <w:tcW w:w="851" w:type="dxa"/>
            <w:tcBorders>
              <w:top w:val="nil"/>
              <w:left w:val="nil"/>
              <w:bottom w:val="single" w:color="auto" w:sz="4" w:space="0"/>
              <w:right w:val="single" w:color="auto" w:sz="4" w:space="0"/>
            </w:tcBorders>
            <w:noWrap/>
            <w:vAlign w:val="center"/>
          </w:tcPr>
          <w:p>
            <w:pPr>
              <w:pageBreakBefore w:val="0"/>
              <w:widowControl/>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1500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p>
        </w:tc>
        <w:tc>
          <w:tcPr>
            <w:tcW w:w="1744" w:type="dxa"/>
            <w:tcBorders>
              <w:top w:val="nil"/>
              <w:left w:val="nil"/>
              <w:bottom w:val="single" w:color="auto" w:sz="4" w:space="0"/>
              <w:right w:val="single" w:color="auto" w:sz="4" w:space="0"/>
            </w:tcBorders>
            <w:noWrap/>
            <w:vAlign w:val="center"/>
          </w:tcPr>
          <w:p>
            <w:pPr>
              <w:pageBreakBefore w:val="0"/>
              <w:widowControl/>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机组主机</w:t>
            </w:r>
          </w:p>
        </w:tc>
        <w:tc>
          <w:tcPr>
            <w:tcW w:w="2783" w:type="dxa"/>
            <w:tcBorders>
              <w:top w:val="nil"/>
              <w:left w:val="nil"/>
              <w:bottom w:val="single" w:color="auto" w:sz="4" w:space="0"/>
              <w:right w:val="single" w:color="auto" w:sz="4" w:space="0"/>
            </w:tcBorders>
            <w:noWrap/>
            <w:vAlign w:val="center"/>
          </w:tcPr>
          <w:p>
            <w:pPr>
              <w:pageBreakBefore w:val="0"/>
              <w:widowControl/>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储液器</w:t>
            </w:r>
          </w:p>
        </w:tc>
        <w:tc>
          <w:tcPr>
            <w:tcW w:w="830" w:type="dxa"/>
            <w:tcBorders>
              <w:top w:val="nil"/>
              <w:left w:val="nil"/>
              <w:bottom w:val="single" w:color="auto" w:sz="4" w:space="0"/>
              <w:right w:val="single" w:color="auto" w:sz="4" w:space="0"/>
            </w:tcBorders>
            <w:noWrap/>
            <w:vAlign w:val="center"/>
          </w:tcPr>
          <w:p>
            <w:pPr>
              <w:pageBreakBefore w:val="0"/>
              <w:widowControl/>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597" w:type="dxa"/>
            <w:tcBorders>
              <w:top w:val="nil"/>
              <w:left w:val="nil"/>
              <w:bottom w:val="single" w:color="auto" w:sz="4" w:space="0"/>
              <w:right w:val="single" w:color="auto" w:sz="4" w:space="0"/>
            </w:tcBorders>
            <w:noWrap/>
            <w:vAlign w:val="center"/>
          </w:tcPr>
          <w:p>
            <w:pPr>
              <w:pageBreakBefore w:val="0"/>
              <w:widowControl/>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1700</w:t>
            </w:r>
          </w:p>
        </w:tc>
        <w:tc>
          <w:tcPr>
            <w:tcW w:w="851" w:type="dxa"/>
            <w:tcBorders>
              <w:top w:val="nil"/>
              <w:left w:val="nil"/>
              <w:bottom w:val="single" w:color="auto" w:sz="4" w:space="0"/>
              <w:right w:val="single" w:color="auto" w:sz="4" w:space="0"/>
            </w:tcBorders>
            <w:noWrap/>
            <w:vAlign w:val="center"/>
          </w:tcPr>
          <w:p>
            <w:pPr>
              <w:pageBreakBefore w:val="0"/>
              <w:widowControl/>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1700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机组主机</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电子膨胀阀</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1500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1500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机组主机</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风扇电机YDK370-6G04</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1300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1300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机组主机</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风扇叶轮590*180*15mm</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800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800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机组主机</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干燥过滤器组件</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1200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1200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7</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机组主机</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检漏、填充冷媒</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台次</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1000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1000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8</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机组主机</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控制电路板ZG10P</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5000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5000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9</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机组主机</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控制器</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980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980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10</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机组主机</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气液分离器</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台</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2000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2000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11</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机组主机</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清理冷媒系统</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台次</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1000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1000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12</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机组主机</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热交换器</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组</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2500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2500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13</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机组主机</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热力膨胀阀BAE4HCA</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2800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2800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14</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机组主机</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四通阀</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2200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2200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15</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机组主机</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套管式换热器10匹、12匹</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组</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5500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5500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16</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机组主机</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压缩机VR125KS-TFP-522</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台</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12000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12000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17</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机组主机</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压缩机ZW61KA-TFP-522</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8000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8000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18</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机组主机</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药物清洗换热器</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台次</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1000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1000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19</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机组主机</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药物清洗蒸发器</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台次</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1000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1000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20</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机组水泵</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格兰富水泵电机线圈</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670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670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21</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机组水泵</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格兰富水泵密封圈</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590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590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22</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机组水泵</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格兰富水泵轴承</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860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860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23</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机组水泵</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格兰富循环水泵3-15kw</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台</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32500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32500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24</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机组水泵</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水泵电机维修3-11kw</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台</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3000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3000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25</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机组水泵</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威乐水泵电机线圈</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670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670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26</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机组水泵</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威乐水泵密封圈</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890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890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27</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机组水泵</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威乐水泵轴承</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860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860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28</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机组水泵</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威乐循环水泵3-11kw</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台</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32500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32500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29</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机组控制系统</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ABB变频器11kw</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台</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8000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8000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30</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机组控制系统</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ABB变频器3kw</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台</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2800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2800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31</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机组控制系统</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ABB变频器5.5kw</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台</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3500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3500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32</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机组控制系统</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ABB变频器7.5kw</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台</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5000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5000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33</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机组控制系统</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多功能电表DTSD1000</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1000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1000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34</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机组控制系统</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交流接触器</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650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650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35</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机组控制系统</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开关电源模块NES-50-24</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650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650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36</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机组控制系统</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嵌入式一体化触摸屏TPC7032Ki</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5000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5000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37</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机组控制系统</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施耐德磁力接触器LC1D32M7C</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2200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2200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38</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机组控制系统</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施耐德断路器NSC160S</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1100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1100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39</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机组控制系统</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施耐德断路器NSX160F</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1100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1100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40</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机组控制系统</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施耐德隔离开关250A</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860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860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41</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机组控制系统</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通讯模块</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1290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1290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42</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机组控制系统</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温度变送器CWDZ33-01-A1</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880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880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43</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机组控制系统</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西门子PLC主模块</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5000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5000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44</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机组控制系统</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西门子PLC子模块</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3000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3000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45</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机组控制系统</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西门子控制器KTP700BASIC</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1800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1800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46</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机组控制系统</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相序继电器</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800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800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47</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机组控制系统</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压差电磁阀</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1800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1800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48</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机组控制系统</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压力变送器PCM300</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850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850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49</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机组控制系统</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液位变送器（4-20mA 0-3m ）</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960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960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50</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机组管道</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补水电磁阀（DN50）</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750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750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51</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机组管道</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补水电磁阀（DN80)</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1380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1380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52</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机组管道</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补水电磁阀DN40</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680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680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53</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机组管道</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补水电磁阀DN65</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900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900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54</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机组管道</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补水膨胀罐</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3600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3600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55</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机组管道</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不锈钢球形软接DN80</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700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700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56</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机组管道</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不锈钢止回阀DN100</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1400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1400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57</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机组管道</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不锈钢止回阀DN50</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650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650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58</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机组管道</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不锈钢止回阀DN65</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850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850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59</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机组管道</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不锈钢止回阀DN80</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1000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1000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60</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机组管道</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电子水表LXLY-65</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2000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2000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61</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机组管道</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球形橡胶软接DN65</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480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480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62</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机组管道</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球形橡胶软接DN80</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400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63</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机组管道</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手柄蝶阀DN65</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450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450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64</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机组管道</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手柄蝶阀DN80</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500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500</w:t>
            </w:r>
          </w:p>
        </w:tc>
      </w:tr>
      <w:tr>
        <w:tblPrEx>
          <w:tblCellMar>
            <w:top w:w="0" w:type="dxa"/>
            <w:left w:w="108" w:type="dxa"/>
            <w:bottom w:w="0" w:type="dxa"/>
            <w:right w:w="108" w:type="dxa"/>
          </w:tblCellMar>
        </w:tblPrEx>
        <w:trPr>
          <w:trHeight w:val="285" w:hRule="atLeast"/>
        </w:trPr>
        <w:tc>
          <w:tcPr>
            <w:tcW w:w="704" w:type="dxa"/>
            <w:tcBorders>
              <w:top w:val="nil"/>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65</w:t>
            </w:r>
          </w:p>
        </w:tc>
        <w:tc>
          <w:tcPr>
            <w:tcW w:w="1744"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机组管道</w:t>
            </w:r>
          </w:p>
        </w:tc>
        <w:tc>
          <w:tcPr>
            <w:tcW w:w="2783"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铜闸阀DN65</w:t>
            </w:r>
          </w:p>
        </w:tc>
        <w:tc>
          <w:tcPr>
            <w:tcW w:w="83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597"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850"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500</w:t>
            </w:r>
          </w:p>
        </w:tc>
        <w:tc>
          <w:tcPr>
            <w:tcW w:w="851" w:type="dxa"/>
            <w:tcBorders>
              <w:top w:val="nil"/>
              <w:left w:val="nil"/>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500</w:t>
            </w:r>
          </w:p>
        </w:tc>
      </w:tr>
      <w:tr>
        <w:tblPrEx>
          <w:tblCellMar>
            <w:top w:w="0" w:type="dxa"/>
            <w:left w:w="108" w:type="dxa"/>
            <w:bottom w:w="0" w:type="dxa"/>
            <w:right w:w="108" w:type="dxa"/>
          </w:tblCellMar>
        </w:tblPrEx>
        <w:trPr>
          <w:trHeight w:val="285" w:hRule="atLeast"/>
        </w:trPr>
        <w:tc>
          <w:tcPr>
            <w:tcW w:w="6061" w:type="dxa"/>
            <w:gridSpan w:val="4"/>
            <w:tcBorders>
              <w:top w:val="single" w:color="auto" w:sz="4" w:space="0"/>
              <w:left w:val="single" w:color="auto" w:sz="4" w:space="0"/>
              <w:bottom w:val="single" w:color="auto" w:sz="4" w:space="0"/>
              <w:right w:val="single" w:color="auto"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合计（元）</w:t>
            </w:r>
          </w:p>
        </w:tc>
        <w:tc>
          <w:tcPr>
            <w:tcW w:w="2298" w:type="dxa"/>
            <w:gridSpan w:val="3"/>
            <w:tcBorders>
              <w:top w:val="single" w:color="auto" w:sz="4" w:space="0"/>
              <w:left w:val="nil"/>
              <w:bottom w:val="single" w:color="auto" w:sz="4" w:space="0"/>
              <w:right w:val="single" w:color="000000" w:sz="4"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190000</w:t>
            </w:r>
          </w:p>
        </w:tc>
      </w:tr>
    </w:tbl>
    <w:p>
      <w:pPr>
        <w:pStyle w:val="4"/>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按实收费维修项目报价清单</w:t>
      </w:r>
      <w:r>
        <w:rPr>
          <w:rFonts w:hint="eastAsia" w:ascii="宋体" w:hAnsi="宋体" w:eastAsia="宋体" w:cs="宋体"/>
          <w:sz w:val="24"/>
          <w:szCs w:val="24"/>
          <w:lang w:eastAsia="zh-CN"/>
        </w:rPr>
        <w:t>（无需应答报价清单，于响应文件中完整报出视为已应答）</w:t>
      </w:r>
    </w:p>
    <w:tbl>
      <w:tblPr>
        <w:tblStyle w:val="5"/>
        <w:tblW w:w="8477" w:type="dxa"/>
        <w:tblInd w:w="118" w:type="dxa"/>
        <w:tblLayout w:type="fixed"/>
        <w:tblCellMar>
          <w:top w:w="0" w:type="dxa"/>
          <w:left w:w="108" w:type="dxa"/>
          <w:bottom w:w="0" w:type="dxa"/>
          <w:right w:w="108" w:type="dxa"/>
        </w:tblCellMar>
      </w:tblPr>
      <w:tblGrid>
        <w:gridCol w:w="557"/>
        <w:gridCol w:w="1411"/>
        <w:gridCol w:w="3147"/>
        <w:gridCol w:w="807"/>
        <w:gridCol w:w="626"/>
        <w:gridCol w:w="936"/>
        <w:gridCol w:w="993"/>
      </w:tblGrid>
      <w:tr>
        <w:tblPrEx>
          <w:tblCellMar>
            <w:top w:w="0" w:type="dxa"/>
            <w:left w:w="108" w:type="dxa"/>
            <w:bottom w:w="0" w:type="dxa"/>
            <w:right w:w="108" w:type="dxa"/>
          </w:tblCellMar>
        </w:tblPrEx>
        <w:trPr>
          <w:trHeight w:val="825" w:hRule="atLeast"/>
        </w:trPr>
        <w:tc>
          <w:tcPr>
            <w:tcW w:w="557" w:type="dxa"/>
            <w:tcBorders>
              <w:top w:val="single" w:color="auto" w:sz="8" w:space="0"/>
              <w:left w:val="single" w:color="auto" w:sz="8" w:space="0"/>
              <w:bottom w:val="single" w:color="auto" w:sz="8" w:space="0"/>
              <w:right w:val="single" w:color="auto" w:sz="8" w:space="0"/>
            </w:tcBorders>
            <w:shd w:val="clear" w:color="000000" w:fill="auto"/>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序号</w:t>
            </w:r>
          </w:p>
        </w:tc>
        <w:tc>
          <w:tcPr>
            <w:tcW w:w="1411" w:type="dxa"/>
            <w:tcBorders>
              <w:top w:val="single" w:color="auto" w:sz="8" w:space="0"/>
              <w:left w:val="nil"/>
              <w:bottom w:val="single" w:color="auto" w:sz="8" w:space="0"/>
              <w:right w:val="single" w:color="auto" w:sz="8" w:space="0"/>
            </w:tcBorders>
            <w:shd w:val="clear" w:color="000000" w:fill="auto"/>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项目分类</w:t>
            </w:r>
          </w:p>
        </w:tc>
        <w:tc>
          <w:tcPr>
            <w:tcW w:w="3147" w:type="dxa"/>
            <w:tcBorders>
              <w:top w:val="single" w:color="auto" w:sz="8" w:space="0"/>
              <w:left w:val="nil"/>
              <w:bottom w:val="single" w:color="auto" w:sz="8" w:space="0"/>
              <w:right w:val="single" w:color="auto" w:sz="8" w:space="0"/>
            </w:tcBorders>
            <w:shd w:val="clear" w:color="000000" w:fill="auto"/>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清单内容</w:t>
            </w:r>
          </w:p>
        </w:tc>
        <w:tc>
          <w:tcPr>
            <w:tcW w:w="807" w:type="dxa"/>
            <w:tcBorders>
              <w:top w:val="single" w:color="auto" w:sz="8" w:space="0"/>
              <w:left w:val="nil"/>
              <w:bottom w:val="single" w:color="auto" w:sz="8" w:space="0"/>
              <w:right w:val="single" w:color="auto" w:sz="8" w:space="0"/>
            </w:tcBorders>
            <w:shd w:val="clear" w:color="000000" w:fill="auto"/>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单位</w:t>
            </w:r>
          </w:p>
        </w:tc>
        <w:tc>
          <w:tcPr>
            <w:tcW w:w="626" w:type="dxa"/>
            <w:tcBorders>
              <w:top w:val="single" w:color="auto" w:sz="8" w:space="0"/>
              <w:left w:val="nil"/>
              <w:bottom w:val="single" w:color="auto" w:sz="8" w:space="0"/>
              <w:right w:val="single" w:color="auto" w:sz="8" w:space="0"/>
            </w:tcBorders>
            <w:shd w:val="clear" w:color="000000" w:fill="auto"/>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数量</w:t>
            </w:r>
          </w:p>
        </w:tc>
        <w:tc>
          <w:tcPr>
            <w:tcW w:w="936" w:type="dxa"/>
            <w:tcBorders>
              <w:top w:val="single" w:color="auto" w:sz="8" w:space="0"/>
              <w:left w:val="nil"/>
              <w:bottom w:val="single" w:color="auto" w:sz="8" w:space="0"/>
              <w:right w:val="single" w:color="auto" w:sz="8" w:space="0"/>
            </w:tcBorders>
            <w:shd w:val="clear" w:color="000000" w:fill="auto"/>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维修项目单价（元）</w:t>
            </w:r>
          </w:p>
        </w:tc>
        <w:tc>
          <w:tcPr>
            <w:tcW w:w="993" w:type="dxa"/>
            <w:tcBorders>
              <w:top w:val="single" w:color="auto" w:sz="8" w:space="0"/>
              <w:left w:val="nil"/>
              <w:bottom w:val="single" w:color="auto" w:sz="8" w:space="0"/>
              <w:right w:val="single" w:color="auto" w:sz="8" w:space="0"/>
            </w:tcBorders>
            <w:shd w:val="clear" w:color="000000" w:fill="auto"/>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维修项目合价（元）</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机组主机</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抽真空、氮气保压</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台次</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机组主机</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储液器</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机组主机</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电子膨胀阀</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机组主机</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风扇电机YDK370-6G04</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机组主机</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风扇叶轮590*180*15mm</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机组主机</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干燥过滤器组件</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7</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机组主机</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检漏、填充冷媒</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台次</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8</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机组主机</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控制电路板ZG10P</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9</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机组主机</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控制器</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10</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机组主机</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气液分离器</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台</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11</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机组主机</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清理冷媒系统</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台次</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12</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机组主机</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热交换器</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组</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13</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机组主机</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热力膨胀阀BAE4HCA</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14</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机组主机</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四通阀</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15</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机组主机</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套管式换热器10匹、12匹</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组</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16</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机组主机</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压缩机VR125KS-TFP-522</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台</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17</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机组主机</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压缩机ZW61KA-TFP-522</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18</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机组主机</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药物清洗换热器</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台次</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19</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机组主机</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药物清洗蒸发器</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台次</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20</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机组水泵</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格兰富水泵电机线圈</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21</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机组水泵</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格兰富水泵密封圈</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22</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机组水泵</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格兰富水泵轴承</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23</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机组水泵</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格兰富循环水泵3-15kw</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台</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24</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机组水泵</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水泵电机维修3-11kw</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台</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25</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机组水泵</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威乐水泵电机线圈</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26</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机组水泵</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威乐水泵密封圈</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27</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机组水泵</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威乐水泵轴承</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28</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机组水泵</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威乐循环水泵3-11kw</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台</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29</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机组控制系统</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ABB变频器11kw</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台</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30</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机组控制系统</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ABB变频器3kw</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台</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31</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机组控制系统</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ABB变频器5.5kw</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台</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32</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机组控制系统</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ABB变频器7.5kw</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台</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33</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机组控制系统</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多功能电表DTSD1000</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34</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机组控制系统</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交流接触器</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35</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机组控制系统</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开关电源模块NES-50-24</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36</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机组控制系统</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嵌入式一体化触摸屏TPC7032Ki</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37</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机组控制系统</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施耐德磁力接触器LC1D32M7C</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38</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机组控制系统</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施耐德断路器NSC160S</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39</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机组控制系统</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施耐德断路器NSX160F</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40</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机组控制系统</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施耐德隔离开关250A</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41</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机组控制系统</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通讯模块</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42</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机组控制系统</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温度变送器CWDZ33-01-A1</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43</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机组控制系统</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西门子PLC主模块</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44</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机组控制系统</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西门子PLC子模块</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45</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机组控制系统</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西门子控制器KTP700BASIC</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46</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机组控制系统</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相序继电器</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47</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机组控制系统</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压差电磁阀</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48</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机组控制系统</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压力变送器PCM300</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49</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机组控制系统</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液位变送器（4-20mA 0-3m ）</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50</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机组管道</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补水电磁阀（DN50）</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51</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机组管道</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补水电磁阀（DN80)</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52</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机组管道</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补水电磁阀DN40</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53</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机组管道</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补水电磁阀DN65</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54</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机组管道</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补水膨胀罐</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55</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机组管道</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不锈钢球形软接DN80</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56</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机组管道</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不锈钢止回阀DN100</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57</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机组管道</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不锈钢止回阀DN50</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58</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机组管道</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不锈钢止回阀DN65</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59</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机组管道</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不锈钢止回阀DN80</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60</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机组管道</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电子水表LXLY-65</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61</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机组管道</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球形橡胶软接DN65</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62</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机组管道</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球形橡胶软接DN80</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63</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机组管道</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手柄蝶阀DN65</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64</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机组管道</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手柄蝶阀DN80</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57" w:type="dxa"/>
            <w:tcBorders>
              <w:top w:val="nil"/>
              <w:left w:val="single" w:color="auto" w:sz="8" w:space="0"/>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65</w:t>
            </w:r>
          </w:p>
        </w:tc>
        <w:tc>
          <w:tcPr>
            <w:tcW w:w="1411"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机组管道</w:t>
            </w:r>
          </w:p>
        </w:tc>
        <w:tc>
          <w:tcPr>
            <w:tcW w:w="314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铜闸阀DN65</w:t>
            </w:r>
          </w:p>
        </w:tc>
        <w:tc>
          <w:tcPr>
            <w:tcW w:w="807"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62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36"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993" w:type="dxa"/>
            <w:tcBorders>
              <w:top w:val="nil"/>
              <w:left w:val="nil"/>
              <w:bottom w:val="single" w:color="auto" w:sz="8" w:space="0"/>
              <w:right w:val="single" w:color="auto"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CellMar>
            <w:top w:w="0" w:type="dxa"/>
            <w:left w:w="108" w:type="dxa"/>
            <w:bottom w:w="0" w:type="dxa"/>
            <w:right w:w="108" w:type="dxa"/>
          </w:tblCellMar>
        </w:tblPrEx>
        <w:trPr>
          <w:trHeight w:val="300" w:hRule="atLeast"/>
        </w:trPr>
        <w:tc>
          <w:tcPr>
            <w:tcW w:w="5922" w:type="dxa"/>
            <w:gridSpan w:val="4"/>
            <w:tcBorders>
              <w:top w:val="single" w:color="auto" w:sz="8" w:space="0"/>
              <w:left w:val="single" w:color="auto" w:sz="8" w:space="0"/>
              <w:bottom w:val="single" w:color="auto" w:sz="8" w:space="0"/>
              <w:right w:val="single" w:color="000000"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合计（元）</w:t>
            </w:r>
          </w:p>
        </w:tc>
        <w:tc>
          <w:tcPr>
            <w:tcW w:w="2555" w:type="dxa"/>
            <w:gridSpan w:val="3"/>
            <w:tcBorders>
              <w:top w:val="single" w:color="auto" w:sz="8" w:space="0"/>
              <w:left w:val="nil"/>
              <w:bottom w:val="single" w:color="auto" w:sz="8" w:space="0"/>
              <w:right w:val="single" w:color="000000" w:sz="8" w:space="0"/>
            </w:tcBorders>
            <w:noWrap/>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r>
    </w:tbl>
    <w:p>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pPr>
        <w:pageBreakBefore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kern w:val="0"/>
          <w:sz w:val="24"/>
          <w:szCs w:val="24"/>
          <w:shd w:val="clear" w:color="auto" w:fill="FFFFFF"/>
        </w:rPr>
      </w:pPr>
      <w:r>
        <w:rPr>
          <w:rFonts w:hint="eastAsia" w:ascii="宋体" w:hAnsi="宋体" w:eastAsia="宋体" w:cs="宋体"/>
          <w:b/>
          <w:bCs/>
          <w:kern w:val="0"/>
          <w:sz w:val="24"/>
          <w:szCs w:val="24"/>
          <w:shd w:val="clear" w:color="auto" w:fill="FFFFFF"/>
        </w:rPr>
        <w:t>特别说明：</w:t>
      </w:r>
    </w:p>
    <w:p>
      <w:pPr>
        <w:pageBreakBefore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sz w:val="24"/>
          <w:szCs w:val="24"/>
        </w:rPr>
      </w:pPr>
      <w:r>
        <w:rPr>
          <w:rFonts w:hint="eastAsia" w:ascii="宋体" w:hAnsi="宋体" w:eastAsia="宋体" w:cs="宋体"/>
          <w:b/>
          <w:bCs/>
          <w:kern w:val="0"/>
          <w:sz w:val="24"/>
          <w:szCs w:val="24"/>
          <w:shd w:val="clear" w:color="auto" w:fill="FFFFFF"/>
        </w:rPr>
        <w:t>1、本表所列维护维修项目为项目合同按实收费项目清单，</w:t>
      </w:r>
      <w:r>
        <w:rPr>
          <w:rFonts w:hint="eastAsia" w:ascii="宋体" w:hAnsi="宋体" w:eastAsia="宋体" w:cs="宋体"/>
          <w:b/>
          <w:sz w:val="24"/>
          <w:szCs w:val="24"/>
        </w:rPr>
        <w:t>维护期内按实申报、结算</w:t>
      </w:r>
      <w:r>
        <w:rPr>
          <w:rFonts w:hint="eastAsia" w:ascii="宋体" w:hAnsi="宋体" w:eastAsia="宋体" w:cs="宋体"/>
          <w:b/>
          <w:bCs/>
          <w:kern w:val="0"/>
          <w:sz w:val="24"/>
          <w:szCs w:val="24"/>
          <w:shd w:val="clear" w:color="auto" w:fill="FFFFFF"/>
        </w:rPr>
        <w:t>，合同内按实收费项目清单维修项目以外的设备维修费用均包含在年度维保服务包干费用报价中，不在另行收取任何费用 。</w:t>
      </w:r>
    </w:p>
    <w:p>
      <w:pPr>
        <w:pageBreakBefore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kern w:val="0"/>
          <w:sz w:val="24"/>
          <w:szCs w:val="24"/>
          <w:shd w:val="clear" w:color="auto" w:fill="FFFFFF"/>
        </w:rPr>
      </w:pPr>
      <w:r>
        <w:rPr>
          <w:rFonts w:hint="eastAsia" w:ascii="宋体" w:hAnsi="宋体" w:eastAsia="宋体" w:cs="宋体"/>
          <w:b/>
          <w:bCs/>
          <w:kern w:val="0"/>
          <w:sz w:val="24"/>
          <w:szCs w:val="24"/>
          <w:shd w:val="clear" w:color="auto" w:fill="FFFFFF"/>
        </w:rPr>
        <w:t>2、按实收费维修项目价格包含但不限于器件费、人工、运输、机械使用费、管理费、税金等，</w:t>
      </w:r>
      <w:r>
        <w:rPr>
          <w:rFonts w:hint="eastAsia" w:ascii="宋体" w:hAnsi="宋体" w:eastAsia="宋体" w:cs="宋体"/>
          <w:b/>
          <w:bCs/>
          <w:kern w:val="0"/>
          <w:sz w:val="24"/>
          <w:szCs w:val="24"/>
          <w:shd w:val="clear" w:color="auto" w:fill="FFFFFF"/>
          <w:lang w:eastAsia="zh-CN"/>
        </w:rPr>
        <w:t>采购人</w:t>
      </w:r>
      <w:r>
        <w:rPr>
          <w:rFonts w:hint="eastAsia" w:ascii="宋体" w:hAnsi="宋体" w:eastAsia="宋体" w:cs="宋体"/>
          <w:b/>
          <w:bCs/>
          <w:kern w:val="0"/>
          <w:sz w:val="24"/>
          <w:szCs w:val="24"/>
          <w:shd w:val="clear" w:color="auto" w:fill="FFFFFF"/>
        </w:rPr>
        <w:t>不再支付其他费用。</w:t>
      </w:r>
    </w:p>
    <w:p>
      <w:pPr>
        <w:pageBreakBefore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kern w:val="0"/>
          <w:sz w:val="24"/>
          <w:szCs w:val="24"/>
          <w:shd w:val="clear" w:color="auto" w:fill="FFFFFF"/>
          <w:lang w:eastAsia="zh-CN"/>
        </w:rPr>
      </w:pPr>
      <w:r>
        <w:rPr>
          <w:rFonts w:hint="eastAsia" w:ascii="宋体" w:hAnsi="宋体" w:eastAsia="宋体" w:cs="宋体"/>
          <w:b/>
          <w:bCs/>
          <w:kern w:val="0"/>
          <w:sz w:val="24"/>
          <w:szCs w:val="24"/>
          <w:shd w:val="clear" w:color="auto" w:fill="FFFFFF"/>
        </w:rPr>
        <w:t>3、供应商应完整、合理的填报相对应的维修项目单价、合价及总价。报价清单总价不得高于清单总价， 报价清单单项维修项目单价不得高于清单单项维修项目单价15%，</w:t>
      </w:r>
      <w:r>
        <w:rPr>
          <w:rFonts w:hint="eastAsia" w:ascii="宋体" w:hAnsi="宋体" w:eastAsia="宋体" w:cs="宋体"/>
          <w:b/>
          <w:bCs/>
          <w:kern w:val="0"/>
          <w:sz w:val="24"/>
          <w:szCs w:val="24"/>
          <w:shd w:val="clear" w:color="auto" w:fill="FFFFFF"/>
          <w:lang w:eastAsia="zh-CN"/>
        </w:rPr>
        <w:t>（于响应文件中报出，</w:t>
      </w:r>
      <w:r>
        <w:rPr>
          <w:rFonts w:hint="eastAsia" w:ascii="宋体" w:hAnsi="宋体" w:eastAsia="宋体" w:cs="宋体"/>
          <w:b/>
          <w:bCs/>
          <w:kern w:val="0"/>
          <w:sz w:val="24"/>
          <w:szCs w:val="24"/>
          <w:shd w:val="clear" w:color="auto" w:fill="FFFFFF"/>
        </w:rPr>
        <w:t>否则视为有效性、完整性和响应程度审查</w:t>
      </w:r>
      <w:r>
        <w:rPr>
          <w:rFonts w:hint="eastAsia" w:ascii="宋体" w:hAnsi="宋体" w:eastAsia="宋体" w:cs="宋体"/>
          <w:b/>
          <w:bCs/>
          <w:kern w:val="0"/>
          <w:sz w:val="24"/>
          <w:szCs w:val="24"/>
          <w:shd w:val="clear" w:color="auto" w:fill="FFFFFF"/>
          <w:lang w:eastAsia="zh-CN"/>
        </w:rPr>
        <w:t>不通过）</w:t>
      </w:r>
      <w:r>
        <w:rPr>
          <w:rFonts w:hint="eastAsia" w:ascii="宋体" w:hAnsi="宋体" w:eastAsia="宋体" w:cs="宋体"/>
          <w:b/>
          <w:bCs/>
          <w:kern w:val="0"/>
          <w:sz w:val="24"/>
          <w:szCs w:val="24"/>
          <w:shd w:val="clear" w:color="auto" w:fill="FFFFFF"/>
        </w:rPr>
        <w:t>。</w:t>
      </w:r>
    </w:p>
    <w:p>
      <w:pPr>
        <w:pageBreakBefore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kern w:val="0"/>
          <w:sz w:val="24"/>
          <w:szCs w:val="24"/>
          <w:shd w:val="clear" w:color="auto" w:fill="FFFFFF"/>
        </w:rPr>
      </w:pPr>
      <w:r>
        <w:rPr>
          <w:rFonts w:hint="eastAsia" w:ascii="宋体" w:hAnsi="宋体" w:eastAsia="宋体" w:cs="宋体"/>
          <w:b/>
          <w:bCs/>
          <w:kern w:val="0"/>
          <w:sz w:val="24"/>
          <w:szCs w:val="24"/>
          <w:shd w:val="clear" w:color="auto" w:fill="FFFFFF"/>
        </w:rPr>
        <w:t>4、维护服务过程中，如涉及上述表中的维护维修项目时，</w:t>
      </w:r>
      <w:r>
        <w:rPr>
          <w:rFonts w:hint="eastAsia" w:ascii="宋体" w:hAnsi="宋体" w:eastAsia="宋体" w:cs="宋体"/>
          <w:b/>
          <w:bCs/>
          <w:kern w:val="0"/>
          <w:sz w:val="24"/>
          <w:szCs w:val="24"/>
          <w:shd w:val="clear" w:color="auto" w:fill="FFFFFF"/>
          <w:lang w:eastAsia="zh-CN"/>
        </w:rPr>
        <w:t>成交</w:t>
      </w:r>
      <w:r>
        <w:rPr>
          <w:rFonts w:hint="eastAsia" w:ascii="宋体" w:hAnsi="宋体" w:eastAsia="宋体" w:cs="宋体"/>
          <w:b/>
          <w:bCs/>
          <w:kern w:val="0"/>
          <w:sz w:val="24"/>
          <w:szCs w:val="24"/>
          <w:shd w:val="clear" w:color="auto" w:fill="FFFFFF"/>
        </w:rPr>
        <w:t>供应商不能以任何理由拒绝维护维修。</w:t>
      </w:r>
    </w:p>
    <w:p>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p>
    <w:p>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000000"/>
          <w:sz w:val="24"/>
          <w:szCs w:val="24"/>
        </w:rPr>
      </w:pPr>
      <w:r>
        <w:rPr>
          <w:rFonts w:hint="eastAsia" w:ascii="宋体" w:hAnsi="宋体" w:eastAsia="宋体" w:cs="宋体"/>
          <w:b/>
          <w:bCs/>
          <w:sz w:val="24"/>
          <w:szCs w:val="24"/>
        </w:rPr>
        <w:t>★</w:t>
      </w:r>
      <w:r>
        <w:rPr>
          <w:rFonts w:hint="eastAsia" w:ascii="宋体" w:hAnsi="宋体" w:eastAsia="宋体" w:cs="宋体"/>
          <w:b/>
          <w:color w:val="000000"/>
          <w:sz w:val="24"/>
          <w:szCs w:val="24"/>
          <w:lang w:bidi="ar"/>
        </w:rPr>
        <w:t>三、采购合同内容条款（本项要求应在商务应答表中进行应答）</w:t>
      </w:r>
    </w:p>
    <w:p>
      <w:pPr>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sz w:val="24"/>
          <w:szCs w:val="24"/>
          <w:lang w:bidi="ar"/>
        </w:rPr>
      </w:pPr>
      <w:r>
        <w:rPr>
          <w:rFonts w:hint="eastAsia" w:ascii="宋体" w:hAnsi="宋体" w:eastAsia="宋体" w:cs="宋体"/>
          <w:b/>
          <w:bCs/>
          <w:sz w:val="24"/>
          <w:szCs w:val="24"/>
          <w:lang w:bidi="ar"/>
        </w:rPr>
        <w:t>【01包】</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1、维护服务周期：合同签订生效</w:t>
      </w:r>
      <w:r>
        <w:rPr>
          <w:rFonts w:hint="eastAsia" w:ascii="宋体" w:hAnsi="宋体" w:cs="宋体"/>
          <w:kern w:val="0"/>
          <w:sz w:val="24"/>
          <w:szCs w:val="24"/>
          <w:lang w:val="en-US" w:eastAsia="zh-CN"/>
        </w:rPr>
        <w:t>后</w:t>
      </w:r>
      <w:bookmarkStart w:id="2" w:name="_GoBack"/>
      <w:bookmarkEnd w:id="2"/>
      <w:r>
        <w:rPr>
          <w:rFonts w:hint="eastAsia" w:ascii="宋体" w:hAnsi="宋体" w:eastAsia="宋体" w:cs="宋体"/>
          <w:kern w:val="0"/>
          <w:sz w:val="24"/>
          <w:szCs w:val="24"/>
        </w:rPr>
        <w:t>至2025年8月20日。</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kern w:val="0"/>
          <w:sz w:val="24"/>
          <w:szCs w:val="24"/>
        </w:rPr>
        <w:t>2、付款方式：合同签订生效后7个工作日内，支付30％年度维保服务包干费；2024年11月20后支付40％年度维保服务包干费；2025年8月20日维保服务期满，经维保服务考核、验收、移交完成后7个工作日内，进行最后一次年度维保服务包干费结算后进行支付；</w:t>
      </w:r>
      <w:r>
        <w:rPr>
          <w:rFonts w:hint="eastAsia" w:ascii="宋体" w:hAnsi="宋体" w:eastAsia="宋体" w:cs="宋体"/>
          <w:sz w:val="24"/>
          <w:szCs w:val="24"/>
        </w:rPr>
        <w:t>在维保服务期中，属于合同按实收费维修项目清单的维修项目，按实申报、结算、支付</w:t>
      </w:r>
      <w:r>
        <w:rPr>
          <w:rFonts w:hint="eastAsia" w:ascii="宋体" w:hAnsi="宋体" w:eastAsia="宋体" w:cs="宋体"/>
          <w:sz w:val="24"/>
          <w:szCs w:val="24"/>
          <w:lang w:eastAsia="zh-CN"/>
        </w:rPr>
        <w:t>（</w:t>
      </w:r>
      <w:r>
        <w:rPr>
          <w:rFonts w:hint="eastAsia" w:ascii="宋体" w:hAnsi="宋体" w:eastAsia="宋体" w:cs="宋体"/>
          <w:kern w:val="0"/>
          <w:sz w:val="24"/>
          <w:szCs w:val="24"/>
        </w:rPr>
        <w:t>7个工作日内</w:t>
      </w:r>
      <w:r>
        <w:rPr>
          <w:rFonts w:hint="eastAsia" w:ascii="宋体" w:hAnsi="宋体" w:eastAsia="宋体" w:cs="宋体"/>
          <w:sz w:val="24"/>
          <w:szCs w:val="24"/>
          <w:lang w:eastAsia="zh-CN"/>
        </w:rPr>
        <w:t>）</w:t>
      </w:r>
      <w:r>
        <w:rPr>
          <w:rFonts w:hint="eastAsia" w:ascii="宋体" w:hAnsi="宋体" w:eastAsia="宋体" w:cs="宋体"/>
          <w:sz w:val="24"/>
          <w:szCs w:val="24"/>
        </w:rPr>
        <w:t>，合同内按实收费项目清单维修项目以</w:t>
      </w:r>
      <w:r>
        <w:rPr>
          <w:rFonts w:hint="eastAsia" w:ascii="宋体" w:hAnsi="宋体" w:eastAsia="宋体" w:cs="宋体"/>
          <w:sz w:val="24"/>
          <w:szCs w:val="24"/>
          <w:highlight w:val="none"/>
        </w:rPr>
        <w:t>外的设备维修费用均包含在年度维保服务包干费用报价中，不在另行收取任何费用。</w:t>
      </w:r>
      <w:r>
        <w:rPr>
          <w:rFonts w:hint="eastAsia" w:ascii="宋体" w:hAnsi="宋体" w:eastAsia="宋体" w:cs="宋体"/>
          <w:sz w:val="24"/>
          <w:szCs w:val="24"/>
          <w:highlight w:val="none"/>
          <w:lang w:eastAsia="zh-CN"/>
        </w:rPr>
        <w:t>注：每期付款前，供应商需开具等额且符合采购人财务要求的发票。</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3、服务地点：电子科技大</w:t>
      </w:r>
      <w:r>
        <w:rPr>
          <w:rFonts w:hint="eastAsia" w:ascii="宋体" w:hAnsi="宋体" w:eastAsia="宋体" w:cs="宋体"/>
          <w:b w:val="0"/>
          <w:bCs w:val="0"/>
          <w:kern w:val="0"/>
          <w:sz w:val="24"/>
          <w:szCs w:val="24"/>
          <w:highlight w:val="none"/>
        </w:rPr>
        <w:t>学</w:t>
      </w:r>
      <w:r>
        <w:rPr>
          <w:rFonts w:hint="eastAsia" w:ascii="宋体" w:hAnsi="宋体" w:eastAsia="宋体" w:cs="宋体"/>
          <w:b w:val="0"/>
          <w:bCs w:val="0"/>
          <w:sz w:val="24"/>
          <w:szCs w:val="24"/>
          <w:highlight w:val="none"/>
          <w:lang w:bidi="ar"/>
        </w:rPr>
        <w:t>双校区</w:t>
      </w:r>
      <w:r>
        <w:rPr>
          <w:rFonts w:hint="eastAsia" w:ascii="宋体" w:hAnsi="宋体" w:eastAsia="宋体" w:cs="宋体"/>
          <w:kern w:val="0"/>
          <w:sz w:val="24"/>
          <w:szCs w:val="24"/>
          <w:highlight w:val="none"/>
        </w:rPr>
        <w:t>。</w:t>
      </w:r>
    </w:p>
    <w:p>
      <w:pPr>
        <w:pageBreakBefore w:val="0"/>
        <w:kinsoku/>
        <w:wordWrap/>
        <w:overflowPunct/>
        <w:topLinePunct w:val="0"/>
        <w:autoSpaceDE/>
        <w:autoSpaceDN/>
        <w:bidi w:val="0"/>
        <w:adjustRightInd/>
        <w:snapToGrid/>
        <w:spacing w:line="360" w:lineRule="auto"/>
        <w:ind w:firstLine="420" w:firstLineChars="0"/>
        <w:jc w:val="left"/>
        <w:textAlignment w:val="auto"/>
        <w:rPr>
          <w:rFonts w:hint="eastAsia" w:ascii="宋体" w:hAnsi="宋体" w:eastAsia="宋体" w:cs="宋体"/>
          <w:b/>
          <w:bCs/>
          <w:sz w:val="24"/>
          <w:szCs w:val="24"/>
          <w:lang w:bidi="ar"/>
        </w:rPr>
      </w:pPr>
      <w:r>
        <w:rPr>
          <w:rFonts w:hint="eastAsia" w:ascii="宋体" w:hAnsi="宋体" w:eastAsia="宋体" w:cs="宋体"/>
          <w:kern w:val="0"/>
          <w:sz w:val="24"/>
          <w:szCs w:val="24"/>
          <w:highlight w:val="none"/>
        </w:rPr>
        <w:t>4、验收要求：</w:t>
      </w:r>
      <w:r>
        <w:rPr>
          <w:rFonts w:hint="eastAsia" w:ascii="宋体" w:hAnsi="宋体" w:eastAsia="宋体" w:cs="宋体"/>
          <w:sz w:val="24"/>
          <w:szCs w:val="24"/>
          <w:highlight w:val="none"/>
        </w:rPr>
        <w:t>严格按照采购文件的要求、供应商的响应文件及承诺、</w:t>
      </w:r>
      <w:r>
        <w:rPr>
          <w:rFonts w:hint="eastAsia" w:ascii="宋体" w:hAnsi="宋体" w:eastAsia="宋体" w:cs="宋体"/>
          <w:kern w:val="0"/>
          <w:sz w:val="24"/>
          <w:szCs w:val="24"/>
          <w:highlight w:val="none"/>
        </w:rPr>
        <w:t>采购人内控相关要求以及</w:t>
      </w:r>
      <w:r>
        <w:rPr>
          <w:rFonts w:hint="eastAsia" w:ascii="宋体" w:hAnsi="宋体" w:eastAsia="宋体" w:cs="宋体"/>
          <w:sz w:val="24"/>
          <w:szCs w:val="24"/>
          <w:highlight w:val="none"/>
        </w:rPr>
        <w:t>本项目合同约定标准</w:t>
      </w:r>
      <w:r>
        <w:rPr>
          <w:rFonts w:hint="eastAsia" w:ascii="宋体" w:hAnsi="宋体" w:eastAsia="宋体" w:cs="宋体"/>
          <w:sz w:val="24"/>
          <w:szCs w:val="24"/>
        </w:rPr>
        <w:t>进行验收</w:t>
      </w:r>
      <w:r>
        <w:rPr>
          <w:rFonts w:hint="eastAsia" w:ascii="宋体" w:hAnsi="宋体" w:eastAsia="宋体" w:cs="宋体"/>
          <w:kern w:val="0"/>
          <w:sz w:val="24"/>
          <w:szCs w:val="24"/>
        </w:rPr>
        <w:t>。</w:t>
      </w:r>
    </w:p>
    <w:p>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kern w:val="0"/>
          <w:sz w:val="24"/>
          <w:szCs w:val="24"/>
        </w:rPr>
      </w:pPr>
      <w:r>
        <w:rPr>
          <w:rFonts w:hint="eastAsia" w:ascii="宋体" w:hAnsi="宋体" w:eastAsia="宋体" w:cs="宋体"/>
          <w:b/>
          <w:bCs/>
          <w:sz w:val="24"/>
          <w:szCs w:val="24"/>
          <w:lang w:bidi="ar"/>
        </w:rPr>
        <w:t>【02包】</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1、维护服务周期：合同签订生效后至2025年4月20日 。</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kern w:val="0"/>
          <w:sz w:val="24"/>
          <w:szCs w:val="24"/>
        </w:rPr>
        <w:t>2、付款方式：合同签订生效后7个工作日内，支付30％年度维保服务包干费；2024年11月20后支付40％年度维保服务包干费；2025年4月20日维保服务期满，经维保服务考核、验收、移交完成后7个工作日内，进行最后一次年度维保服务包干费结算后进行支付；</w:t>
      </w:r>
      <w:r>
        <w:rPr>
          <w:rFonts w:hint="eastAsia" w:ascii="宋体" w:hAnsi="宋体" w:eastAsia="宋体" w:cs="宋体"/>
          <w:sz w:val="24"/>
          <w:szCs w:val="24"/>
        </w:rPr>
        <w:t>在维保服务期中，属于合同按实收费维修项目清单的维修项目，按实申报、结算、支付</w:t>
      </w:r>
      <w:r>
        <w:rPr>
          <w:rFonts w:hint="eastAsia" w:ascii="宋体" w:hAnsi="宋体" w:eastAsia="宋体" w:cs="宋体"/>
          <w:sz w:val="24"/>
          <w:szCs w:val="24"/>
          <w:lang w:eastAsia="zh-CN"/>
        </w:rPr>
        <w:t>（</w:t>
      </w:r>
      <w:r>
        <w:rPr>
          <w:rFonts w:hint="eastAsia" w:ascii="宋体" w:hAnsi="宋体" w:eastAsia="宋体" w:cs="宋体"/>
          <w:kern w:val="0"/>
          <w:sz w:val="24"/>
          <w:szCs w:val="24"/>
        </w:rPr>
        <w:t>7个工作日内</w:t>
      </w:r>
      <w:r>
        <w:rPr>
          <w:rFonts w:hint="eastAsia" w:ascii="宋体" w:hAnsi="宋体" w:eastAsia="宋体" w:cs="宋体"/>
          <w:sz w:val="24"/>
          <w:szCs w:val="24"/>
          <w:lang w:eastAsia="zh-CN"/>
        </w:rPr>
        <w:t>）</w:t>
      </w:r>
      <w:r>
        <w:rPr>
          <w:rFonts w:hint="eastAsia" w:ascii="宋体" w:hAnsi="宋体" w:eastAsia="宋体" w:cs="宋体"/>
          <w:sz w:val="24"/>
          <w:szCs w:val="24"/>
        </w:rPr>
        <w:t>，合同内按实收费项目清单维修项目以外</w:t>
      </w:r>
      <w:r>
        <w:rPr>
          <w:rFonts w:hint="eastAsia" w:ascii="宋体" w:hAnsi="宋体" w:eastAsia="宋体" w:cs="宋体"/>
          <w:sz w:val="24"/>
          <w:szCs w:val="24"/>
          <w:highlight w:val="none"/>
        </w:rPr>
        <w:t>的设备维修费用均包含在年度维保服务包干费用报价中，不在另行收取任何费用。</w:t>
      </w:r>
      <w:r>
        <w:rPr>
          <w:rFonts w:hint="eastAsia" w:ascii="宋体" w:hAnsi="宋体" w:eastAsia="宋体" w:cs="宋体"/>
          <w:sz w:val="24"/>
          <w:szCs w:val="24"/>
          <w:highlight w:val="none"/>
          <w:lang w:eastAsia="zh-CN"/>
        </w:rPr>
        <w:t>注：每期付款前，供应商需开具等额且符合采购人财务要求的发票。</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3、服务地点：电子科技大学清水河校区。</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color w:val="000000"/>
          <w:sz w:val="24"/>
          <w:szCs w:val="24"/>
          <w:lang w:bidi="ar"/>
        </w:rPr>
      </w:pPr>
      <w:r>
        <w:rPr>
          <w:rFonts w:hint="eastAsia" w:ascii="宋体" w:hAnsi="宋体" w:eastAsia="宋体" w:cs="宋体"/>
          <w:kern w:val="0"/>
          <w:sz w:val="24"/>
          <w:szCs w:val="24"/>
        </w:rPr>
        <w:t>4、验收要求：</w:t>
      </w:r>
      <w:r>
        <w:rPr>
          <w:rFonts w:hint="eastAsia" w:ascii="宋体" w:hAnsi="宋体" w:eastAsia="宋体" w:cs="宋体"/>
          <w:sz w:val="24"/>
          <w:szCs w:val="24"/>
        </w:rPr>
        <w:t>严格按照采购文件的要求、供应商的响应文件及承诺、</w:t>
      </w:r>
      <w:r>
        <w:rPr>
          <w:rFonts w:hint="eastAsia" w:ascii="宋体" w:hAnsi="宋体" w:eastAsia="宋体" w:cs="宋体"/>
          <w:kern w:val="0"/>
          <w:sz w:val="24"/>
          <w:szCs w:val="24"/>
        </w:rPr>
        <w:t>采购人内控相关要求以及</w:t>
      </w:r>
      <w:r>
        <w:rPr>
          <w:rFonts w:hint="eastAsia" w:ascii="宋体" w:hAnsi="宋体" w:eastAsia="宋体" w:cs="宋体"/>
          <w:sz w:val="24"/>
          <w:szCs w:val="24"/>
        </w:rPr>
        <w:t>本项目合同约定标准进行验收。</w:t>
      </w:r>
    </w:p>
    <w:p>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000000"/>
          <w:sz w:val="24"/>
          <w:szCs w:val="24"/>
          <w:lang w:bidi="ar"/>
        </w:rPr>
      </w:pPr>
      <w:r>
        <w:rPr>
          <w:rFonts w:hint="eastAsia" w:ascii="宋体" w:hAnsi="宋体" w:eastAsia="宋体" w:cs="宋体"/>
          <w:b/>
          <w:color w:val="000000"/>
          <w:sz w:val="24"/>
          <w:szCs w:val="24"/>
          <w:lang w:bidi="ar"/>
        </w:rPr>
        <w:t>四、其他要求</w:t>
      </w:r>
    </w:p>
    <w:p>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b/>
          <w:color w:val="000000"/>
          <w:sz w:val="24"/>
          <w:szCs w:val="24"/>
          <w:lang w:bidi="ar"/>
        </w:rPr>
        <w:t>【01包】</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1、提供服务方案包含：①项目针对性维护方案、②人员配备、③设备材料投入、④响应时间、⑤操作流程规范、⑥维护质量控制、⑦安全措施应急预案。</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rPr>
        <w:t>2、对配电</w:t>
      </w:r>
      <w:r>
        <w:rPr>
          <w:rFonts w:hint="eastAsia" w:ascii="宋体" w:hAnsi="宋体" w:eastAsia="宋体" w:cs="宋体"/>
          <w:sz w:val="24"/>
          <w:szCs w:val="24"/>
          <w:highlight w:val="none"/>
        </w:rPr>
        <w:t>监控系统</w:t>
      </w:r>
      <w:r>
        <w:rPr>
          <w:rFonts w:hint="eastAsia" w:ascii="宋体" w:hAnsi="宋体" w:eastAsia="宋体" w:cs="宋体"/>
          <w:sz w:val="24"/>
          <w:szCs w:val="24"/>
          <w:highlight w:val="none"/>
          <w:lang w:eastAsia="zh-CN"/>
        </w:rPr>
        <w:t>类</w:t>
      </w:r>
      <w:r>
        <w:rPr>
          <w:rFonts w:hint="eastAsia" w:ascii="宋体" w:hAnsi="宋体" w:eastAsia="宋体" w:cs="宋体"/>
          <w:sz w:val="24"/>
          <w:szCs w:val="24"/>
          <w:highlight w:val="none"/>
        </w:rPr>
        <w:t>维护进行分析阐述，包含①系统运行特点、②系统运行风险点、③具体防控措施。</w:t>
      </w:r>
    </w:p>
    <w:p>
      <w:pPr>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3、提供夜间紧急故障处理到达现场时间、提供重大活动现场值班服务。</w:t>
      </w:r>
    </w:p>
    <w:p>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bidi="ar"/>
        </w:rPr>
        <w:t>【02包】</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1、提供服务方案包含：①项目针对性维护方案、②人员配备、③设备材料投入、④响应时间、⑤操作流程规范、⑥维护质量控制、⑦安全措施应急预案</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2、对空气源热泵热水供应系统</w:t>
      </w:r>
      <w:r>
        <w:rPr>
          <w:rFonts w:hint="eastAsia" w:ascii="宋体" w:hAnsi="宋体" w:eastAsia="宋体" w:cs="宋体"/>
          <w:sz w:val="24"/>
          <w:szCs w:val="24"/>
          <w:highlight w:val="none"/>
          <w:lang w:eastAsia="zh-CN"/>
        </w:rPr>
        <w:t>类</w:t>
      </w:r>
      <w:r>
        <w:rPr>
          <w:rFonts w:hint="eastAsia" w:ascii="宋体" w:hAnsi="宋体" w:eastAsia="宋体" w:cs="宋体"/>
          <w:sz w:val="24"/>
          <w:szCs w:val="24"/>
          <w:highlight w:val="none"/>
        </w:rPr>
        <w:t>维护进行分析阐述，包含①系统构成、②结构特点、③运行方式、④运行特点、⑤运行风险点、⑥具体防控措施；</w:t>
      </w:r>
    </w:p>
    <w:p>
      <w:pPr>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shd w:val="clear" w:color="auto" w:fill="FFFFFF"/>
        </w:rPr>
      </w:pPr>
      <w:r>
        <w:rPr>
          <w:rFonts w:hint="eastAsia" w:ascii="宋体" w:hAnsi="宋体" w:eastAsia="宋体" w:cs="宋体"/>
          <w:sz w:val="24"/>
          <w:szCs w:val="24"/>
          <w:highlight w:val="none"/>
        </w:rPr>
        <w:t>3、提供夜间紧急故障处理到达现场时间、提供</w:t>
      </w:r>
      <w:r>
        <w:rPr>
          <w:rFonts w:hint="eastAsia" w:ascii="宋体" w:hAnsi="宋体" w:eastAsia="宋体" w:cs="宋体"/>
          <w:sz w:val="24"/>
          <w:szCs w:val="24"/>
        </w:rPr>
        <w:t>重大活动现场值班服务。</w:t>
      </w:r>
    </w:p>
    <w:p>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000000"/>
          <w:sz w:val="24"/>
          <w:szCs w:val="24"/>
          <w:lang w:bidi="ar"/>
        </w:rPr>
      </w:pPr>
    </w:p>
    <w:p>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注：</w:t>
      </w:r>
    </w:p>
    <w:p>
      <w:pPr>
        <w:pageBreakBefore w:val="0"/>
        <w:numPr>
          <w:ilvl w:val="0"/>
          <w:numId w:val="1"/>
        </w:numPr>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本章中技术、服务要求以及合同内容条款为可能实质性变动的内容。</w:t>
      </w:r>
    </w:p>
    <w:p>
      <w:pPr>
        <w:pageBreakBefore w:val="0"/>
        <w:numPr>
          <w:ilvl w:val="0"/>
          <w:numId w:val="1"/>
        </w:numPr>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本章标注“★”要求为本项目实质性要求，未经采购人允许（磋商后变动），不允许有负偏离。</w:t>
      </w:r>
    </w:p>
    <w:p>
      <w:pPr>
        <w:pageBreakBefore w:val="0"/>
        <w:numPr>
          <w:ilvl w:val="0"/>
          <w:numId w:val="1"/>
        </w:numPr>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以上要求中的“注”、“备注”、“其他说明”均需响应和应答。</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6F5DCE4"/>
    <w:multiLevelType w:val="singleLevel"/>
    <w:tmpl w:val="E6F5DCE4"/>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JkYTYxYTkxMDJjOTFjNWEyZTRhMDAzMTMyNTRiNDMifQ=="/>
  </w:docVars>
  <w:rsids>
    <w:rsidRoot w:val="6C9D6CE2"/>
    <w:rsid w:val="3B8E0F80"/>
    <w:rsid w:val="6C9D6C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Normal Indent"/>
    <w:basedOn w:val="1"/>
    <w:qFormat/>
    <w:uiPriority w:val="0"/>
    <w:pPr>
      <w:ind w:firstLine="420" w:firstLineChars="200"/>
    </w:pPr>
  </w:style>
  <w:style w:type="paragraph" w:styleId="4">
    <w:name w:val="Body Text"/>
    <w:basedOn w:val="1"/>
    <w:next w:val="1"/>
    <w:uiPriority w:val="0"/>
    <w:pPr>
      <w:spacing w:after="120"/>
    </w:pPr>
  </w:style>
  <w:style w:type="paragraph" w:customStyle="1" w:styleId="7">
    <w:name w:val="正文表格"/>
    <w:basedOn w:val="1"/>
    <w:qFormat/>
    <w:uiPriority w:val="0"/>
    <w:rPr>
      <w:rFonts w:ascii="等线" w:hAnsi="等线" w:eastAsia="等线"/>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航空工业</Company>
  <Pages>27</Pages>
  <Words>12284</Words>
  <Characters>14163</Characters>
  <Lines>0</Lines>
  <Paragraphs>0</Paragraphs>
  <TotalTime>0</TotalTime>
  <ScaleCrop>false</ScaleCrop>
  <LinksUpToDate>false</LinksUpToDate>
  <CharactersWithSpaces>14370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2024-08-01T08:34:00Z</dcterms:created>
  <dc:creator>971290877</dc:creator>
  <cp:lastModifiedBy>971290877</cp:lastModifiedBy>
  <dcterms:modified xsi:type="dcterms:W3CDTF">2024-08-01T08:45:52Z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38F21342445E4195BF7DFB5890955BF6_11</vt:lpwstr>
  </property>
</Properties>
</file>