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b/>
          <w:sz w:val="36"/>
          <w:szCs w:val="36"/>
        </w:rPr>
      </w:pPr>
      <w:r>
        <w:rPr>
          <w:b/>
          <w:sz w:val="36"/>
          <w:szCs w:val="36"/>
        </w:rPr>
        <w:t>采购需求</w:t>
      </w:r>
    </w:p>
    <w:p>
      <w:pPr>
        <w:spacing w:line="360" w:lineRule="auto"/>
        <w:contextualSpacing/>
        <w:rPr>
          <w:sz w:val="24"/>
        </w:rPr>
      </w:pPr>
    </w:p>
    <w:p>
      <w:pPr>
        <w:tabs>
          <w:tab w:val="left" w:pos="1995"/>
        </w:tabs>
        <w:spacing w:line="360" w:lineRule="auto"/>
        <w:rPr>
          <w:rFonts w:ascii="Times New Roman" w:hAnsi="Times New Roman" w:cs="Times New Roman"/>
          <w:b/>
          <w:bCs/>
          <w:sz w:val="24"/>
          <w:szCs w:val="24"/>
        </w:rPr>
      </w:pPr>
      <w:r>
        <w:rPr>
          <w:rFonts w:ascii="Times New Roman" w:hAnsi="Times New Roman" w:cs="Times New Roman"/>
          <w:b/>
          <w:bCs/>
          <w:sz w:val="24"/>
          <w:szCs w:val="24"/>
        </w:rPr>
        <w:t>一、项目概况及相关要求</w:t>
      </w:r>
    </w:p>
    <w:p>
      <w:pPr>
        <w:pStyle w:val="3"/>
        <w:spacing w:line="360" w:lineRule="auto"/>
        <w:rPr>
          <w:rFonts w:ascii="Times New Roman" w:hAnsi="Times New Roman" w:cs="Times New Roman"/>
          <w:sz w:val="24"/>
          <w:szCs w:val="24"/>
        </w:rPr>
      </w:pPr>
      <w:r>
        <w:rPr>
          <w:rFonts w:ascii="Times New Roman" w:hAnsi="Times New Roman" w:cs="Times New Roman"/>
          <w:sz w:val="24"/>
          <w:szCs w:val="24"/>
        </w:rPr>
        <w:t>1 场地及周围情况</w:t>
      </w:r>
    </w:p>
    <w:p>
      <w:pPr>
        <w:pStyle w:val="3"/>
        <w:numPr>
          <w:ilvl w:val="1"/>
          <w:numId w:val="1"/>
        </w:numPr>
        <w:spacing w:line="360" w:lineRule="auto"/>
        <w:rPr>
          <w:rFonts w:ascii="Times New Roman" w:hAnsi="Times New Roman" w:cs="Times New Roman"/>
          <w:sz w:val="24"/>
          <w:szCs w:val="24"/>
        </w:rPr>
      </w:pPr>
      <w:r>
        <w:rPr>
          <w:rFonts w:ascii="Times New Roman" w:hAnsi="Times New Roman" w:cs="Times New Roman"/>
          <w:sz w:val="24"/>
          <w:szCs w:val="24"/>
        </w:rPr>
        <w:t>本工程为</w:t>
      </w:r>
      <w:r>
        <w:rPr>
          <w:rFonts w:hint="eastAsia" w:hAnsi="宋体" w:cs="仿宋"/>
          <w:sz w:val="24"/>
          <w:lang w:eastAsia="zh-CN"/>
        </w:rPr>
        <w:t>门诊大楼病房和洁净手术室区域避难间改造工程</w:t>
      </w:r>
      <w:r>
        <w:rPr>
          <w:rFonts w:ascii="Times New Roman" w:hAnsi="Times New Roman" w:cs="Times New Roman"/>
          <w:sz w:val="24"/>
          <w:szCs w:val="24"/>
        </w:rPr>
        <w:t>，建设地点：</w:t>
      </w:r>
      <w:r>
        <w:rPr>
          <w:rFonts w:hint="eastAsia" w:ascii="宋体" w:hAnsi="宋体" w:cs="仿宋"/>
          <w:kern w:val="0"/>
          <w:sz w:val="24"/>
        </w:rPr>
        <w:t>北京市</w:t>
      </w:r>
      <w:r>
        <w:rPr>
          <w:rFonts w:hint="eastAsia" w:hAnsi="宋体" w:cs="仿宋"/>
          <w:kern w:val="0"/>
          <w:sz w:val="24"/>
          <w:lang w:val="en-US" w:eastAsia="zh-CN"/>
        </w:rPr>
        <w:t>朝阳区</w:t>
      </w:r>
      <w:r>
        <w:rPr>
          <w:rFonts w:ascii="Times New Roman" w:hAnsi="Times New Roman" w:cs="Times New Roman"/>
          <w:sz w:val="24"/>
          <w:szCs w:val="24"/>
        </w:rPr>
        <w:t>；</w:t>
      </w:r>
    </w:p>
    <w:p>
      <w:pPr>
        <w:pStyle w:val="3"/>
        <w:spacing w:line="360" w:lineRule="auto"/>
        <w:ind w:left="1200" w:hanging="1200" w:hangingChars="5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资金</w:t>
      </w:r>
      <w:r>
        <w:rPr>
          <w:rFonts w:hint="eastAsia" w:ascii="Times New Roman" w:hAnsi="Times New Roman" w:cs="Times New Roman"/>
          <w:sz w:val="24"/>
          <w:szCs w:val="24"/>
          <w:highlight w:val="none"/>
          <w:lang w:val="en-US" w:eastAsia="zh-CN"/>
        </w:rPr>
        <w:t>情况：</w:t>
      </w:r>
      <w:r>
        <w:rPr>
          <w:rFonts w:ascii="宋体" w:hAnsi="宋体" w:eastAsia="宋体" w:cs="宋体"/>
          <w:sz w:val="24"/>
          <w:szCs w:val="24"/>
          <w:highlight w:val="none"/>
        </w:rPr>
        <w:t>本工程控制价为：</w:t>
      </w:r>
      <w:r>
        <w:rPr>
          <w:rFonts w:hint="eastAsia" w:ascii="宋体" w:hAnsi="宋体" w:eastAsia="宋体" w:cs="宋体"/>
          <w:sz w:val="24"/>
          <w:szCs w:val="24"/>
          <w:highlight w:val="none"/>
          <w:lang w:eastAsia="zh-CN"/>
        </w:rPr>
        <w:t>568,878.28</w:t>
      </w:r>
      <w:r>
        <w:rPr>
          <w:rFonts w:ascii="宋体" w:hAnsi="宋体" w:eastAsia="宋体" w:cs="宋体"/>
          <w:sz w:val="24"/>
          <w:szCs w:val="24"/>
          <w:highlight w:val="none"/>
        </w:rPr>
        <w:t>元。</w:t>
      </w:r>
      <w:r>
        <w:rPr>
          <w:rFonts w:ascii="宋体" w:hAnsi="宋体" w:eastAsia="宋体" w:cs="宋体"/>
          <w:sz w:val="24"/>
          <w:szCs w:val="24"/>
          <w:highlight w:val="none"/>
        </w:rPr>
        <w:br w:type="textWrapping"/>
      </w:r>
      <w:r>
        <w:rPr>
          <w:rFonts w:ascii="宋体" w:hAnsi="宋体" w:eastAsia="宋体" w:cs="宋体"/>
          <w:sz w:val="24"/>
          <w:szCs w:val="24"/>
          <w:highlight w:val="none"/>
        </w:rPr>
        <w:t>其中：分部分项工程合价为：</w:t>
      </w:r>
      <w:r>
        <w:rPr>
          <w:rFonts w:hint="eastAsia" w:ascii="宋体" w:hAnsi="宋体" w:eastAsia="宋体" w:cs="宋体"/>
          <w:sz w:val="24"/>
          <w:szCs w:val="24"/>
          <w:highlight w:val="none"/>
          <w:lang w:eastAsia="zh-CN"/>
        </w:rPr>
        <w:t>321307.37</w:t>
      </w:r>
      <w:r>
        <w:rPr>
          <w:rFonts w:ascii="宋体" w:hAnsi="宋体" w:eastAsia="宋体" w:cs="宋体"/>
          <w:sz w:val="24"/>
          <w:szCs w:val="24"/>
          <w:highlight w:val="none"/>
        </w:rPr>
        <w:t>元； </w:t>
      </w:r>
      <w:r>
        <w:rPr>
          <w:rFonts w:ascii="宋体" w:hAnsi="宋体" w:eastAsia="宋体" w:cs="宋体"/>
          <w:sz w:val="24"/>
          <w:szCs w:val="24"/>
          <w:highlight w:val="none"/>
        </w:rPr>
        <w:br w:type="textWrapping"/>
      </w:r>
      <w:r>
        <w:rPr>
          <w:rFonts w:ascii="宋体" w:hAnsi="宋体" w:eastAsia="宋体" w:cs="宋体"/>
          <w:sz w:val="24"/>
          <w:szCs w:val="24"/>
          <w:highlight w:val="none"/>
        </w:rPr>
        <w:t>措施项目合价为：</w:t>
      </w:r>
      <w:r>
        <w:rPr>
          <w:rFonts w:hint="eastAsia" w:ascii="宋体" w:hAnsi="宋体" w:eastAsia="宋体" w:cs="宋体"/>
          <w:sz w:val="24"/>
          <w:szCs w:val="24"/>
          <w:highlight w:val="none"/>
          <w:lang w:eastAsia="zh-CN"/>
        </w:rPr>
        <w:t>152434.17</w:t>
      </w:r>
      <w:r>
        <w:rPr>
          <w:rFonts w:ascii="宋体" w:hAnsi="宋体" w:eastAsia="宋体" w:cs="宋体"/>
          <w:sz w:val="24"/>
          <w:szCs w:val="24"/>
          <w:highlight w:val="none"/>
        </w:rPr>
        <w:t>元；</w:t>
      </w:r>
      <w:r>
        <w:rPr>
          <w:rFonts w:ascii="宋体" w:hAnsi="宋体" w:eastAsia="宋体" w:cs="宋体"/>
          <w:sz w:val="24"/>
          <w:szCs w:val="24"/>
          <w:highlight w:val="none"/>
        </w:rPr>
        <w:br w:type="textWrapping"/>
      </w:r>
      <w:r>
        <w:rPr>
          <w:rFonts w:ascii="宋体" w:hAnsi="宋体" w:eastAsia="宋体" w:cs="宋体"/>
          <w:sz w:val="24"/>
          <w:szCs w:val="24"/>
          <w:highlight w:val="none"/>
        </w:rPr>
        <w:t>其他项目合价为：</w:t>
      </w:r>
      <w:r>
        <w:rPr>
          <w:rFonts w:hint="eastAsia" w:ascii="宋体" w:hAnsi="宋体" w:eastAsia="宋体" w:cs="宋体"/>
          <w:sz w:val="24"/>
          <w:szCs w:val="24"/>
          <w:highlight w:val="none"/>
        </w:rPr>
        <w:t>48165.14</w:t>
      </w:r>
      <w:r>
        <w:rPr>
          <w:rFonts w:ascii="宋体" w:hAnsi="宋体" w:eastAsia="宋体" w:cs="宋体"/>
          <w:sz w:val="24"/>
          <w:szCs w:val="24"/>
          <w:highlight w:val="none"/>
        </w:rPr>
        <w:t>元；</w:t>
      </w:r>
      <w:r>
        <w:rPr>
          <w:rFonts w:ascii="宋体" w:hAnsi="宋体" w:eastAsia="宋体" w:cs="宋体"/>
          <w:sz w:val="24"/>
          <w:szCs w:val="24"/>
          <w:highlight w:val="none"/>
        </w:rPr>
        <w:br w:type="textWrapping"/>
      </w:r>
      <w:r>
        <w:rPr>
          <w:rFonts w:ascii="宋体" w:hAnsi="宋体" w:eastAsia="宋体" w:cs="宋体"/>
          <w:sz w:val="24"/>
          <w:szCs w:val="24"/>
          <w:highlight w:val="none"/>
        </w:rPr>
        <w:t>税金的合价为：</w:t>
      </w:r>
      <w:r>
        <w:rPr>
          <w:rFonts w:hint="eastAsia" w:ascii="宋体" w:hAnsi="宋体" w:eastAsia="宋体" w:cs="宋体"/>
          <w:sz w:val="24"/>
          <w:szCs w:val="24"/>
          <w:highlight w:val="none"/>
        </w:rPr>
        <w:t>46971.6</w:t>
      </w:r>
      <w:r>
        <w:rPr>
          <w:rFonts w:ascii="宋体" w:hAnsi="宋体" w:eastAsia="宋体" w:cs="宋体"/>
          <w:sz w:val="24"/>
          <w:szCs w:val="24"/>
          <w:highlight w:val="none"/>
        </w:rPr>
        <w:t>元。</w:t>
      </w:r>
      <w:r>
        <w:rPr>
          <w:rFonts w:ascii="宋体" w:hAnsi="宋体" w:eastAsia="宋体" w:cs="宋体"/>
          <w:sz w:val="24"/>
          <w:szCs w:val="24"/>
          <w:highlight w:val="none"/>
        </w:rPr>
        <w:br w:type="textWrapping"/>
      </w:r>
      <w:r>
        <w:rPr>
          <w:rFonts w:ascii="宋体" w:hAnsi="宋体" w:eastAsia="宋体" w:cs="宋体"/>
          <w:sz w:val="24"/>
          <w:szCs w:val="24"/>
          <w:highlight w:val="none"/>
        </w:rPr>
        <w:t>其他说明：专业工程暂估价（含税）合计金额：0元</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br w:type="textWrapping"/>
      </w:r>
      <w:r>
        <w:rPr>
          <w:rFonts w:ascii="宋体" w:hAnsi="宋体" w:eastAsia="宋体" w:cs="宋体"/>
          <w:sz w:val="24"/>
          <w:szCs w:val="24"/>
          <w:highlight w:val="none"/>
        </w:rPr>
        <w:t>材料和工程设备暂估价(含税)合计金额：0元；</w:t>
      </w:r>
      <w:r>
        <w:rPr>
          <w:rFonts w:ascii="宋体" w:hAnsi="宋体" w:eastAsia="宋体" w:cs="宋体"/>
          <w:sz w:val="24"/>
          <w:szCs w:val="24"/>
          <w:highlight w:val="none"/>
        </w:rPr>
        <w:br w:type="textWrapping"/>
      </w:r>
      <w:r>
        <w:rPr>
          <w:rFonts w:ascii="宋体" w:hAnsi="宋体" w:eastAsia="宋体" w:cs="宋体"/>
          <w:sz w:val="24"/>
          <w:szCs w:val="24"/>
          <w:highlight w:val="none"/>
        </w:rPr>
        <w:t>暂列金额（不含计日工）（含税）合计金额：</w:t>
      </w:r>
      <w:r>
        <w:rPr>
          <w:rFonts w:hint="eastAsia" w:ascii="宋体" w:hAnsi="宋体" w:eastAsia="宋体" w:cs="宋体"/>
          <w:sz w:val="24"/>
          <w:szCs w:val="24"/>
          <w:highlight w:val="none"/>
        </w:rPr>
        <w:t>52500</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元；</w:t>
      </w:r>
      <w:r>
        <w:rPr>
          <w:rFonts w:ascii="宋体" w:hAnsi="宋体" w:eastAsia="宋体" w:cs="宋体"/>
          <w:sz w:val="24"/>
          <w:szCs w:val="24"/>
          <w:highlight w:val="none"/>
        </w:rPr>
        <w:br w:type="textWrapping"/>
      </w:r>
      <w:r>
        <w:rPr>
          <w:rFonts w:ascii="宋体" w:hAnsi="宋体" w:eastAsia="宋体" w:cs="宋体"/>
          <w:sz w:val="24"/>
          <w:szCs w:val="24"/>
          <w:highlight w:val="none"/>
        </w:rPr>
        <w:t>安全文明施工费（含税）合计金额：</w:t>
      </w:r>
      <w:r>
        <w:rPr>
          <w:rFonts w:hint="eastAsia" w:ascii="宋体" w:hAnsi="宋体" w:eastAsia="宋体" w:cs="宋体"/>
          <w:sz w:val="24"/>
          <w:szCs w:val="24"/>
          <w:highlight w:val="none"/>
        </w:rPr>
        <w:t>11640.14</w:t>
      </w:r>
      <w:r>
        <w:rPr>
          <w:rFonts w:ascii="宋体" w:hAnsi="宋体" w:eastAsia="宋体" w:cs="宋体"/>
          <w:sz w:val="24"/>
          <w:szCs w:val="24"/>
          <w:highlight w:val="none"/>
        </w:rPr>
        <w:t>元；</w:t>
      </w:r>
      <w:r>
        <w:rPr>
          <w:rFonts w:ascii="宋体" w:hAnsi="宋体" w:eastAsia="宋体" w:cs="宋体"/>
          <w:sz w:val="24"/>
          <w:szCs w:val="24"/>
          <w:highlight w:val="none"/>
        </w:rPr>
        <w:br w:type="textWrapping"/>
      </w:r>
      <w:r>
        <w:rPr>
          <w:rFonts w:ascii="宋体" w:hAnsi="宋体" w:eastAsia="宋体" w:cs="宋体"/>
          <w:sz w:val="24"/>
          <w:szCs w:val="24"/>
          <w:highlight w:val="none"/>
        </w:rPr>
        <w:t>赶工增加费（含税）合计金额（如有）：0元；</w:t>
      </w:r>
    </w:p>
    <w:p>
      <w:pPr>
        <w:tabs>
          <w:tab w:val="left" w:pos="1995"/>
        </w:tabs>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二、工程招标和分包范围</w:t>
      </w:r>
    </w:p>
    <w:p>
      <w:pPr>
        <w:keepNext w:val="0"/>
        <w:keepLines w:val="0"/>
        <w:widowControl/>
        <w:suppressLineNumbers w:val="0"/>
        <w:spacing w:line="360" w:lineRule="auto"/>
        <w:ind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  工程招标范围：本项目主要包括</w:t>
      </w:r>
      <w:r>
        <w:rPr>
          <w:rFonts w:hint="eastAsia" w:ascii="宋体" w:hAnsi="宋体" w:cs="宋体"/>
          <w:b w:val="0"/>
          <w:bCs w:val="0"/>
          <w:sz w:val="24"/>
          <w:szCs w:val="24"/>
          <w:highlight w:val="none"/>
          <w:lang w:val="en-US" w:eastAsia="zh-CN"/>
        </w:rPr>
        <w:t>门诊大楼病房和洁净手术室区域避难间改造工程</w:t>
      </w:r>
      <w:r>
        <w:rPr>
          <w:rFonts w:hint="eastAsia" w:ascii="宋体" w:hAnsi="宋体" w:eastAsia="宋体" w:cs="宋体"/>
          <w:b w:val="0"/>
          <w:bCs w:val="0"/>
          <w:sz w:val="24"/>
          <w:szCs w:val="24"/>
          <w:highlight w:val="none"/>
          <w:lang w:val="en-US" w:eastAsia="zh-CN"/>
        </w:rPr>
        <w:t>，包括不限于按图纸清单及工程规范的要求完成室内外装修及安装工程施工图深化设计、施工、竣工、验收、交付和保修等完成项目所需全部工作内容，具体范围详见招标技术纲要。</w:t>
      </w:r>
    </w:p>
    <w:p>
      <w:pPr>
        <w:tabs>
          <w:tab w:val="left" w:pos="1995"/>
        </w:tabs>
        <w:spacing w:line="360" w:lineRule="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工程量清单编制依据</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1．以建设单位提供的《门诊大楼病房和洁净手术室区域避难间改造工程》招标图纸为主导；</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2</w:t>
      </w:r>
      <w:r>
        <w:rPr>
          <w:rFonts w:hint="eastAsia" w:ascii="宋体" w:hAnsi="宋体"/>
          <w:sz w:val="24"/>
          <w:lang w:eastAsia="zh-CN"/>
        </w:rPr>
        <w:t xml:space="preserve">  </w:t>
      </w:r>
      <w:r>
        <w:rPr>
          <w:rFonts w:hint="eastAsia" w:ascii="宋体" w:hAnsi="宋体"/>
          <w:sz w:val="24"/>
        </w:rPr>
        <w:t>《建设工程工程量清单计价规范》（GB50500-2013）；</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3</w:t>
      </w:r>
      <w:r>
        <w:rPr>
          <w:rFonts w:hint="eastAsia" w:ascii="宋体" w:hAnsi="宋体"/>
          <w:sz w:val="24"/>
          <w:lang w:eastAsia="zh-CN"/>
        </w:rPr>
        <w:t xml:space="preserve">  </w:t>
      </w:r>
      <w:r>
        <w:rPr>
          <w:rFonts w:hint="eastAsia" w:ascii="宋体" w:hAnsi="宋体"/>
          <w:sz w:val="24"/>
        </w:rPr>
        <w:t>《房屋修缮工程工程量计算规范》（2016-北京）；</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4</w:t>
      </w:r>
      <w:r>
        <w:rPr>
          <w:rFonts w:hint="eastAsia" w:ascii="宋体" w:hAnsi="宋体"/>
          <w:sz w:val="24"/>
          <w:lang w:eastAsia="zh-CN"/>
        </w:rPr>
        <w:t xml:space="preserve">  </w:t>
      </w:r>
      <w:r>
        <w:rPr>
          <w:rFonts w:hint="eastAsia" w:ascii="宋体" w:hAnsi="宋体"/>
          <w:sz w:val="24"/>
        </w:rPr>
        <w:t>2021年《北京市房屋修缮工程计价依据——预算消耗量标准》；</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5</w:t>
      </w:r>
      <w:r>
        <w:rPr>
          <w:rFonts w:hint="eastAsia" w:ascii="宋体" w:hAnsi="宋体"/>
          <w:sz w:val="24"/>
          <w:lang w:eastAsia="zh-CN"/>
        </w:rPr>
        <w:t xml:space="preserve">  </w:t>
      </w:r>
      <w:r>
        <w:rPr>
          <w:rFonts w:hint="eastAsia" w:ascii="宋体" w:hAnsi="宋体"/>
          <w:sz w:val="24"/>
        </w:rPr>
        <w:t>2021年《北京市建设工程计价依据——预算消耗量标准》；</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6</w:t>
      </w:r>
      <w:r>
        <w:rPr>
          <w:rFonts w:hint="eastAsia" w:ascii="宋体" w:hAnsi="宋体"/>
          <w:sz w:val="24"/>
          <w:lang w:eastAsia="zh-CN"/>
        </w:rPr>
        <w:t xml:space="preserve">  </w:t>
      </w:r>
      <w:r>
        <w:rPr>
          <w:rFonts w:hint="eastAsia" w:ascii="宋体" w:hAnsi="宋体"/>
          <w:sz w:val="24"/>
        </w:rPr>
        <w:t>《关于印发配套2021年&lt;预算消耗量标准&gt;计价的安全文明施工费等费用标准的通知》（京建发﹝2021﹞404号）、《关于明确安全文明施工费中常态化疫情防控措施费用标准的通知》（京建发﹝2022﹞190号）；</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7</w:t>
      </w:r>
      <w:r>
        <w:rPr>
          <w:rFonts w:hint="eastAsia" w:ascii="宋体" w:hAnsi="宋体"/>
          <w:sz w:val="24"/>
          <w:lang w:eastAsia="zh-CN"/>
        </w:rPr>
        <w:t xml:space="preserve">  </w:t>
      </w:r>
      <w:r>
        <w:rPr>
          <w:rFonts w:hint="eastAsia" w:ascii="宋体" w:hAnsi="宋体"/>
          <w:sz w:val="24"/>
        </w:rPr>
        <w:t>《北京市住房和城乡建设委员会关于调整北京市建设工程规费费率的通知》（京建发〔2019〕141号）；</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8</w:t>
      </w:r>
      <w:r>
        <w:rPr>
          <w:rFonts w:hint="eastAsia" w:ascii="宋体" w:hAnsi="宋体"/>
          <w:sz w:val="24"/>
          <w:lang w:eastAsia="zh-CN"/>
        </w:rPr>
        <w:t xml:space="preserve">  </w:t>
      </w:r>
      <w:r>
        <w:rPr>
          <w:rFonts w:hint="eastAsia" w:ascii="宋体" w:hAnsi="宋体"/>
          <w:sz w:val="24"/>
        </w:rPr>
        <w:t>国家有关建设和造价管理的法律、法规和方针政策；</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9</w:t>
      </w:r>
      <w:r>
        <w:rPr>
          <w:rFonts w:hint="eastAsia" w:ascii="宋体" w:hAnsi="宋体"/>
          <w:sz w:val="24"/>
          <w:lang w:eastAsia="zh-CN"/>
        </w:rPr>
        <w:t xml:space="preserve">  </w:t>
      </w:r>
      <w:r>
        <w:rPr>
          <w:rFonts w:hint="eastAsia" w:ascii="宋体" w:hAnsi="宋体"/>
          <w:sz w:val="24"/>
        </w:rPr>
        <w:t>《北京建设工程造价信息》202</w:t>
      </w:r>
      <w:r>
        <w:rPr>
          <w:rFonts w:hint="eastAsia" w:ascii="宋体" w:hAnsi="宋体"/>
          <w:sz w:val="24"/>
          <w:lang w:val="en-US" w:eastAsia="zh-CN"/>
        </w:rPr>
        <w:t>4</w:t>
      </w:r>
      <w:r>
        <w:rPr>
          <w:rFonts w:hint="eastAsia" w:ascii="宋体" w:hAnsi="宋体"/>
          <w:sz w:val="24"/>
        </w:rPr>
        <w:t>年</w:t>
      </w:r>
      <w:r>
        <w:rPr>
          <w:rFonts w:hint="eastAsia" w:ascii="宋体" w:hAnsi="宋体"/>
          <w:sz w:val="24"/>
          <w:lang w:val="en-US" w:eastAsia="zh-CN"/>
        </w:rPr>
        <w:t>5</w:t>
      </w:r>
      <w:r>
        <w:rPr>
          <w:rFonts w:hint="eastAsia" w:ascii="宋体" w:hAnsi="宋体"/>
          <w:sz w:val="24"/>
        </w:rPr>
        <w:t>月；</w:t>
      </w:r>
    </w:p>
    <w:p>
      <w:pPr>
        <w:spacing w:line="360" w:lineRule="auto"/>
        <w:ind w:firstLine="480" w:firstLineChars="200"/>
        <w:jc w:val="left"/>
        <w:rPr>
          <w:rFonts w:hint="eastAsia" w:ascii="宋体" w:hAnsi="宋体"/>
          <w:sz w:val="24"/>
        </w:rPr>
      </w:pPr>
      <w:r>
        <w:rPr>
          <w:rFonts w:hint="eastAsia" w:ascii="宋体" w:hAnsi="宋体"/>
          <w:sz w:val="24"/>
          <w:lang w:val="en-US" w:eastAsia="zh-CN"/>
        </w:rPr>
        <w:t>2.</w:t>
      </w:r>
      <w:r>
        <w:rPr>
          <w:rFonts w:hint="eastAsia" w:ascii="宋体" w:hAnsi="宋体"/>
          <w:sz w:val="24"/>
        </w:rPr>
        <w:t>10</w:t>
      </w:r>
      <w:r>
        <w:rPr>
          <w:rFonts w:hint="eastAsia" w:ascii="宋体" w:hAnsi="宋体"/>
          <w:sz w:val="24"/>
          <w:lang w:eastAsia="zh-CN"/>
        </w:rPr>
        <w:t xml:space="preserve">  常规施工</w:t>
      </w:r>
      <w:r>
        <w:rPr>
          <w:rFonts w:hint="eastAsia" w:ascii="宋体" w:hAnsi="宋体"/>
          <w:sz w:val="24"/>
        </w:rPr>
        <w:t>技术</w:t>
      </w:r>
      <w:r>
        <w:rPr>
          <w:rFonts w:hint="eastAsia" w:ascii="宋体" w:hAnsi="宋体"/>
          <w:sz w:val="24"/>
          <w:lang w:eastAsia="zh-CN"/>
        </w:rPr>
        <w:t>措施及</w:t>
      </w:r>
      <w:r>
        <w:rPr>
          <w:rFonts w:hint="eastAsia" w:ascii="宋体" w:hAnsi="宋体"/>
          <w:sz w:val="24"/>
        </w:rPr>
        <w:t>要求。</w:t>
      </w:r>
    </w:p>
    <w:p>
      <w:pPr>
        <w:numPr>
          <w:ilvl w:val="0"/>
          <w:numId w:val="2"/>
        </w:numPr>
        <w:tabs>
          <w:tab w:val="left" w:pos="1995"/>
        </w:tabs>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编制说明</w:t>
      </w:r>
    </w:p>
    <w:p>
      <w:pPr>
        <w:spacing w:line="360" w:lineRule="auto"/>
        <w:ind w:firstLine="480" w:firstLineChars="200"/>
        <w:jc w:val="left"/>
        <w:rPr>
          <w:rFonts w:hint="eastAsia" w:ascii="宋体" w:hAnsi="宋体"/>
          <w:sz w:val="24"/>
        </w:rPr>
      </w:pPr>
      <w:r>
        <w:rPr>
          <w:rFonts w:hint="eastAsia" w:ascii="宋体" w:hAnsi="宋体"/>
          <w:sz w:val="24"/>
          <w:lang w:val="en-US" w:eastAsia="zh-CN"/>
        </w:rPr>
        <w:t>3.</w:t>
      </w:r>
      <w:r>
        <w:rPr>
          <w:rFonts w:hint="eastAsia" w:ascii="宋体" w:hAnsi="宋体"/>
          <w:sz w:val="24"/>
        </w:rPr>
        <w:t>1</w:t>
      </w:r>
      <w:r>
        <w:rPr>
          <w:rFonts w:hint="eastAsia" w:ascii="宋体" w:hAnsi="宋体"/>
          <w:sz w:val="24"/>
          <w:lang w:eastAsia="zh-CN"/>
        </w:rPr>
        <w:t xml:space="preserve"> </w:t>
      </w:r>
      <w:r>
        <w:rPr>
          <w:rFonts w:hint="eastAsia" w:ascii="宋体" w:hAnsi="宋体"/>
          <w:sz w:val="24"/>
        </w:rPr>
        <w:t>本工程安全文明等级按达标考虑；</w:t>
      </w:r>
    </w:p>
    <w:p>
      <w:pPr>
        <w:spacing w:line="360" w:lineRule="auto"/>
        <w:ind w:firstLine="480" w:firstLineChars="200"/>
        <w:jc w:val="left"/>
        <w:rPr>
          <w:rFonts w:hint="eastAsia" w:ascii="宋体" w:hAnsi="宋体"/>
          <w:sz w:val="24"/>
        </w:rPr>
      </w:pPr>
      <w:r>
        <w:rPr>
          <w:rFonts w:hint="eastAsia" w:ascii="宋体" w:hAnsi="宋体"/>
          <w:sz w:val="24"/>
          <w:lang w:val="en-US" w:eastAsia="zh-CN"/>
        </w:rPr>
        <w:t>3.</w:t>
      </w:r>
      <w:r>
        <w:rPr>
          <w:rFonts w:hint="eastAsia" w:ascii="宋体" w:hAnsi="宋体"/>
          <w:sz w:val="24"/>
        </w:rPr>
        <w:t>2</w:t>
      </w:r>
      <w:r>
        <w:rPr>
          <w:rFonts w:hint="eastAsia" w:ascii="宋体" w:hAnsi="宋体"/>
          <w:sz w:val="24"/>
          <w:lang w:val="en-US" w:eastAsia="zh-CN"/>
        </w:rPr>
        <w:t xml:space="preserve"> </w:t>
      </w:r>
      <w:r>
        <w:rPr>
          <w:rFonts w:hint="eastAsia" w:ascii="宋体" w:hAnsi="宋体"/>
          <w:sz w:val="24"/>
        </w:rPr>
        <w:t>人工单价执行202</w:t>
      </w:r>
      <w:r>
        <w:rPr>
          <w:rFonts w:hint="eastAsia" w:ascii="宋体" w:hAnsi="宋体"/>
          <w:sz w:val="24"/>
          <w:lang w:val="en-US" w:eastAsia="zh-CN"/>
        </w:rPr>
        <w:t>4</w:t>
      </w:r>
      <w:r>
        <w:rPr>
          <w:rFonts w:hint="eastAsia" w:ascii="宋体" w:hAnsi="宋体"/>
          <w:sz w:val="24"/>
        </w:rPr>
        <w:t>年</w:t>
      </w:r>
      <w:r>
        <w:rPr>
          <w:rFonts w:hint="eastAsia" w:ascii="宋体" w:hAnsi="宋体"/>
          <w:sz w:val="24"/>
          <w:lang w:val="en-US" w:eastAsia="zh-CN"/>
        </w:rPr>
        <w:t>5</w:t>
      </w:r>
      <w:r>
        <w:rPr>
          <w:rFonts w:hint="eastAsia" w:ascii="宋体" w:hAnsi="宋体"/>
          <w:sz w:val="24"/>
        </w:rPr>
        <w:t>月《北京工程造价信息》</w:t>
      </w:r>
      <w:r>
        <w:rPr>
          <w:rFonts w:hint="eastAsia" w:ascii="宋体" w:hAnsi="宋体"/>
          <w:sz w:val="24"/>
          <w:lang w:val="en-US" w:eastAsia="zh-CN"/>
        </w:rPr>
        <w:t>高值</w:t>
      </w:r>
      <w:r>
        <w:rPr>
          <w:rFonts w:hint="eastAsia" w:ascii="宋体" w:hAnsi="宋体"/>
          <w:sz w:val="24"/>
        </w:rPr>
        <w:t>计取；</w:t>
      </w:r>
    </w:p>
    <w:p>
      <w:pPr>
        <w:spacing w:line="360" w:lineRule="auto"/>
        <w:ind w:firstLine="480" w:firstLineChars="200"/>
        <w:jc w:val="left"/>
        <w:rPr>
          <w:rFonts w:hint="eastAsia" w:ascii="宋体" w:hAnsi="宋体"/>
          <w:sz w:val="24"/>
        </w:rPr>
      </w:pPr>
      <w:r>
        <w:rPr>
          <w:rFonts w:hint="eastAsia" w:ascii="宋体" w:hAnsi="宋体"/>
          <w:sz w:val="24"/>
          <w:lang w:val="en-US" w:eastAsia="zh-CN"/>
        </w:rPr>
        <w:t>3.</w:t>
      </w:r>
      <w:r>
        <w:rPr>
          <w:rFonts w:hint="eastAsia" w:ascii="宋体" w:hAnsi="宋体"/>
          <w:sz w:val="24"/>
        </w:rPr>
        <w:t>3</w:t>
      </w:r>
      <w:r>
        <w:rPr>
          <w:rFonts w:hint="eastAsia" w:ascii="宋体" w:hAnsi="宋体"/>
          <w:sz w:val="24"/>
          <w:lang w:val="en-US" w:eastAsia="zh-CN"/>
        </w:rPr>
        <w:t xml:space="preserve"> </w:t>
      </w:r>
      <w:r>
        <w:rPr>
          <w:rFonts w:hint="eastAsia" w:ascii="宋体" w:hAnsi="宋体"/>
          <w:sz w:val="24"/>
        </w:rPr>
        <w:t>材料设备价执行202</w:t>
      </w:r>
      <w:r>
        <w:rPr>
          <w:rFonts w:hint="eastAsia" w:ascii="宋体" w:hAnsi="宋体"/>
          <w:sz w:val="24"/>
          <w:lang w:val="en-US" w:eastAsia="zh-CN"/>
        </w:rPr>
        <w:t>4</w:t>
      </w:r>
      <w:r>
        <w:rPr>
          <w:rFonts w:hint="eastAsia" w:ascii="宋体" w:hAnsi="宋体"/>
          <w:sz w:val="24"/>
        </w:rPr>
        <w:t>年</w:t>
      </w:r>
      <w:r>
        <w:rPr>
          <w:rFonts w:hint="eastAsia" w:ascii="宋体" w:hAnsi="宋体"/>
          <w:sz w:val="24"/>
          <w:lang w:val="en-US" w:eastAsia="zh-CN"/>
        </w:rPr>
        <w:t>5</w:t>
      </w:r>
      <w:r>
        <w:rPr>
          <w:rFonts w:hint="eastAsia" w:ascii="宋体" w:hAnsi="宋体"/>
          <w:sz w:val="24"/>
        </w:rPr>
        <w:t>月《北京工程造价信息》及当期市场询价；</w:t>
      </w:r>
    </w:p>
    <w:p>
      <w:pPr>
        <w:spacing w:line="360" w:lineRule="auto"/>
        <w:ind w:firstLine="480" w:firstLineChars="200"/>
        <w:jc w:val="left"/>
        <w:rPr>
          <w:rFonts w:hint="eastAsia" w:ascii="宋体" w:hAnsi="宋体"/>
          <w:sz w:val="24"/>
        </w:rPr>
      </w:pPr>
      <w:r>
        <w:rPr>
          <w:rFonts w:hint="eastAsia" w:ascii="宋体" w:hAnsi="宋体"/>
          <w:sz w:val="24"/>
          <w:lang w:val="en-US" w:eastAsia="zh-CN"/>
        </w:rPr>
        <w:t>3.</w:t>
      </w:r>
      <w:r>
        <w:rPr>
          <w:rFonts w:hint="eastAsia" w:ascii="宋体" w:hAnsi="宋体"/>
          <w:sz w:val="24"/>
        </w:rPr>
        <w:t>4</w:t>
      </w:r>
      <w:r>
        <w:rPr>
          <w:rFonts w:hint="eastAsia" w:ascii="宋体" w:hAnsi="宋体"/>
          <w:sz w:val="24"/>
          <w:lang w:val="en-US" w:eastAsia="zh-CN"/>
        </w:rPr>
        <w:t xml:space="preserve"> </w:t>
      </w:r>
      <w:r>
        <w:rPr>
          <w:rFonts w:hint="eastAsia" w:ascii="宋体" w:hAnsi="宋体"/>
          <w:sz w:val="24"/>
        </w:rPr>
        <w:t>企业管理费、利润、现场管理费等费用均参照202</w:t>
      </w:r>
      <w:r>
        <w:rPr>
          <w:rFonts w:hint="eastAsia" w:ascii="宋体" w:hAnsi="宋体"/>
          <w:sz w:val="24"/>
          <w:lang w:val="en-US" w:eastAsia="zh-CN"/>
        </w:rPr>
        <w:t>4</w:t>
      </w:r>
      <w:r>
        <w:rPr>
          <w:rFonts w:hint="eastAsia" w:ascii="宋体" w:hAnsi="宋体"/>
          <w:sz w:val="24"/>
        </w:rPr>
        <w:t>年</w:t>
      </w:r>
      <w:r>
        <w:rPr>
          <w:rFonts w:hint="eastAsia" w:ascii="宋体" w:hAnsi="宋体"/>
          <w:sz w:val="24"/>
          <w:lang w:val="en-US" w:eastAsia="zh-CN"/>
        </w:rPr>
        <w:t>5</w:t>
      </w:r>
      <w:r>
        <w:rPr>
          <w:rFonts w:hint="eastAsia" w:ascii="宋体" w:hAnsi="宋体"/>
          <w:sz w:val="24"/>
        </w:rPr>
        <w:t>月《北京工程造价信息》的相关标准的中值计入；</w:t>
      </w:r>
    </w:p>
    <w:p>
      <w:pPr>
        <w:spacing w:line="360" w:lineRule="auto"/>
        <w:ind w:firstLine="480" w:firstLineChars="200"/>
        <w:jc w:val="left"/>
        <w:rPr>
          <w:rFonts w:hint="eastAsia" w:ascii="宋体" w:hAnsi="宋体"/>
          <w:sz w:val="24"/>
          <w:lang w:eastAsia="zh-CN"/>
        </w:rPr>
      </w:pPr>
      <w:r>
        <w:rPr>
          <w:rFonts w:hint="eastAsia" w:ascii="宋体" w:hAnsi="宋体"/>
          <w:sz w:val="24"/>
          <w:lang w:val="en-US" w:eastAsia="zh-CN"/>
        </w:rPr>
        <w:t>3.</w:t>
      </w:r>
      <w:r>
        <w:rPr>
          <w:rFonts w:hint="eastAsia" w:ascii="宋体" w:hAnsi="宋体"/>
          <w:sz w:val="24"/>
        </w:rPr>
        <w:t>5</w:t>
      </w:r>
      <w:r>
        <w:rPr>
          <w:rFonts w:hint="eastAsia" w:ascii="宋体" w:hAnsi="宋体"/>
          <w:sz w:val="24"/>
          <w:lang w:val="en-US" w:eastAsia="zh-CN"/>
        </w:rPr>
        <w:t xml:space="preserve"> </w:t>
      </w:r>
      <w:r>
        <w:rPr>
          <w:rFonts w:hint="eastAsia" w:ascii="宋体" w:hAnsi="宋体"/>
          <w:sz w:val="24"/>
        </w:rPr>
        <w:t>混凝土标号暂按预拌混凝土C30</w:t>
      </w:r>
      <w:r>
        <w:rPr>
          <w:rFonts w:hint="eastAsia" w:ascii="宋体" w:hAnsi="宋体"/>
          <w:sz w:val="24"/>
          <w:lang w:eastAsia="zh-CN"/>
        </w:rPr>
        <w:t>；</w:t>
      </w:r>
    </w:p>
    <w:p>
      <w:pPr>
        <w:spacing w:line="360" w:lineRule="auto"/>
        <w:ind w:firstLine="480" w:firstLineChars="200"/>
        <w:jc w:val="left"/>
        <w:rPr>
          <w:rFonts w:hint="eastAsia" w:ascii="宋体" w:hAnsi="宋体"/>
          <w:sz w:val="24"/>
          <w:lang w:val="en-US" w:eastAsia="zh-CN"/>
        </w:rPr>
      </w:pPr>
      <w:r>
        <w:rPr>
          <w:rFonts w:hint="eastAsia" w:ascii="宋体" w:hAnsi="宋体"/>
          <w:sz w:val="24"/>
          <w:lang w:val="en-US" w:eastAsia="zh-CN"/>
        </w:rPr>
        <w:t xml:space="preserve">3.6 </w:t>
      </w:r>
      <w:r>
        <w:rPr>
          <w:rFonts w:hint="eastAsia" w:ascii="宋体" w:hAnsi="宋体"/>
          <w:sz w:val="24"/>
        </w:rPr>
        <w:t>拆除幕墙LTC2419需拆除大理石及附框工程量</w:t>
      </w:r>
      <w:r>
        <w:rPr>
          <w:rFonts w:hint="eastAsia" w:ascii="宋体" w:hAnsi="宋体"/>
          <w:sz w:val="24"/>
          <w:lang w:val="en-US" w:eastAsia="zh-CN"/>
        </w:rPr>
        <w:t>暂按图纸疑问中设计回复的石材拆除并恢复面积200㎡，修补重做石材面积40㎡计入；</w:t>
      </w:r>
    </w:p>
    <w:p>
      <w:pPr>
        <w:spacing w:line="360" w:lineRule="auto"/>
        <w:ind w:firstLine="480" w:firstLineChars="200"/>
        <w:jc w:val="left"/>
        <w:rPr>
          <w:rFonts w:hint="default" w:ascii="宋体" w:hAnsi="宋体"/>
          <w:sz w:val="24"/>
          <w:lang w:val="en-US" w:eastAsia="zh-CN"/>
        </w:rPr>
      </w:pPr>
      <w:r>
        <w:rPr>
          <w:rFonts w:hint="eastAsia" w:ascii="宋体" w:hAnsi="宋体"/>
          <w:sz w:val="24"/>
          <w:lang w:val="en-US" w:eastAsia="zh-CN"/>
        </w:rPr>
        <w:t>3.7 护头棚暂按《民航医院总平面图（最新现状图）6.12_t3.dwg》所示748.75平方米计入；</w:t>
      </w:r>
    </w:p>
    <w:p>
      <w:pPr>
        <w:spacing w:line="360" w:lineRule="auto"/>
        <w:ind w:firstLine="480" w:firstLineChars="200"/>
        <w:jc w:val="left"/>
        <w:rPr>
          <w:rFonts w:hint="eastAsia" w:ascii="宋体" w:hAnsi="宋体"/>
          <w:sz w:val="24"/>
          <w:lang w:val="en-US" w:eastAsia="zh-CN"/>
        </w:rPr>
      </w:pPr>
      <w:r>
        <w:rPr>
          <w:rFonts w:hint="eastAsia" w:ascii="宋体" w:hAnsi="宋体"/>
          <w:sz w:val="24"/>
          <w:lang w:val="en-US" w:eastAsia="zh-CN"/>
        </w:rPr>
        <w:t>3.8 纱窗暂按（高透金钢网纱窗）考虑；</w:t>
      </w:r>
    </w:p>
    <w:p>
      <w:pPr>
        <w:spacing w:line="360" w:lineRule="auto"/>
        <w:ind w:firstLine="480" w:firstLineChars="200"/>
        <w:jc w:val="left"/>
        <w:rPr>
          <w:rFonts w:hint="eastAsia" w:ascii="宋体" w:hAnsi="宋体"/>
          <w:sz w:val="24"/>
          <w:lang w:val="en-US" w:eastAsia="zh-CN"/>
        </w:rPr>
      </w:pPr>
      <w:r>
        <w:rPr>
          <w:rFonts w:hint="eastAsia" w:ascii="宋体" w:hAnsi="宋体"/>
          <w:sz w:val="24"/>
          <w:lang w:val="en-US" w:eastAsia="zh-CN"/>
        </w:rPr>
        <w:t>3.9 玻璃品种、厚度按5中透Low-e+12A+5+12A+5考虑；</w:t>
      </w:r>
    </w:p>
    <w:p>
      <w:pPr>
        <w:spacing w:line="360" w:lineRule="auto"/>
        <w:ind w:firstLine="480" w:firstLineChars="200"/>
        <w:jc w:val="left"/>
        <w:rPr>
          <w:rFonts w:hint="default" w:ascii="宋体" w:hAnsi="宋体"/>
          <w:sz w:val="24"/>
          <w:lang w:val="en-US" w:eastAsia="zh-CN"/>
        </w:rPr>
      </w:pPr>
      <w:r>
        <w:rPr>
          <w:rFonts w:hint="eastAsia" w:ascii="宋体" w:hAnsi="宋体"/>
          <w:sz w:val="24"/>
          <w:lang w:val="en-US" w:eastAsia="zh-CN"/>
        </w:rPr>
        <w:t>3.10 五金材料品种、规格按70系列考虑。</w:t>
      </w:r>
    </w:p>
    <w:p>
      <w:pPr>
        <w:tabs>
          <w:tab w:val="left" w:pos="1995"/>
        </w:tabs>
        <w:spacing w:line="360" w:lineRule="auto"/>
        <w:rPr>
          <w:rFonts w:ascii="Times New Roman" w:hAnsi="Times New Roman" w:cs="Times New Roman"/>
          <w:b/>
          <w:bCs/>
          <w:sz w:val="24"/>
          <w:szCs w:val="24"/>
        </w:rPr>
      </w:pPr>
      <w:r>
        <w:rPr>
          <w:rFonts w:hint="eastAsia" w:cs="Times New Roman"/>
          <w:b/>
          <w:bCs/>
          <w:sz w:val="24"/>
          <w:szCs w:val="24"/>
          <w:lang w:val="en-US" w:eastAsia="zh-CN"/>
        </w:rPr>
        <w:t>四</w:t>
      </w:r>
      <w:r>
        <w:rPr>
          <w:rFonts w:ascii="Times New Roman" w:hAnsi="Times New Roman" w:cs="Times New Roman"/>
          <w:b/>
          <w:bCs/>
          <w:sz w:val="24"/>
          <w:szCs w:val="24"/>
        </w:rPr>
        <w:t>、工期要求</w:t>
      </w:r>
    </w:p>
    <w:p>
      <w:pPr>
        <w:spacing w:line="300" w:lineRule="auto"/>
        <w:ind w:firstLine="960" w:firstLineChars="400"/>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工期要求：</w:t>
      </w:r>
      <w:r>
        <w:rPr>
          <w:rFonts w:hint="eastAsia" w:ascii="Times New Roman" w:hAnsi="Times New Roman" w:cs="Times New Roman"/>
          <w:sz w:val="24"/>
          <w:szCs w:val="24"/>
          <w:highlight w:val="none"/>
          <w:u w:val="none"/>
          <w:lang w:val="en-US" w:eastAsia="zh-CN"/>
        </w:rPr>
        <w:t>70日历天</w:t>
      </w:r>
      <w:r>
        <w:rPr>
          <w:rFonts w:ascii="Times New Roman" w:hAnsi="Times New Roman" w:cs="Times New Roman"/>
          <w:sz w:val="24"/>
          <w:szCs w:val="24"/>
          <w:highlight w:val="none"/>
          <w:u w:val="none"/>
        </w:rPr>
        <w:t>；</w:t>
      </w:r>
    </w:p>
    <w:p>
      <w:pPr>
        <w:spacing w:line="300" w:lineRule="auto"/>
        <w:ind w:firstLine="960" w:firstLineChars="400"/>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计划开工日期：</w:t>
      </w:r>
      <w:r>
        <w:rPr>
          <w:rFonts w:hint="eastAsia" w:ascii="Times New Roman" w:hAnsi="Times New Roman" w:cs="Times New Roman"/>
          <w:sz w:val="24"/>
          <w:szCs w:val="24"/>
          <w:highlight w:val="none"/>
          <w:u w:val="none"/>
        </w:rPr>
        <w:t>20</w:t>
      </w:r>
      <w:r>
        <w:rPr>
          <w:rFonts w:hint="eastAsia" w:cs="Times New Roman"/>
          <w:sz w:val="24"/>
          <w:szCs w:val="24"/>
          <w:highlight w:val="none"/>
          <w:u w:val="none"/>
          <w:lang w:val="en-US" w:eastAsia="zh-CN"/>
        </w:rPr>
        <w:t>24</w:t>
      </w:r>
      <w:r>
        <w:rPr>
          <w:rFonts w:ascii="Times New Roman" w:hAnsi="Times New Roman" w:cs="Times New Roman"/>
          <w:sz w:val="24"/>
          <w:szCs w:val="24"/>
          <w:highlight w:val="none"/>
          <w:u w:val="none"/>
        </w:rPr>
        <w:t>年</w:t>
      </w:r>
      <w:r>
        <w:rPr>
          <w:rFonts w:hint="eastAsia" w:cs="Times New Roman"/>
          <w:sz w:val="24"/>
          <w:szCs w:val="24"/>
          <w:highlight w:val="none"/>
          <w:u w:val="none"/>
          <w:lang w:val="en-US" w:eastAsia="zh-CN"/>
        </w:rPr>
        <w:t>07</w:t>
      </w:r>
      <w:r>
        <w:rPr>
          <w:rFonts w:ascii="Times New Roman" w:hAnsi="Times New Roman" w:cs="Times New Roman"/>
          <w:sz w:val="24"/>
          <w:szCs w:val="24"/>
          <w:highlight w:val="none"/>
          <w:u w:val="none"/>
        </w:rPr>
        <w:t>月</w:t>
      </w:r>
      <w:r>
        <w:rPr>
          <w:rFonts w:hint="eastAsia" w:cs="Times New Roman"/>
          <w:sz w:val="24"/>
          <w:szCs w:val="24"/>
          <w:highlight w:val="none"/>
          <w:u w:val="none"/>
          <w:lang w:val="en-US" w:eastAsia="zh-CN"/>
        </w:rPr>
        <w:t>20</w:t>
      </w:r>
      <w:r>
        <w:rPr>
          <w:rFonts w:ascii="Times New Roman" w:hAnsi="Times New Roman" w:cs="Times New Roman"/>
          <w:sz w:val="24"/>
          <w:szCs w:val="24"/>
          <w:highlight w:val="none"/>
          <w:u w:val="none"/>
        </w:rPr>
        <w:t>日</w:t>
      </w:r>
    </w:p>
    <w:p>
      <w:pPr>
        <w:spacing w:line="300" w:lineRule="auto"/>
        <w:ind w:firstLine="960" w:firstLineChars="400"/>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计划竣工日期：</w:t>
      </w:r>
      <w:r>
        <w:rPr>
          <w:rFonts w:hint="eastAsia" w:ascii="Times New Roman" w:hAnsi="Times New Roman" w:cs="Times New Roman"/>
          <w:sz w:val="24"/>
          <w:szCs w:val="24"/>
          <w:highlight w:val="none"/>
          <w:u w:val="none"/>
        </w:rPr>
        <w:t>20</w:t>
      </w:r>
      <w:r>
        <w:rPr>
          <w:rFonts w:hint="eastAsia" w:cs="Times New Roman"/>
          <w:sz w:val="24"/>
          <w:szCs w:val="24"/>
          <w:highlight w:val="none"/>
          <w:u w:val="none"/>
          <w:lang w:val="en-US" w:eastAsia="zh-CN"/>
        </w:rPr>
        <w:t>24</w:t>
      </w:r>
      <w:r>
        <w:rPr>
          <w:rFonts w:ascii="Times New Roman" w:hAnsi="Times New Roman" w:cs="Times New Roman"/>
          <w:sz w:val="24"/>
          <w:szCs w:val="24"/>
          <w:highlight w:val="none"/>
          <w:u w:val="none"/>
        </w:rPr>
        <w:t>年</w:t>
      </w:r>
      <w:r>
        <w:rPr>
          <w:rFonts w:hint="eastAsia" w:cs="Times New Roman"/>
          <w:sz w:val="24"/>
          <w:szCs w:val="24"/>
          <w:highlight w:val="none"/>
          <w:u w:val="none"/>
          <w:lang w:val="en-US" w:eastAsia="zh-CN"/>
        </w:rPr>
        <w:t>09</w:t>
      </w:r>
      <w:r>
        <w:rPr>
          <w:rFonts w:ascii="Times New Roman" w:hAnsi="Times New Roman" w:cs="Times New Roman"/>
          <w:sz w:val="24"/>
          <w:szCs w:val="24"/>
          <w:highlight w:val="none"/>
          <w:u w:val="none"/>
        </w:rPr>
        <w:t>月</w:t>
      </w:r>
      <w:r>
        <w:rPr>
          <w:rFonts w:hint="eastAsia" w:cs="Times New Roman"/>
          <w:sz w:val="24"/>
          <w:szCs w:val="24"/>
          <w:highlight w:val="none"/>
          <w:u w:val="none"/>
          <w:lang w:val="en-US" w:eastAsia="zh-CN"/>
        </w:rPr>
        <w:t>28</w:t>
      </w:r>
      <w:r>
        <w:rPr>
          <w:rFonts w:ascii="Times New Roman" w:hAnsi="Times New Roman" w:cs="Times New Roman"/>
          <w:sz w:val="24"/>
          <w:szCs w:val="24"/>
          <w:highlight w:val="none"/>
          <w:u w:val="none"/>
        </w:rPr>
        <w:t>日</w:t>
      </w:r>
    </w:p>
    <w:p>
      <w:pPr>
        <w:spacing w:line="300" w:lineRule="auto"/>
        <w:ind w:firstLine="960" w:firstLineChars="400"/>
        <w:rPr>
          <w:rFonts w:hint="default" w:ascii="Times New Roman" w:hAnsi="Times New Roman" w:cs="Times New Roman"/>
          <w:sz w:val="24"/>
          <w:szCs w:val="24"/>
          <w:highlight w:val="none"/>
          <w:u w:val="single"/>
        </w:rPr>
      </w:pPr>
      <w:r>
        <w:rPr>
          <w:rFonts w:hint="eastAsia" w:ascii="Times New Roman" w:hAnsi="Times New Roman" w:cs="Times New Roman"/>
          <w:sz w:val="24"/>
          <w:szCs w:val="24"/>
          <w:highlight w:val="none"/>
          <w:u w:val="none"/>
          <w:lang w:val="en-US" w:eastAsia="zh-CN"/>
        </w:rPr>
        <w:t>其他：采购人要求的其他时间</w:t>
      </w:r>
    </w:p>
    <w:p>
      <w:pPr>
        <w:spacing w:line="300" w:lineRule="auto"/>
        <w:ind w:firstLine="960" w:firstLineChars="400"/>
        <w:rPr>
          <w:rFonts w:ascii="Times New Roman" w:hAnsi="Times New Roman" w:cs="Times New Roman"/>
          <w:sz w:val="24"/>
          <w:szCs w:val="24"/>
          <w:highlight w:val="green"/>
        </w:rPr>
      </w:pPr>
    </w:p>
    <w:p>
      <w:pPr>
        <w:tabs>
          <w:tab w:val="left" w:pos="1995"/>
        </w:tabs>
        <w:spacing w:line="360" w:lineRule="auto"/>
        <w:rPr>
          <w:rFonts w:ascii="Times New Roman" w:hAnsi="Times New Roman" w:cs="Times New Roman"/>
          <w:b/>
          <w:bCs/>
          <w:sz w:val="24"/>
          <w:szCs w:val="24"/>
        </w:rPr>
      </w:pPr>
      <w:r>
        <w:rPr>
          <w:rFonts w:hint="eastAsia" w:cs="Times New Roman"/>
          <w:b/>
          <w:bCs/>
          <w:sz w:val="24"/>
          <w:szCs w:val="24"/>
          <w:lang w:val="en-US" w:eastAsia="zh-CN"/>
        </w:rPr>
        <w:t>五</w:t>
      </w:r>
      <w:r>
        <w:rPr>
          <w:rFonts w:ascii="Times New Roman" w:hAnsi="Times New Roman" w:cs="Times New Roman"/>
          <w:b/>
          <w:bCs/>
          <w:sz w:val="24"/>
          <w:szCs w:val="24"/>
        </w:rPr>
        <w:t>、质量要求</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1.</w:t>
      </w:r>
      <w:r>
        <w:rPr>
          <w:rFonts w:ascii="Times New Roman" w:hAnsi="Times New Roman" w:cs="Times New Roman"/>
          <w:sz w:val="24"/>
          <w:szCs w:val="24"/>
        </w:rPr>
        <w:t xml:space="preserve"> 质量标准</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2.</w:t>
      </w:r>
      <w:r>
        <w:rPr>
          <w:rFonts w:ascii="Times New Roman" w:hAnsi="Times New Roman" w:cs="Times New Roman"/>
          <w:sz w:val="24"/>
          <w:szCs w:val="24"/>
        </w:rPr>
        <w:t xml:space="preserve"> 本工程要求的质量标准为：合格，符合现行国家有关工程施工验收规范和标准的要求。</w:t>
      </w:r>
    </w:p>
    <w:p>
      <w:pPr>
        <w:tabs>
          <w:tab w:val="left" w:pos="1995"/>
        </w:tabs>
        <w:spacing w:line="360" w:lineRule="auto"/>
        <w:rPr>
          <w:rFonts w:ascii="Times New Roman" w:hAnsi="Times New Roman" w:cs="Times New Roman"/>
          <w:b/>
          <w:bCs/>
          <w:sz w:val="24"/>
          <w:szCs w:val="24"/>
        </w:rPr>
      </w:pPr>
      <w:r>
        <w:rPr>
          <w:rFonts w:hint="eastAsia" w:cs="Times New Roman"/>
          <w:b/>
          <w:bCs/>
          <w:sz w:val="24"/>
          <w:szCs w:val="24"/>
          <w:lang w:val="en-US" w:eastAsia="zh-CN"/>
        </w:rPr>
        <w:t>六</w:t>
      </w:r>
      <w:r>
        <w:rPr>
          <w:rFonts w:ascii="Times New Roman" w:hAnsi="Times New Roman" w:cs="Times New Roman"/>
          <w:b/>
          <w:bCs/>
          <w:sz w:val="24"/>
          <w:szCs w:val="24"/>
        </w:rPr>
        <w:t>、适用规范和标准</w:t>
      </w:r>
    </w:p>
    <w:p>
      <w:pPr>
        <w:pStyle w:val="3"/>
        <w:spacing w:line="360" w:lineRule="auto"/>
        <w:rPr>
          <w:rFonts w:hint="eastAsia" w:ascii="Times New Roman" w:hAnsi="Times New Roman" w:cs="Times New Roman"/>
          <w:sz w:val="24"/>
          <w:szCs w:val="24"/>
          <w:lang w:val="en-US" w:eastAsia="zh-CN"/>
        </w:rPr>
      </w:pPr>
      <w:r>
        <w:rPr>
          <w:rFonts w:hint="eastAsia" w:ascii="Times New Roman" w:hAnsi="Times New Roman" w:eastAsia="宋体" w:cs="Times New Roman"/>
          <w:b w:val="0"/>
          <w:bCs w:val="0"/>
          <w:sz w:val="24"/>
          <w:szCs w:val="24"/>
          <w:lang w:val="en-US" w:eastAsia="zh-CN"/>
        </w:rPr>
        <w:t>包括但不限于以下规范及图集</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1.</w:t>
      </w:r>
      <w:r>
        <w:rPr>
          <w:rFonts w:ascii="Times New Roman" w:hAnsi="Times New Roman" w:cs="Times New Roman"/>
          <w:sz w:val="24"/>
          <w:szCs w:val="24"/>
        </w:rPr>
        <w:t>适用的规范、标准和规程</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2.</w:t>
      </w:r>
      <w:r>
        <w:rPr>
          <w:rFonts w:ascii="Times New Roman" w:hAnsi="Times New Roman" w:cs="Times New Roman"/>
          <w:sz w:val="24"/>
          <w:szCs w:val="24"/>
        </w:rPr>
        <w:t xml:space="preserve"> 除合同另有约定外，本工程适用现行国家、行业和地方规范、标准和规程。构成合同文件的任何内容与适用的规范、标准和规程之间出现矛盾，承包人应书面要求监理人予以澄清，除监理人有特别指示外，承包人应按照其中要求最严格的标准执行。</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3.</w:t>
      </w:r>
      <w:r>
        <w:rPr>
          <w:rFonts w:ascii="Times New Roman" w:hAnsi="Times New Roman" w:cs="Times New Roman"/>
          <w:sz w:val="24"/>
          <w:szCs w:val="24"/>
        </w:rPr>
        <w:t xml:space="preserve"> 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4.</w:t>
      </w:r>
      <w:r>
        <w:rPr>
          <w:rFonts w:ascii="Times New Roman" w:hAnsi="Times New Roman" w:cs="Times New Roman"/>
          <w:sz w:val="24"/>
          <w:szCs w:val="24"/>
        </w:rPr>
        <w:t xml:space="preserve"> 国内目前可以直接引用其索引号的主要施工验收规范</w:t>
      </w:r>
    </w:p>
    <w:p>
      <w:pPr>
        <w:pStyle w:val="3"/>
        <w:spacing w:line="360" w:lineRule="auto"/>
        <w:rPr>
          <w:rFonts w:ascii="Times New Roman" w:hAnsi="Times New Roman" w:cs="Times New Roman"/>
          <w:sz w:val="24"/>
          <w:szCs w:val="24"/>
        </w:rPr>
      </w:pPr>
      <w:r>
        <w:rPr>
          <w:rFonts w:ascii="Times New Roman" w:hAnsi="Times New Roman" w:cs="Times New Roman"/>
          <w:sz w:val="24"/>
          <w:szCs w:val="24"/>
        </w:rPr>
        <w:t>适用现行国家、行业和地方规范、标准和规程，按最新规范为准。</w:t>
      </w:r>
    </w:p>
    <w:p>
      <w:pPr>
        <w:tabs>
          <w:tab w:val="left" w:pos="1995"/>
        </w:tabs>
        <w:spacing w:line="360" w:lineRule="auto"/>
        <w:rPr>
          <w:rFonts w:ascii="Times New Roman" w:hAnsi="Times New Roman" w:cs="Times New Roman"/>
          <w:b/>
          <w:bCs/>
          <w:sz w:val="24"/>
          <w:szCs w:val="24"/>
        </w:rPr>
      </w:pPr>
      <w:r>
        <w:rPr>
          <w:rFonts w:hint="eastAsia" w:cs="Times New Roman"/>
          <w:b/>
          <w:bCs/>
          <w:sz w:val="24"/>
          <w:szCs w:val="24"/>
          <w:lang w:val="en-US" w:eastAsia="zh-CN"/>
        </w:rPr>
        <w:t>七</w:t>
      </w:r>
      <w:r>
        <w:rPr>
          <w:rFonts w:ascii="Times New Roman" w:hAnsi="Times New Roman" w:cs="Times New Roman"/>
          <w:b/>
          <w:bCs/>
          <w:sz w:val="24"/>
          <w:szCs w:val="24"/>
        </w:rPr>
        <w:t>、相关责任与要求</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1.</w:t>
      </w:r>
      <w:r>
        <w:rPr>
          <w:rFonts w:ascii="Times New Roman" w:hAnsi="Times New Roman" w:cs="Times New Roman"/>
          <w:sz w:val="24"/>
          <w:szCs w:val="24"/>
        </w:rPr>
        <w:t>相关责任</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2.</w:t>
      </w:r>
      <w:r>
        <w:rPr>
          <w:rFonts w:ascii="Times New Roman" w:hAnsi="Times New Roman" w:cs="Times New Roman"/>
          <w:sz w:val="24"/>
          <w:szCs w:val="24"/>
        </w:rPr>
        <w:t xml:space="preserve"> 对承包人进行工作面的交接验收完成后，发生的质量问题，由</w:t>
      </w:r>
      <w:r>
        <w:rPr>
          <w:rFonts w:hint="eastAsia" w:ascii="Times New Roman" w:hAnsi="Times New Roman" w:cs="Times New Roman"/>
          <w:sz w:val="24"/>
          <w:szCs w:val="24"/>
          <w:lang w:eastAsia="zh-CN"/>
        </w:rPr>
        <w:t>成交</w:t>
      </w:r>
      <w:r>
        <w:rPr>
          <w:rFonts w:ascii="Times New Roman" w:hAnsi="Times New Roman" w:cs="Times New Roman"/>
          <w:sz w:val="24"/>
          <w:szCs w:val="24"/>
        </w:rPr>
        <w:t>人自行解决，费用不予增加、工期不予顺延；</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3.</w:t>
      </w:r>
      <w:r>
        <w:rPr>
          <w:rFonts w:ascii="Times New Roman" w:hAnsi="Times New Roman" w:cs="Times New Roman"/>
          <w:sz w:val="24"/>
          <w:szCs w:val="24"/>
        </w:rPr>
        <w:t xml:space="preserve"> </w:t>
      </w:r>
      <w:r>
        <w:rPr>
          <w:rFonts w:hint="eastAsia" w:ascii="Times New Roman" w:hAnsi="Times New Roman" w:cs="Times New Roman"/>
          <w:sz w:val="24"/>
          <w:szCs w:val="24"/>
          <w:lang w:eastAsia="zh-CN"/>
        </w:rPr>
        <w:t>成交</w:t>
      </w:r>
      <w:r>
        <w:rPr>
          <w:rFonts w:ascii="Times New Roman" w:hAnsi="Times New Roman" w:cs="Times New Roman"/>
          <w:sz w:val="24"/>
          <w:szCs w:val="24"/>
        </w:rPr>
        <w:t>人需对现场设备设施进行成品保护，负责对其作业面内所有的成品及半成品保护工作，并直至完成成品验收交接后为止；因</w:t>
      </w:r>
      <w:r>
        <w:rPr>
          <w:rFonts w:hint="eastAsia" w:ascii="Times New Roman" w:hAnsi="Times New Roman" w:cs="Times New Roman"/>
          <w:sz w:val="24"/>
          <w:szCs w:val="24"/>
          <w:lang w:eastAsia="zh-CN"/>
        </w:rPr>
        <w:t>成交</w:t>
      </w:r>
      <w:r>
        <w:rPr>
          <w:rFonts w:ascii="Times New Roman" w:hAnsi="Times New Roman" w:cs="Times New Roman"/>
          <w:sz w:val="24"/>
          <w:szCs w:val="24"/>
        </w:rPr>
        <w:t>人原因造成损失的，由</w:t>
      </w:r>
      <w:r>
        <w:rPr>
          <w:rFonts w:hint="eastAsia" w:ascii="Times New Roman" w:hAnsi="Times New Roman" w:cs="Times New Roman"/>
          <w:sz w:val="24"/>
          <w:szCs w:val="24"/>
          <w:lang w:eastAsia="zh-CN"/>
        </w:rPr>
        <w:t>成交</w:t>
      </w:r>
      <w:r>
        <w:rPr>
          <w:rFonts w:ascii="Times New Roman" w:hAnsi="Times New Roman" w:cs="Times New Roman"/>
          <w:sz w:val="24"/>
          <w:szCs w:val="24"/>
        </w:rPr>
        <w:t>人承担相应责任；</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4.</w:t>
      </w:r>
      <w:r>
        <w:rPr>
          <w:rFonts w:ascii="Times New Roman" w:hAnsi="Times New Roman" w:cs="Times New Roman"/>
          <w:sz w:val="24"/>
          <w:szCs w:val="24"/>
        </w:rPr>
        <w:t xml:space="preserve"> 供应商投标前，应确认其投标书已全面理解且符合本磋商文件的内容和要求，响应文件一旦提交，采购人认为其报价已包括本磋商文件所包含的全部磋商范围内容。供应商应在现场踏勘时充分了解现场情况，响应文件中对现场差异情况除非有明确证明，否则采购人认为供应商在投标报价中已充分考虑到并不再进行调整。</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5.</w:t>
      </w:r>
      <w:r>
        <w:rPr>
          <w:rFonts w:ascii="Times New Roman" w:hAnsi="Times New Roman" w:cs="Times New Roman"/>
          <w:sz w:val="24"/>
          <w:szCs w:val="24"/>
        </w:rPr>
        <w:t xml:space="preserve"> 洽商变更等变动必须以书面形式通知采购人各相关专业的负责人，同时在洽商变更中必须考虑好</w:t>
      </w:r>
      <w:r>
        <w:rPr>
          <w:rFonts w:hint="eastAsia" w:ascii="Times New Roman" w:hAnsi="Times New Roman" w:cs="Times New Roman"/>
          <w:sz w:val="24"/>
          <w:szCs w:val="24"/>
          <w:lang w:val="en-US" w:eastAsia="zh-CN"/>
        </w:rPr>
        <w:t>相关</w:t>
      </w:r>
      <w:r>
        <w:rPr>
          <w:rFonts w:ascii="Times New Roman" w:hAnsi="Times New Roman" w:cs="Times New Roman"/>
          <w:sz w:val="24"/>
          <w:szCs w:val="24"/>
        </w:rPr>
        <w:t>专业的</w:t>
      </w:r>
      <w:r>
        <w:rPr>
          <w:rFonts w:hint="eastAsia" w:ascii="Times New Roman" w:hAnsi="Times New Roman" w:cs="Times New Roman"/>
          <w:sz w:val="24"/>
          <w:szCs w:val="24"/>
          <w:lang w:val="en-US" w:eastAsia="zh-CN"/>
        </w:rPr>
        <w:t>工序</w:t>
      </w:r>
      <w:r>
        <w:rPr>
          <w:rFonts w:ascii="Times New Roman" w:hAnsi="Times New Roman" w:cs="Times New Roman"/>
          <w:sz w:val="24"/>
          <w:szCs w:val="24"/>
        </w:rPr>
        <w:t>和设备是否影响功能性要求，美观要求，是否能够实现。</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6.</w:t>
      </w:r>
      <w:r>
        <w:rPr>
          <w:rFonts w:ascii="Times New Roman" w:hAnsi="Times New Roman" w:cs="Times New Roman"/>
          <w:sz w:val="24"/>
          <w:szCs w:val="24"/>
        </w:rPr>
        <w:t xml:space="preserve"> 资料的整理与规范填写，必须按实际日期填写，以免造成资料填写的日期时间前后颠倒。</w:t>
      </w:r>
    </w:p>
    <w:p>
      <w:pPr>
        <w:pStyle w:val="3"/>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7.</w:t>
      </w:r>
      <w:r>
        <w:rPr>
          <w:rFonts w:ascii="Times New Roman" w:hAnsi="Times New Roman" w:cs="Times New Roman"/>
          <w:sz w:val="24"/>
          <w:szCs w:val="24"/>
        </w:rPr>
        <w:t xml:space="preserve"> 装修所选用的材料必须符合图纸设计和图集的相关要求，满足相关的环保、防火要求，提供需要复试材料的检测报告（原件），保证验收的顺利通过。</w:t>
      </w:r>
    </w:p>
    <w:p>
      <w:pPr>
        <w:tabs>
          <w:tab w:val="left" w:pos="1995"/>
        </w:tabs>
        <w:spacing w:line="36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八、材料及产品供应</w:t>
      </w:r>
    </w:p>
    <w:p>
      <w:pPr>
        <w:pStyle w:val="3"/>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本工程所使用的主要材料应满足国家规定。</w:t>
      </w:r>
    </w:p>
    <w:p>
      <w:pPr>
        <w:tabs>
          <w:tab w:val="left" w:pos="1995"/>
        </w:tabs>
        <w:spacing w:line="36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九、材料验收</w:t>
      </w:r>
    </w:p>
    <w:p>
      <w:pPr>
        <w:pStyle w:val="3"/>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购买材料需满足以下条件：</w:t>
      </w:r>
    </w:p>
    <w:p>
      <w:pPr>
        <w:pStyle w:val="3"/>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1.产品出厂合格证</w:t>
      </w:r>
    </w:p>
    <w:p>
      <w:pPr>
        <w:pStyle w:val="3"/>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2.质量保证书</w:t>
      </w:r>
    </w:p>
    <w:p>
      <w:pPr>
        <w:pStyle w:val="3"/>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3.出厂检测报告</w:t>
      </w:r>
    </w:p>
    <w:p>
      <w:pPr>
        <w:pStyle w:val="3"/>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4.复检报告</w:t>
      </w:r>
    </w:p>
    <w:p>
      <w:r>
        <w:rPr>
          <w:rFonts w:hint="eastAsia" w:ascii="Times New Roman" w:hAnsi="Times New Roman" w:eastAsia="宋体" w:cs="Times New Roman"/>
          <w:kern w:val="2"/>
          <w:sz w:val="24"/>
          <w:szCs w:val="24"/>
          <w:lang w:val="en-US" w:eastAsia="zh-CN" w:bidi="ar-SA"/>
        </w:rPr>
        <w:t>5.材料到场后，需有发包人现场对比和验收，对于不合格的及不满足条件的材料进行无条件退回。</w:t>
      </w:r>
      <w:bookmarkStart w:id="0" w:name="_GoBack"/>
      <w:bookmarkEnd w:id="0"/>
    </w:p>
    <w:sectPr>
      <w:pgSz w:w="11906" w:h="16838"/>
      <w:pgMar w:top="1417" w:right="1588" w:bottom="918" w:left="1588"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3EFAFF"/>
    <w:multiLevelType w:val="multilevel"/>
    <w:tmpl w:val="013EFAF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1F25F1D3"/>
    <w:multiLevelType w:val="singleLevel"/>
    <w:tmpl w:val="1F25F1D3"/>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zNzI0ZDYzYjNmYTU4MmQ0OWIxZWNjYTdlYzc3MTgifQ=="/>
  </w:docVars>
  <w:rsids>
    <w:rsidRoot w:val="00000000"/>
    <w:rsid w:val="517B2A14"/>
    <w:rsid w:val="7F3731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公文"/>
    <w:basedOn w:val="1"/>
    <w:qFormat/>
    <w:uiPriority w:val="0"/>
    <w:pPr>
      <w:spacing w:line="560" w:lineRule="exact"/>
      <w:ind w:firstLine="200" w:firstLineChars="200"/>
    </w:pPr>
    <w:rPr>
      <w:rFonts w:ascii="Calibri" w:hAnsi="Calibri" w:eastAsia="仿宋_GB2312" w:cs="黑体"/>
      <w:sz w:val="32"/>
      <w:szCs w:val="22"/>
    </w:rPr>
  </w:style>
  <w:style w:type="paragraph" w:styleId="3">
    <w:name w:val="Plain Text"/>
    <w:basedOn w:val="1"/>
    <w:next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2024-02-04T03:27:00Z</dcterms:created>
  <dc:creator>Administrator</dc:creator>
  <cp:lastModifiedBy>陈思</cp:lastModifiedBy>
  <dcterms:modified xsi:type="dcterms:W3CDTF">2024-07-02T10:22:51Z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22E6DECEC89340E193490F3D06E3EAE0_12</vt:lpwstr>
  </property>
</Properties>
</file>