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2" w:leftChars="-1"/>
        <w:jc w:val="center"/>
        <w:rPr>
          <w:rFonts w:ascii="宋体" w:hAnsi="宋体"/>
          <w:b/>
          <w:spacing w:val="100"/>
          <w:sz w:val="96"/>
          <w:szCs w:val="96"/>
        </w:rPr>
      </w:pPr>
      <w:r>
        <w:rPr>
          <w:rFonts w:hint="eastAsia" w:ascii="宋体" w:hAnsi="宋体"/>
          <w:b/>
          <w:bCs/>
          <w:spacing w:val="100"/>
          <w:sz w:val="96"/>
          <w:szCs w:val="96"/>
        </w:rPr>
        <w:t>国内公开招标</w:t>
      </w:r>
    </w:p>
    <w:p>
      <w:pPr>
        <w:spacing w:line="360" w:lineRule="auto"/>
        <w:jc w:val="center"/>
        <w:rPr>
          <w:rFonts w:ascii="宋体" w:hAnsi="宋体"/>
          <w:b/>
          <w:sz w:val="36"/>
          <w:szCs w:val="36"/>
        </w:rPr>
      </w:pPr>
      <w:r>
        <w:rPr>
          <w:rFonts w:hint="eastAsia" w:ascii="宋体" w:hAnsi="宋体"/>
          <w:b/>
          <w:sz w:val="36"/>
          <w:szCs w:val="36"/>
        </w:rPr>
        <w:t>项目名称：中华人民共和国广州出入境边防检查总站机关土地权籍调查服务采购项目</w:t>
      </w:r>
    </w:p>
    <w:p>
      <w:pPr>
        <w:spacing w:line="360" w:lineRule="auto"/>
        <w:ind w:firstLine="2331" w:firstLineChars="645"/>
        <w:rPr>
          <w:rFonts w:ascii="宋体" w:hAnsi="宋体"/>
          <w:b/>
          <w:w w:val="150"/>
          <w:sz w:val="96"/>
        </w:rPr>
      </w:pPr>
      <w:r>
        <w:rPr>
          <w:rFonts w:hint="eastAsia" w:ascii="宋体" w:hAnsi="宋体"/>
          <w:b/>
          <w:sz w:val="36"/>
          <w:szCs w:val="36"/>
        </w:rPr>
        <w:t>项目编号：202308057306</w:t>
      </w:r>
    </w:p>
    <w:p>
      <w:pPr>
        <w:jc w:val="center"/>
        <w:rPr>
          <w:rFonts w:ascii="宋体" w:hAnsi="宋体"/>
          <w:b/>
          <w:w w:val="150"/>
          <w:sz w:val="96"/>
        </w:rPr>
      </w:pPr>
      <w:r>
        <w:rPr>
          <w:rFonts w:hint="eastAsia" w:ascii="宋体" w:hAnsi="宋体"/>
          <w:b/>
          <w:w w:val="150"/>
          <w:sz w:val="96"/>
        </w:rPr>
        <w:t>招</w:t>
      </w:r>
    </w:p>
    <w:p>
      <w:pPr>
        <w:jc w:val="center"/>
        <w:rPr>
          <w:rFonts w:ascii="宋体" w:hAnsi="宋体"/>
          <w:b/>
          <w:w w:val="150"/>
          <w:sz w:val="96"/>
        </w:rPr>
      </w:pPr>
    </w:p>
    <w:p>
      <w:pPr>
        <w:jc w:val="center"/>
        <w:rPr>
          <w:rFonts w:ascii="宋体" w:hAnsi="宋体"/>
          <w:b/>
          <w:w w:val="150"/>
          <w:sz w:val="96"/>
        </w:rPr>
      </w:pPr>
      <w:r>
        <w:rPr>
          <w:rFonts w:hint="eastAsia" w:ascii="宋体" w:hAnsi="宋体"/>
          <w:b/>
          <w:w w:val="150"/>
          <w:sz w:val="96"/>
        </w:rPr>
        <w:t>标</w:t>
      </w:r>
    </w:p>
    <w:p>
      <w:pPr>
        <w:jc w:val="center"/>
        <w:rPr>
          <w:rFonts w:ascii="宋体" w:hAnsi="宋体"/>
          <w:b/>
          <w:w w:val="150"/>
          <w:sz w:val="96"/>
        </w:rPr>
      </w:pPr>
    </w:p>
    <w:p>
      <w:pPr>
        <w:jc w:val="center"/>
        <w:rPr>
          <w:rFonts w:ascii="宋体" w:hAnsi="宋体"/>
          <w:b/>
          <w:w w:val="150"/>
          <w:sz w:val="96"/>
        </w:rPr>
      </w:pPr>
      <w:r>
        <w:rPr>
          <w:rFonts w:hint="eastAsia" w:ascii="宋体" w:hAnsi="宋体"/>
          <w:b/>
          <w:w w:val="150"/>
          <w:sz w:val="96"/>
        </w:rPr>
        <w:t>文</w:t>
      </w:r>
    </w:p>
    <w:p>
      <w:pPr>
        <w:jc w:val="center"/>
        <w:rPr>
          <w:rFonts w:ascii="宋体" w:hAnsi="宋体"/>
          <w:b/>
          <w:w w:val="150"/>
          <w:sz w:val="96"/>
        </w:rPr>
      </w:pPr>
    </w:p>
    <w:p>
      <w:pPr>
        <w:jc w:val="center"/>
        <w:rPr>
          <w:rFonts w:ascii="宋体" w:hAnsi="宋体"/>
          <w:b/>
          <w:w w:val="150"/>
          <w:sz w:val="96"/>
        </w:rPr>
      </w:pPr>
      <w:r>
        <w:rPr>
          <w:rFonts w:hint="eastAsia" w:ascii="宋体" w:hAnsi="宋体"/>
          <w:b/>
          <w:w w:val="150"/>
          <w:sz w:val="96"/>
        </w:rPr>
        <w:t>件</w:t>
      </w:r>
    </w:p>
    <w:p>
      <w:pPr>
        <w:spacing w:line="360" w:lineRule="auto"/>
        <w:jc w:val="center"/>
        <w:rPr>
          <w:rFonts w:ascii="宋体" w:hAnsi="宋体"/>
          <w:b/>
          <w:sz w:val="36"/>
          <w:szCs w:val="36"/>
        </w:rPr>
      </w:pPr>
    </w:p>
    <w:p>
      <w:pPr>
        <w:spacing w:line="360" w:lineRule="auto"/>
        <w:jc w:val="center"/>
        <w:rPr>
          <w:rFonts w:ascii="宋体" w:hAnsi="宋体"/>
          <w:b/>
          <w:sz w:val="36"/>
          <w:szCs w:val="36"/>
        </w:rPr>
      </w:pPr>
      <w:r>
        <w:rPr>
          <w:rFonts w:hint="eastAsia" w:ascii="宋体" w:hAnsi="宋体"/>
          <w:b/>
          <w:sz w:val="36"/>
          <w:szCs w:val="36"/>
        </w:rPr>
        <w:t>采购人：中华人民共和国广州出入境边防检查总站</w:t>
      </w:r>
    </w:p>
    <w:p>
      <w:pPr>
        <w:spacing w:line="360" w:lineRule="auto"/>
        <w:jc w:val="center"/>
        <w:rPr>
          <w:rFonts w:ascii="宋体" w:hAnsi="宋体"/>
          <w:b/>
          <w:sz w:val="36"/>
          <w:szCs w:val="36"/>
        </w:rPr>
        <w:sectPr>
          <w:headerReference r:id="rId4" w:type="first"/>
          <w:headerReference r:id="rId3" w:type="default"/>
          <w:pgSz w:w="11907" w:h="16840"/>
          <w:pgMar w:top="1418" w:right="1304" w:bottom="1361" w:left="1361" w:header="623" w:footer="794" w:gutter="0"/>
          <w:pgNumType w:start="1"/>
          <w:cols w:space="720" w:num="1"/>
          <w:titlePg/>
          <w:docGrid w:linePitch="285" w:charSpace="0"/>
        </w:sectPr>
      </w:pPr>
      <w:bookmarkStart w:id="0" w:name="_Toc32209"/>
      <w:bookmarkStart w:id="1" w:name="_Toc23291"/>
      <w:bookmarkStart w:id="2" w:name="_Toc9531"/>
      <w:bookmarkStart w:id="3" w:name="_Toc28699"/>
      <w:bookmarkStart w:id="4" w:name="_Toc22854"/>
      <w:r>
        <w:rPr>
          <w:rFonts w:hint="eastAsia" w:ascii="宋体" w:hAnsi="宋体"/>
          <w:b/>
          <w:sz w:val="36"/>
          <w:szCs w:val="36"/>
        </w:rPr>
        <w:t>采购代理机构：广州群生招标代理有限公司</w:t>
      </w:r>
    </w:p>
    <w:p>
      <w:pPr>
        <w:pStyle w:val="4"/>
        <w:keepLines w:val="0"/>
        <w:spacing w:before="0" w:after="0" w:line="360" w:lineRule="auto"/>
        <w:jc w:val="center"/>
        <w:rPr>
          <w:rFonts w:ascii="宋体" w:hAnsi="宋体" w:cs="Tahoma"/>
          <w:spacing w:val="20"/>
          <w:sz w:val="32"/>
          <w:szCs w:val="32"/>
        </w:rPr>
      </w:pPr>
      <w:r>
        <w:rPr>
          <w:rFonts w:hint="eastAsia" w:ascii="宋体" w:hAnsi="宋体" w:cs="Tahoma"/>
          <w:spacing w:val="20"/>
          <w:sz w:val="32"/>
          <w:szCs w:val="32"/>
        </w:rPr>
        <w:t>温馨提示：供应商投标特别注意事项</w:t>
      </w:r>
      <w:bookmarkEnd w:id="0"/>
      <w:bookmarkEnd w:id="1"/>
      <w:bookmarkEnd w:id="2"/>
      <w:bookmarkEnd w:id="3"/>
      <w:bookmarkEnd w:id="4"/>
    </w:p>
    <w:p>
      <w:pPr>
        <w:spacing w:line="360" w:lineRule="auto"/>
        <w:ind w:firstLine="420" w:firstLineChars="200"/>
        <w:rPr>
          <w:rFonts w:ascii="宋体" w:hAnsi="宋体"/>
        </w:rPr>
      </w:pPr>
      <w:r>
        <w:rPr>
          <w:rFonts w:hint="eastAsia" w:ascii="宋体" w:hAnsi="宋体"/>
        </w:rPr>
        <w:t>一、一般情况下，投标截止时间前半小时将开始接收投标文件，投标截止时间一到，将不接收任何投标文件，因此，请适当提前到达。</w:t>
      </w:r>
    </w:p>
    <w:p>
      <w:pPr>
        <w:spacing w:line="360" w:lineRule="auto"/>
        <w:ind w:firstLine="420" w:firstLineChars="200"/>
        <w:rPr>
          <w:rFonts w:ascii="宋体" w:hAnsi="宋体"/>
        </w:rPr>
      </w:pPr>
      <w:r>
        <w:rPr>
          <w:rFonts w:hint="eastAsia" w:ascii="宋体" w:hAnsi="宋体"/>
        </w:rPr>
        <w:t>二、采购代理机构有可能在相近时间有多个项目进行开标，请投标人授权代表到达开标会场后按指示前往相应的会议室，或主动咨询工作人员，以免错误递交投标文件。</w:t>
      </w:r>
    </w:p>
    <w:p>
      <w:pPr>
        <w:spacing w:line="360" w:lineRule="auto"/>
        <w:ind w:firstLine="420" w:firstLineChars="200"/>
        <w:rPr>
          <w:rFonts w:ascii="宋体" w:hAnsi="宋体"/>
        </w:rPr>
      </w:pPr>
      <w:r>
        <w:rPr>
          <w:rFonts w:hint="eastAsia" w:ascii="宋体" w:hAnsi="宋体"/>
        </w:rPr>
        <w:t>三、</w:t>
      </w:r>
      <w:r>
        <w:rPr>
          <w:rFonts w:hint="eastAsia" w:ascii="宋体" w:hAnsi="宋体"/>
          <w:szCs w:val="21"/>
        </w:rPr>
        <w:t>投标人授权代表参加开标会的，请凭法定代表人（负责人）证明及授权书、身份证原件进入开标会场。</w:t>
      </w:r>
    </w:p>
    <w:p>
      <w:pPr>
        <w:spacing w:line="360" w:lineRule="auto"/>
        <w:ind w:firstLine="420" w:firstLineChars="200"/>
        <w:rPr>
          <w:rFonts w:ascii="宋体" w:hAnsi="宋体"/>
        </w:rPr>
      </w:pPr>
      <w:r>
        <w:rPr>
          <w:rFonts w:hint="eastAsia" w:ascii="宋体" w:hAnsi="宋体"/>
        </w:rPr>
        <w:t>四、请仔细检查投标文件格式中应盖章、签署之处是否有按要求盖公章、签名、签署日期。投标文件需签名之处必须由当事人亲笔签署，法定代表人（负责人）证明及授权书需法定代表人（负责人）签字或签章处，应由法定代表人（负责人）亲笔签署或加盖签章。</w:t>
      </w:r>
    </w:p>
    <w:p>
      <w:pPr>
        <w:spacing w:line="360" w:lineRule="auto"/>
        <w:ind w:firstLine="420" w:firstLineChars="200"/>
        <w:rPr>
          <w:rFonts w:ascii="宋体" w:hAnsi="宋体"/>
        </w:rPr>
      </w:pPr>
      <w:r>
        <w:rPr>
          <w:rFonts w:hint="eastAsia" w:ascii="宋体" w:hAnsi="宋体"/>
        </w:rPr>
        <w:t>五、</w:t>
      </w:r>
      <w:r>
        <w:rPr>
          <w:rFonts w:ascii="宋体" w:hAnsi="宋体"/>
        </w:rPr>
        <w:t>采购代理机构不对供应商</w:t>
      </w:r>
      <w:r>
        <w:rPr>
          <w:rFonts w:hint="eastAsia" w:ascii="宋体" w:hAnsi="宋体"/>
        </w:rPr>
        <w:t>登记获取</w:t>
      </w:r>
      <w:r>
        <w:rPr>
          <w:rFonts w:ascii="宋体" w:hAnsi="宋体"/>
        </w:rPr>
        <w:t>采购文件时提交的相关资料的</w:t>
      </w:r>
      <w:r>
        <w:rPr>
          <w:rFonts w:hint="eastAsia" w:ascii="宋体" w:hAnsi="宋体"/>
        </w:rPr>
        <w:t>真实性负责，</w:t>
      </w:r>
      <w:r>
        <w:rPr>
          <w:rFonts w:ascii="宋体" w:hAnsi="宋体"/>
        </w:rPr>
        <w:t>如供应商发现相关资料被盗用或复制，</w:t>
      </w:r>
      <w:r>
        <w:rPr>
          <w:rFonts w:hint="eastAsia" w:ascii="宋体" w:hAnsi="宋体"/>
        </w:rPr>
        <w:t>或出现同一供应商由两名或以上授权代表登记的，应</w:t>
      </w:r>
      <w:r>
        <w:rPr>
          <w:rFonts w:ascii="宋体" w:hAnsi="宋体"/>
        </w:rPr>
        <w:t>遵循法律途径解决，追究侵权者责任。对一家供应商递交两份投标文件的，评委会将按采购文件中有关无效投标的规定处理。</w:t>
      </w:r>
    </w:p>
    <w:p>
      <w:pPr>
        <w:spacing w:line="360" w:lineRule="auto"/>
        <w:ind w:firstLine="420" w:firstLineChars="200"/>
        <w:rPr>
          <w:rFonts w:ascii="宋体" w:hAnsi="宋体"/>
        </w:rPr>
      </w:pPr>
      <w:r>
        <w:rPr>
          <w:rFonts w:hint="eastAsia" w:ascii="宋体" w:hAnsi="宋体"/>
        </w:rPr>
        <w:t>六、供应商在登记时提交了资料不代表其已通过资格、符合性审查，供应商应在投标文件中另行提供。</w:t>
      </w:r>
    </w:p>
    <w:p>
      <w:pPr>
        <w:spacing w:line="336" w:lineRule="auto"/>
        <w:ind w:firstLine="420" w:firstLineChars="200"/>
        <w:rPr>
          <w:rFonts w:ascii="宋体" w:hAnsi="宋体"/>
          <w:szCs w:val="21"/>
        </w:rPr>
      </w:pPr>
      <w:r>
        <w:rPr>
          <w:rFonts w:hint="eastAsia" w:ascii="宋体" w:hAnsi="宋体"/>
          <w:szCs w:val="21"/>
        </w:rPr>
        <w:t>七、为了提高效率，节约社会交易成本与时间，希望</w:t>
      </w:r>
      <w:r>
        <w:rPr>
          <w:rFonts w:hint="eastAsia" w:ascii="宋体" w:hAnsi="宋体"/>
        </w:rPr>
        <w:t>登记获取</w:t>
      </w:r>
      <w:r>
        <w:rPr>
          <w:rFonts w:hint="eastAsia" w:ascii="宋体" w:hAnsi="宋体"/>
          <w:szCs w:val="21"/>
        </w:rPr>
        <w:t>了采购文件而决定不参加本次投标/报价的供应商，在投标文件递交截止时间的3日前，按《投标邀请》中的联系方式，以书面形式告知我公司。对您的支持与配合，谨此致谢。</w:t>
      </w:r>
    </w:p>
    <w:p>
      <w:pPr>
        <w:spacing w:line="336" w:lineRule="auto"/>
        <w:ind w:firstLine="420" w:firstLineChars="200"/>
        <w:rPr>
          <w:rFonts w:ascii="宋体" w:hAnsi="宋体"/>
          <w:szCs w:val="21"/>
        </w:rPr>
      </w:pPr>
      <w:r>
        <w:rPr>
          <w:rFonts w:hint="eastAsia" w:ascii="宋体" w:hAnsi="宋体"/>
          <w:szCs w:val="21"/>
        </w:rPr>
        <w:t>由于交通、天气等状况、停车位已满或电梯拥挤等原因，建议投标人代表提前15-30分钟到达开标会场，我公司所处位置有多路公共交通线路到达，具体如下：</w:t>
      </w:r>
    </w:p>
    <w:p>
      <w:pPr>
        <w:spacing w:line="336" w:lineRule="auto"/>
        <w:ind w:firstLine="420" w:firstLineChars="200"/>
        <w:rPr>
          <w:rFonts w:ascii="宋体" w:hAnsi="宋体"/>
          <w:szCs w:val="21"/>
        </w:rPr>
      </w:pPr>
      <w:r>
        <w:rPr>
          <w:rFonts w:hint="eastAsia" w:ascii="宋体" w:hAnsi="宋体"/>
          <w:szCs w:val="21"/>
        </w:rPr>
        <w:t>广州市越秀区东风东路555号（黄华路口）粤海集团大厦2203-2204室。主要路经的公交车有高峰快线12 、高峰快线14 、2 、11 、27 、33 、54 、56 、62 、65 、74 、83 、85 、133 、185 、204 、209 、224 、224A 、261 、283 、284 、289 、293 、305 、483 和 B3、B4等在越秀桥站下车即可到达本公司。地铁可由一号线农讲所站或五号线小北站出站后步行约20分钟到达，地铁站与本公司距离较远，请查好路线后再选用。</w:t>
      </w:r>
    </w:p>
    <w:p>
      <w:pPr>
        <w:spacing w:line="336" w:lineRule="auto"/>
        <w:ind w:firstLine="420" w:firstLineChars="200"/>
        <w:rPr>
          <w:rFonts w:ascii="宋体" w:hAnsi="宋体"/>
          <w:szCs w:val="21"/>
        </w:rPr>
      </w:pPr>
      <w:r>
        <w:rPr>
          <w:rFonts w:hint="eastAsia" w:ascii="宋体" w:hAnsi="宋体"/>
          <w:szCs w:val="21"/>
        </w:rPr>
        <w:t>（本提示内容非采购文件的组成部分，仅为善意提醒。如有不一致，以采购文件为准。）</w:t>
      </w:r>
    </w:p>
    <w:p>
      <w:pPr>
        <w:spacing w:line="336" w:lineRule="auto"/>
        <w:rPr>
          <w:rFonts w:ascii="宋体" w:hAnsi="宋体"/>
          <w:szCs w:val="21"/>
        </w:rPr>
      </w:pPr>
    </w:p>
    <w:p>
      <w:pPr>
        <w:spacing w:line="336" w:lineRule="auto"/>
        <w:rPr>
          <w:rFonts w:ascii="宋体" w:hAnsi="宋体"/>
          <w:szCs w:val="21"/>
        </w:rPr>
      </w:pPr>
    </w:p>
    <w:p>
      <w:pPr>
        <w:spacing w:line="336" w:lineRule="auto"/>
        <w:rPr>
          <w:rFonts w:ascii="宋体" w:hAnsi="宋体"/>
          <w:szCs w:val="21"/>
        </w:rPr>
      </w:pPr>
    </w:p>
    <w:p>
      <w:pPr>
        <w:spacing w:line="336" w:lineRule="auto"/>
        <w:rPr>
          <w:rFonts w:ascii="宋体" w:hAnsi="宋体"/>
          <w:szCs w:val="21"/>
        </w:rPr>
      </w:pPr>
    </w:p>
    <w:p>
      <w:pPr>
        <w:spacing w:line="336" w:lineRule="auto"/>
        <w:rPr>
          <w:rFonts w:ascii="宋体" w:hAnsi="宋体"/>
          <w:szCs w:val="21"/>
        </w:rPr>
      </w:pPr>
    </w:p>
    <w:p>
      <w:pPr>
        <w:spacing w:line="336" w:lineRule="auto"/>
        <w:rPr>
          <w:rFonts w:ascii="宋体" w:hAnsi="宋体"/>
          <w:szCs w:val="21"/>
        </w:rPr>
      </w:pPr>
    </w:p>
    <w:p>
      <w:pPr>
        <w:spacing w:line="336" w:lineRule="auto"/>
        <w:rPr>
          <w:rFonts w:ascii="宋体" w:hAnsi="宋体"/>
          <w:szCs w:val="21"/>
        </w:rPr>
      </w:pPr>
    </w:p>
    <w:p>
      <w:pPr>
        <w:spacing w:line="336" w:lineRule="auto"/>
        <w:rPr>
          <w:rFonts w:ascii="宋体" w:hAnsi="宋体"/>
          <w:szCs w:val="21"/>
        </w:rPr>
      </w:pPr>
    </w:p>
    <w:p>
      <w:pPr>
        <w:ind w:firstLine="4153" w:firstLineChars="1149"/>
        <w:rPr>
          <w:rFonts w:ascii="宋体" w:hAnsi="宋体"/>
          <w:b/>
          <w:sz w:val="36"/>
        </w:rPr>
      </w:pPr>
      <w:r>
        <w:rPr>
          <w:rFonts w:ascii="宋体" w:hAnsi="宋体"/>
          <w:b/>
          <w:sz w:val="36"/>
        </w:rPr>
        <w:br w:type="page"/>
      </w:r>
      <w:r>
        <w:rPr>
          <w:rFonts w:hint="eastAsia" w:ascii="宋体" w:hAnsi="宋体"/>
          <w:b/>
          <w:sz w:val="36"/>
        </w:rPr>
        <w:t>目   录</w:t>
      </w:r>
    </w:p>
    <w:p>
      <w:pPr>
        <w:spacing w:line="480" w:lineRule="auto"/>
        <w:jc w:val="center"/>
        <w:rPr>
          <w:rFonts w:ascii="宋体" w:hAnsi="宋体"/>
          <w:sz w:val="32"/>
        </w:rPr>
      </w:pPr>
    </w:p>
    <w:p>
      <w:pPr>
        <w:pStyle w:val="32"/>
        <w:tabs>
          <w:tab w:val="right" w:leader="dot" w:pos="9242"/>
          <w:tab w:val="clear" w:pos="9240"/>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fldChar w:fldCharType="begin"/>
      </w:r>
      <w:r>
        <w:instrText xml:space="preserve"> HYPERLINK \l "_Toc9531" </w:instrText>
      </w:r>
      <w:r>
        <w:fldChar w:fldCharType="separate"/>
      </w:r>
      <w:r>
        <w:rPr>
          <w:rFonts w:hint="eastAsia" w:ascii="宋体" w:hAnsi="宋体" w:cs="宋体"/>
          <w:color w:val="000000"/>
          <w:sz w:val="28"/>
          <w:szCs w:val="28"/>
        </w:rPr>
        <w:t>温馨提示：供应商投标特别注意事项</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_Toc9531 </w:instrText>
      </w:r>
      <w:r>
        <w:rPr>
          <w:rFonts w:hint="eastAsia" w:ascii="宋体" w:hAnsi="宋体" w:cs="宋体"/>
          <w:color w:val="000000"/>
          <w:sz w:val="28"/>
          <w:szCs w:val="28"/>
        </w:rPr>
        <w:fldChar w:fldCharType="separate"/>
      </w:r>
      <w:r>
        <w:rPr>
          <w:rFonts w:hint="eastAsia" w:ascii="宋体" w:hAnsi="宋体" w:cs="宋体"/>
          <w:color w:val="000000"/>
          <w:sz w:val="28"/>
          <w:szCs w:val="28"/>
        </w:rPr>
        <w:t>1</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pPr>
        <w:pStyle w:val="32"/>
        <w:tabs>
          <w:tab w:val="right" w:leader="dot" w:pos="9242"/>
          <w:tab w:val="clear" w:pos="9240"/>
        </w:tabs>
        <w:rPr>
          <w:rFonts w:ascii="宋体" w:hAnsi="宋体" w:cs="宋体"/>
          <w:color w:val="000000"/>
          <w:sz w:val="28"/>
          <w:szCs w:val="28"/>
        </w:rPr>
      </w:pPr>
      <w:r>
        <w:fldChar w:fldCharType="begin"/>
      </w:r>
      <w:r>
        <w:instrText xml:space="preserve"> HYPERLINK \l "_Toc7850" </w:instrText>
      </w:r>
      <w:r>
        <w:fldChar w:fldCharType="separate"/>
      </w:r>
      <w:r>
        <w:rPr>
          <w:rFonts w:hint="eastAsia" w:ascii="宋体" w:hAnsi="宋体" w:cs="宋体"/>
          <w:color w:val="000000"/>
          <w:sz w:val="28"/>
          <w:szCs w:val="28"/>
        </w:rPr>
        <w:t>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_Toc7850 </w:instrText>
      </w:r>
      <w:r>
        <w:rPr>
          <w:rFonts w:hint="eastAsia" w:ascii="宋体" w:hAnsi="宋体" w:cs="宋体"/>
          <w:color w:val="000000"/>
          <w:sz w:val="28"/>
          <w:szCs w:val="28"/>
        </w:rPr>
        <w:fldChar w:fldCharType="separate"/>
      </w:r>
      <w:r>
        <w:rPr>
          <w:rFonts w:hint="eastAsia" w:ascii="宋体" w:hAnsi="宋体" w:cs="宋体"/>
          <w:color w:val="000000"/>
          <w:sz w:val="28"/>
          <w:szCs w:val="28"/>
        </w:rPr>
        <w:t>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pPr>
        <w:pStyle w:val="32"/>
        <w:tabs>
          <w:tab w:val="right" w:leader="dot" w:pos="9242"/>
          <w:tab w:val="clear" w:pos="9240"/>
        </w:tabs>
        <w:rPr>
          <w:rFonts w:ascii="宋体" w:hAnsi="宋体" w:cs="宋体"/>
          <w:color w:val="000000"/>
          <w:sz w:val="28"/>
          <w:szCs w:val="28"/>
        </w:rPr>
      </w:pPr>
      <w:r>
        <w:fldChar w:fldCharType="begin"/>
      </w:r>
      <w:r>
        <w:instrText xml:space="preserve"> HYPERLINK \l "_Toc15949" </w:instrText>
      </w:r>
      <w:r>
        <w:fldChar w:fldCharType="separate"/>
      </w:r>
      <w:r>
        <w:rPr>
          <w:rFonts w:hint="eastAsia" w:ascii="宋体" w:hAnsi="宋体" w:cs="宋体"/>
          <w:color w:val="000000"/>
          <w:sz w:val="28"/>
          <w:szCs w:val="28"/>
        </w:rPr>
        <w:t>第一章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_Toc15949 </w:instrText>
      </w:r>
      <w:r>
        <w:rPr>
          <w:rFonts w:hint="eastAsia" w:ascii="宋体" w:hAnsi="宋体" w:cs="宋体"/>
          <w:color w:val="000000"/>
          <w:sz w:val="28"/>
          <w:szCs w:val="28"/>
        </w:rPr>
        <w:fldChar w:fldCharType="separate"/>
      </w:r>
      <w:r>
        <w:rPr>
          <w:rFonts w:hint="eastAsia" w:ascii="宋体" w:hAnsi="宋体" w:cs="宋体"/>
          <w:color w:val="000000"/>
          <w:sz w:val="28"/>
          <w:szCs w:val="28"/>
        </w:rPr>
        <w:t>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pPr>
        <w:pStyle w:val="32"/>
        <w:tabs>
          <w:tab w:val="right" w:leader="dot" w:pos="9242"/>
          <w:tab w:val="clear" w:pos="9240"/>
        </w:tabs>
        <w:rPr>
          <w:rFonts w:ascii="宋体" w:hAnsi="宋体" w:cs="宋体"/>
          <w:color w:val="000000"/>
          <w:sz w:val="28"/>
          <w:szCs w:val="28"/>
        </w:rPr>
      </w:pPr>
      <w:r>
        <w:fldChar w:fldCharType="begin"/>
      </w:r>
      <w:r>
        <w:instrText xml:space="preserve"> HYPERLINK \l "_Toc19589" </w:instrText>
      </w:r>
      <w:r>
        <w:fldChar w:fldCharType="separate"/>
      </w:r>
      <w:r>
        <w:rPr>
          <w:rFonts w:hint="eastAsia" w:ascii="宋体" w:hAnsi="宋体" w:cs="宋体"/>
          <w:color w:val="000000"/>
          <w:sz w:val="28"/>
          <w:szCs w:val="28"/>
        </w:rPr>
        <w:t>第二章  采购人需求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_Toc19589 </w:instrText>
      </w:r>
      <w:r>
        <w:rPr>
          <w:rFonts w:hint="eastAsia" w:ascii="宋体" w:hAnsi="宋体" w:cs="宋体"/>
          <w:color w:val="000000"/>
          <w:sz w:val="28"/>
          <w:szCs w:val="28"/>
        </w:rPr>
        <w:fldChar w:fldCharType="separate"/>
      </w:r>
      <w:r>
        <w:rPr>
          <w:rFonts w:hint="eastAsia" w:ascii="宋体" w:hAnsi="宋体" w:cs="宋体"/>
          <w:color w:val="000000"/>
          <w:sz w:val="28"/>
          <w:szCs w:val="28"/>
        </w:rPr>
        <w:t>15</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pPr>
        <w:pStyle w:val="32"/>
        <w:tabs>
          <w:tab w:val="right" w:leader="dot" w:pos="9242"/>
          <w:tab w:val="clear" w:pos="9240"/>
        </w:tabs>
        <w:rPr>
          <w:rFonts w:ascii="宋体" w:hAnsi="宋体" w:cs="宋体"/>
          <w:color w:val="000000"/>
          <w:sz w:val="28"/>
          <w:szCs w:val="28"/>
        </w:rPr>
      </w:pPr>
      <w:r>
        <w:fldChar w:fldCharType="begin"/>
      </w:r>
      <w:r>
        <w:instrText xml:space="preserve"> HYPERLINK \l "_Toc26534" </w:instrText>
      </w:r>
      <w:r>
        <w:fldChar w:fldCharType="separate"/>
      </w:r>
      <w:r>
        <w:rPr>
          <w:rFonts w:hint="eastAsia" w:ascii="宋体" w:hAnsi="宋体" w:cs="宋体"/>
          <w:color w:val="000000"/>
          <w:sz w:val="28"/>
          <w:szCs w:val="28"/>
        </w:rPr>
        <w:t>第三章  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_Toc26534 </w:instrText>
      </w:r>
      <w:r>
        <w:rPr>
          <w:rFonts w:hint="eastAsia" w:ascii="宋体" w:hAnsi="宋体" w:cs="宋体"/>
          <w:color w:val="000000"/>
          <w:sz w:val="28"/>
          <w:szCs w:val="28"/>
        </w:rPr>
        <w:fldChar w:fldCharType="separate"/>
      </w:r>
      <w:r>
        <w:rPr>
          <w:rFonts w:hint="eastAsia" w:ascii="宋体" w:hAnsi="宋体" w:cs="宋体"/>
          <w:color w:val="000000"/>
          <w:sz w:val="28"/>
          <w:szCs w:val="28"/>
        </w:rPr>
        <w:t>18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pPr>
        <w:pStyle w:val="32"/>
        <w:tabs>
          <w:tab w:val="right" w:leader="dot" w:pos="9242"/>
          <w:tab w:val="clear" w:pos="9240"/>
        </w:tabs>
        <w:rPr>
          <w:rFonts w:ascii="宋体" w:hAnsi="宋体" w:cs="宋体"/>
          <w:color w:val="000000"/>
          <w:sz w:val="28"/>
          <w:szCs w:val="28"/>
        </w:rPr>
      </w:pPr>
      <w:r>
        <w:fldChar w:fldCharType="begin"/>
      </w:r>
      <w:r>
        <w:instrText xml:space="preserve"> HYPERLINK \l "_Toc21418" </w:instrText>
      </w:r>
      <w:r>
        <w:fldChar w:fldCharType="separate"/>
      </w:r>
      <w:r>
        <w:rPr>
          <w:rFonts w:hint="eastAsia" w:ascii="宋体" w:hAnsi="宋体" w:cs="宋体"/>
          <w:color w:val="000000"/>
          <w:sz w:val="28"/>
          <w:szCs w:val="28"/>
        </w:rPr>
        <w:t>第四章  评标和定标</w:t>
      </w:r>
      <w:r>
        <w:rPr>
          <w:rFonts w:hint="eastAsia" w:ascii="宋体" w:hAnsi="宋体" w:cs="宋体"/>
          <w:color w:val="000000"/>
          <w:sz w:val="28"/>
          <w:szCs w:val="28"/>
        </w:rPr>
        <w:tab/>
      </w:r>
      <w:bookmarkStart w:id="5" w:name="_Hlt105547350"/>
      <w:bookmarkStart w:id="6" w:name="_Hlt105547351"/>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_Toc21418 </w:instrText>
      </w:r>
      <w:r>
        <w:rPr>
          <w:rFonts w:hint="eastAsia" w:ascii="宋体" w:hAnsi="宋体" w:cs="宋体"/>
          <w:color w:val="000000"/>
          <w:sz w:val="28"/>
          <w:szCs w:val="28"/>
        </w:rPr>
        <w:fldChar w:fldCharType="separate"/>
      </w:r>
      <w:r>
        <w:rPr>
          <w:rFonts w:hint="eastAsia" w:ascii="宋体" w:hAnsi="宋体" w:cs="宋体"/>
          <w:color w:val="000000"/>
          <w:sz w:val="28"/>
          <w:szCs w:val="28"/>
        </w:rPr>
        <w:t>23</w:t>
      </w:r>
      <w:r>
        <w:rPr>
          <w:rFonts w:hint="eastAsia" w:ascii="宋体" w:hAnsi="宋体" w:cs="宋体"/>
          <w:color w:val="000000"/>
          <w:sz w:val="28"/>
          <w:szCs w:val="28"/>
        </w:rPr>
        <w:fldChar w:fldCharType="end"/>
      </w:r>
      <w:bookmarkEnd w:id="5"/>
      <w:bookmarkEnd w:id="6"/>
      <w:r>
        <w:rPr>
          <w:rFonts w:hint="eastAsia" w:ascii="宋体" w:hAnsi="宋体" w:cs="宋体"/>
          <w:color w:val="000000"/>
          <w:sz w:val="28"/>
          <w:szCs w:val="28"/>
        </w:rPr>
        <w:fldChar w:fldCharType="end"/>
      </w:r>
    </w:p>
    <w:p>
      <w:pPr>
        <w:pStyle w:val="32"/>
        <w:tabs>
          <w:tab w:val="right" w:leader="dot" w:pos="9242"/>
          <w:tab w:val="clear" w:pos="9240"/>
        </w:tabs>
        <w:rPr>
          <w:rFonts w:ascii="宋体" w:hAnsi="宋体" w:cs="宋体"/>
          <w:color w:val="000000"/>
          <w:sz w:val="28"/>
          <w:szCs w:val="28"/>
        </w:rPr>
      </w:pPr>
      <w:r>
        <w:fldChar w:fldCharType="begin"/>
      </w:r>
      <w:r>
        <w:instrText xml:space="preserve"> HYPERLINK \l "_Toc30787" </w:instrText>
      </w:r>
      <w:r>
        <w:fldChar w:fldCharType="separate"/>
      </w:r>
      <w:r>
        <w:rPr>
          <w:rFonts w:hint="eastAsia" w:ascii="宋体" w:hAnsi="宋体" w:cs="宋体"/>
          <w:color w:val="000000"/>
          <w:sz w:val="28"/>
          <w:szCs w:val="28"/>
        </w:rPr>
        <w:t>第五章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_Toc30787 </w:instrText>
      </w:r>
      <w:r>
        <w:rPr>
          <w:rFonts w:hint="eastAsia" w:ascii="宋体" w:hAnsi="宋体" w:cs="宋体"/>
          <w:color w:val="000000"/>
          <w:sz w:val="28"/>
          <w:szCs w:val="28"/>
        </w:rPr>
        <w:fldChar w:fldCharType="separate"/>
      </w:r>
      <w:r>
        <w:rPr>
          <w:rFonts w:hint="eastAsia" w:ascii="宋体" w:hAnsi="宋体" w:cs="宋体"/>
          <w:color w:val="000000"/>
          <w:sz w:val="28"/>
          <w:szCs w:val="28"/>
        </w:rPr>
        <w:t>33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pPr>
        <w:pStyle w:val="32"/>
        <w:tabs>
          <w:tab w:val="right" w:leader="dot" w:pos="9242"/>
          <w:tab w:val="clear" w:pos="9240"/>
        </w:tabs>
        <w:rPr>
          <w:sz w:val="28"/>
          <w:szCs w:val="28"/>
        </w:rPr>
      </w:pPr>
      <w:r>
        <w:rPr>
          <w:rFonts w:hint="eastAsia" w:ascii="宋体" w:hAnsi="宋体" w:cs="宋体"/>
          <w:color w:val="000000"/>
          <w:sz w:val="28"/>
          <w:szCs w:val="28"/>
        </w:rPr>
        <w:fldChar w:fldCharType="end"/>
      </w:r>
    </w:p>
    <w:p>
      <w:pPr>
        <w:spacing w:line="360" w:lineRule="auto"/>
        <w:rPr>
          <w:rFonts w:ascii="宋体" w:hAnsi="宋体"/>
          <w:sz w:val="28"/>
          <w:szCs w:val="28"/>
        </w:rPr>
      </w:pPr>
    </w:p>
    <w:p/>
    <w:p/>
    <w:p/>
    <w:p/>
    <w:p/>
    <w:p/>
    <w:p/>
    <w:p/>
    <w:p/>
    <w:p/>
    <w:p/>
    <w:p/>
    <w:p/>
    <w:p/>
    <w:p/>
    <w:p/>
    <w:p/>
    <w:p/>
    <w:p/>
    <w:p/>
    <w:p/>
    <w:p/>
    <w:p/>
    <w:p/>
    <w:p/>
    <w:p/>
    <w:p/>
    <w:p/>
    <w:p/>
    <w:p/>
    <w:p>
      <w:pPr>
        <w:sectPr>
          <w:headerReference r:id="rId5" w:type="default"/>
          <w:footerReference r:id="rId6" w:type="default"/>
          <w:pgSz w:w="11907" w:h="16840"/>
          <w:pgMar w:top="1260" w:right="1304" w:bottom="1361" w:left="1361" w:header="624" w:footer="794" w:gutter="0"/>
          <w:pgNumType w:start="1"/>
          <w:cols w:space="720" w:num="1"/>
          <w:docGrid w:linePitch="285" w:charSpace="0"/>
        </w:sectPr>
      </w:pPr>
    </w:p>
    <w:p>
      <w:pPr>
        <w:pStyle w:val="4"/>
        <w:keepLines w:val="0"/>
        <w:spacing w:before="0" w:after="0" w:line="360" w:lineRule="auto"/>
        <w:ind w:right="-441" w:rightChars="-210"/>
        <w:jc w:val="center"/>
        <w:rPr>
          <w:rFonts w:ascii="宋体" w:hAnsi="宋体" w:cs="Tahoma"/>
          <w:spacing w:val="20"/>
          <w:sz w:val="32"/>
          <w:szCs w:val="32"/>
        </w:rPr>
      </w:pPr>
      <w:bookmarkStart w:id="7" w:name="_Toc7850"/>
      <w:bookmarkStart w:id="8" w:name="_Toc8079"/>
      <w:bookmarkStart w:id="9" w:name="_Toc2081"/>
      <w:bookmarkStart w:id="10" w:name="_Toc18743"/>
      <w:bookmarkStart w:id="11" w:name="_Toc334797727"/>
      <w:bookmarkStart w:id="12" w:name="_Toc20530"/>
      <w:r>
        <w:rPr>
          <w:rFonts w:hint="eastAsia" w:ascii="宋体" w:hAnsi="宋体" w:cs="Tahoma"/>
          <w:spacing w:val="20"/>
          <w:sz w:val="32"/>
          <w:szCs w:val="32"/>
        </w:rPr>
        <w:t>投标邀请</w:t>
      </w:r>
      <w:bookmarkEnd w:id="7"/>
      <w:bookmarkEnd w:id="8"/>
      <w:bookmarkEnd w:id="9"/>
      <w:bookmarkEnd w:id="10"/>
      <w:bookmarkEnd w:id="11"/>
      <w:bookmarkEnd w:id="12"/>
    </w:p>
    <w:p>
      <w:pPr>
        <w:spacing w:line="360" w:lineRule="auto"/>
        <w:ind w:firstLine="420" w:firstLineChars="200"/>
        <w:rPr>
          <w:rFonts w:ascii="宋体" w:hAnsi="宋体"/>
          <w:szCs w:val="21"/>
        </w:rPr>
      </w:pPr>
      <w:r>
        <w:rPr>
          <w:rFonts w:hint="eastAsia" w:ascii="宋体" w:hAnsi="宋体" w:cs="Arial"/>
          <w:szCs w:val="21"/>
        </w:rPr>
        <w:t>广州群生招标代理有限公司受采购人的委托，拟对以下项目进行国内公开招标，欢迎符合资格条件的供应商参加投标。</w:t>
      </w:r>
    </w:p>
    <w:p>
      <w:pPr>
        <w:spacing w:line="360" w:lineRule="auto"/>
        <w:rPr>
          <w:rFonts w:ascii="宋体" w:hAnsi="宋体" w:cs="Arial"/>
          <w:szCs w:val="21"/>
        </w:rPr>
      </w:pPr>
      <w:r>
        <w:rPr>
          <w:rFonts w:hint="eastAsia" w:ascii="宋体" w:hAnsi="宋体" w:cs="Arial"/>
          <w:b/>
          <w:bCs/>
          <w:szCs w:val="21"/>
        </w:rPr>
        <w:t>一、项目基本情况</w:t>
      </w:r>
    </w:p>
    <w:p>
      <w:pPr>
        <w:spacing w:line="360" w:lineRule="auto"/>
        <w:ind w:firstLine="420" w:firstLineChars="200"/>
        <w:rPr>
          <w:rFonts w:ascii="宋体" w:hAnsi="宋体" w:cs="Arial"/>
          <w:szCs w:val="21"/>
        </w:rPr>
      </w:pPr>
      <w:r>
        <w:rPr>
          <w:rFonts w:hint="eastAsia" w:ascii="宋体" w:hAnsi="宋体" w:cs="Arial"/>
          <w:szCs w:val="21"/>
        </w:rPr>
        <w:t>1、项目编号：202308057306</w:t>
      </w:r>
    </w:p>
    <w:p>
      <w:pPr>
        <w:spacing w:line="360" w:lineRule="auto"/>
        <w:ind w:firstLine="420" w:firstLineChars="200"/>
        <w:rPr>
          <w:rFonts w:ascii="宋体" w:hAnsi="宋体" w:cs="Arial"/>
          <w:szCs w:val="21"/>
        </w:rPr>
      </w:pPr>
      <w:r>
        <w:rPr>
          <w:rFonts w:hint="eastAsia" w:ascii="宋体" w:hAnsi="宋体" w:cs="Arial"/>
          <w:szCs w:val="21"/>
        </w:rPr>
        <w:t>2、项目名称：</w:t>
      </w:r>
      <w:r>
        <w:rPr>
          <w:rFonts w:hint="eastAsia" w:ascii="宋体" w:hAnsi="宋体" w:cs="Tahoma"/>
          <w:kern w:val="28"/>
          <w:szCs w:val="21"/>
        </w:rPr>
        <w:t>中华人民共和国广州出入境边防检查总站机关土地权籍调查服务采购项目</w:t>
      </w:r>
    </w:p>
    <w:p>
      <w:pPr>
        <w:spacing w:line="360" w:lineRule="auto"/>
        <w:ind w:firstLine="420" w:firstLineChars="200"/>
        <w:rPr>
          <w:rFonts w:ascii="宋体" w:hAnsi="宋体" w:cs="Arial"/>
          <w:szCs w:val="21"/>
        </w:rPr>
      </w:pPr>
      <w:r>
        <w:rPr>
          <w:rFonts w:hint="eastAsia" w:ascii="宋体" w:hAnsi="宋体" w:cs="Arial"/>
          <w:szCs w:val="21"/>
        </w:rPr>
        <w:t>3、项目预算：人民币592</w:t>
      </w:r>
      <w:r>
        <w:rPr>
          <w:rFonts w:ascii="宋体" w:hAnsi="宋体" w:cs="Arial"/>
          <w:szCs w:val="21"/>
        </w:rPr>
        <w:t>,000.00</w:t>
      </w:r>
      <w:r>
        <w:rPr>
          <w:rFonts w:hint="eastAsia" w:ascii="宋体" w:hAnsi="宋体" w:cs="Arial"/>
          <w:szCs w:val="21"/>
        </w:rPr>
        <w:t>元</w:t>
      </w:r>
    </w:p>
    <w:p>
      <w:pPr>
        <w:spacing w:line="360" w:lineRule="auto"/>
        <w:ind w:firstLine="420" w:firstLineChars="200"/>
        <w:rPr>
          <w:rFonts w:ascii="宋体" w:hAnsi="宋体" w:cs="Arial"/>
          <w:szCs w:val="21"/>
        </w:rPr>
      </w:pPr>
      <w:r>
        <w:rPr>
          <w:rFonts w:ascii="宋体" w:hAnsi="宋体" w:cs="Arial"/>
          <w:szCs w:val="21"/>
        </w:rPr>
        <w:t>4</w:t>
      </w:r>
      <w:r>
        <w:rPr>
          <w:rFonts w:hint="eastAsia" w:ascii="宋体" w:hAnsi="宋体" w:cs="Arial"/>
          <w:szCs w:val="21"/>
        </w:rPr>
        <w:t>、采购需求</w:t>
      </w:r>
    </w:p>
    <w:p>
      <w:pPr>
        <w:spacing w:line="360" w:lineRule="auto"/>
        <w:ind w:firstLine="420" w:firstLineChars="200"/>
        <w:rPr>
          <w:rFonts w:ascii="宋体" w:hAnsi="宋体" w:cs="Arial"/>
          <w:szCs w:val="21"/>
        </w:rPr>
      </w:pPr>
      <w:r>
        <w:rPr>
          <w:rFonts w:hint="eastAsia" w:ascii="宋体" w:hAnsi="宋体" w:cs="Arial"/>
          <w:szCs w:val="21"/>
        </w:rPr>
        <w:t>（1）标的名称：</w:t>
      </w:r>
      <w:r>
        <w:rPr>
          <w:rFonts w:hint="eastAsia" w:ascii="宋体" w:hAnsi="宋体" w:cs="Tahoma"/>
          <w:kern w:val="28"/>
          <w:szCs w:val="21"/>
        </w:rPr>
        <w:t>中华人民共和国广州出入境边防检查总站机关土地权籍调查服务采购项目</w:t>
      </w:r>
      <w:r>
        <w:rPr>
          <w:rFonts w:hint="eastAsia" w:ascii="宋体" w:hAnsi="宋体" w:cs="Arial"/>
          <w:szCs w:val="21"/>
        </w:rPr>
        <w:t>；</w:t>
      </w:r>
    </w:p>
    <w:p>
      <w:pPr>
        <w:spacing w:line="360" w:lineRule="auto"/>
        <w:ind w:firstLine="420" w:firstLineChars="200"/>
        <w:rPr>
          <w:rFonts w:ascii="宋体" w:hAnsi="宋体" w:cs="Arial"/>
          <w:szCs w:val="21"/>
        </w:rPr>
      </w:pPr>
      <w:r>
        <w:rPr>
          <w:rFonts w:hint="eastAsia" w:ascii="宋体" w:hAnsi="宋体" w:cs="Arial"/>
          <w:szCs w:val="21"/>
        </w:rPr>
        <w:t>（2）标的数量：1项；</w:t>
      </w:r>
    </w:p>
    <w:p>
      <w:pPr>
        <w:spacing w:line="360" w:lineRule="auto"/>
        <w:ind w:firstLine="420" w:firstLineChars="200"/>
        <w:rPr>
          <w:rFonts w:ascii="宋体" w:hAnsi="宋体" w:cs="Arial"/>
          <w:szCs w:val="21"/>
        </w:rPr>
      </w:pPr>
      <w:r>
        <w:rPr>
          <w:rFonts w:hint="eastAsia" w:ascii="宋体" w:hAnsi="宋体" w:cs="Arial"/>
          <w:szCs w:val="21"/>
        </w:rPr>
        <w:t>（3）简要技术需求或服务要求：</w:t>
      </w:r>
    </w:p>
    <w:p>
      <w:pPr>
        <w:pStyle w:val="99"/>
        <w:spacing w:line="360" w:lineRule="auto"/>
        <w:ind w:right="-147"/>
        <w:rPr>
          <w:rFonts w:ascii="宋体" w:hAnsi="宋体"/>
          <w:szCs w:val="21"/>
        </w:rPr>
      </w:pPr>
      <w:r>
        <w:rPr>
          <w:rFonts w:hint="eastAsia" w:ascii="宋体" w:hAnsi="宋体"/>
          <w:szCs w:val="21"/>
        </w:rPr>
        <w:t>1）本项目属于服务类；</w:t>
      </w:r>
    </w:p>
    <w:p>
      <w:pPr>
        <w:spacing w:line="360" w:lineRule="auto"/>
        <w:ind w:firstLine="420" w:firstLineChars="200"/>
        <w:rPr>
          <w:rFonts w:ascii="宋体" w:hAnsi="宋体"/>
          <w:szCs w:val="21"/>
        </w:rPr>
      </w:pPr>
      <w:r>
        <w:rPr>
          <w:rFonts w:hint="eastAsia" w:ascii="宋体" w:hAnsi="宋体" w:cs="Arial"/>
          <w:szCs w:val="21"/>
        </w:rPr>
        <w:t>2）项目交付时间：自合同签订并生效后30个工作日内出具7处地籍调查表，中标人需在不动产登记部门出具审核意见后20个工作日内出具不动产权籍调查报告。</w:t>
      </w:r>
    </w:p>
    <w:p>
      <w:pPr>
        <w:spacing w:line="360" w:lineRule="auto"/>
        <w:ind w:firstLine="420" w:firstLineChars="200"/>
        <w:rPr>
          <w:rFonts w:ascii="宋体" w:hAnsi="宋体"/>
          <w:szCs w:val="21"/>
        </w:rPr>
      </w:pPr>
      <w:r>
        <w:rPr>
          <w:rFonts w:hint="eastAsia"/>
        </w:rPr>
        <w:t>5、品目类别：测绘服务</w:t>
      </w:r>
    </w:p>
    <w:p>
      <w:pPr>
        <w:spacing w:line="360" w:lineRule="auto"/>
        <w:rPr>
          <w:rFonts w:ascii="宋体" w:hAnsi="宋体"/>
          <w:b/>
          <w:bCs/>
          <w:szCs w:val="21"/>
        </w:rPr>
      </w:pPr>
      <w:r>
        <w:rPr>
          <w:rFonts w:hint="eastAsia" w:ascii="宋体" w:hAnsi="宋体" w:cs="Arial"/>
          <w:b/>
          <w:bCs/>
          <w:szCs w:val="21"/>
        </w:rPr>
        <w:t>二、供应商资格要求：</w:t>
      </w:r>
    </w:p>
    <w:p>
      <w:pPr>
        <w:spacing w:line="360" w:lineRule="auto"/>
        <w:ind w:firstLine="420" w:firstLineChars="200"/>
        <w:rPr>
          <w:rFonts w:ascii="宋体" w:hAnsi="宋体" w:cs="Arial"/>
          <w:szCs w:val="21"/>
        </w:rPr>
      </w:pPr>
      <w:r>
        <w:rPr>
          <w:rFonts w:hint="eastAsia" w:ascii="宋体" w:hAnsi="宋体" w:cs="Arial"/>
          <w:szCs w:val="21"/>
        </w:rPr>
        <w:t>1</w:t>
      </w:r>
      <w:r>
        <w:rPr>
          <w:rFonts w:ascii="宋体" w:hAnsi="宋体" w:cs="Arial"/>
          <w:szCs w:val="21"/>
        </w:rPr>
        <w:t>.</w:t>
      </w:r>
      <w:r>
        <w:rPr>
          <w:rFonts w:hint="eastAsia" w:ascii="宋体" w:hAnsi="宋体" w:cs="Arial"/>
          <w:szCs w:val="21"/>
        </w:rPr>
        <w:t>满足《中华人民共和国政府采购法》第二十二条规定；</w:t>
      </w:r>
    </w:p>
    <w:p>
      <w:pPr>
        <w:pStyle w:val="35"/>
        <w:spacing w:before="0" w:beforeAutospacing="0" w:after="140" w:afterAutospacing="0" w:line="150" w:lineRule="atLeast"/>
        <w:ind w:firstLine="420" w:firstLineChars="200"/>
        <w:rPr>
          <w:rFonts w:cs="Arial"/>
          <w:kern w:val="2"/>
          <w:sz w:val="21"/>
          <w:szCs w:val="21"/>
        </w:rPr>
      </w:pPr>
      <w:r>
        <w:rPr>
          <w:rFonts w:cs="Arial"/>
          <w:kern w:val="2"/>
          <w:sz w:val="21"/>
          <w:szCs w:val="21"/>
        </w:rPr>
        <w:t>2</w:t>
      </w:r>
      <w:r>
        <w:rPr>
          <w:rFonts w:hint="eastAsia" w:cs="Arial"/>
          <w:kern w:val="2"/>
          <w:sz w:val="21"/>
          <w:szCs w:val="21"/>
        </w:rPr>
        <w:t>.</w:t>
      </w:r>
      <w:r>
        <w:rPr>
          <w:rFonts w:cs="Arial"/>
          <w:kern w:val="2"/>
          <w:sz w:val="21"/>
          <w:szCs w:val="21"/>
        </w:rPr>
        <w:t>落实政府采购政策需满足的资格要求</w:t>
      </w:r>
      <w:r>
        <w:rPr>
          <w:rFonts w:hint="eastAsia" w:cs="Arial"/>
          <w:kern w:val="2"/>
          <w:sz w:val="21"/>
          <w:szCs w:val="21"/>
        </w:rPr>
        <w:t xml:space="preserve"> </w:t>
      </w:r>
      <w:r>
        <w:rPr>
          <w:rFonts w:cs="Arial"/>
          <w:kern w:val="2"/>
          <w:sz w:val="21"/>
          <w:szCs w:val="21"/>
        </w:rPr>
        <w:t>：</w:t>
      </w:r>
      <w:r>
        <w:rPr>
          <w:rFonts w:hint="eastAsia" w:cs="Arial"/>
          <w:kern w:val="2"/>
          <w:sz w:val="21"/>
          <w:szCs w:val="21"/>
        </w:rPr>
        <w:t>无。</w:t>
      </w:r>
    </w:p>
    <w:p>
      <w:pPr>
        <w:snapToGrid w:val="0"/>
        <w:spacing w:line="360" w:lineRule="auto"/>
        <w:ind w:firstLine="420" w:firstLineChars="200"/>
        <w:rPr>
          <w:rStyle w:val="132"/>
          <w:rFonts w:ascii="宋体" w:hAnsi="宋体"/>
        </w:rPr>
      </w:pPr>
      <w:r>
        <w:rPr>
          <w:rFonts w:cs="Arial"/>
          <w:szCs w:val="21"/>
        </w:rPr>
        <w:t>3.</w:t>
      </w:r>
      <w:r>
        <w:rPr>
          <w:rFonts w:hint="eastAsia" w:cs="Arial"/>
          <w:szCs w:val="21"/>
        </w:rPr>
        <w:t>本项目的特定资格要求：</w:t>
      </w:r>
      <w:r>
        <w:rPr>
          <w:rFonts w:hint="eastAsia" w:ascii="宋体" w:hAnsi="宋体" w:cs="Arial"/>
          <w:b/>
          <w:bCs/>
          <w:szCs w:val="21"/>
          <w:highlight w:val="yellow"/>
        </w:rPr>
        <w:t>供应商须具备有效期内测绘行政主管部门颁发的乙级或以上测绘资质（专业类别须同时包含界线与不动产测绘、工程测量）。（提供证书复印件并加盖公章）</w:t>
      </w:r>
    </w:p>
    <w:p>
      <w:pPr>
        <w:spacing w:line="360" w:lineRule="auto"/>
        <w:rPr>
          <w:rFonts w:ascii="宋体" w:hAnsi="宋体" w:cs="宋体"/>
          <w:b/>
          <w:bCs/>
          <w:szCs w:val="21"/>
        </w:rPr>
      </w:pPr>
      <w:r>
        <w:rPr>
          <w:rFonts w:hint="eastAsia" w:ascii="宋体" w:hAnsi="宋体" w:cs="宋体"/>
          <w:b/>
          <w:bCs/>
          <w:szCs w:val="21"/>
        </w:rPr>
        <w:t>三、获取招标文件</w:t>
      </w:r>
    </w:p>
    <w:p>
      <w:pPr>
        <w:spacing w:line="360" w:lineRule="auto"/>
        <w:ind w:firstLine="420" w:firstLineChars="200"/>
        <w:rPr>
          <w:rFonts w:ascii="宋体" w:hAnsi="宋体" w:cs="宋体"/>
          <w:szCs w:val="21"/>
        </w:rPr>
      </w:pPr>
      <w:r>
        <w:rPr>
          <w:rFonts w:hint="eastAsia" w:ascii="宋体" w:hAnsi="宋体" w:cs="宋体"/>
          <w:szCs w:val="21"/>
        </w:rPr>
        <w:t>时间：202</w:t>
      </w:r>
      <w:r>
        <w:rPr>
          <w:rFonts w:ascii="宋体" w:hAnsi="宋体" w:cs="宋体"/>
          <w:szCs w:val="21"/>
        </w:rPr>
        <w:t>3</w:t>
      </w:r>
      <w:r>
        <w:rPr>
          <w:rFonts w:hint="eastAsia" w:ascii="宋体" w:hAnsi="宋体" w:cs="宋体"/>
          <w:szCs w:val="21"/>
        </w:rPr>
        <w:t>年</w:t>
      </w:r>
      <w:r>
        <w:rPr>
          <w:rFonts w:hint="eastAsia" w:ascii="宋体" w:hAnsi="宋体" w:cs="宋体"/>
          <w:szCs w:val="21"/>
          <w:lang w:val="en-US" w:eastAsia="zh-CN"/>
        </w:rPr>
        <w:t>9</w:t>
      </w:r>
      <w:r>
        <w:rPr>
          <w:rFonts w:hint="eastAsia" w:ascii="宋体" w:hAnsi="宋体" w:cs="宋体"/>
          <w:szCs w:val="21"/>
        </w:rPr>
        <w:t>月</w:t>
      </w:r>
      <w:r>
        <w:rPr>
          <w:rFonts w:hint="eastAsia" w:ascii="宋体" w:hAnsi="宋体" w:cs="宋体"/>
          <w:szCs w:val="21"/>
          <w:lang w:val="en-US" w:eastAsia="zh-CN"/>
        </w:rPr>
        <w:t>7</w:t>
      </w:r>
      <w:r>
        <w:rPr>
          <w:rFonts w:hint="eastAsia" w:ascii="宋体" w:hAnsi="宋体" w:cs="宋体"/>
          <w:szCs w:val="21"/>
        </w:rPr>
        <w:t>日至202</w:t>
      </w:r>
      <w:r>
        <w:rPr>
          <w:rFonts w:ascii="宋体" w:hAnsi="宋体" w:cs="宋体"/>
          <w:szCs w:val="21"/>
        </w:rPr>
        <w:t>3</w:t>
      </w:r>
      <w:r>
        <w:rPr>
          <w:rFonts w:hint="eastAsia" w:ascii="宋体" w:hAnsi="宋体" w:cs="宋体"/>
          <w:szCs w:val="21"/>
        </w:rPr>
        <w:t>年</w:t>
      </w:r>
      <w:r>
        <w:rPr>
          <w:rFonts w:hint="eastAsia" w:ascii="宋体" w:hAnsi="宋体" w:cs="宋体"/>
          <w:szCs w:val="21"/>
          <w:lang w:val="en-US" w:eastAsia="zh-CN"/>
        </w:rPr>
        <w:t>9</w:t>
      </w:r>
      <w:r>
        <w:rPr>
          <w:rFonts w:hint="eastAsia" w:ascii="宋体" w:hAnsi="宋体" w:cs="宋体"/>
          <w:szCs w:val="21"/>
        </w:rPr>
        <w:t>月</w:t>
      </w:r>
      <w:r>
        <w:rPr>
          <w:rFonts w:hint="eastAsia" w:ascii="宋体" w:hAnsi="宋体" w:cs="宋体"/>
          <w:szCs w:val="21"/>
          <w:lang w:val="en-US" w:eastAsia="zh-CN"/>
        </w:rPr>
        <w:t>14</w:t>
      </w:r>
      <w:r>
        <w:rPr>
          <w:rFonts w:hint="eastAsia" w:ascii="宋体" w:hAnsi="宋体" w:cs="宋体"/>
          <w:szCs w:val="21"/>
        </w:rPr>
        <w:t>日，每天上午09:00:00至12:00:00，下午14:00:00至17:00:00（北京时间，法定节假日除外）</w:t>
      </w:r>
    </w:p>
    <w:p>
      <w:pPr>
        <w:spacing w:line="360" w:lineRule="auto"/>
        <w:ind w:firstLine="420" w:firstLineChars="200"/>
        <w:rPr>
          <w:rFonts w:ascii="宋体" w:hAnsi="宋体" w:cs="宋体"/>
          <w:szCs w:val="21"/>
        </w:rPr>
      </w:pPr>
      <w:r>
        <w:rPr>
          <w:rFonts w:hint="eastAsia" w:ascii="宋体" w:hAnsi="宋体" w:cs="宋体"/>
          <w:szCs w:val="21"/>
        </w:rPr>
        <w:t>地点：广州市越秀区东风东路555号粤海集团大厦2203-2204</w:t>
      </w:r>
    </w:p>
    <w:p>
      <w:pPr>
        <w:spacing w:line="360" w:lineRule="auto"/>
        <w:ind w:firstLine="420" w:firstLineChars="200"/>
        <w:rPr>
          <w:rFonts w:ascii="宋体" w:hAnsi="宋体" w:cs="宋体"/>
          <w:szCs w:val="21"/>
        </w:rPr>
      </w:pPr>
      <w:r>
        <w:rPr>
          <w:rFonts w:hint="eastAsia" w:ascii="宋体" w:hAnsi="宋体" w:cs="宋体"/>
          <w:szCs w:val="21"/>
        </w:rPr>
        <w:t>方式：现场获取</w:t>
      </w:r>
    </w:p>
    <w:p>
      <w:pPr>
        <w:spacing w:line="360" w:lineRule="auto"/>
        <w:ind w:firstLine="420" w:firstLineChars="200"/>
        <w:rPr>
          <w:rFonts w:ascii="宋体" w:hAnsi="宋体" w:cs="宋体"/>
          <w:b/>
          <w:bCs/>
          <w:szCs w:val="21"/>
        </w:rPr>
      </w:pPr>
      <w:r>
        <w:rPr>
          <w:rFonts w:hint="eastAsia" w:ascii="宋体" w:hAnsi="宋体" w:cs="宋体"/>
          <w:szCs w:val="21"/>
        </w:rPr>
        <w:t>售价：300元</w:t>
      </w:r>
    </w:p>
    <w:p>
      <w:pPr>
        <w:spacing w:line="360" w:lineRule="auto"/>
        <w:rPr>
          <w:rFonts w:ascii="宋体" w:hAnsi="宋体" w:cs="宋体"/>
          <w:b/>
          <w:bCs/>
          <w:szCs w:val="21"/>
        </w:rPr>
      </w:pPr>
      <w:r>
        <w:rPr>
          <w:rFonts w:hint="eastAsia" w:ascii="宋体" w:hAnsi="宋体" w:cs="宋体"/>
          <w:b/>
          <w:bCs/>
          <w:szCs w:val="21"/>
        </w:rPr>
        <w:t>四、提交投标文件截止时间、开标时间和地点</w:t>
      </w:r>
    </w:p>
    <w:p>
      <w:pPr>
        <w:spacing w:line="360" w:lineRule="auto"/>
        <w:ind w:firstLine="420" w:firstLineChars="200"/>
        <w:rPr>
          <w:rFonts w:ascii="宋体" w:hAnsi="宋体" w:cs="宋体"/>
          <w:szCs w:val="21"/>
        </w:rPr>
      </w:pPr>
      <w:r>
        <w:rPr>
          <w:rFonts w:hint="eastAsia" w:ascii="宋体" w:hAnsi="宋体" w:cs="宋体"/>
          <w:szCs w:val="21"/>
        </w:rPr>
        <w:t>202</w:t>
      </w:r>
      <w:r>
        <w:rPr>
          <w:rFonts w:ascii="宋体" w:hAnsi="宋体" w:cs="宋体"/>
          <w:szCs w:val="21"/>
        </w:rPr>
        <w:t>3</w:t>
      </w:r>
      <w:r>
        <w:rPr>
          <w:rFonts w:hint="eastAsia" w:ascii="宋体" w:hAnsi="宋体" w:cs="宋体"/>
          <w:szCs w:val="21"/>
        </w:rPr>
        <w:t>年</w:t>
      </w:r>
      <w:r>
        <w:rPr>
          <w:rFonts w:hint="eastAsia" w:ascii="宋体" w:hAnsi="宋体" w:cs="宋体"/>
          <w:szCs w:val="21"/>
          <w:lang w:val="en-US" w:eastAsia="zh-CN"/>
        </w:rPr>
        <w:t>9</w:t>
      </w:r>
      <w:r>
        <w:rPr>
          <w:rFonts w:hint="eastAsia" w:ascii="宋体" w:hAnsi="宋体" w:cs="宋体"/>
          <w:szCs w:val="21"/>
        </w:rPr>
        <w:t>月</w:t>
      </w:r>
      <w:r>
        <w:rPr>
          <w:rFonts w:hint="eastAsia" w:ascii="宋体" w:hAnsi="宋体" w:cs="宋体"/>
          <w:szCs w:val="21"/>
          <w:lang w:val="en-US" w:eastAsia="zh-CN"/>
        </w:rPr>
        <w:t>28</w:t>
      </w:r>
      <w:r>
        <w:rPr>
          <w:rFonts w:hint="eastAsia" w:ascii="宋体" w:hAnsi="宋体" w:cs="宋体"/>
          <w:szCs w:val="21"/>
        </w:rPr>
        <w:t>日</w:t>
      </w:r>
      <w:r>
        <w:rPr>
          <w:rFonts w:hint="eastAsia" w:ascii="宋体" w:hAnsi="宋体" w:cs="宋体"/>
          <w:szCs w:val="21"/>
          <w:lang w:val="en-US" w:eastAsia="zh-CN"/>
        </w:rPr>
        <w:t>10</w:t>
      </w:r>
      <w:r>
        <w:rPr>
          <w:rFonts w:hint="eastAsia" w:ascii="宋体" w:hAnsi="宋体" w:cs="宋体"/>
          <w:szCs w:val="21"/>
        </w:rPr>
        <w:t>时</w:t>
      </w:r>
      <w:r>
        <w:rPr>
          <w:rFonts w:hint="eastAsia" w:ascii="宋体" w:hAnsi="宋体" w:cs="宋体"/>
          <w:szCs w:val="21"/>
          <w:lang w:val="en-US" w:eastAsia="zh-CN"/>
        </w:rPr>
        <w:t>00</w:t>
      </w:r>
      <w:r>
        <w:rPr>
          <w:rFonts w:hint="eastAsia" w:ascii="宋体" w:hAnsi="宋体" w:cs="宋体"/>
          <w:szCs w:val="21"/>
        </w:rPr>
        <w:t>分00秒（北京时间）</w:t>
      </w:r>
    </w:p>
    <w:p>
      <w:pPr>
        <w:spacing w:line="360" w:lineRule="auto"/>
        <w:ind w:firstLine="420" w:firstLineChars="200"/>
        <w:rPr>
          <w:rFonts w:ascii="宋体" w:hAnsi="宋体" w:cs="宋体"/>
          <w:szCs w:val="21"/>
        </w:rPr>
      </w:pPr>
      <w:r>
        <w:rPr>
          <w:rFonts w:hint="eastAsia" w:ascii="宋体" w:hAnsi="宋体" w:cs="宋体"/>
          <w:szCs w:val="21"/>
        </w:rPr>
        <w:t>地点：广州市越秀区东风东路555号粤海集团大厦</w:t>
      </w:r>
      <w:r>
        <w:rPr>
          <w:rFonts w:ascii="宋体" w:hAnsi="宋体" w:cs="宋体"/>
          <w:szCs w:val="21"/>
        </w:rPr>
        <w:t>2201</w:t>
      </w:r>
    </w:p>
    <w:p>
      <w:pPr>
        <w:spacing w:line="360" w:lineRule="auto"/>
        <w:rPr>
          <w:rFonts w:ascii="宋体" w:hAnsi="宋体" w:cs="宋体"/>
          <w:b/>
          <w:bCs/>
          <w:szCs w:val="21"/>
        </w:rPr>
      </w:pPr>
      <w:r>
        <w:rPr>
          <w:rFonts w:hint="eastAsia" w:ascii="宋体" w:hAnsi="宋体" w:cs="宋体"/>
          <w:b/>
          <w:bCs/>
          <w:szCs w:val="21"/>
        </w:rPr>
        <w:t>五、公告期限</w:t>
      </w:r>
    </w:p>
    <w:p>
      <w:pPr>
        <w:spacing w:line="360" w:lineRule="auto"/>
        <w:ind w:firstLine="420" w:firstLineChars="200"/>
        <w:rPr>
          <w:rFonts w:ascii="宋体" w:hAnsi="宋体" w:cs="宋体"/>
          <w:szCs w:val="21"/>
        </w:rPr>
      </w:pPr>
      <w:r>
        <w:rPr>
          <w:rFonts w:hint="eastAsia" w:ascii="宋体" w:hAnsi="宋体" w:cs="宋体"/>
          <w:szCs w:val="21"/>
        </w:rPr>
        <w:t>自本公告发布之日起5个工作日。</w:t>
      </w:r>
    </w:p>
    <w:p>
      <w:pPr>
        <w:spacing w:line="360" w:lineRule="auto"/>
        <w:rPr>
          <w:rFonts w:ascii="宋体" w:hAnsi="宋体" w:cs="宋体"/>
          <w:b/>
          <w:bCs/>
          <w:szCs w:val="21"/>
        </w:rPr>
      </w:pPr>
      <w:r>
        <w:rPr>
          <w:rFonts w:hint="eastAsia" w:ascii="宋体" w:hAnsi="宋体" w:cs="宋体"/>
          <w:b/>
          <w:bCs/>
          <w:szCs w:val="21"/>
        </w:rPr>
        <w:t>六、其他补充事宜</w:t>
      </w:r>
    </w:p>
    <w:p>
      <w:pPr>
        <w:spacing w:line="360" w:lineRule="auto"/>
        <w:ind w:firstLine="420" w:firstLineChars="200"/>
        <w:rPr>
          <w:rFonts w:ascii="宋体" w:hAnsi="宋体" w:cs="Arial"/>
          <w:szCs w:val="21"/>
        </w:rPr>
      </w:pPr>
      <w:r>
        <w:rPr>
          <w:rFonts w:ascii="宋体" w:hAnsi="宋体" w:cs="Arial"/>
          <w:szCs w:val="21"/>
        </w:rPr>
        <w:t>1</w:t>
      </w:r>
      <w:r>
        <w:rPr>
          <w:rFonts w:hint="eastAsia" w:ascii="宋体" w:hAnsi="宋体" w:cs="Arial"/>
          <w:szCs w:val="21"/>
        </w:rPr>
        <w:t>、具备《中华人民共和国政府采购法》第二十二条规定；分支机构投标的，必须由总公司（总所）授权，并提供以下材料：</w:t>
      </w:r>
    </w:p>
    <w:p>
      <w:pPr>
        <w:spacing w:line="360" w:lineRule="auto"/>
        <w:ind w:firstLine="420" w:firstLineChars="200"/>
        <w:rPr>
          <w:rFonts w:ascii="宋体" w:hAnsi="宋体" w:cs="Arial"/>
          <w:szCs w:val="21"/>
        </w:rPr>
      </w:pPr>
      <w:r>
        <w:rPr>
          <w:rFonts w:hint="eastAsia" w:ascii="宋体" w:hAnsi="宋体" w:cs="Arial"/>
          <w:szCs w:val="21"/>
        </w:rPr>
        <w:t>1）具有独立承担民事责任的能力：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w:t>
      </w:r>
    </w:p>
    <w:p>
      <w:pPr>
        <w:spacing w:line="360" w:lineRule="auto"/>
        <w:ind w:firstLine="420" w:firstLineChars="200"/>
        <w:rPr>
          <w:rFonts w:ascii="宋体" w:hAnsi="宋体" w:cs="Arial"/>
          <w:szCs w:val="21"/>
        </w:rPr>
      </w:pPr>
      <w:r>
        <w:rPr>
          <w:rFonts w:hint="eastAsia" w:ascii="宋体" w:hAnsi="宋体" w:cs="Arial"/>
          <w:szCs w:val="21"/>
        </w:rPr>
        <w:t>2）有依法缴纳税收和社会保障资金的良好记录：提供《资格声明函》。</w:t>
      </w:r>
    </w:p>
    <w:p>
      <w:pPr>
        <w:spacing w:line="360" w:lineRule="auto"/>
        <w:ind w:firstLine="420" w:firstLineChars="200"/>
        <w:rPr>
          <w:rFonts w:ascii="宋体" w:hAnsi="宋体" w:cs="Arial"/>
          <w:szCs w:val="21"/>
        </w:rPr>
      </w:pPr>
      <w:r>
        <w:rPr>
          <w:rFonts w:hint="eastAsia" w:ascii="宋体" w:hAnsi="宋体" w:cs="Arial"/>
          <w:szCs w:val="21"/>
        </w:rPr>
        <w:t>3）具有良好的商业信誉和健全的财务会计制度：提供《资格声明函》。</w:t>
      </w:r>
    </w:p>
    <w:p>
      <w:pPr>
        <w:spacing w:line="360" w:lineRule="auto"/>
        <w:ind w:firstLine="420" w:firstLineChars="200"/>
        <w:rPr>
          <w:rFonts w:ascii="宋体" w:hAnsi="宋体" w:cs="Arial"/>
          <w:szCs w:val="21"/>
        </w:rPr>
      </w:pPr>
      <w:r>
        <w:rPr>
          <w:rFonts w:hint="eastAsia" w:ascii="宋体" w:hAnsi="宋体" w:cs="Arial"/>
          <w:szCs w:val="21"/>
        </w:rPr>
        <w:t>4）履行合同所必需的设备和专业技术能力：提供《资格声明函》。</w:t>
      </w:r>
    </w:p>
    <w:p>
      <w:pPr>
        <w:spacing w:line="360" w:lineRule="auto"/>
        <w:ind w:firstLine="420" w:firstLineChars="200"/>
        <w:rPr>
          <w:rFonts w:ascii="宋体" w:hAnsi="宋体" w:cs="Arial"/>
          <w:szCs w:val="21"/>
        </w:rPr>
      </w:pPr>
      <w:r>
        <w:rPr>
          <w:rFonts w:hint="eastAsia" w:ascii="宋体" w:hAnsi="宋体" w:cs="Arial"/>
          <w:szCs w:val="21"/>
        </w:rPr>
        <w:t>5）参加采购活动前3年内，在经营活动中没有重大违法记录：提供《资格声明函》。</w:t>
      </w:r>
      <w:r>
        <w:rPr>
          <w:rFonts w:hint="eastAsia"/>
          <w:color w:val="333333"/>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pacing w:line="360" w:lineRule="auto"/>
        <w:ind w:firstLine="420" w:firstLineChars="200"/>
        <w:rPr>
          <w:rFonts w:ascii="宋体" w:hAnsi="宋体" w:cs="Arial"/>
          <w:szCs w:val="21"/>
        </w:rPr>
      </w:pPr>
      <w:r>
        <w:rPr>
          <w:rFonts w:hint="eastAsia" w:ascii="宋体" w:hAnsi="宋体" w:cs="Arial"/>
          <w:szCs w:val="21"/>
        </w:rPr>
        <w:t>6）符合法律、行政法规规定的其他条件：提供《资格声明函》。</w:t>
      </w:r>
    </w:p>
    <w:p>
      <w:pPr>
        <w:spacing w:line="360" w:lineRule="auto"/>
        <w:ind w:firstLine="420" w:firstLineChars="200"/>
        <w:rPr>
          <w:rFonts w:ascii="宋体" w:hAnsi="宋体" w:cs="Arial"/>
          <w:szCs w:val="21"/>
        </w:rPr>
      </w:pPr>
      <w:r>
        <w:rPr>
          <w:rFonts w:hint="eastAsia" w:ascii="宋体" w:hAnsi="宋体" w:cs="Arial"/>
          <w:szCs w:val="21"/>
        </w:rPr>
        <w:t>7）单位负责人为同一人或者存在直接控股、管理关系的不同供应商，不得同时参加本采购项目响应。为本项目提供整体设计、规范编制或者项目管理、监理、检测等服务的供应商，不得再参与本项目响应。提供《资格声明函》。</w:t>
      </w:r>
    </w:p>
    <w:p>
      <w:pPr>
        <w:spacing w:line="360" w:lineRule="auto"/>
        <w:ind w:firstLine="420" w:firstLineChars="200"/>
        <w:rPr>
          <w:rFonts w:ascii="宋体" w:hAnsi="宋体" w:cs="Arial"/>
          <w:szCs w:val="21"/>
        </w:rPr>
      </w:pPr>
      <w:r>
        <w:rPr>
          <w:rFonts w:hint="eastAsia" w:ascii="宋体" w:hAnsi="宋体" w:cs="Arial"/>
          <w:szCs w:val="21"/>
        </w:rPr>
        <w:t>8）未列入“信用中国”网站中“记录失信被执行人或重大税收违法案件当事人名单（税收违法黑名单）或政府采购严重违法失信行为”的记录名单；不处于“中国政府采购网”中“政府采购严重违法失信行为信息记录”的禁止参加政府采购活动期间（以资格审查人员于投标（响应）截止时间当天在“信用中国”网站（www.creditchina.gov.cn）及中国政府采购网（http://www.ccgp.gov.cn/）查询结果为准，如相关失信记录已失效，供应商需提供相关证明资料）。</w:t>
      </w:r>
    </w:p>
    <w:p>
      <w:pPr>
        <w:pStyle w:val="35"/>
        <w:spacing w:before="0" w:beforeAutospacing="0" w:after="140" w:afterAutospacing="0" w:line="150" w:lineRule="atLeast"/>
        <w:ind w:firstLine="420" w:firstLineChars="200"/>
        <w:rPr>
          <w:rFonts w:cs="Arial"/>
          <w:kern w:val="2"/>
          <w:sz w:val="21"/>
          <w:szCs w:val="21"/>
        </w:rPr>
      </w:pPr>
      <w:r>
        <w:rPr>
          <w:rFonts w:hint="eastAsia" w:cs="Arial"/>
          <w:kern w:val="2"/>
          <w:sz w:val="21"/>
          <w:szCs w:val="21"/>
        </w:rPr>
        <w:t>2、</w:t>
      </w:r>
      <w:r>
        <w:rPr>
          <w:rFonts w:cs="Arial"/>
          <w:kern w:val="2"/>
          <w:sz w:val="21"/>
          <w:szCs w:val="21"/>
        </w:rPr>
        <w:t>已</w:t>
      </w:r>
      <w:r>
        <w:rPr>
          <w:rFonts w:hint="eastAsia" w:cs="Arial"/>
          <w:kern w:val="2"/>
          <w:sz w:val="21"/>
          <w:szCs w:val="21"/>
        </w:rPr>
        <w:t>按规定</w:t>
      </w:r>
      <w:r>
        <w:rPr>
          <w:rFonts w:cs="Arial"/>
          <w:kern w:val="2"/>
          <w:sz w:val="21"/>
          <w:szCs w:val="21"/>
        </w:rPr>
        <w:t>获取本项目采购文件。</w:t>
      </w:r>
    </w:p>
    <w:p>
      <w:pPr>
        <w:pStyle w:val="35"/>
        <w:spacing w:before="0" w:beforeAutospacing="0" w:after="140" w:afterAutospacing="0" w:line="150" w:lineRule="atLeast"/>
        <w:ind w:firstLine="420" w:firstLineChars="200"/>
        <w:rPr>
          <w:rFonts w:cs="Arial"/>
          <w:kern w:val="2"/>
          <w:sz w:val="21"/>
          <w:szCs w:val="21"/>
        </w:rPr>
      </w:pPr>
      <w:r>
        <w:rPr>
          <w:rFonts w:hint="eastAsia" w:cs="Arial"/>
          <w:kern w:val="2"/>
          <w:sz w:val="21"/>
          <w:szCs w:val="21"/>
        </w:rPr>
        <w:t>3、本项目不接受联合体投标。</w:t>
      </w:r>
    </w:p>
    <w:p>
      <w:pPr>
        <w:spacing w:line="360" w:lineRule="auto"/>
        <w:ind w:firstLine="420" w:firstLineChars="200"/>
        <w:rPr>
          <w:rFonts w:ascii="宋体" w:hAnsi="宋体" w:cs="Arial"/>
          <w:szCs w:val="21"/>
        </w:rPr>
      </w:pPr>
      <w:r>
        <w:rPr>
          <w:rFonts w:ascii="宋体" w:hAnsi="宋体" w:cs="Arial"/>
          <w:szCs w:val="21"/>
        </w:rPr>
        <w:t>4</w:t>
      </w:r>
      <w:r>
        <w:rPr>
          <w:rFonts w:hint="eastAsia" w:ascii="宋体" w:hAnsi="宋体" w:cs="Arial"/>
          <w:szCs w:val="21"/>
        </w:rPr>
        <w:t>、</w:t>
      </w:r>
      <w:r>
        <w:rPr>
          <w:rFonts w:hint="eastAsia" w:ascii="宋体" w:hAnsi="宋体" w:cs="宋体"/>
          <w:szCs w:val="21"/>
        </w:rPr>
        <w:t>递交投标文件时间：202</w:t>
      </w:r>
      <w:r>
        <w:rPr>
          <w:rFonts w:ascii="宋体" w:hAnsi="宋体" w:cs="宋体"/>
          <w:szCs w:val="21"/>
        </w:rPr>
        <w:t>3</w:t>
      </w:r>
      <w:r>
        <w:rPr>
          <w:rFonts w:hint="eastAsia" w:ascii="宋体" w:hAnsi="宋体" w:cs="宋体"/>
          <w:szCs w:val="21"/>
        </w:rPr>
        <w:t>年</w:t>
      </w:r>
      <w:r>
        <w:rPr>
          <w:rFonts w:hint="eastAsia" w:ascii="宋体" w:hAnsi="宋体" w:cs="宋体"/>
          <w:szCs w:val="21"/>
          <w:lang w:val="en-US" w:eastAsia="zh-CN"/>
        </w:rPr>
        <w:t>9</w:t>
      </w:r>
      <w:r>
        <w:rPr>
          <w:rFonts w:hint="eastAsia" w:ascii="宋体" w:hAnsi="宋体" w:cs="宋体"/>
          <w:szCs w:val="21"/>
        </w:rPr>
        <w:t>月</w:t>
      </w:r>
      <w:r>
        <w:rPr>
          <w:rFonts w:hint="eastAsia" w:ascii="宋体" w:hAnsi="宋体" w:cs="宋体"/>
          <w:szCs w:val="21"/>
          <w:lang w:val="en-US" w:eastAsia="zh-CN"/>
        </w:rPr>
        <w:t>28</w:t>
      </w:r>
      <w:r>
        <w:rPr>
          <w:rFonts w:hint="eastAsia" w:ascii="宋体" w:hAnsi="宋体" w:cs="宋体"/>
          <w:szCs w:val="21"/>
        </w:rPr>
        <w:t>日</w:t>
      </w:r>
      <w:r>
        <w:rPr>
          <w:rFonts w:hint="eastAsia" w:ascii="宋体" w:hAnsi="宋体" w:cs="宋体"/>
          <w:szCs w:val="21"/>
          <w:lang w:val="en-US" w:eastAsia="zh-CN"/>
        </w:rPr>
        <w:t>09</w:t>
      </w:r>
      <w:r>
        <w:rPr>
          <w:rFonts w:hint="eastAsia" w:ascii="宋体" w:hAnsi="宋体" w:cs="宋体"/>
          <w:szCs w:val="21"/>
        </w:rPr>
        <w:t>时</w:t>
      </w:r>
      <w:r>
        <w:rPr>
          <w:rFonts w:hint="eastAsia" w:ascii="宋体" w:hAnsi="宋体" w:cs="宋体"/>
          <w:szCs w:val="21"/>
          <w:lang w:val="en-US" w:eastAsia="zh-CN"/>
        </w:rPr>
        <w:t>30</w:t>
      </w:r>
      <w:r>
        <w:rPr>
          <w:rFonts w:hint="eastAsia" w:ascii="宋体" w:hAnsi="宋体" w:cs="宋体"/>
          <w:szCs w:val="21"/>
        </w:rPr>
        <w:t>分至202</w:t>
      </w:r>
      <w:r>
        <w:rPr>
          <w:rFonts w:ascii="宋体" w:hAnsi="宋体" w:cs="宋体"/>
          <w:szCs w:val="21"/>
        </w:rPr>
        <w:t>3</w:t>
      </w:r>
      <w:r>
        <w:rPr>
          <w:rFonts w:hint="eastAsia" w:ascii="宋体" w:hAnsi="宋体" w:cs="宋体"/>
          <w:szCs w:val="21"/>
        </w:rPr>
        <w:t>年</w:t>
      </w:r>
      <w:r>
        <w:rPr>
          <w:rFonts w:hint="eastAsia" w:ascii="宋体" w:hAnsi="宋体" w:cs="宋体"/>
          <w:szCs w:val="21"/>
          <w:lang w:val="en-US" w:eastAsia="zh-CN"/>
        </w:rPr>
        <w:t>9</w:t>
      </w:r>
      <w:r>
        <w:rPr>
          <w:rFonts w:hint="eastAsia" w:ascii="宋体" w:hAnsi="宋体" w:cs="宋体"/>
          <w:szCs w:val="21"/>
        </w:rPr>
        <w:t>月</w:t>
      </w:r>
      <w:r>
        <w:rPr>
          <w:rFonts w:hint="eastAsia" w:ascii="宋体" w:hAnsi="宋体" w:cs="宋体"/>
          <w:szCs w:val="21"/>
          <w:lang w:val="en-US" w:eastAsia="zh-CN"/>
        </w:rPr>
        <w:t>28</w:t>
      </w:r>
      <w:r>
        <w:rPr>
          <w:rFonts w:hint="eastAsia" w:ascii="宋体" w:hAnsi="宋体" w:cs="宋体"/>
          <w:szCs w:val="21"/>
        </w:rPr>
        <w:t>日</w:t>
      </w:r>
      <w:r>
        <w:rPr>
          <w:rFonts w:hint="eastAsia" w:ascii="宋体" w:hAnsi="宋体" w:cs="宋体"/>
          <w:szCs w:val="21"/>
          <w:lang w:val="en-US" w:eastAsia="zh-CN"/>
        </w:rPr>
        <w:t>10</w:t>
      </w:r>
      <w:r>
        <w:rPr>
          <w:rFonts w:hint="eastAsia" w:ascii="宋体" w:hAnsi="宋体" w:cs="宋体"/>
          <w:szCs w:val="21"/>
        </w:rPr>
        <w:t>时</w:t>
      </w:r>
      <w:r>
        <w:rPr>
          <w:rFonts w:hint="eastAsia" w:ascii="宋体" w:hAnsi="宋体" w:cs="宋体"/>
          <w:szCs w:val="21"/>
          <w:lang w:val="en-US" w:eastAsia="zh-CN"/>
        </w:rPr>
        <w:t>00</w:t>
      </w:r>
      <w:r>
        <w:rPr>
          <w:rFonts w:hint="eastAsia" w:ascii="宋体" w:hAnsi="宋体" w:cs="宋体"/>
          <w:szCs w:val="21"/>
        </w:rPr>
        <w:t>分</w:t>
      </w:r>
    </w:p>
    <w:p>
      <w:pPr>
        <w:spacing w:line="360" w:lineRule="auto"/>
        <w:ind w:firstLine="420" w:firstLineChars="200"/>
        <w:rPr>
          <w:rFonts w:ascii="宋体" w:hAnsi="宋体" w:cs="宋体"/>
          <w:szCs w:val="21"/>
        </w:rPr>
      </w:pPr>
      <w:r>
        <w:rPr>
          <w:rFonts w:ascii="宋体" w:hAnsi="宋体" w:cs="宋体"/>
          <w:szCs w:val="21"/>
        </w:rPr>
        <w:t>5</w:t>
      </w:r>
      <w:r>
        <w:rPr>
          <w:rFonts w:hint="eastAsia" w:ascii="宋体" w:hAnsi="宋体" w:cs="宋体"/>
          <w:szCs w:val="21"/>
        </w:rPr>
        <w:t>、获取招标文件注意事项：</w:t>
      </w:r>
    </w:p>
    <w:p>
      <w:pPr>
        <w:spacing w:line="360" w:lineRule="auto"/>
        <w:ind w:firstLine="420" w:firstLineChars="200"/>
        <w:rPr>
          <w:rFonts w:ascii="宋体" w:hAnsi="宋体" w:cs="宋体"/>
          <w:szCs w:val="21"/>
        </w:rPr>
      </w:pPr>
      <w:r>
        <w:rPr>
          <w:rFonts w:hint="eastAsia" w:ascii="宋体" w:hAnsi="宋体" w:cs="宋体"/>
          <w:szCs w:val="21"/>
        </w:rPr>
        <w:t>方式一：供应商可以携带填写完成的《</w:t>
      </w:r>
      <w:r>
        <w:rPr>
          <w:rFonts w:hint="eastAsia" w:ascii="宋体" w:hAnsi="宋体"/>
          <w:bCs/>
          <w:szCs w:val="21"/>
        </w:rPr>
        <w:t>获取文件登记表</w:t>
      </w:r>
      <w:r>
        <w:rPr>
          <w:rFonts w:hint="eastAsia" w:ascii="宋体" w:hAnsi="宋体" w:cs="宋体"/>
          <w:szCs w:val="21"/>
        </w:rPr>
        <w:t>》（打印版一份，可不盖章）至广州市越秀区东风东路555号粤海集团大厦2204进行现场登记；</w:t>
      </w:r>
    </w:p>
    <w:p>
      <w:pPr>
        <w:spacing w:line="360" w:lineRule="auto"/>
        <w:ind w:firstLine="420" w:firstLineChars="200"/>
        <w:rPr>
          <w:rFonts w:ascii="宋体" w:hAnsi="宋体" w:cs="宋体"/>
          <w:szCs w:val="21"/>
        </w:rPr>
      </w:pPr>
      <w:r>
        <w:rPr>
          <w:rFonts w:hint="eastAsia" w:ascii="宋体" w:hAnsi="宋体" w:cs="宋体"/>
          <w:szCs w:val="21"/>
        </w:rPr>
        <w:t>方式二：（1）供应商填写完成的《</w:t>
      </w:r>
      <w:r>
        <w:rPr>
          <w:rFonts w:hint="eastAsia" w:ascii="宋体" w:hAnsi="宋体"/>
          <w:bCs/>
          <w:szCs w:val="21"/>
        </w:rPr>
        <w:t>获取文件登记表</w:t>
      </w:r>
      <w:r>
        <w:rPr>
          <w:rFonts w:hint="eastAsia" w:ascii="宋体" w:hAnsi="宋体" w:cs="宋体"/>
          <w:szCs w:val="21"/>
        </w:rPr>
        <w:t>》发送至邮箱 gzqunsheng@gzqunsheng.com，邮件主题简要注明项目名称与单位名称；（2）根据上述邮箱回复的银行账号或微信收款码缴费，缴费时备注供应商名称，并把缴费截图发回上述邮箱；（3）我司收到缴费截图后将开出收费凭证及采购文件发回供应商邮箱即登记完成。</w:t>
      </w:r>
    </w:p>
    <w:p>
      <w:pPr>
        <w:spacing w:line="360" w:lineRule="auto"/>
        <w:ind w:firstLine="420" w:firstLineChars="200"/>
        <w:rPr>
          <w:rFonts w:ascii="宋体" w:hAnsi="宋体" w:cs="宋体"/>
          <w:szCs w:val="21"/>
        </w:rPr>
      </w:pPr>
      <w:r>
        <w:rPr>
          <w:rFonts w:hint="eastAsia" w:ascii="宋体" w:hAnsi="宋体" w:cs="宋体"/>
          <w:szCs w:val="21"/>
        </w:rPr>
        <w:t>《</w:t>
      </w:r>
      <w:r>
        <w:rPr>
          <w:rFonts w:hint="eastAsia" w:ascii="宋体" w:hAnsi="宋体"/>
          <w:bCs/>
          <w:szCs w:val="21"/>
        </w:rPr>
        <w:t>获取文件登记表</w:t>
      </w:r>
      <w:r>
        <w:rPr>
          <w:rFonts w:hint="eastAsia" w:ascii="宋体" w:hAnsi="宋体" w:cs="宋体"/>
          <w:szCs w:val="21"/>
        </w:rPr>
        <w:t>》（WORD版）</w:t>
      </w:r>
      <w:r>
        <w:rPr>
          <w:rFonts w:hint="eastAsia" w:ascii="宋体" w:hAnsi="宋体"/>
          <w:bCs/>
          <w:szCs w:val="21"/>
        </w:rPr>
        <w:t>（版本从</w:t>
      </w:r>
      <w:r>
        <w:rPr>
          <w:rFonts w:hint="eastAsia" w:ascii="宋体" w:hAnsi="宋体"/>
          <w:szCs w:val="21"/>
        </w:rPr>
        <w:t>www.gzqunsheng.com/</w:t>
      </w:r>
      <w:r>
        <w:rPr>
          <w:rFonts w:hint="eastAsia"/>
          <w:szCs w:val="21"/>
        </w:rPr>
        <w:t>常用文件一栏</w:t>
      </w:r>
      <w:r>
        <w:rPr>
          <w:rFonts w:hint="eastAsia" w:ascii="宋体" w:hAnsi="宋体"/>
          <w:bCs/>
          <w:szCs w:val="21"/>
        </w:rPr>
        <w:t>下载）</w:t>
      </w:r>
    </w:p>
    <w:p>
      <w:pPr>
        <w:spacing w:line="360" w:lineRule="auto"/>
        <w:ind w:firstLine="420" w:firstLineChars="200"/>
        <w:rPr>
          <w:rFonts w:ascii="宋体" w:hAnsi="宋体"/>
          <w:bCs/>
          <w:szCs w:val="21"/>
        </w:rPr>
      </w:pPr>
      <w:r>
        <w:rPr>
          <w:rFonts w:ascii="宋体" w:hAnsi="宋体" w:cs="宋体"/>
          <w:szCs w:val="21"/>
        </w:rPr>
        <w:t>6</w:t>
      </w:r>
      <w:r>
        <w:rPr>
          <w:rFonts w:hint="eastAsia" w:ascii="宋体" w:hAnsi="宋体" w:cs="宋体"/>
          <w:szCs w:val="21"/>
        </w:rPr>
        <w:t>、</w:t>
      </w:r>
      <w:r>
        <w:rPr>
          <w:rFonts w:hint="eastAsia" w:ascii="宋体" w:hAnsi="宋体"/>
          <w:bCs/>
          <w:szCs w:val="21"/>
        </w:rPr>
        <w:t>本项目不举行集中答疑会，投标人如有疑问请以书面形式向采购代理机构咨询。</w:t>
      </w:r>
    </w:p>
    <w:p>
      <w:pPr>
        <w:spacing w:line="360" w:lineRule="auto"/>
        <w:ind w:firstLine="420" w:firstLineChars="200"/>
        <w:rPr>
          <w:rFonts w:ascii="宋体" w:hAnsi="宋体" w:cs="宋体"/>
          <w:szCs w:val="21"/>
        </w:rPr>
      </w:pPr>
      <w:r>
        <w:rPr>
          <w:rFonts w:ascii="宋体" w:hAnsi="宋体"/>
          <w:bCs/>
          <w:szCs w:val="21"/>
        </w:rPr>
        <w:t>7</w:t>
      </w:r>
      <w:r>
        <w:rPr>
          <w:rFonts w:hint="eastAsia" w:ascii="宋体" w:hAnsi="宋体"/>
          <w:bCs/>
          <w:szCs w:val="21"/>
        </w:rPr>
        <w:t>、本项目不组织现场考察。</w:t>
      </w:r>
    </w:p>
    <w:p>
      <w:pPr>
        <w:spacing w:line="360" w:lineRule="auto"/>
        <w:ind w:firstLine="420" w:firstLineChars="200"/>
        <w:rPr>
          <w:rFonts w:ascii="宋体" w:hAnsi="宋体" w:cs="宋体"/>
          <w:szCs w:val="21"/>
        </w:rPr>
      </w:pPr>
      <w:r>
        <w:rPr>
          <w:rFonts w:ascii="宋体" w:hAnsi="宋体" w:cs="宋体"/>
          <w:szCs w:val="21"/>
        </w:rPr>
        <w:t>8</w:t>
      </w:r>
      <w:r>
        <w:rPr>
          <w:rFonts w:hint="eastAsia" w:ascii="宋体" w:hAnsi="宋体" w:cs="宋体"/>
          <w:szCs w:val="21"/>
        </w:rPr>
        <w:t>、本项目的所有相关公告会在中国政府采购网（www.ccgp.gov.cn）、广州群生招标代理有限公司网站（www.gzqunsheng.com）上公布，公布之日即视为有效送达之日，不再另行通知。</w:t>
      </w:r>
    </w:p>
    <w:p>
      <w:pPr>
        <w:spacing w:line="360" w:lineRule="auto"/>
        <w:rPr>
          <w:rFonts w:ascii="宋体" w:hAnsi="宋体" w:cs="宋体"/>
          <w:b/>
          <w:bCs/>
          <w:szCs w:val="21"/>
        </w:rPr>
      </w:pPr>
      <w:r>
        <w:rPr>
          <w:rFonts w:hint="eastAsia" w:ascii="宋体" w:hAnsi="宋体" w:cs="宋体"/>
          <w:b/>
          <w:bCs/>
          <w:szCs w:val="21"/>
        </w:rPr>
        <w:t>七、对本次招标提出询问，请按以下方式联系</w:t>
      </w:r>
    </w:p>
    <w:p>
      <w:pPr>
        <w:spacing w:line="360" w:lineRule="auto"/>
        <w:ind w:firstLine="420" w:firstLineChars="200"/>
        <w:rPr>
          <w:rFonts w:ascii="宋体" w:hAnsi="宋体" w:cs="宋体"/>
          <w:szCs w:val="21"/>
        </w:rPr>
      </w:pPr>
      <w:r>
        <w:rPr>
          <w:rFonts w:hint="eastAsia" w:ascii="宋体" w:hAnsi="宋体" w:cs="宋体"/>
          <w:szCs w:val="21"/>
        </w:rPr>
        <w:t>1.采购人信息</w:t>
      </w:r>
    </w:p>
    <w:p>
      <w:pPr>
        <w:spacing w:line="360" w:lineRule="auto"/>
        <w:ind w:firstLine="630" w:firstLineChars="300"/>
        <w:rPr>
          <w:rFonts w:ascii="宋体" w:hAnsi="宋体" w:cs="宋体"/>
          <w:szCs w:val="21"/>
        </w:rPr>
      </w:pPr>
      <w:r>
        <w:rPr>
          <w:rFonts w:hint="eastAsia" w:ascii="宋体" w:hAnsi="宋体" w:cs="宋体"/>
          <w:szCs w:val="21"/>
        </w:rPr>
        <w:t>名  称：中华人民共和国广州出入境边防检查总站</w:t>
      </w:r>
    </w:p>
    <w:p>
      <w:pPr>
        <w:spacing w:line="360" w:lineRule="auto"/>
        <w:ind w:firstLine="630" w:firstLineChars="300"/>
        <w:rPr>
          <w:rFonts w:ascii="宋体" w:hAnsi="宋体" w:cs="宋体"/>
          <w:szCs w:val="21"/>
        </w:rPr>
      </w:pPr>
      <w:r>
        <w:rPr>
          <w:rFonts w:hint="eastAsia" w:ascii="宋体" w:hAnsi="宋体" w:cs="宋体"/>
          <w:szCs w:val="21"/>
        </w:rPr>
        <w:t>联系人：刘警官</w:t>
      </w:r>
    </w:p>
    <w:p>
      <w:pPr>
        <w:spacing w:line="360" w:lineRule="auto"/>
        <w:ind w:firstLine="630" w:firstLineChars="300"/>
        <w:rPr>
          <w:rFonts w:ascii="宋体" w:hAnsi="宋体" w:cs="宋体"/>
          <w:szCs w:val="21"/>
        </w:rPr>
      </w:pPr>
      <w:r>
        <w:rPr>
          <w:rFonts w:hint="eastAsia" w:ascii="宋体" w:hAnsi="宋体" w:cs="宋体"/>
          <w:szCs w:val="21"/>
        </w:rPr>
        <w:t>地  址：</w:t>
      </w:r>
      <w:r>
        <w:rPr>
          <w:rFonts w:hint="eastAsia"/>
          <w:szCs w:val="21"/>
        </w:rPr>
        <w:t>广州市</w:t>
      </w:r>
      <w:r>
        <w:rPr>
          <w:szCs w:val="21"/>
        </w:rPr>
        <w:t>天河区中山大道</w:t>
      </w:r>
      <w:r>
        <w:rPr>
          <w:rFonts w:hint="eastAsia"/>
          <w:szCs w:val="21"/>
        </w:rPr>
        <w:t>489号</w:t>
      </w:r>
    </w:p>
    <w:p>
      <w:pPr>
        <w:spacing w:line="360" w:lineRule="auto"/>
        <w:ind w:firstLine="630" w:firstLineChars="300"/>
        <w:rPr>
          <w:rFonts w:ascii="宋体" w:hAnsi="宋体" w:cs="宋体"/>
          <w:szCs w:val="21"/>
        </w:rPr>
      </w:pPr>
      <w:r>
        <w:rPr>
          <w:rFonts w:hint="eastAsia" w:ascii="宋体" w:hAnsi="宋体" w:cs="宋体"/>
          <w:szCs w:val="21"/>
        </w:rPr>
        <w:t>联系方式：</w:t>
      </w:r>
      <w:r>
        <w:rPr>
          <w:rStyle w:val="46"/>
          <w:rFonts w:hint="eastAsia"/>
        </w:rPr>
        <w:t>020-82133715</w:t>
      </w:r>
    </w:p>
    <w:p>
      <w:pPr>
        <w:spacing w:line="360" w:lineRule="auto"/>
        <w:ind w:firstLine="420" w:firstLineChars="200"/>
        <w:rPr>
          <w:rFonts w:ascii="宋体" w:hAnsi="宋体" w:cs="宋体"/>
          <w:szCs w:val="21"/>
        </w:rPr>
      </w:pPr>
      <w:r>
        <w:rPr>
          <w:rFonts w:hint="eastAsia" w:ascii="宋体" w:hAnsi="宋体" w:cs="宋体"/>
          <w:szCs w:val="21"/>
        </w:rPr>
        <w:t>2.采购代理机构信息</w:t>
      </w:r>
    </w:p>
    <w:p>
      <w:pPr>
        <w:spacing w:line="360" w:lineRule="auto"/>
        <w:ind w:firstLine="630" w:firstLineChars="300"/>
        <w:rPr>
          <w:rFonts w:ascii="宋体" w:hAnsi="宋体" w:cs="宋体"/>
          <w:szCs w:val="21"/>
        </w:rPr>
      </w:pPr>
      <w:r>
        <w:rPr>
          <w:rFonts w:hint="eastAsia" w:ascii="宋体" w:hAnsi="宋体" w:cs="宋体"/>
          <w:szCs w:val="21"/>
        </w:rPr>
        <w:t>名  称：广州群生招标代理有限公司</w:t>
      </w:r>
    </w:p>
    <w:p>
      <w:pPr>
        <w:spacing w:line="360" w:lineRule="auto"/>
        <w:ind w:firstLine="630" w:firstLineChars="300"/>
        <w:rPr>
          <w:rFonts w:ascii="宋体" w:hAnsi="宋体" w:cs="宋体"/>
          <w:szCs w:val="21"/>
        </w:rPr>
      </w:pPr>
      <w:r>
        <w:rPr>
          <w:rFonts w:hint="eastAsia" w:ascii="宋体" w:hAnsi="宋体" w:cs="宋体"/>
          <w:szCs w:val="21"/>
        </w:rPr>
        <w:t>地  址：广州市越秀区东风东路555号粤海集团大厦2204</w:t>
      </w:r>
    </w:p>
    <w:p>
      <w:pPr>
        <w:spacing w:line="360" w:lineRule="auto"/>
        <w:ind w:firstLine="630" w:firstLineChars="300"/>
        <w:rPr>
          <w:rFonts w:ascii="宋体" w:hAnsi="宋体" w:cs="宋体"/>
          <w:szCs w:val="21"/>
        </w:rPr>
      </w:pPr>
      <w:r>
        <w:rPr>
          <w:rFonts w:hint="eastAsia" w:ascii="宋体" w:hAnsi="宋体" w:cs="宋体"/>
          <w:szCs w:val="21"/>
        </w:rPr>
        <w:t>联系方式：020-83812782、83812935，18011735206</w:t>
      </w:r>
    </w:p>
    <w:p>
      <w:pPr>
        <w:spacing w:line="360" w:lineRule="auto"/>
        <w:ind w:firstLine="630" w:firstLineChars="300"/>
        <w:rPr>
          <w:rFonts w:ascii="宋体" w:hAnsi="宋体" w:cs="宋体"/>
          <w:szCs w:val="21"/>
        </w:rPr>
      </w:pPr>
      <w:r>
        <w:rPr>
          <w:rFonts w:hint="eastAsia" w:ascii="宋体" w:hAnsi="宋体" w:cs="宋体"/>
          <w:szCs w:val="21"/>
        </w:rPr>
        <w:t>电子邮箱：gzqunsheng@gzqunsheng.com</w:t>
      </w:r>
    </w:p>
    <w:p>
      <w:pPr>
        <w:spacing w:line="360" w:lineRule="auto"/>
        <w:ind w:firstLine="420" w:firstLineChars="200"/>
        <w:rPr>
          <w:rFonts w:ascii="宋体" w:hAnsi="宋体" w:cs="宋体"/>
          <w:szCs w:val="21"/>
        </w:rPr>
      </w:pPr>
      <w:r>
        <w:rPr>
          <w:rFonts w:hint="eastAsia" w:ascii="宋体" w:hAnsi="宋体" w:cs="宋体"/>
          <w:szCs w:val="21"/>
        </w:rPr>
        <w:t>3.项目联系方式</w:t>
      </w:r>
    </w:p>
    <w:p>
      <w:pPr>
        <w:spacing w:line="360" w:lineRule="auto"/>
        <w:ind w:firstLine="630" w:firstLineChars="300"/>
        <w:rPr>
          <w:rFonts w:ascii="宋体" w:hAnsi="宋体" w:cs="宋体"/>
          <w:szCs w:val="21"/>
        </w:rPr>
      </w:pPr>
      <w:r>
        <w:rPr>
          <w:rFonts w:hint="eastAsia" w:ascii="宋体" w:hAnsi="宋体" w:cs="宋体"/>
          <w:szCs w:val="21"/>
        </w:rPr>
        <w:t>项目联系人：连先生</w:t>
      </w:r>
    </w:p>
    <w:p>
      <w:pPr>
        <w:spacing w:line="360" w:lineRule="auto"/>
        <w:ind w:left="420" w:leftChars="200" w:firstLine="210" w:firstLineChars="100"/>
        <w:rPr>
          <w:rFonts w:ascii="宋体" w:hAnsi="宋体" w:cs="Tahoma"/>
          <w:szCs w:val="21"/>
        </w:rPr>
      </w:pPr>
      <w:r>
        <w:rPr>
          <w:rFonts w:hint="eastAsia" w:ascii="宋体" w:hAnsi="宋体" w:cs="宋体"/>
          <w:szCs w:val="21"/>
        </w:rPr>
        <w:t>电  话：020-83812782、83812935，18011735206</w:t>
      </w:r>
    </w:p>
    <w:p>
      <w:pPr>
        <w:spacing w:line="360" w:lineRule="auto"/>
        <w:rPr>
          <w:rFonts w:ascii="宋体" w:hAnsi="宋体"/>
          <w:sz w:val="28"/>
        </w:rPr>
        <w:sectPr>
          <w:footerReference r:id="rId7" w:type="default"/>
          <w:pgSz w:w="11907" w:h="16840"/>
          <w:pgMar w:top="1418" w:right="1304" w:bottom="1361" w:left="1361" w:header="794" w:footer="794" w:gutter="0"/>
          <w:cols w:space="720" w:num="1"/>
          <w:docGrid w:linePitch="285" w:charSpace="0"/>
        </w:sectPr>
      </w:pPr>
      <w:bookmarkStart w:id="13" w:name="_Toc20869"/>
      <w:bookmarkStart w:id="14" w:name="_Toc334797728"/>
      <w:bookmarkStart w:id="15" w:name="_Toc1064"/>
      <w:bookmarkStart w:id="16" w:name="_Toc130180922"/>
      <w:bookmarkStart w:id="17" w:name="_Toc130180736"/>
      <w:bookmarkStart w:id="18" w:name="_Toc238282328"/>
      <w:bookmarkStart w:id="19" w:name="_Toc25441"/>
      <w:bookmarkStart w:id="20" w:name="_Toc15949"/>
      <w:bookmarkStart w:id="21" w:name="_Toc12610"/>
      <w:bookmarkStart w:id="22" w:name="_Toc130180841"/>
    </w:p>
    <w:p>
      <w:pPr>
        <w:pStyle w:val="4"/>
        <w:keepLines w:val="0"/>
        <w:spacing w:before="0" w:after="0" w:line="360" w:lineRule="auto"/>
        <w:ind w:right="-441" w:rightChars="-210"/>
        <w:jc w:val="center"/>
        <w:rPr>
          <w:kern w:val="2"/>
          <w:sz w:val="32"/>
          <w:szCs w:val="32"/>
        </w:rPr>
      </w:pPr>
      <w:r>
        <w:rPr>
          <w:rFonts w:hint="eastAsia"/>
          <w:kern w:val="2"/>
          <w:sz w:val="32"/>
          <w:szCs w:val="32"/>
        </w:rPr>
        <w:t>第一章  投标人须知</w:t>
      </w:r>
      <w:bookmarkEnd w:id="13"/>
      <w:bookmarkEnd w:id="14"/>
      <w:bookmarkEnd w:id="15"/>
      <w:bookmarkEnd w:id="16"/>
      <w:bookmarkEnd w:id="17"/>
      <w:bookmarkEnd w:id="18"/>
      <w:bookmarkEnd w:id="19"/>
      <w:bookmarkEnd w:id="20"/>
      <w:bookmarkEnd w:id="21"/>
      <w:bookmarkEnd w:id="22"/>
    </w:p>
    <w:p>
      <w:pPr>
        <w:pStyle w:val="6"/>
        <w:keepLines/>
        <w:numPr>
          <w:ilvl w:val="0"/>
          <w:numId w:val="10"/>
        </w:numPr>
        <w:spacing w:before="260" w:after="260" w:line="400" w:lineRule="exact"/>
        <w:rPr>
          <w:bCs w:val="0"/>
          <w:sz w:val="21"/>
          <w:szCs w:val="21"/>
        </w:rPr>
      </w:pPr>
      <w:bookmarkStart w:id="23" w:name="_Toc25116"/>
      <w:bookmarkStart w:id="24" w:name="_Toc238282329"/>
      <w:bookmarkStart w:id="25" w:name="_Toc225565941"/>
      <w:bookmarkStart w:id="26" w:name="_Toc224435714"/>
      <w:bookmarkStart w:id="27" w:name="_Toc223939092"/>
      <w:bookmarkStart w:id="28" w:name="_Toc13621"/>
      <w:bookmarkStart w:id="29" w:name="_Toc185747578"/>
      <w:bookmarkStart w:id="30" w:name="_Toc228899495"/>
      <w:bookmarkStart w:id="31" w:name="_Toc49082409"/>
      <w:bookmarkStart w:id="32" w:name="_Toc334797730"/>
      <w:bookmarkStart w:id="33" w:name="_Toc20950"/>
      <w:bookmarkStart w:id="34" w:name="_Toc228644966"/>
      <w:bookmarkStart w:id="35" w:name="_Toc49135195"/>
      <w:r>
        <w:rPr>
          <w:rFonts w:hint="eastAsia"/>
          <w:bCs w:val="0"/>
          <w:sz w:val="21"/>
          <w:szCs w:val="21"/>
        </w:rPr>
        <w:t>总体说明</w:t>
      </w:r>
      <w:bookmarkEnd w:id="23"/>
      <w:bookmarkEnd w:id="24"/>
      <w:bookmarkEnd w:id="25"/>
      <w:bookmarkEnd w:id="26"/>
      <w:bookmarkEnd w:id="27"/>
      <w:bookmarkEnd w:id="28"/>
      <w:bookmarkEnd w:id="29"/>
      <w:bookmarkEnd w:id="30"/>
      <w:bookmarkEnd w:id="31"/>
      <w:bookmarkEnd w:id="32"/>
      <w:bookmarkEnd w:id="33"/>
      <w:bookmarkEnd w:id="34"/>
      <w:bookmarkEnd w:id="35"/>
    </w:p>
    <w:p>
      <w:pPr>
        <w:numPr>
          <w:ilvl w:val="1"/>
          <w:numId w:val="10"/>
        </w:numPr>
        <w:spacing w:line="360" w:lineRule="auto"/>
        <w:outlineLvl w:val="3"/>
        <w:rPr>
          <w:rFonts w:ascii="宋体" w:hAnsi="宋体"/>
          <w:b/>
          <w:bCs/>
          <w:szCs w:val="21"/>
        </w:rPr>
      </w:pPr>
      <w:r>
        <w:rPr>
          <w:rFonts w:hint="eastAsia" w:ascii="宋体" w:hAnsi="宋体"/>
          <w:b/>
          <w:bCs/>
          <w:szCs w:val="21"/>
        </w:rPr>
        <w:t>关于投标报价</w:t>
      </w:r>
    </w:p>
    <w:p>
      <w:pPr>
        <w:pStyle w:val="6"/>
        <w:keepNext w:val="0"/>
        <w:spacing w:line="360" w:lineRule="auto"/>
        <w:ind w:left="630" w:hanging="630" w:hangingChars="300"/>
        <w:rPr>
          <w:b w:val="0"/>
          <w:sz w:val="21"/>
          <w:szCs w:val="21"/>
        </w:rPr>
      </w:pPr>
      <w:bookmarkStart w:id="36" w:name="_Toc334797731"/>
      <w:bookmarkStart w:id="37" w:name="_Toc238282330"/>
      <w:bookmarkStart w:id="38" w:name="_Toc7776"/>
      <w:bookmarkStart w:id="39" w:name="_Toc32708"/>
      <w:bookmarkStart w:id="40" w:name="_Toc7334"/>
      <w:bookmarkStart w:id="41" w:name="_Toc224435715"/>
      <w:bookmarkStart w:id="42" w:name="_Toc228644967"/>
      <w:bookmarkStart w:id="43" w:name="_Toc228899496"/>
      <w:bookmarkStart w:id="44" w:name="_Toc225565942"/>
      <w:r>
        <w:rPr>
          <w:rFonts w:hint="eastAsia"/>
          <w:b w:val="0"/>
          <w:sz w:val="21"/>
          <w:szCs w:val="21"/>
        </w:rPr>
        <w:t>1.</w:t>
      </w:r>
      <w:r>
        <w:rPr>
          <w:b w:val="0"/>
          <w:sz w:val="21"/>
          <w:szCs w:val="21"/>
        </w:rPr>
        <w:t>1</w:t>
      </w:r>
      <w:r>
        <w:rPr>
          <w:rFonts w:hint="eastAsia"/>
          <w:b w:val="0"/>
          <w:sz w:val="21"/>
          <w:szCs w:val="21"/>
        </w:rPr>
        <w:t>.1.投标人应根据招标文件要求，对照投标报价表格式规定的填报内容进行逐项报价。</w:t>
      </w:r>
      <w:bookmarkEnd w:id="36"/>
      <w:bookmarkEnd w:id="37"/>
      <w:bookmarkEnd w:id="38"/>
      <w:bookmarkEnd w:id="39"/>
      <w:bookmarkEnd w:id="40"/>
      <w:bookmarkEnd w:id="41"/>
      <w:bookmarkEnd w:id="42"/>
      <w:bookmarkEnd w:id="43"/>
      <w:bookmarkEnd w:id="44"/>
    </w:p>
    <w:p>
      <w:pPr>
        <w:pStyle w:val="6"/>
        <w:keepNext w:val="0"/>
        <w:spacing w:line="360" w:lineRule="auto"/>
        <w:ind w:left="630" w:hanging="630" w:hangingChars="300"/>
        <w:rPr>
          <w:b w:val="0"/>
          <w:sz w:val="21"/>
          <w:szCs w:val="21"/>
        </w:rPr>
      </w:pPr>
      <w:bookmarkStart w:id="45" w:name="_Toc228644968"/>
      <w:bookmarkStart w:id="46" w:name="_Toc224435716"/>
      <w:bookmarkStart w:id="47" w:name="_Toc238282331"/>
      <w:bookmarkStart w:id="48" w:name="_Toc225565943"/>
      <w:bookmarkStart w:id="49" w:name="_Toc228899497"/>
      <w:bookmarkStart w:id="50" w:name="_Toc21737"/>
      <w:bookmarkStart w:id="51" w:name="_Toc334797732"/>
      <w:bookmarkStart w:id="52" w:name="_Toc18459"/>
      <w:bookmarkStart w:id="53" w:name="_Toc20550"/>
      <w:r>
        <w:rPr>
          <w:rFonts w:hint="eastAsia"/>
          <w:b w:val="0"/>
          <w:sz w:val="21"/>
          <w:szCs w:val="21"/>
        </w:rPr>
        <w:t>1.</w:t>
      </w:r>
      <w:r>
        <w:rPr>
          <w:b w:val="0"/>
          <w:sz w:val="21"/>
          <w:szCs w:val="21"/>
        </w:rPr>
        <w:t>1</w:t>
      </w:r>
      <w:r>
        <w:rPr>
          <w:rFonts w:hint="eastAsia"/>
          <w:b w:val="0"/>
          <w:sz w:val="21"/>
          <w:szCs w:val="21"/>
        </w:rPr>
        <w:t>.2.</w:t>
      </w:r>
      <w:bookmarkEnd w:id="45"/>
      <w:bookmarkEnd w:id="46"/>
      <w:bookmarkEnd w:id="47"/>
      <w:bookmarkEnd w:id="48"/>
      <w:bookmarkEnd w:id="49"/>
      <w:r>
        <w:rPr>
          <w:rFonts w:hint="eastAsia"/>
          <w:b w:val="0"/>
          <w:sz w:val="21"/>
          <w:szCs w:val="21"/>
        </w:rPr>
        <w:t>除非招标文件另有规定，投标价不是唯一的或不是固定不变的投标文件将被作为非响应性投标而予以拒绝。</w:t>
      </w:r>
      <w:bookmarkEnd w:id="50"/>
      <w:bookmarkEnd w:id="51"/>
      <w:bookmarkEnd w:id="52"/>
      <w:bookmarkEnd w:id="53"/>
    </w:p>
    <w:p>
      <w:pPr>
        <w:numPr>
          <w:ilvl w:val="1"/>
          <w:numId w:val="10"/>
        </w:numPr>
        <w:spacing w:line="360" w:lineRule="auto"/>
        <w:outlineLvl w:val="3"/>
        <w:rPr>
          <w:rFonts w:ascii="宋体" w:hAnsi="宋体"/>
          <w:szCs w:val="21"/>
        </w:rPr>
      </w:pPr>
      <w:r>
        <w:rPr>
          <w:rFonts w:hint="eastAsia" w:ascii="宋体" w:hAnsi="宋体"/>
          <w:b/>
          <w:bCs/>
          <w:szCs w:val="21"/>
        </w:rPr>
        <w:t>适用范围</w:t>
      </w:r>
    </w:p>
    <w:p>
      <w:pPr>
        <w:spacing w:line="360" w:lineRule="auto"/>
        <w:ind w:left="718" w:leftChars="342"/>
        <w:rPr>
          <w:rFonts w:ascii="宋体" w:hAnsi="宋体"/>
          <w:szCs w:val="21"/>
        </w:rPr>
      </w:pPr>
      <w:r>
        <w:rPr>
          <w:rFonts w:hint="eastAsia" w:ascii="宋体" w:hAnsi="宋体"/>
          <w:szCs w:val="21"/>
        </w:rPr>
        <w:t>本招标文件仅适用于本招标文件投标邀请中所叙述的招标内容。</w:t>
      </w:r>
    </w:p>
    <w:p>
      <w:pPr>
        <w:numPr>
          <w:ilvl w:val="1"/>
          <w:numId w:val="10"/>
        </w:numPr>
        <w:spacing w:line="360" w:lineRule="auto"/>
        <w:outlineLvl w:val="3"/>
        <w:rPr>
          <w:rFonts w:ascii="宋体" w:hAnsi="宋体"/>
          <w:b/>
          <w:bCs/>
          <w:szCs w:val="21"/>
        </w:rPr>
      </w:pPr>
      <w:r>
        <w:rPr>
          <w:rFonts w:hint="eastAsia" w:ascii="宋体" w:hAnsi="宋体"/>
          <w:b/>
          <w:bCs/>
          <w:szCs w:val="21"/>
        </w:rPr>
        <w:t>评审方式</w:t>
      </w:r>
    </w:p>
    <w:p>
      <w:pPr>
        <w:spacing w:line="360" w:lineRule="auto"/>
        <w:ind w:left="718" w:leftChars="342"/>
        <w:rPr>
          <w:rFonts w:ascii="宋体" w:hAnsi="宋体"/>
          <w:szCs w:val="21"/>
        </w:rPr>
      </w:pPr>
      <w:r>
        <w:rPr>
          <w:rFonts w:hint="eastAsia" w:ascii="宋体" w:hAnsi="宋体"/>
          <w:szCs w:val="21"/>
        </w:rPr>
        <w:t>综合评分法</w:t>
      </w:r>
    </w:p>
    <w:p>
      <w:pPr>
        <w:numPr>
          <w:ilvl w:val="1"/>
          <w:numId w:val="10"/>
        </w:numPr>
        <w:spacing w:line="360" w:lineRule="auto"/>
        <w:outlineLvl w:val="3"/>
        <w:rPr>
          <w:rFonts w:ascii="宋体" w:hAnsi="宋体"/>
          <w:b/>
          <w:bCs/>
          <w:szCs w:val="21"/>
        </w:rPr>
      </w:pPr>
      <w:r>
        <w:rPr>
          <w:rFonts w:hint="eastAsia" w:ascii="宋体" w:hAnsi="宋体"/>
          <w:b/>
          <w:bCs/>
          <w:szCs w:val="21"/>
        </w:rPr>
        <w:t>合格的投标人</w:t>
      </w:r>
    </w:p>
    <w:p>
      <w:pPr>
        <w:tabs>
          <w:tab w:val="left" w:pos="1164"/>
        </w:tabs>
        <w:spacing w:line="360" w:lineRule="auto"/>
        <w:rPr>
          <w:rFonts w:ascii="宋体" w:hAnsi="宋体"/>
          <w:szCs w:val="21"/>
        </w:rPr>
      </w:pPr>
      <w:r>
        <w:rPr>
          <w:rFonts w:hint="eastAsia" w:ascii="宋体" w:hAnsi="宋体"/>
          <w:szCs w:val="21"/>
        </w:rPr>
        <w:t>1.</w:t>
      </w:r>
      <w:r>
        <w:rPr>
          <w:rFonts w:ascii="宋体" w:hAnsi="宋体"/>
          <w:szCs w:val="21"/>
        </w:rPr>
        <w:t>4</w:t>
      </w:r>
      <w:r>
        <w:rPr>
          <w:rFonts w:hint="eastAsia" w:ascii="宋体" w:hAnsi="宋体"/>
          <w:szCs w:val="21"/>
        </w:rPr>
        <w:t>.1具有符合投标邀请中合格投标人资格要求及实质性要求；</w:t>
      </w:r>
    </w:p>
    <w:p>
      <w:pPr>
        <w:tabs>
          <w:tab w:val="left" w:pos="1164"/>
        </w:tabs>
        <w:spacing w:line="360" w:lineRule="auto"/>
        <w:rPr>
          <w:rFonts w:ascii="宋体" w:hAnsi="宋体"/>
          <w:szCs w:val="21"/>
        </w:rPr>
      </w:pPr>
      <w:r>
        <w:rPr>
          <w:rFonts w:hint="eastAsia" w:ascii="宋体" w:hAnsi="宋体"/>
          <w:szCs w:val="21"/>
        </w:rPr>
        <w:t>1.</w:t>
      </w:r>
      <w:r>
        <w:rPr>
          <w:rFonts w:ascii="宋体" w:hAnsi="宋体"/>
          <w:szCs w:val="21"/>
        </w:rPr>
        <w:t>4</w:t>
      </w:r>
      <w:r>
        <w:rPr>
          <w:rFonts w:hint="eastAsia" w:ascii="宋体" w:hAnsi="宋体"/>
          <w:szCs w:val="21"/>
        </w:rPr>
        <w:t>.2已在本项目登记及获取招标文件的投标人。</w:t>
      </w:r>
    </w:p>
    <w:p>
      <w:pPr>
        <w:numPr>
          <w:ilvl w:val="1"/>
          <w:numId w:val="10"/>
        </w:numPr>
        <w:spacing w:line="360" w:lineRule="auto"/>
        <w:outlineLvl w:val="3"/>
        <w:rPr>
          <w:rFonts w:ascii="宋体" w:hAnsi="宋体"/>
          <w:b/>
          <w:bCs/>
          <w:szCs w:val="21"/>
        </w:rPr>
      </w:pPr>
      <w:r>
        <w:rPr>
          <w:rFonts w:hint="eastAsia" w:ascii="宋体" w:hAnsi="宋体"/>
          <w:b/>
          <w:bCs/>
          <w:szCs w:val="21"/>
        </w:rPr>
        <w:t>关于投标费用</w:t>
      </w:r>
    </w:p>
    <w:p>
      <w:pPr>
        <w:spacing w:line="360" w:lineRule="auto"/>
        <w:ind w:left="567"/>
        <w:outlineLvl w:val="3"/>
        <w:rPr>
          <w:rFonts w:ascii="宋体" w:hAnsi="宋体"/>
          <w:b/>
          <w:bCs/>
          <w:szCs w:val="21"/>
        </w:rPr>
      </w:pPr>
      <w:r>
        <w:rPr>
          <w:rFonts w:hint="eastAsia" w:ascii="宋体" w:hAnsi="宋体"/>
          <w:szCs w:val="21"/>
        </w:rPr>
        <w:t>投标人应承担所有与其参加投标有关的全部费用。</w:t>
      </w:r>
    </w:p>
    <w:p>
      <w:pPr>
        <w:numPr>
          <w:ilvl w:val="1"/>
          <w:numId w:val="10"/>
        </w:numPr>
        <w:spacing w:line="360" w:lineRule="auto"/>
        <w:outlineLvl w:val="3"/>
        <w:rPr>
          <w:rFonts w:ascii="宋体" w:hAnsi="宋体"/>
          <w:b/>
          <w:bCs/>
          <w:szCs w:val="21"/>
        </w:rPr>
      </w:pPr>
      <w:r>
        <w:rPr>
          <w:rFonts w:hint="eastAsia" w:ascii="宋体" w:hAnsi="宋体"/>
          <w:b/>
          <w:bCs/>
          <w:szCs w:val="21"/>
        </w:rPr>
        <w:t>合格的货物和服务</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投标人提供的所有货物（含提供的伴随服务等），其来源均应符合相关法律法规的规定。</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采购人将拒绝接受不合格的货物和服务。</w:t>
      </w:r>
    </w:p>
    <w:p>
      <w:pPr>
        <w:numPr>
          <w:ilvl w:val="1"/>
          <w:numId w:val="10"/>
        </w:numPr>
        <w:spacing w:line="360" w:lineRule="auto"/>
        <w:outlineLvl w:val="3"/>
        <w:rPr>
          <w:rFonts w:ascii="宋体" w:hAnsi="宋体"/>
          <w:b/>
          <w:bCs/>
          <w:szCs w:val="21"/>
        </w:rPr>
      </w:pPr>
      <w:r>
        <w:rPr>
          <w:rFonts w:hint="eastAsia" w:ascii="宋体" w:hAnsi="宋体"/>
          <w:b/>
          <w:bCs/>
          <w:szCs w:val="21"/>
        </w:rPr>
        <w:t>禁止事项</w:t>
      </w:r>
    </w:p>
    <w:p>
      <w:pPr>
        <w:numPr>
          <w:ilvl w:val="2"/>
          <w:numId w:val="10"/>
        </w:numPr>
        <w:tabs>
          <w:tab w:val="left" w:pos="735"/>
        </w:tabs>
        <w:spacing w:line="336" w:lineRule="auto"/>
        <w:ind w:left="737" w:hanging="737"/>
        <w:rPr>
          <w:rFonts w:ascii="宋体" w:hAnsi="宋体"/>
          <w:szCs w:val="21"/>
        </w:rPr>
      </w:pPr>
      <w:r>
        <w:rPr>
          <w:rFonts w:hint="eastAsia" w:ascii="宋体" w:hAnsi="宋体"/>
          <w:szCs w:val="21"/>
        </w:rPr>
        <w:t>采购人、投标人和采购代理机构不得相互串通投标损害国家利益，社会公共利益和其他当事人的合法权益；不得以任何手段排斥其他投标人参与竞争。</w:t>
      </w:r>
    </w:p>
    <w:p>
      <w:pPr>
        <w:numPr>
          <w:ilvl w:val="2"/>
          <w:numId w:val="10"/>
        </w:numPr>
        <w:tabs>
          <w:tab w:val="left" w:pos="735"/>
        </w:tabs>
        <w:spacing w:line="336" w:lineRule="auto"/>
        <w:ind w:left="737" w:hanging="737"/>
        <w:rPr>
          <w:rFonts w:ascii="宋体" w:hAnsi="宋体"/>
          <w:szCs w:val="21"/>
        </w:rPr>
      </w:pPr>
      <w:r>
        <w:rPr>
          <w:rFonts w:hint="eastAsia" w:ascii="宋体" w:hAnsi="宋体"/>
          <w:szCs w:val="21"/>
        </w:rPr>
        <w:t>投标人不得向采购人、采购代理机构、评标委员会的组成人员行贿或者采取其他不正当手段谋取中标。</w:t>
      </w:r>
    </w:p>
    <w:p>
      <w:pPr>
        <w:numPr>
          <w:ilvl w:val="2"/>
          <w:numId w:val="10"/>
        </w:numPr>
        <w:tabs>
          <w:tab w:val="left" w:pos="735"/>
        </w:tabs>
        <w:spacing w:line="336" w:lineRule="auto"/>
        <w:ind w:left="737" w:hanging="737"/>
        <w:rPr>
          <w:rFonts w:ascii="宋体" w:hAnsi="宋体"/>
          <w:szCs w:val="21"/>
        </w:rPr>
      </w:pPr>
      <w:r>
        <w:rPr>
          <w:rFonts w:hint="eastAsia" w:ascii="宋体" w:hAnsi="宋体"/>
          <w:szCs w:val="21"/>
        </w:rPr>
        <w:t>除投标人质疑和投诉外，从开标之时起至授予合同止，投标人不得就与其投标有关的事项主动与评标委员会、采购人以及采购代理机构接触。</w:t>
      </w:r>
    </w:p>
    <w:p>
      <w:pPr>
        <w:numPr>
          <w:ilvl w:val="2"/>
          <w:numId w:val="10"/>
        </w:numPr>
        <w:tabs>
          <w:tab w:val="left" w:pos="735"/>
        </w:tabs>
        <w:spacing w:line="336" w:lineRule="auto"/>
        <w:ind w:left="737" w:hanging="737"/>
        <w:rPr>
          <w:rFonts w:ascii="宋体" w:hAnsi="宋体"/>
          <w:szCs w:val="21"/>
        </w:rPr>
      </w:pPr>
      <w:r>
        <w:rPr>
          <w:rFonts w:hint="eastAsia" w:ascii="宋体" w:hAnsi="宋体"/>
          <w:szCs w:val="21"/>
        </w:rPr>
        <w:t>相关法规规定的其它禁止事项。</w:t>
      </w:r>
    </w:p>
    <w:p>
      <w:pPr>
        <w:numPr>
          <w:ilvl w:val="1"/>
          <w:numId w:val="10"/>
        </w:numPr>
        <w:spacing w:line="360" w:lineRule="auto"/>
        <w:outlineLvl w:val="3"/>
        <w:rPr>
          <w:rFonts w:ascii="宋体" w:hAnsi="宋体"/>
          <w:b/>
          <w:bCs/>
          <w:szCs w:val="21"/>
        </w:rPr>
      </w:pPr>
      <w:r>
        <w:rPr>
          <w:rFonts w:hint="eastAsia" w:ascii="宋体" w:hAnsi="宋体"/>
          <w:b/>
          <w:bCs/>
          <w:szCs w:val="21"/>
        </w:rPr>
        <w:t>保密事项</w:t>
      </w:r>
    </w:p>
    <w:p>
      <w:pPr>
        <w:spacing w:line="360" w:lineRule="auto"/>
        <w:ind w:left="630" w:hanging="630" w:hangingChars="300"/>
        <w:rPr>
          <w:rFonts w:ascii="宋体" w:hAnsi="宋体"/>
          <w:szCs w:val="21"/>
        </w:rPr>
      </w:pPr>
      <w:r>
        <w:rPr>
          <w:rFonts w:hint="eastAsia" w:ascii="宋体" w:hAnsi="宋体"/>
          <w:szCs w:val="21"/>
        </w:rPr>
        <w:t>1.</w:t>
      </w:r>
      <w:r>
        <w:rPr>
          <w:rFonts w:ascii="宋体" w:hAnsi="宋体"/>
          <w:szCs w:val="21"/>
        </w:rPr>
        <w:t>8</w:t>
      </w:r>
      <w:r>
        <w:rPr>
          <w:rFonts w:hint="eastAsia" w:ascii="宋体" w:hAnsi="宋体"/>
          <w:szCs w:val="21"/>
        </w:rPr>
        <w:t>.1由采购人及采购代理机构向投标人提供的招标文件、图纸、样品、模型、模件等所有资料，投标人获得后，应对其保密。非经采购人同意，投标人不得向第三方透露或将其用于本次投标以外的任何用途。开标后，应采购人要求，投标人须归还采购人认为需保密的所有资料，并销毁所有相应的备份资料。</w:t>
      </w:r>
    </w:p>
    <w:p>
      <w:pPr>
        <w:numPr>
          <w:ilvl w:val="1"/>
          <w:numId w:val="10"/>
        </w:numPr>
        <w:spacing w:line="360" w:lineRule="auto"/>
        <w:outlineLvl w:val="3"/>
        <w:rPr>
          <w:rFonts w:ascii="宋体" w:hAnsi="宋体"/>
          <w:b/>
          <w:bCs/>
          <w:szCs w:val="21"/>
        </w:rPr>
      </w:pPr>
      <w:r>
        <w:rPr>
          <w:rFonts w:hint="eastAsia" w:ascii="宋体" w:hAnsi="宋体"/>
          <w:b/>
          <w:bCs/>
          <w:szCs w:val="21"/>
        </w:rPr>
        <w:t>知识产权</w:t>
      </w:r>
    </w:p>
    <w:p>
      <w:pPr>
        <w:spacing w:line="360" w:lineRule="auto"/>
        <w:ind w:left="718" w:leftChars="342"/>
        <w:rPr>
          <w:rFonts w:ascii="宋体" w:hAnsi="宋体"/>
          <w:szCs w:val="21"/>
        </w:rPr>
      </w:pPr>
      <w:r>
        <w:rPr>
          <w:rFonts w:hint="eastAsia" w:ascii="宋体" w:hAnsi="宋体"/>
          <w:szCs w:val="21"/>
          <w:lang w:val="en-GB"/>
        </w:rPr>
        <w:t>投标人必须保证，采购人在中华人民共和国境内使用投标货物、资料、技术、服务或其任何一部分），享有不受限制的无偿使用权，不会产生因第三方提出侵犯其专利权、商标权或其它知识产权而引起的法律或经济纠纷。如投标人不拥有相应的知识产权，则应由投标人负责获得并提供给采购人使用，其投标报价中必须包括合法获取该知识产权的一切相关费用，如投标人没有单独列出的，视为已包含在相应报价中</w:t>
      </w:r>
      <w:r>
        <w:rPr>
          <w:rFonts w:hint="eastAsia" w:ascii="宋体" w:hAnsi="宋体"/>
          <w:szCs w:val="21"/>
        </w:rPr>
        <w:t>。一旦使用投标人提供的</w:t>
      </w:r>
      <w:r>
        <w:rPr>
          <w:rFonts w:hint="eastAsia" w:ascii="宋体" w:hAnsi="宋体"/>
          <w:szCs w:val="21"/>
          <w:lang w:val="en-GB"/>
        </w:rPr>
        <w:t>产品</w:t>
      </w:r>
      <w:r>
        <w:rPr>
          <w:rFonts w:hint="eastAsia" w:ascii="宋体" w:hAnsi="宋体"/>
          <w:szCs w:val="21"/>
        </w:rPr>
        <w:t>或服务，采购人不再</w:t>
      </w:r>
      <w:r>
        <w:rPr>
          <w:rFonts w:hint="eastAsia" w:ascii="宋体" w:hAnsi="宋体"/>
          <w:szCs w:val="21"/>
          <w:lang w:val="en-GB"/>
        </w:rPr>
        <w:t>承担第三方提出侵犯其专利权、商标权或其它知识产权而引起的法律或经济纠纷。</w:t>
      </w:r>
    </w:p>
    <w:p>
      <w:pPr>
        <w:numPr>
          <w:ilvl w:val="1"/>
          <w:numId w:val="10"/>
        </w:numPr>
        <w:spacing w:line="360" w:lineRule="auto"/>
        <w:outlineLvl w:val="3"/>
        <w:rPr>
          <w:rFonts w:ascii="宋体" w:hAnsi="宋体"/>
          <w:b/>
          <w:bCs/>
          <w:szCs w:val="21"/>
        </w:rPr>
      </w:pPr>
      <w:r>
        <w:rPr>
          <w:rFonts w:hint="eastAsia" w:ascii="宋体" w:hAnsi="宋体"/>
          <w:b/>
          <w:bCs/>
          <w:szCs w:val="21"/>
        </w:rPr>
        <w:t>定义</w:t>
      </w:r>
    </w:p>
    <w:p>
      <w:pPr>
        <w:tabs>
          <w:tab w:val="left" w:pos="1674"/>
        </w:tabs>
        <w:spacing w:line="360" w:lineRule="auto"/>
        <w:rPr>
          <w:rFonts w:ascii="宋体" w:hAnsi="宋体"/>
          <w:bCs/>
          <w:color w:val="3366FF"/>
          <w:szCs w:val="21"/>
        </w:rPr>
      </w:pPr>
      <w:r>
        <w:rPr>
          <w:rFonts w:hint="eastAsia" w:ascii="宋体" w:hAnsi="宋体"/>
          <w:bCs/>
          <w:szCs w:val="21"/>
        </w:rPr>
        <w:t>1.1</w:t>
      </w:r>
      <w:r>
        <w:rPr>
          <w:rFonts w:ascii="宋体" w:hAnsi="宋体"/>
          <w:bCs/>
          <w:szCs w:val="21"/>
        </w:rPr>
        <w:t>0</w:t>
      </w:r>
      <w:r>
        <w:rPr>
          <w:rFonts w:hint="eastAsia" w:ascii="宋体" w:hAnsi="宋体"/>
          <w:bCs/>
          <w:szCs w:val="21"/>
        </w:rPr>
        <w:t>.1.“采购人”系指</w:t>
      </w:r>
      <w:r>
        <w:rPr>
          <w:rFonts w:hint="eastAsia" w:ascii="宋体" w:hAnsi="宋体"/>
          <w:szCs w:val="21"/>
        </w:rPr>
        <w:t>本招标文件投标邀请中所叙述的采购人</w:t>
      </w:r>
      <w:r>
        <w:rPr>
          <w:rFonts w:hint="eastAsia" w:ascii="宋体" w:hAnsi="宋体"/>
          <w:bCs/>
          <w:szCs w:val="21"/>
        </w:rPr>
        <w:t>。</w:t>
      </w:r>
    </w:p>
    <w:p>
      <w:pPr>
        <w:tabs>
          <w:tab w:val="left" w:pos="1674"/>
        </w:tabs>
        <w:spacing w:line="360" w:lineRule="auto"/>
        <w:rPr>
          <w:rFonts w:ascii="宋体" w:hAnsi="宋体"/>
          <w:bCs/>
          <w:szCs w:val="21"/>
        </w:rPr>
      </w:pPr>
      <w:r>
        <w:rPr>
          <w:rFonts w:hint="eastAsia" w:ascii="宋体" w:hAnsi="宋体"/>
          <w:bCs/>
          <w:szCs w:val="21"/>
        </w:rPr>
        <w:t>1.1</w:t>
      </w:r>
      <w:r>
        <w:rPr>
          <w:rFonts w:ascii="宋体" w:hAnsi="宋体"/>
          <w:bCs/>
          <w:szCs w:val="21"/>
        </w:rPr>
        <w:t>0</w:t>
      </w:r>
      <w:r>
        <w:rPr>
          <w:rFonts w:hint="eastAsia" w:ascii="宋体" w:hAnsi="宋体"/>
          <w:bCs/>
          <w:szCs w:val="21"/>
        </w:rPr>
        <w:t>.2.“业主/用户”系指本项目的采购人或采购人指定的最终使用单位。</w:t>
      </w:r>
    </w:p>
    <w:p>
      <w:pPr>
        <w:tabs>
          <w:tab w:val="left" w:pos="1674"/>
        </w:tabs>
        <w:spacing w:line="360" w:lineRule="auto"/>
        <w:rPr>
          <w:rFonts w:ascii="宋体" w:hAnsi="宋体"/>
          <w:bCs/>
          <w:szCs w:val="21"/>
        </w:rPr>
      </w:pPr>
      <w:r>
        <w:rPr>
          <w:rFonts w:hint="eastAsia" w:ascii="宋体" w:hAnsi="宋体"/>
          <w:bCs/>
          <w:szCs w:val="21"/>
        </w:rPr>
        <w:t>1.1</w:t>
      </w:r>
      <w:r>
        <w:rPr>
          <w:rFonts w:ascii="宋体" w:hAnsi="宋体"/>
          <w:bCs/>
          <w:szCs w:val="21"/>
        </w:rPr>
        <w:t>0</w:t>
      </w:r>
      <w:r>
        <w:rPr>
          <w:rFonts w:hint="eastAsia" w:ascii="宋体" w:hAnsi="宋体"/>
          <w:bCs/>
          <w:szCs w:val="21"/>
        </w:rPr>
        <w:t>.3.“采购代理机构</w:t>
      </w:r>
      <w:r>
        <w:rPr>
          <w:rFonts w:ascii="宋体" w:hAnsi="宋体"/>
          <w:bCs/>
          <w:szCs w:val="21"/>
        </w:rPr>
        <w:t>”</w:t>
      </w:r>
      <w:r>
        <w:rPr>
          <w:rFonts w:hint="eastAsia" w:ascii="宋体" w:hAnsi="宋体"/>
          <w:bCs/>
          <w:szCs w:val="21"/>
        </w:rPr>
        <w:t>系指广州群生招标代理有限公司。</w:t>
      </w:r>
    </w:p>
    <w:p>
      <w:pPr>
        <w:tabs>
          <w:tab w:val="left" w:pos="1674"/>
        </w:tabs>
        <w:spacing w:line="360" w:lineRule="auto"/>
        <w:rPr>
          <w:rFonts w:ascii="宋体" w:hAnsi="宋体"/>
          <w:bCs/>
          <w:szCs w:val="21"/>
        </w:rPr>
      </w:pPr>
      <w:r>
        <w:rPr>
          <w:rFonts w:hint="eastAsia" w:ascii="宋体" w:hAnsi="宋体"/>
          <w:bCs/>
          <w:szCs w:val="21"/>
        </w:rPr>
        <w:t>1.1</w:t>
      </w:r>
      <w:r>
        <w:rPr>
          <w:rFonts w:ascii="宋体" w:hAnsi="宋体"/>
          <w:bCs/>
          <w:szCs w:val="21"/>
        </w:rPr>
        <w:t>0</w:t>
      </w:r>
      <w:r>
        <w:rPr>
          <w:rFonts w:hint="eastAsia" w:ascii="宋体" w:hAnsi="宋体"/>
          <w:bCs/>
          <w:szCs w:val="21"/>
        </w:rPr>
        <w:t>.4.“投标人”系指向采购代理机构提交投标文件的供应商。</w:t>
      </w:r>
    </w:p>
    <w:p>
      <w:pPr>
        <w:tabs>
          <w:tab w:val="left" w:pos="1674"/>
        </w:tabs>
        <w:spacing w:line="360" w:lineRule="auto"/>
        <w:rPr>
          <w:rFonts w:ascii="宋体" w:hAnsi="宋体"/>
          <w:bCs/>
          <w:szCs w:val="21"/>
        </w:rPr>
      </w:pPr>
      <w:r>
        <w:rPr>
          <w:rFonts w:hint="eastAsia" w:ascii="宋体" w:hAnsi="宋体"/>
          <w:bCs/>
          <w:szCs w:val="21"/>
        </w:rPr>
        <w:t>1.1</w:t>
      </w:r>
      <w:r>
        <w:rPr>
          <w:rFonts w:ascii="宋体" w:hAnsi="宋体"/>
          <w:bCs/>
          <w:szCs w:val="21"/>
        </w:rPr>
        <w:t>0</w:t>
      </w:r>
      <w:r>
        <w:rPr>
          <w:rFonts w:hint="eastAsia" w:ascii="宋体" w:hAnsi="宋体"/>
          <w:bCs/>
          <w:szCs w:val="21"/>
        </w:rPr>
        <w:t>.5.“甲方”系指采购人或采购人指定的最终使用单位。</w:t>
      </w:r>
    </w:p>
    <w:p>
      <w:pPr>
        <w:tabs>
          <w:tab w:val="left" w:pos="1674"/>
        </w:tabs>
        <w:spacing w:line="360" w:lineRule="auto"/>
        <w:rPr>
          <w:rFonts w:ascii="宋体" w:hAnsi="宋体"/>
          <w:bCs/>
          <w:szCs w:val="21"/>
        </w:rPr>
      </w:pPr>
      <w:r>
        <w:rPr>
          <w:rFonts w:hint="eastAsia" w:ascii="宋体" w:hAnsi="宋体"/>
          <w:bCs/>
          <w:szCs w:val="21"/>
        </w:rPr>
        <w:t>1.1</w:t>
      </w:r>
      <w:r>
        <w:rPr>
          <w:rFonts w:ascii="宋体" w:hAnsi="宋体"/>
          <w:bCs/>
          <w:szCs w:val="21"/>
        </w:rPr>
        <w:t>0</w:t>
      </w:r>
      <w:r>
        <w:rPr>
          <w:rFonts w:hint="eastAsia" w:ascii="宋体" w:hAnsi="宋体"/>
          <w:bCs/>
          <w:szCs w:val="21"/>
        </w:rPr>
        <w:t>.6.“乙方”系指中标人（中标供应商）。</w:t>
      </w:r>
    </w:p>
    <w:p>
      <w:pPr>
        <w:tabs>
          <w:tab w:val="left" w:pos="1674"/>
        </w:tabs>
        <w:spacing w:line="360" w:lineRule="auto"/>
        <w:rPr>
          <w:rFonts w:ascii="宋体" w:hAnsi="宋体"/>
          <w:bCs/>
          <w:szCs w:val="21"/>
        </w:rPr>
      </w:pPr>
      <w:r>
        <w:rPr>
          <w:rFonts w:hint="eastAsia" w:ascii="宋体" w:hAnsi="宋体"/>
          <w:bCs/>
          <w:szCs w:val="21"/>
        </w:rPr>
        <w:t>1.1</w:t>
      </w:r>
      <w:r>
        <w:rPr>
          <w:rFonts w:ascii="宋体" w:hAnsi="宋体"/>
          <w:bCs/>
          <w:szCs w:val="21"/>
        </w:rPr>
        <w:t>0</w:t>
      </w:r>
      <w:r>
        <w:rPr>
          <w:rFonts w:hint="eastAsia" w:ascii="宋体" w:hAnsi="宋体"/>
          <w:bCs/>
          <w:szCs w:val="21"/>
        </w:rPr>
        <w:t>.7.“日期”指公历日，“时间”指北京时间，24小时制。</w:t>
      </w:r>
    </w:p>
    <w:p>
      <w:pPr>
        <w:tabs>
          <w:tab w:val="left" w:pos="1674"/>
        </w:tabs>
        <w:spacing w:line="360" w:lineRule="auto"/>
        <w:rPr>
          <w:rFonts w:ascii="宋体" w:hAnsi="宋体"/>
          <w:bCs/>
          <w:szCs w:val="21"/>
        </w:rPr>
      </w:pPr>
      <w:r>
        <w:rPr>
          <w:rFonts w:hint="eastAsia" w:ascii="宋体" w:hAnsi="宋体"/>
          <w:bCs/>
          <w:szCs w:val="21"/>
        </w:rPr>
        <w:t>1.1</w:t>
      </w:r>
      <w:r>
        <w:rPr>
          <w:rFonts w:ascii="宋体" w:hAnsi="宋体"/>
          <w:bCs/>
          <w:szCs w:val="21"/>
        </w:rPr>
        <w:t>0</w:t>
      </w:r>
      <w:r>
        <w:rPr>
          <w:rFonts w:hint="eastAsia" w:ascii="宋体" w:hAnsi="宋体"/>
          <w:bCs/>
          <w:szCs w:val="21"/>
        </w:rPr>
        <w:t>.8.“服务”系指招标文件规定供应商须承担的相关服务。</w:t>
      </w:r>
    </w:p>
    <w:p>
      <w:pPr>
        <w:tabs>
          <w:tab w:val="left" w:pos="1674"/>
        </w:tabs>
        <w:spacing w:line="360" w:lineRule="auto"/>
        <w:rPr>
          <w:rFonts w:ascii="宋体" w:hAnsi="宋体"/>
          <w:bCs/>
          <w:szCs w:val="21"/>
        </w:rPr>
      </w:pPr>
      <w:r>
        <w:rPr>
          <w:rFonts w:hint="eastAsia" w:ascii="宋体" w:hAnsi="宋体"/>
          <w:bCs/>
          <w:szCs w:val="21"/>
        </w:rPr>
        <w:t>1.1</w:t>
      </w:r>
      <w:r>
        <w:rPr>
          <w:rFonts w:ascii="宋体" w:hAnsi="宋体"/>
          <w:bCs/>
          <w:szCs w:val="21"/>
        </w:rPr>
        <w:t>0</w:t>
      </w:r>
      <w:r>
        <w:rPr>
          <w:rFonts w:hint="eastAsia" w:ascii="宋体" w:hAnsi="宋体"/>
          <w:bCs/>
          <w:szCs w:val="21"/>
        </w:rPr>
        <w:t>.9.“书面形式”系指纸质文件形式，除非特别说明，不包含电子邮件、手机短信等非纸质形式。</w:t>
      </w:r>
    </w:p>
    <w:p>
      <w:pPr>
        <w:spacing w:line="360" w:lineRule="auto"/>
        <w:ind w:left="630" w:hanging="630" w:hangingChars="300"/>
        <w:rPr>
          <w:rFonts w:ascii="宋体" w:hAnsi="宋体"/>
          <w:szCs w:val="21"/>
        </w:rPr>
      </w:pPr>
      <w:r>
        <w:rPr>
          <w:rFonts w:hint="eastAsia" w:ascii="宋体" w:hAnsi="宋体"/>
          <w:szCs w:val="21"/>
        </w:rPr>
        <w:t>1.1</w:t>
      </w:r>
      <w:r>
        <w:rPr>
          <w:rFonts w:ascii="宋体" w:hAnsi="宋体"/>
          <w:szCs w:val="21"/>
        </w:rPr>
        <w:t>0</w:t>
      </w:r>
      <w:r>
        <w:rPr>
          <w:rFonts w:hint="eastAsia" w:ascii="宋体" w:hAnsi="宋体"/>
          <w:szCs w:val="21"/>
        </w:rPr>
        <w:t>.10.“不可抗力”系指战争、严重火灾、洪水、台风、地震等或其他采购人（或采购人指定的最终使用单位）、中标人双方认定的不可抗力事件。</w:t>
      </w:r>
    </w:p>
    <w:p>
      <w:pPr>
        <w:spacing w:line="360" w:lineRule="auto"/>
        <w:ind w:left="630" w:hanging="630" w:hangingChars="300"/>
        <w:rPr>
          <w:rFonts w:ascii="宋体" w:hAnsi="宋体"/>
          <w:szCs w:val="21"/>
        </w:rPr>
      </w:pPr>
      <w:r>
        <w:rPr>
          <w:rFonts w:hint="eastAsia" w:ascii="宋体" w:hAnsi="宋体"/>
          <w:szCs w:val="21"/>
        </w:rPr>
        <w:t>1.1</w:t>
      </w:r>
      <w:r>
        <w:rPr>
          <w:rFonts w:ascii="宋体" w:hAnsi="宋体"/>
          <w:szCs w:val="21"/>
        </w:rPr>
        <w:t>0</w:t>
      </w:r>
      <w:r>
        <w:rPr>
          <w:rFonts w:hint="eastAsia" w:ascii="宋体" w:hAnsi="宋体"/>
          <w:szCs w:val="21"/>
        </w:rPr>
        <w:t>.11.“实质性响应”系指符合招标文件实质性要求、条款、条件和规定，且没有重大偏离或保留。重大偏离或保留指影响到招标文件规定的范围、质量和性能，或限制采购人的权利和投标人的义务的规定，而纠正这些偏离将影响到其他递交实质性响应投标文件的投标人的公平竞争地位。</w:t>
      </w:r>
    </w:p>
    <w:p>
      <w:pPr>
        <w:tabs>
          <w:tab w:val="left" w:pos="720"/>
        </w:tabs>
        <w:spacing w:line="360" w:lineRule="auto"/>
        <w:rPr>
          <w:rFonts w:ascii="宋体" w:hAnsi="宋体"/>
          <w:color w:val="000000"/>
          <w:szCs w:val="21"/>
        </w:rPr>
      </w:pPr>
      <w:r>
        <w:rPr>
          <w:rFonts w:hint="eastAsia" w:ascii="宋体" w:hAnsi="宋体"/>
          <w:szCs w:val="21"/>
        </w:rPr>
        <w:t>1.1</w:t>
      </w:r>
      <w:r>
        <w:rPr>
          <w:rFonts w:ascii="宋体" w:hAnsi="宋体"/>
          <w:szCs w:val="21"/>
        </w:rPr>
        <w:t>0</w:t>
      </w:r>
      <w:r>
        <w:rPr>
          <w:rFonts w:hint="eastAsia" w:ascii="宋体" w:hAnsi="宋体"/>
          <w:szCs w:val="21"/>
        </w:rPr>
        <w:t>.12.招标文件中的标题或题名仅起引导作用，而不应该作为对招标文件内容的理解或解释。</w:t>
      </w:r>
    </w:p>
    <w:p>
      <w:pPr>
        <w:tabs>
          <w:tab w:val="left" w:pos="1674"/>
        </w:tabs>
        <w:spacing w:line="360" w:lineRule="auto"/>
        <w:ind w:left="945" w:hanging="945" w:hangingChars="450"/>
        <w:rPr>
          <w:rFonts w:ascii="宋体" w:hAnsi="宋体"/>
          <w:bCs/>
          <w:szCs w:val="21"/>
        </w:rPr>
      </w:pPr>
    </w:p>
    <w:p>
      <w:pPr>
        <w:numPr>
          <w:ilvl w:val="1"/>
          <w:numId w:val="10"/>
        </w:numPr>
        <w:spacing w:line="360" w:lineRule="auto"/>
        <w:outlineLvl w:val="3"/>
        <w:rPr>
          <w:rFonts w:ascii="宋体" w:hAnsi="宋体"/>
          <w:b/>
          <w:bCs/>
          <w:szCs w:val="21"/>
        </w:rPr>
      </w:pPr>
      <w:r>
        <w:rPr>
          <w:rFonts w:hint="eastAsia" w:ascii="宋体" w:hAnsi="宋体"/>
          <w:b/>
          <w:bCs/>
          <w:szCs w:val="21"/>
        </w:rPr>
        <w:t xml:space="preserve"> </w:t>
      </w:r>
      <w:r>
        <w:rPr>
          <w:rFonts w:ascii="宋体" w:hAnsi="宋体"/>
          <w:b/>
          <w:bCs/>
          <w:szCs w:val="21"/>
        </w:rPr>
        <w:t>联合体投标</w:t>
      </w:r>
      <w:r>
        <w:rPr>
          <w:rFonts w:hint="eastAsia" w:ascii="宋体" w:hAnsi="宋体"/>
          <w:b/>
          <w:bCs/>
          <w:szCs w:val="21"/>
        </w:rPr>
        <w:t>（如适用）</w:t>
      </w:r>
    </w:p>
    <w:p>
      <w:pPr>
        <w:tabs>
          <w:tab w:val="left" w:pos="1674"/>
        </w:tabs>
        <w:spacing w:line="360" w:lineRule="auto"/>
        <w:ind w:left="735" w:hanging="735" w:hangingChars="350"/>
        <w:rPr>
          <w:rFonts w:ascii="宋体" w:hAnsi="宋体"/>
          <w:bCs/>
          <w:szCs w:val="21"/>
        </w:rPr>
      </w:pPr>
      <w:r>
        <w:rPr>
          <w:rFonts w:ascii="宋体" w:hAnsi="宋体"/>
          <w:bCs/>
          <w:szCs w:val="21"/>
        </w:rPr>
        <w:t>对接受联合体投标的项目：</w:t>
      </w:r>
    </w:p>
    <w:p>
      <w:pPr>
        <w:tabs>
          <w:tab w:val="left" w:pos="1674"/>
        </w:tabs>
        <w:spacing w:line="360" w:lineRule="auto"/>
        <w:ind w:left="735" w:hanging="735" w:hangingChars="350"/>
        <w:rPr>
          <w:rFonts w:ascii="宋体" w:hAnsi="宋体"/>
          <w:bCs/>
          <w:szCs w:val="21"/>
        </w:rPr>
      </w:pPr>
      <w:r>
        <w:rPr>
          <w:rFonts w:hint="eastAsia" w:ascii="宋体" w:hAnsi="宋体"/>
          <w:bCs/>
          <w:szCs w:val="21"/>
        </w:rPr>
        <w:t>1.1</w:t>
      </w:r>
      <w:r>
        <w:rPr>
          <w:rFonts w:ascii="宋体" w:hAnsi="宋体"/>
          <w:bCs/>
          <w:szCs w:val="21"/>
        </w:rPr>
        <w:t>1</w:t>
      </w:r>
      <w:r>
        <w:rPr>
          <w:rFonts w:hint="eastAsia" w:ascii="宋体" w:hAnsi="宋体"/>
          <w:bCs/>
          <w:szCs w:val="21"/>
        </w:rPr>
        <w:t>.</w:t>
      </w:r>
      <w:r>
        <w:rPr>
          <w:rFonts w:ascii="宋体" w:hAnsi="宋体"/>
          <w:bCs/>
          <w:szCs w:val="21"/>
        </w:rPr>
        <w:t>1. 两个以上供应商可以组成一个投标联合体，以一个投标人的身份投标。</w:t>
      </w:r>
    </w:p>
    <w:p>
      <w:pPr>
        <w:tabs>
          <w:tab w:val="left" w:pos="1674"/>
        </w:tabs>
        <w:spacing w:line="360" w:lineRule="auto"/>
        <w:ind w:left="840" w:hanging="840" w:hangingChars="400"/>
        <w:rPr>
          <w:rFonts w:ascii="宋体" w:hAnsi="宋体"/>
          <w:bCs/>
          <w:szCs w:val="21"/>
        </w:rPr>
      </w:pPr>
      <w:r>
        <w:rPr>
          <w:rFonts w:hint="eastAsia" w:ascii="宋体" w:hAnsi="宋体"/>
          <w:bCs/>
          <w:szCs w:val="21"/>
        </w:rPr>
        <w:t>1.1</w:t>
      </w:r>
      <w:r>
        <w:rPr>
          <w:rFonts w:ascii="宋体" w:hAnsi="宋体"/>
          <w:bCs/>
          <w:szCs w:val="21"/>
        </w:rPr>
        <w:t>1</w:t>
      </w:r>
      <w:r>
        <w:rPr>
          <w:rFonts w:hint="eastAsia" w:ascii="宋体" w:hAnsi="宋体"/>
          <w:bCs/>
          <w:szCs w:val="21"/>
        </w:rPr>
        <w:t>.2</w:t>
      </w:r>
      <w:r>
        <w:rPr>
          <w:rFonts w:ascii="宋体" w:hAnsi="宋体"/>
          <w:bCs/>
          <w:szCs w:val="21"/>
        </w:rPr>
        <w:t>. 联合体各方均应当符合条件，根据采购项目的特殊要求规定投标人特定条件的，联合体各方</w:t>
      </w:r>
      <w:r>
        <w:rPr>
          <w:rFonts w:hint="eastAsia" w:ascii="宋体" w:hAnsi="宋体"/>
          <w:bCs/>
          <w:szCs w:val="21"/>
        </w:rPr>
        <w:t>或按本项目要求各方</w:t>
      </w:r>
      <w:r>
        <w:rPr>
          <w:rFonts w:ascii="宋体" w:hAnsi="宋体"/>
          <w:bCs/>
          <w:szCs w:val="21"/>
        </w:rPr>
        <w:t>中至少应当有一方符合采购人规定的特定条件。</w:t>
      </w:r>
    </w:p>
    <w:p>
      <w:pPr>
        <w:tabs>
          <w:tab w:val="left" w:pos="1674"/>
        </w:tabs>
        <w:spacing w:line="360" w:lineRule="auto"/>
        <w:ind w:left="840" w:hanging="840" w:hangingChars="400"/>
        <w:rPr>
          <w:rFonts w:ascii="宋体" w:hAnsi="宋体"/>
          <w:bCs/>
          <w:szCs w:val="21"/>
        </w:rPr>
      </w:pPr>
      <w:r>
        <w:rPr>
          <w:rFonts w:hint="eastAsia" w:ascii="宋体" w:hAnsi="宋体"/>
          <w:bCs/>
          <w:szCs w:val="21"/>
        </w:rPr>
        <w:t>1.1</w:t>
      </w:r>
      <w:r>
        <w:rPr>
          <w:rFonts w:ascii="宋体" w:hAnsi="宋体"/>
          <w:bCs/>
          <w:szCs w:val="21"/>
        </w:rPr>
        <w:t>1</w:t>
      </w:r>
      <w:r>
        <w:rPr>
          <w:rFonts w:hint="eastAsia" w:ascii="宋体" w:hAnsi="宋体"/>
          <w:bCs/>
          <w:szCs w:val="21"/>
        </w:rPr>
        <w:t>.</w:t>
      </w:r>
      <w:r>
        <w:rPr>
          <w:rFonts w:ascii="宋体" w:hAnsi="宋体"/>
          <w:bCs/>
          <w:szCs w:val="21"/>
        </w:rPr>
        <w:t>3. 联合体各方之间应当签订共同投标协议并在投标文件内提交，明确约定联合体各方承担的工作和相应的责任。联合体各方签订共同投标协议后，不得再以自己名义单独在同一项目中投标，也不得组成新的联合体参加同一项目投标。</w:t>
      </w:r>
    </w:p>
    <w:p>
      <w:pPr>
        <w:tabs>
          <w:tab w:val="left" w:pos="1674"/>
        </w:tabs>
        <w:spacing w:line="360" w:lineRule="auto"/>
        <w:ind w:left="840" w:hanging="840" w:hangingChars="400"/>
        <w:rPr>
          <w:rFonts w:ascii="宋体" w:hAnsi="宋体"/>
          <w:bCs/>
          <w:szCs w:val="21"/>
        </w:rPr>
      </w:pPr>
      <w:r>
        <w:rPr>
          <w:rFonts w:hint="eastAsia" w:ascii="宋体" w:hAnsi="宋体"/>
          <w:bCs/>
          <w:szCs w:val="21"/>
        </w:rPr>
        <w:t>1.1</w:t>
      </w:r>
      <w:r>
        <w:rPr>
          <w:rFonts w:ascii="宋体" w:hAnsi="宋体"/>
          <w:bCs/>
          <w:szCs w:val="21"/>
        </w:rPr>
        <w:t>1</w:t>
      </w:r>
      <w:r>
        <w:rPr>
          <w:rFonts w:hint="eastAsia" w:ascii="宋体" w:hAnsi="宋体"/>
          <w:bCs/>
          <w:szCs w:val="21"/>
        </w:rPr>
        <w:t>.</w:t>
      </w:r>
      <w:r>
        <w:rPr>
          <w:rFonts w:ascii="宋体" w:hAnsi="宋体"/>
          <w:bCs/>
          <w:szCs w:val="21"/>
        </w:rPr>
        <w:t>4.</w:t>
      </w:r>
      <w:r>
        <w:rPr>
          <w:rFonts w:hint="eastAsia" w:ascii="宋体" w:hAnsi="宋体"/>
          <w:bCs/>
          <w:szCs w:val="21"/>
        </w:rPr>
        <w:t xml:space="preserve"> 联合体中有同类资质的供应商按照联合体分工承担相同工作的，应当按照资质等级较低的供应商确定资质等级。</w:t>
      </w:r>
    </w:p>
    <w:p>
      <w:pPr>
        <w:tabs>
          <w:tab w:val="left" w:pos="1674"/>
        </w:tabs>
        <w:spacing w:line="360" w:lineRule="auto"/>
        <w:ind w:left="735" w:hanging="735" w:hangingChars="350"/>
        <w:rPr>
          <w:rFonts w:ascii="宋体" w:hAnsi="宋体"/>
          <w:bCs/>
          <w:szCs w:val="21"/>
        </w:rPr>
      </w:pPr>
      <w:r>
        <w:rPr>
          <w:rFonts w:hint="eastAsia" w:ascii="宋体" w:hAnsi="宋体"/>
          <w:bCs/>
          <w:szCs w:val="21"/>
        </w:rPr>
        <w:t>1.1</w:t>
      </w:r>
      <w:r>
        <w:rPr>
          <w:rFonts w:ascii="宋体" w:hAnsi="宋体"/>
          <w:bCs/>
          <w:szCs w:val="21"/>
        </w:rPr>
        <w:t>1</w:t>
      </w:r>
      <w:r>
        <w:rPr>
          <w:rFonts w:hint="eastAsia" w:ascii="宋体" w:hAnsi="宋体"/>
          <w:bCs/>
          <w:szCs w:val="21"/>
        </w:rPr>
        <w:t xml:space="preserve">.5  </w:t>
      </w:r>
      <w:r>
        <w:rPr>
          <w:rFonts w:ascii="宋体" w:hAnsi="宋体"/>
          <w:bCs/>
          <w:szCs w:val="21"/>
        </w:rPr>
        <w:t>联合体成员存在不良信用记录的，视同联合体存在不良信用记录。</w:t>
      </w:r>
    </w:p>
    <w:p>
      <w:pPr>
        <w:numPr>
          <w:ilvl w:val="1"/>
          <w:numId w:val="10"/>
        </w:numPr>
        <w:spacing w:line="360" w:lineRule="auto"/>
        <w:outlineLvl w:val="3"/>
        <w:rPr>
          <w:rFonts w:ascii="宋体" w:hAnsi="宋体"/>
          <w:b/>
          <w:bCs/>
          <w:szCs w:val="21"/>
        </w:rPr>
      </w:pPr>
      <w:r>
        <w:rPr>
          <w:rFonts w:hint="eastAsia" w:ascii="宋体" w:hAnsi="宋体"/>
          <w:b/>
          <w:bCs/>
          <w:szCs w:val="21"/>
        </w:rPr>
        <w:t xml:space="preserve">  关联企业</w:t>
      </w:r>
    </w:p>
    <w:p>
      <w:pPr>
        <w:tabs>
          <w:tab w:val="left" w:pos="1674"/>
        </w:tabs>
        <w:spacing w:line="360" w:lineRule="auto"/>
        <w:ind w:left="840" w:hanging="840" w:hangingChars="400"/>
        <w:rPr>
          <w:rFonts w:ascii="宋体" w:hAnsi="宋体"/>
          <w:bCs/>
          <w:szCs w:val="21"/>
        </w:rPr>
      </w:pPr>
      <w:r>
        <w:rPr>
          <w:rFonts w:hint="eastAsia" w:ascii="宋体" w:hAnsi="宋体"/>
          <w:bCs/>
          <w:szCs w:val="21"/>
        </w:rPr>
        <w:t>1.1</w:t>
      </w:r>
      <w:r>
        <w:rPr>
          <w:rFonts w:ascii="宋体" w:hAnsi="宋体"/>
          <w:bCs/>
          <w:szCs w:val="21"/>
        </w:rPr>
        <w:t>2</w:t>
      </w:r>
      <w:r>
        <w:rPr>
          <w:rFonts w:hint="eastAsia" w:ascii="宋体" w:hAnsi="宋体"/>
          <w:bCs/>
          <w:szCs w:val="21"/>
        </w:rPr>
        <w:t xml:space="preserve">.1. </w:t>
      </w:r>
      <w:r>
        <w:rPr>
          <w:rFonts w:ascii="宋体" w:hAnsi="宋体"/>
          <w:bCs/>
          <w:szCs w:val="21"/>
        </w:rPr>
        <w:t>除联合体外，</w:t>
      </w:r>
      <w:r>
        <w:rPr>
          <w:rFonts w:hint="eastAsia" w:ascii="宋体" w:hAnsi="宋体"/>
          <w:bCs/>
          <w:szCs w:val="21"/>
        </w:rPr>
        <w:t>法定代表人（负责人）</w:t>
      </w:r>
      <w:r>
        <w:rPr>
          <w:rFonts w:ascii="宋体" w:hAnsi="宋体"/>
          <w:bCs/>
          <w:szCs w:val="21"/>
        </w:rPr>
        <w:t>或单位负责人为同一个人或者存在直接控股、管理关系的不同供应商，不得同时参加同一项目或同一子</w:t>
      </w:r>
      <w:r>
        <w:rPr>
          <w:rFonts w:hint="eastAsia" w:ascii="宋体" w:hAnsi="宋体"/>
          <w:bCs/>
          <w:szCs w:val="21"/>
        </w:rPr>
        <w:t>包（子项、标段等）</w:t>
      </w:r>
      <w:r>
        <w:rPr>
          <w:rFonts w:ascii="宋体" w:hAnsi="宋体"/>
          <w:bCs/>
          <w:szCs w:val="21"/>
        </w:rPr>
        <w:t>的投标。如同时参加，则评审时将同时被拒绝。</w:t>
      </w:r>
    </w:p>
    <w:p>
      <w:pPr>
        <w:tabs>
          <w:tab w:val="left" w:pos="1674"/>
        </w:tabs>
        <w:spacing w:line="360" w:lineRule="auto"/>
        <w:ind w:left="840" w:hanging="840" w:hangingChars="400"/>
        <w:rPr>
          <w:rFonts w:ascii="宋体" w:hAnsi="宋体"/>
          <w:bCs/>
          <w:szCs w:val="21"/>
        </w:rPr>
      </w:pPr>
      <w:r>
        <w:rPr>
          <w:rFonts w:hint="eastAsia" w:ascii="宋体" w:hAnsi="宋体"/>
          <w:bCs/>
          <w:szCs w:val="21"/>
        </w:rPr>
        <w:t>1.1</w:t>
      </w:r>
      <w:r>
        <w:rPr>
          <w:rFonts w:ascii="宋体" w:hAnsi="宋体"/>
          <w:bCs/>
          <w:szCs w:val="21"/>
        </w:rPr>
        <w:t>2</w:t>
      </w:r>
      <w:r>
        <w:rPr>
          <w:rFonts w:hint="eastAsia" w:ascii="宋体" w:hAnsi="宋体"/>
          <w:bCs/>
          <w:szCs w:val="21"/>
        </w:rPr>
        <w:t>.2  同一投标人授权不同的人员参与同一项目或</w:t>
      </w:r>
      <w:r>
        <w:rPr>
          <w:rFonts w:ascii="宋体" w:hAnsi="宋体"/>
          <w:bCs/>
          <w:szCs w:val="21"/>
        </w:rPr>
        <w:t>同一子</w:t>
      </w:r>
      <w:r>
        <w:rPr>
          <w:rFonts w:hint="eastAsia" w:ascii="宋体" w:hAnsi="宋体"/>
          <w:bCs/>
          <w:szCs w:val="21"/>
        </w:rPr>
        <w:t>包（子项、标段等）的投标，则评审时将同时被拒绝。</w:t>
      </w:r>
    </w:p>
    <w:p>
      <w:pPr>
        <w:numPr>
          <w:ilvl w:val="1"/>
          <w:numId w:val="10"/>
        </w:numPr>
        <w:spacing w:line="360" w:lineRule="auto"/>
        <w:outlineLvl w:val="3"/>
        <w:rPr>
          <w:rFonts w:ascii="宋体" w:hAnsi="宋体"/>
          <w:b/>
          <w:bCs/>
          <w:szCs w:val="21"/>
        </w:rPr>
      </w:pPr>
      <w:r>
        <w:rPr>
          <w:rFonts w:hint="eastAsia" w:ascii="宋体" w:hAnsi="宋体"/>
          <w:b/>
          <w:bCs/>
          <w:szCs w:val="21"/>
        </w:rPr>
        <w:t xml:space="preserve">  </w:t>
      </w:r>
      <w:r>
        <w:rPr>
          <w:rFonts w:ascii="宋体" w:hAnsi="宋体"/>
          <w:b/>
          <w:bCs/>
          <w:szCs w:val="21"/>
        </w:rPr>
        <w:t>提供前期服务的供应商</w:t>
      </w:r>
    </w:p>
    <w:p>
      <w:pPr>
        <w:tabs>
          <w:tab w:val="left" w:pos="1674"/>
        </w:tabs>
        <w:spacing w:line="360" w:lineRule="auto"/>
        <w:ind w:left="840" w:leftChars="400"/>
        <w:rPr>
          <w:rFonts w:ascii="宋体" w:hAnsi="宋体"/>
          <w:bCs/>
          <w:szCs w:val="21"/>
        </w:rPr>
      </w:pPr>
      <w:r>
        <w:rPr>
          <w:rFonts w:ascii="宋体" w:hAnsi="宋体"/>
          <w:bCs/>
          <w:szCs w:val="21"/>
        </w:rPr>
        <w:t>为采购项目提供整体设计、规范编制或者项目管理、监理、检测等服务的供应商，不得再参加</w:t>
      </w:r>
      <w:r>
        <w:rPr>
          <w:rFonts w:hint="eastAsia" w:ascii="宋体" w:hAnsi="宋体"/>
          <w:bCs/>
          <w:szCs w:val="21"/>
        </w:rPr>
        <w:t>该采购项目的其他采购活动。</w:t>
      </w:r>
    </w:p>
    <w:p>
      <w:pPr>
        <w:numPr>
          <w:ilvl w:val="1"/>
          <w:numId w:val="10"/>
        </w:numPr>
        <w:spacing w:line="360" w:lineRule="auto"/>
        <w:outlineLvl w:val="3"/>
        <w:rPr>
          <w:rFonts w:ascii="宋体" w:hAnsi="宋体"/>
          <w:b/>
          <w:bCs/>
          <w:szCs w:val="21"/>
        </w:rPr>
      </w:pPr>
      <w:r>
        <w:rPr>
          <w:rFonts w:hint="eastAsia" w:ascii="宋体" w:hAnsi="宋体"/>
          <w:b/>
          <w:bCs/>
          <w:szCs w:val="21"/>
        </w:rPr>
        <w:t>招标文件的解释权</w:t>
      </w:r>
    </w:p>
    <w:p>
      <w:pPr>
        <w:tabs>
          <w:tab w:val="left" w:pos="1674"/>
        </w:tabs>
        <w:spacing w:line="360" w:lineRule="auto"/>
        <w:rPr>
          <w:rFonts w:ascii="宋体" w:hAnsi="宋体"/>
          <w:bCs/>
          <w:szCs w:val="21"/>
        </w:rPr>
      </w:pPr>
      <w:r>
        <w:rPr>
          <w:rFonts w:hint="eastAsia" w:ascii="宋体" w:hAnsi="宋体"/>
          <w:b/>
          <w:bCs/>
          <w:szCs w:val="21"/>
        </w:rPr>
        <w:t xml:space="preserve">      </w:t>
      </w:r>
      <w:r>
        <w:rPr>
          <w:rFonts w:hint="eastAsia" w:ascii="宋体" w:hAnsi="宋体"/>
          <w:bCs/>
          <w:szCs w:val="21"/>
        </w:rPr>
        <w:t>本招标文件的解释权归“广州群生招标代理有限公司”所有。</w:t>
      </w:r>
    </w:p>
    <w:p>
      <w:pPr>
        <w:pStyle w:val="6"/>
        <w:keepLines/>
        <w:numPr>
          <w:ilvl w:val="0"/>
          <w:numId w:val="10"/>
        </w:numPr>
        <w:spacing w:before="260" w:after="260" w:line="400" w:lineRule="exact"/>
        <w:rPr>
          <w:bCs w:val="0"/>
          <w:sz w:val="21"/>
          <w:szCs w:val="21"/>
        </w:rPr>
      </w:pPr>
      <w:bookmarkStart w:id="54" w:name="_Toc13660"/>
      <w:bookmarkStart w:id="55" w:name="_Toc334797733"/>
      <w:bookmarkStart w:id="56" w:name="_Toc20188"/>
      <w:bookmarkStart w:id="57" w:name="_Toc19618"/>
      <w:r>
        <w:rPr>
          <w:rFonts w:hint="eastAsia"/>
          <w:bCs w:val="0"/>
          <w:sz w:val="21"/>
          <w:szCs w:val="21"/>
        </w:rPr>
        <w:t>招标文件</w:t>
      </w:r>
      <w:bookmarkEnd w:id="54"/>
      <w:bookmarkEnd w:id="55"/>
      <w:bookmarkEnd w:id="56"/>
      <w:bookmarkEnd w:id="57"/>
    </w:p>
    <w:p>
      <w:pPr>
        <w:numPr>
          <w:ilvl w:val="1"/>
          <w:numId w:val="10"/>
        </w:numPr>
        <w:spacing w:line="360" w:lineRule="auto"/>
        <w:outlineLvl w:val="3"/>
        <w:rPr>
          <w:rFonts w:ascii="宋体" w:hAnsi="宋体"/>
          <w:b/>
          <w:bCs/>
          <w:szCs w:val="21"/>
        </w:rPr>
      </w:pPr>
      <w:r>
        <w:rPr>
          <w:rFonts w:hint="eastAsia" w:ascii="宋体" w:hAnsi="宋体"/>
          <w:b/>
          <w:bCs/>
          <w:szCs w:val="21"/>
        </w:rPr>
        <w:t>招标文件的组成</w:t>
      </w:r>
    </w:p>
    <w:p>
      <w:pPr>
        <w:spacing w:line="360" w:lineRule="auto"/>
        <w:ind w:firstLine="240"/>
        <w:rPr>
          <w:rFonts w:ascii="宋体" w:hAnsi="宋体"/>
          <w:szCs w:val="21"/>
        </w:rPr>
      </w:pPr>
      <w:r>
        <w:rPr>
          <w:rFonts w:ascii="宋体" w:hAnsi="宋体"/>
          <w:szCs w:val="21"/>
        </w:rPr>
        <w:t>（1）</w:t>
      </w:r>
      <w:r>
        <w:rPr>
          <w:rFonts w:hint="eastAsia" w:ascii="宋体" w:hAnsi="宋体"/>
          <w:szCs w:val="21"/>
        </w:rPr>
        <w:t>投标邀请</w:t>
      </w:r>
    </w:p>
    <w:p>
      <w:pPr>
        <w:spacing w:line="360" w:lineRule="auto"/>
        <w:ind w:firstLine="240"/>
        <w:rPr>
          <w:rFonts w:ascii="宋体" w:hAnsi="宋体"/>
          <w:szCs w:val="21"/>
        </w:rPr>
      </w:pPr>
      <w:r>
        <w:rPr>
          <w:rFonts w:ascii="宋体" w:hAnsi="宋体"/>
          <w:szCs w:val="21"/>
        </w:rPr>
        <w:t>（2）</w:t>
      </w:r>
      <w:r>
        <w:rPr>
          <w:rFonts w:hint="eastAsia" w:ascii="宋体" w:hAnsi="宋体"/>
          <w:szCs w:val="21"/>
        </w:rPr>
        <w:t>投标人须知</w:t>
      </w:r>
    </w:p>
    <w:p>
      <w:pPr>
        <w:spacing w:line="360" w:lineRule="auto"/>
        <w:ind w:firstLine="240"/>
        <w:rPr>
          <w:rFonts w:ascii="宋体" w:hAnsi="宋体"/>
          <w:szCs w:val="21"/>
        </w:rPr>
      </w:pPr>
      <w:r>
        <w:rPr>
          <w:rFonts w:ascii="宋体" w:hAnsi="宋体"/>
          <w:szCs w:val="21"/>
        </w:rPr>
        <w:t>（3）</w:t>
      </w:r>
      <w:r>
        <w:rPr>
          <w:rFonts w:hint="eastAsia" w:ascii="宋体" w:hAnsi="宋体"/>
          <w:szCs w:val="21"/>
        </w:rPr>
        <w:t>采购人需求</w:t>
      </w:r>
    </w:p>
    <w:p>
      <w:pPr>
        <w:spacing w:line="360" w:lineRule="auto"/>
        <w:ind w:firstLine="240"/>
        <w:rPr>
          <w:rFonts w:ascii="宋体" w:hAnsi="宋体"/>
          <w:szCs w:val="21"/>
        </w:rPr>
      </w:pPr>
      <w:r>
        <w:rPr>
          <w:rFonts w:ascii="宋体" w:hAnsi="宋体"/>
          <w:szCs w:val="21"/>
        </w:rPr>
        <w:t>（4）</w:t>
      </w:r>
      <w:r>
        <w:rPr>
          <w:rFonts w:hint="eastAsia" w:ascii="宋体" w:hAnsi="宋体"/>
          <w:szCs w:val="21"/>
        </w:rPr>
        <w:t>合同文本</w:t>
      </w:r>
    </w:p>
    <w:p>
      <w:pPr>
        <w:spacing w:line="360" w:lineRule="auto"/>
        <w:ind w:firstLine="240"/>
        <w:rPr>
          <w:rFonts w:ascii="宋体" w:hAnsi="宋体"/>
          <w:szCs w:val="21"/>
        </w:rPr>
      </w:pPr>
      <w:r>
        <w:rPr>
          <w:rFonts w:hint="eastAsia" w:ascii="宋体" w:hAnsi="宋体"/>
          <w:szCs w:val="21"/>
        </w:rPr>
        <w:t>（5）评标和定标</w:t>
      </w:r>
    </w:p>
    <w:p>
      <w:pPr>
        <w:spacing w:line="360" w:lineRule="auto"/>
        <w:ind w:firstLine="240"/>
        <w:rPr>
          <w:rFonts w:ascii="宋体" w:hAnsi="宋体"/>
          <w:szCs w:val="21"/>
        </w:rPr>
      </w:pPr>
      <w:r>
        <w:rPr>
          <w:rFonts w:ascii="宋体" w:hAnsi="宋体"/>
          <w:szCs w:val="21"/>
        </w:rPr>
        <w:t>（</w:t>
      </w:r>
      <w:r>
        <w:rPr>
          <w:rFonts w:hint="eastAsia" w:ascii="宋体" w:hAnsi="宋体"/>
          <w:szCs w:val="21"/>
        </w:rPr>
        <w:t>6</w:t>
      </w:r>
      <w:r>
        <w:rPr>
          <w:rFonts w:ascii="宋体" w:hAnsi="宋体"/>
          <w:szCs w:val="21"/>
        </w:rPr>
        <w:t>）</w:t>
      </w:r>
      <w:r>
        <w:rPr>
          <w:rFonts w:hint="eastAsia" w:ascii="宋体" w:hAnsi="宋体"/>
          <w:szCs w:val="21"/>
        </w:rPr>
        <w:t>投标文件格式</w:t>
      </w:r>
    </w:p>
    <w:p>
      <w:pPr>
        <w:numPr>
          <w:ilvl w:val="1"/>
          <w:numId w:val="10"/>
        </w:numPr>
        <w:spacing w:line="360" w:lineRule="auto"/>
        <w:outlineLvl w:val="3"/>
        <w:rPr>
          <w:rFonts w:ascii="宋体" w:hAnsi="宋体"/>
          <w:b/>
          <w:bCs/>
          <w:szCs w:val="21"/>
        </w:rPr>
      </w:pPr>
      <w:r>
        <w:rPr>
          <w:rFonts w:hint="eastAsia" w:ascii="宋体" w:hAnsi="宋体"/>
          <w:b/>
          <w:bCs/>
          <w:szCs w:val="21"/>
        </w:rPr>
        <w:t>招标文件的澄清或修改</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采购人或采购代理机构对招标文件进行必要的澄清</w:t>
      </w:r>
      <w:r>
        <w:rPr>
          <w:rFonts w:ascii="宋体" w:hAnsi="宋体"/>
          <w:bCs/>
          <w:szCs w:val="21"/>
        </w:rPr>
        <w:t>或</w:t>
      </w:r>
      <w:r>
        <w:rPr>
          <w:rFonts w:hint="eastAsia" w:ascii="宋体" w:hAnsi="宋体"/>
          <w:bCs/>
          <w:szCs w:val="21"/>
        </w:rPr>
        <w:t>修改的，</w:t>
      </w:r>
      <w:r>
        <w:rPr>
          <w:rFonts w:hint="eastAsia"/>
          <w:color w:val="000000"/>
        </w:rPr>
        <w:t>澄清或者修改的内容可能影响投标文件编制的，</w:t>
      </w:r>
      <w:r>
        <w:rPr>
          <w:rFonts w:hint="eastAsia" w:ascii="宋体" w:hAnsi="宋体"/>
          <w:bCs/>
          <w:szCs w:val="21"/>
        </w:rPr>
        <w:t>于</w:t>
      </w:r>
      <w:r>
        <w:rPr>
          <w:rFonts w:hint="eastAsia" w:ascii="宋体" w:hAnsi="宋体"/>
          <w:color w:val="000000"/>
          <w:szCs w:val="21"/>
        </w:rPr>
        <w:t>投标截止时间的15天前在指定媒体上发布公告，并通知所有登记及获取招标文件的投标供应商。澄清或修改不足15天，但未有供应商以书面形式（可以电子邮件或传真形式）提出延期的，视为该澄清或修改不影响投标文件编制。</w:t>
      </w:r>
    </w:p>
    <w:p>
      <w:pPr>
        <w:numPr>
          <w:ilvl w:val="2"/>
          <w:numId w:val="10"/>
        </w:numPr>
        <w:tabs>
          <w:tab w:val="left" w:pos="735"/>
        </w:tabs>
        <w:spacing w:line="360" w:lineRule="auto"/>
        <w:ind w:left="735" w:hanging="735"/>
        <w:rPr>
          <w:rFonts w:ascii="宋体" w:hAnsi="宋体"/>
          <w:bCs/>
          <w:szCs w:val="21"/>
        </w:rPr>
      </w:pPr>
      <w:r>
        <w:rPr>
          <w:rFonts w:hint="eastAsia" w:ascii="宋体" w:hAnsi="宋体"/>
          <w:color w:val="000000"/>
          <w:szCs w:val="21"/>
        </w:rPr>
        <w:t>登记及获取招标文件的供应商在收到澄清或修改通知后应按要求以书面形式（可以电子邮件或传真形式）予以确认，该澄清或修改的内容为招标文件的组成部分</w:t>
      </w:r>
      <w:r>
        <w:rPr>
          <w:rFonts w:hint="eastAsia" w:ascii="宋体" w:hAnsi="宋体"/>
          <w:bCs/>
          <w:szCs w:val="21"/>
        </w:rPr>
        <w:t>，供应商在投标截止时间前不予书面确认的，视为已收到通知且对内容无异议。</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招标过程中的一切修改文件或补充文件一旦确认后与招标文件具有同等法律效力，投标人有责任履行相应的义务。</w:t>
      </w:r>
    </w:p>
    <w:p>
      <w:pPr>
        <w:numPr>
          <w:ilvl w:val="2"/>
          <w:numId w:val="10"/>
        </w:numPr>
        <w:tabs>
          <w:tab w:val="left" w:pos="735"/>
        </w:tabs>
        <w:spacing w:line="360" w:lineRule="auto"/>
        <w:ind w:left="735" w:hanging="735"/>
        <w:rPr>
          <w:rFonts w:ascii="宋体" w:hAnsi="宋体"/>
          <w:szCs w:val="21"/>
        </w:rPr>
      </w:pPr>
      <w:r>
        <w:rPr>
          <w:rFonts w:ascii="宋体" w:hAnsi="宋体"/>
          <w:szCs w:val="21"/>
        </w:rPr>
        <w:t>投标人在规定的时间内未对招标文件提出</w:t>
      </w:r>
      <w:r>
        <w:rPr>
          <w:rFonts w:hint="eastAsia" w:ascii="宋体" w:hAnsi="宋体"/>
          <w:szCs w:val="21"/>
        </w:rPr>
        <w:t>询问</w:t>
      </w:r>
      <w:r>
        <w:rPr>
          <w:rFonts w:ascii="宋体" w:hAnsi="宋体"/>
          <w:szCs w:val="21"/>
        </w:rPr>
        <w:t>、质疑的，将视其为无异议。对招标文件中描述有歧义或前后不一致的地方，评标委员会有权进行评判，但对同一条款的评判应适用于每个投标人</w:t>
      </w:r>
      <w:r>
        <w:rPr>
          <w:rFonts w:hint="eastAsia" w:ascii="宋体" w:hAnsi="宋体"/>
          <w:szCs w:val="21"/>
        </w:rPr>
        <w:t>。</w:t>
      </w:r>
    </w:p>
    <w:p>
      <w:pPr>
        <w:numPr>
          <w:ilvl w:val="1"/>
          <w:numId w:val="10"/>
        </w:numPr>
        <w:spacing w:line="360" w:lineRule="auto"/>
        <w:ind w:left="0" w:firstLine="0"/>
        <w:outlineLvl w:val="3"/>
        <w:rPr>
          <w:rFonts w:ascii="宋体" w:hAnsi="宋体"/>
          <w:szCs w:val="21"/>
        </w:rPr>
      </w:pPr>
      <w:r>
        <w:rPr>
          <w:rFonts w:hint="eastAsia" w:ascii="宋体" w:hAnsi="宋体"/>
          <w:szCs w:val="21"/>
        </w:rPr>
        <w:t>招标文件的答疑：</w:t>
      </w:r>
    </w:p>
    <w:p>
      <w:pPr>
        <w:tabs>
          <w:tab w:val="left" w:pos="1674"/>
        </w:tabs>
        <w:spacing w:line="360" w:lineRule="auto"/>
        <w:ind w:firstLine="420" w:firstLineChars="200"/>
        <w:rPr>
          <w:rFonts w:ascii="宋体" w:hAnsi="宋体"/>
          <w:bCs/>
          <w:szCs w:val="21"/>
        </w:rPr>
      </w:pPr>
      <w:r>
        <w:rPr>
          <w:rFonts w:hint="eastAsia" w:ascii="宋体" w:hAnsi="宋体"/>
          <w:bCs/>
          <w:szCs w:val="21"/>
        </w:rPr>
        <w:t>除非《投标邀请》另有规定，本项目不举行集中答疑会或现场考察，如有必要，投标人可以自行考察现场情况、周围环境及交通状况。如举行集中答疑会或现场考察，则按以下规定：</w:t>
      </w:r>
    </w:p>
    <w:p>
      <w:pPr>
        <w:numPr>
          <w:ilvl w:val="2"/>
          <w:numId w:val="10"/>
        </w:numPr>
        <w:tabs>
          <w:tab w:val="left" w:pos="735"/>
        </w:tabs>
        <w:spacing w:line="360" w:lineRule="auto"/>
        <w:ind w:left="735" w:hanging="735"/>
        <w:rPr>
          <w:rFonts w:ascii="宋体" w:hAnsi="宋体"/>
          <w:szCs w:val="21"/>
        </w:rPr>
      </w:pPr>
      <w:r>
        <w:rPr>
          <w:rFonts w:ascii="宋体" w:hAnsi="宋体"/>
          <w:szCs w:val="21"/>
        </w:rPr>
        <w:t>在《投标邀请》中规定的日期、时间和地点组织已</w:t>
      </w:r>
      <w:r>
        <w:rPr>
          <w:rFonts w:hint="eastAsia" w:ascii="宋体" w:hAnsi="宋体"/>
          <w:szCs w:val="21"/>
        </w:rPr>
        <w:t>登记</w:t>
      </w:r>
      <w:r>
        <w:rPr>
          <w:rFonts w:ascii="宋体" w:hAnsi="宋体"/>
          <w:szCs w:val="21"/>
        </w:rPr>
        <w:t>参加项目的供应商参与答疑会或现场考察；</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登记</w:t>
      </w:r>
      <w:r>
        <w:rPr>
          <w:rFonts w:ascii="宋体" w:hAnsi="宋体"/>
          <w:szCs w:val="21"/>
        </w:rPr>
        <w:t>参与项目的供应商对本项目提出的疑问，须在答疑会或现场考察召开日前至少一个工作日将问题清单</w:t>
      </w:r>
      <w:r>
        <w:rPr>
          <w:rFonts w:hint="eastAsia" w:ascii="宋体" w:hAnsi="宋体"/>
          <w:szCs w:val="21"/>
        </w:rPr>
        <w:t>发送电子邮件及</w:t>
      </w:r>
      <w:r>
        <w:rPr>
          <w:rFonts w:ascii="宋体" w:hAnsi="宋体"/>
          <w:szCs w:val="21"/>
        </w:rPr>
        <w:t>以书面形式（加盖公章）提交至采购代理机构；</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登记</w:t>
      </w:r>
      <w:r>
        <w:rPr>
          <w:rFonts w:ascii="宋体" w:hAnsi="宋体"/>
          <w:szCs w:val="21"/>
        </w:rPr>
        <w:t>参与项目的供应商自行决定是否派代表参加答疑会或现场考察，派出人员需按时到达，过期不候，如不派出人员的，视为对答疑会或现场考察</w:t>
      </w:r>
      <w:r>
        <w:rPr>
          <w:rFonts w:hint="eastAsia" w:ascii="宋体" w:hAnsi="宋体"/>
          <w:szCs w:val="21"/>
        </w:rPr>
        <w:t>内容</w:t>
      </w:r>
      <w:r>
        <w:rPr>
          <w:rFonts w:ascii="宋体" w:hAnsi="宋体"/>
          <w:szCs w:val="21"/>
        </w:rPr>
        <w:t>无异议</w:t>
      </w:r>
      <w:r>
        <w:rPr>
          <w:rFonts w:hint="eastAsia" w:ascii="宋体" w:hAnsi="宋体"/>
          <w:szCs w:val="21"/>
        </w:rPr>
        <w:t>；</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供应商派出人员参与答疑会或现场考察的，其人员发生的相关费用、意外事故等，均由供应商自行负责。</w:t>
      </w:r>
    </w:p>
    <w:p>
      <w:pPr>
        <w:pStyle w:val="6"/>
        <w:keepLines/>
        <w:numPr>
          <w:ilvl w:val="0"/>
          <w:numId w:val="10"/>
        </w:numPr>
        <w:spacing w:before="260" w:after="260" w:line="400" w:lineRule="exact"/>
        <w:rPr>
          <w:sz w:val="21"/>
          <w:szCs w:val="21"/>
        </w:rPr>
      </w:pPr>
      <w:bookmarkStart w:id="58" w:name="_Toc130695594"/>
      <w:bookmarkStart w:id="59" w:name="_Toc49082411"/>
      <w:bookmarkStart w:id="60" w:name="_Toc153615291"/>
      <w:bookmarkStart w:id="61" w:name="_Toc49135197"/>
      <w:bookmarkStart w:id="62" w:name="_Toc130697186"/>
      <w:bookmarkStart w:id="63" w:name="_Toc225565947"/>
      <w:bookmarkStart w:id="64" w:name="_Toc26008"/>
      <w:bookmarkStart w:id="65" w:name="_Toc238282334"/>
      <w:bookmarkStart w:id="66" w:name="_Toc228644972"/>
      <w:bookmarkStart w:id="67" w:name="_Toc185747580"/>
      <w:bookmarkStart w:id="68" w:name="_Toc223939095"/>
      <w:bookmarkStart w:id="69" w:name="_Toc224435720"/>
      <w:bookmarkStart w:id="70" w:name="_Toc228899501"/>
      <w:bookmarkStart w:id="71" w:name="_Toc29263"/>
      <w:bookmarkStart w:id="72" w:name="_Toc18732"/>
      <w:bookmarkStart w:id="73" w:name="_Toc334797734"/>
      <w:r>
        <w:rPr>
          <w:rFonts w:hint="eastAsia"/>
          <w:sz w:val="21"/>
          <w:szCs w:val="21"/>
        </w:rPr>
        <w:t>投标</w:t>
      </w:r>
      <w:bookmarkEnd w:id="58"/>
      <w:bookmarkEnd w:id="59"/>
      <w:bookmarkEnd w:id="60"/>
      <w:bookmarkEnd w:id="61"/>
      <w:bookmarkEnd w:id="62"/>
      <w:r>
        <w:rPr>
          <w:rFonts w:hint="eastAsia"/>
          <w:sz w:val="21"/>
          <w:szCs w:val="21"/>
        </w:rPr>
        <w:t>文件</w:t>
      </w:r>
      <w:bookmarkEnd w:id="63"/>
      <w:bookmarkEnd w:id="64"/>
      <w:bookmarkEnd w:id="65"/>
      <w:bookmarkEnd w:id="66"/>
      <w:bookmarkEnd w:id="67"/>
      <w:bookmarkEnd w:id="68"/>
      <w:bookmarkEnd w:id="69"/>
      <w:bookmarkEnd w:id="70"/>
      <w:bookmarkEnd w:id="71"/>
      <w:bookmarkEnd w:id="72"/>
      <w:bookmarkEnd w:id="73"/>
    </w:p>
    <w:p>
      <w:pPr>
        <w:numPr>
          <w:ilvl w:val="1"/>
          <w:numId w:val="10"/>
        </w:numPr>
        <w:spacing w:line="360" w:lineRule="auto"/>
        <w:outlineLvl w:val="3"/>
        <w:rPr>
          <w:rFonts w:ascii="宋体" w:hAnsi="宋体"/>
          <w:b/>
          <w:bCs/>
          <w:szCs w:val="21"/>
        </w:rPr>
      </w:pPr>
      <w:r>
        <w:rPr>
          <w:rFonts w:hint="eastAsia" w:ascii="宋体" w:hAnsi="宋体"/>
          <w:b/>
          <w:bCs/>
          <w:szCs w:val="21"/>
        </w:rPr>
        <w:t>投标文件的编写</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投标人应仔细阅读招标文件的所有内容，按招标文件的要求制作并递交投标文件，并保证所提供的全部资料的真实性、准确性，以确保其投标对招标文件做出实质性响应。投标人在投标中提供不真实的材料，无论其材料是否重要，都将直接导致投标文件无效，并承担由此产生的法律责任。</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投标语言和计量单位：投标文件和来往函件应用简体中文书写，投标人提供的支持文件、技术资料和印刷的文献可以用其他语言，但相应内容应附有中文翻译文本（经公证处公证），对不同文字文本投标文件的解释发生异议的，以中文文本为准。计量单位应使用国际单位制。</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投标人须用人民币作为报价的货币单位。</w:t>
      </w:r>
      <w:r>
        <w:rPr>
          <w:rFonts w:hint="eastAsia" w:ascii="宋体" w:hAnsi="宋体"/>
          <w:szCs w:val="21"/>
        </w:rPr>
        <w:t>投标文件中开标一览表（报价表）内容与投标文件中明细表内容不一致的，以开标一览表（报价表）为准。</w:t>
      </w:r>
      <w:r>
        <w:rPr>
          <w:rFonts w:hint="eastAsia" w:ascii="宋体" w:hAnsi="宋体"/>
          <w:bCs/>
          <w:szCs w:val="21"/>
        </w:rPr>
        <w:t>投标文件的大写金额和小写金额不一致的，以大写金额为准；总价金额与按单价汇总金额不一致的，以单价金额计算结果为准；单价金额小数点或者百分比有明显错位的，以开标一览表总价为准，并修改单价。</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本项目要求投标报价应包括货物采购、运输、安装、调试、相关部门验收及保修期内的维护保养等所有费用，以及投标人认为必要的其他货物、材料、安装、服务；投标人应自行增加货物整体正常、合法、安全运行及使用所必需但招标文件没有包含的所有货物、版权、专利等一切费用，如果投标人在中标并签署合同后，在供货、安装、调试、培训等工作中出现货物的任何遗漏，均由中标人免费提供，采购人将不再支付任何费用。</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投标人在详细报价中应列出采购人需求的所有项目，投标人认为必要的但在招标文件中未列出的其它项目可在报价表后面做出补充，所补充的内容应在投标文件中加以详细说明。</w:t>
      </w:r>
    </w:p>
    <w:p>
      <w:pPr>
        <w:numPr>
          <w:ilvl w:val="2"/>
          <w:numId w:val="10"/>
        </w:numPr>
        <w:tabs>
          <w:tab w:val="left" w:pos="735"/>
        </w:tabs>
        <w:spacing w:line="360" w:lineRule="auto"/>
        <w:ind w:left="735" w:hanging="735"/>
        <w:rPr>
          <w:rFonts w:ascii="宋体" w:hAnsi="宋体"/>
          <w:szCs w:val="21"/>
          <w:u w:val="single"/>
        </w:rPr>
      </w:pPr>
      <w:r>
        <w:rPr>
          <w:rFonts w:hint="eastAsia" w:ascii="宋体" w:hAnsi="宋体"/>
          <w:bCs/>
          <w:szCs w:val="21"/>
        </w:rPr>
        <w:t>报价栏项目中如出现唯一的数字“0”、“/”等评标委员会视为已包含在总报价中的符号，则视报价为零，并已包含在总报价中；如出现空白或出现负数，视为未响应。</w:t>
      </w:r>
    </w:p>
    <w:p>
      <w:pPr>
        <w:numPr>
          <w:ilvl w:val="2"/>
          <w:numId w:val="10"/>
        </w:numPr>
        <w:tabs>
          <w:tab w:val="left" w:pos="735"/>
        </w:tabs>
        <w:spacing w:line="360" w:lineRule="auto"/>
        <w:ind w:left="735" w:hanging="735"/>
        <w:rPr>
          <w:rFonts w:ascii="宋体" w:hAnsi="宋体"/>
          <w:szCs w:val="21"/>
          <w:u w:val="single"/>
        </w:rPr>
      </w:pPr>
      <w:r>
        <w:rPr>
          <w:rFonts w:hint="eastAsia" w:ascii="宋体" w:hAnsi="宋体"/>
          <w:bCs/>
          <w:szCs w:val="21"/>
        </w:rPr>
        <w:t>招标文件中出现需由法定代表人（负责人）或其授权代表签署的、需要加盖投标人公章或相关制造商盖章之处、出现投标人自行增加的需要签署及盖章之处，均应按要求签署盖章。</w:t>
      </w:r>
    </w:p>
    <w:p>
      <w:pPr>
        <w:numPr>
          <w:ilvl w:val="2"/>
          <w:numId w:val="10"/>
        </w:numPr>
        <w:tabs>
          <w:tab w:val="left" w:pos="735"/>
        </w:tabs>
        <w:spacing w:line="360" w:lineRule="auto"/>
        <w:ind w:left="735" w:hanging="735"/>
        <w:rPr>
          <w:rFonts w:ascii="宋体" w:hAnsi="宋体"/>
          <w:szCs w:val="21"/>
          <w:u w:val="single"/>
        </w:rPr>
      </w:pPr>
      <w:r>
        <w:rPr>
          <w:rFonts w:hint="eastAsia" w:ascii="宋体" w:hAnsi="宋体" w:cs="宋体"/>
          <w:szCs w:val="21"/>
        </w:rPr>
        <w:t>投标人在编写投标文件时，应填写招标文件要求的内容及其附件，并根据实际情况补充评审所需资料，投标文件</w:t>
      </w:r>
      <w:r>
        <w:rPr>
          <w:rFonts w:hint="eastAsia" w:ascii="宋体" w:hAnsi="宋体" w:cs="宋体"/>
          <w:szCs w:val="21"/>
          <w:lang w:eastAsia="zh-TW"/>
        </w:rPr>
        <w:t>只填写和提供了</w:t>
      </w:r>
      <w:r>
        <w:rPr>
          <w:rFonts w:hint="eastAsia" w:ascii="宋体" w:hAnsi="宋体" w:cs="宋体"/>
          <w:szCs w:val="21"/>
        </w:rPr>
        <w:t>招标</w:t>
      </w:r>
      <w:r>
        <w:rPr>
          <w:rFonts w:hint="eastAsia" w:ascii="宋体" w:hAnsi="宋体" w:cs="宋体"/>
          <w:szCs w:val="21"/>
          <w:lang w:eastAsia="zh-TW"/>
        </w:rPr>
        <w:t>文件要求的部分内容和附件，或没有提供</w:t>
      </w:r>
      <w:r>
        <w:rPr>
          <w:rFonts w:hint="eastAsia" w:ascii="宋体" w:hAnsi="宋体" w:cs="宋体"/>
          <w:szCs w:val="21"/>
        </w:rPr>
        <w:t>招标</w:t>
      </w:r>
      <w:r>
        <w:rPr>
          <w:rFonts w:hint="eastAsia" w:ascii="宋体" w:hAnsi="宋体" w:cs="宋体"/>
          <w:szCs w:val="21"/>
          <w:lang w:eastAsia="zh-TW"/>
        </w:rPr>
        <w:t>文件中所要求的全部资料及数据，</w:t>
      </w:r>
      <w:r>
        <w:rPr>
          <w:rFonts w:hint="eastAsia" w:ascii="宋体" w:hAnsi="宋体" w:cs="宋体"/>
          <w:szCs w:val="21"/>
        </w:rPr>
        <w:t>或没有按实际情况提供投标所需资料的，或投标文件中的索引及页码错漏</w:t>
      </w:r>
      <w:r>
        <w:rPr>
          <w:rFonts w:hint="eastAsia" w:ascii="宋体" w:hAnsi="宋体" w:cs="宋体"/>
          <w:szCs w:val="21"/>
          <w:lang w:eastAsia="zh-TW"/>
        </w:rPr>
        <w:t>可能导致的结果和责任由</w:t>
      </w:r>
      <w:r>
        <w:rPr>
          <w:rFonts w:hint="eastAsia" w:ascii="宋体" w:hAnsi="宋体" w:cs="宋体"/>
          <w:szCs w:val="21"/>
        </w:rPr>
        <w:t>投标人</w:t>
      </w:r>
      <w:r>
        <w:rPr>
          <w:rFonts w:hint="eastAsia" w:ascii="宋体" w:hAnsi="宋体" w:cs="宋体"/>
          <w:szCs w:val="21"/>
          <w:lang w:eastAsia="zh-TW"/>
        </w:rPr>
        <w:t>自行承担。其可能导致的结果和责任由</w:t>
      </w:r>
      <w:r>
        <w:rPr>
          <w:rFonts w:hint="eastAsia" w:ascii="宋体" w:hAnsi="宋体" w:cs="宋体"/>
          <w:szCs w:val="21"/>
        </w:rPr>
        <w:t>投标人</w:t>
      </w:r>
      <w:r>
        <w:rPr>
          <w:rFonts w:hint="eastAsia" w:ascii="宋体" w:hAnsi="宋体" w:cs="宋体"/>
          <w:szCs w:val="21"/>
          <w:lang w:eastAsia="zh-TW"/>
        </w:rPr>
        <w:t>自行承担。</w:t>
      </w:r>
    </w:p>
    <w:p>
      <w:pPr>
        <w:numPr>
          <w:ilvl w:val="1"/>
          <w:numId w:val="10"/>
        </w:numPr>
        <w:spacing w:line="360" w:lineRule="auto"/>
        <w:outlineLvl w:val="3"/>
        <w:rPr>
          <w:rFonts w:ascii="宋体" w:hAnsi="宋体"/>
          <w:b/>
          <w:bCs/>
          <w:szCs w:val="21"/>
        </w:rPr>
      </w:pPr>
      <w:r>
        <w:rPr>
          <w:rFonts w:hint="eastAsia" w:ascii="宋体" w:hAnsi="宋体"/>
          <w:b/>
          <w:bCs/>
          <w:szCs w:val="21"/>
        </w:rPr>
        <w:t>投标文件的组成</w:t>
      </w:r>
    </w:p>
    <w:p>
      <w:pPr>
        <w:spacing w:line="360" w:lineRule="auto"/>
        <w:rPr>
          <w:rFonts w:ascii="宋体" w:hAnsi="宋体"/>
          <w:szCs w:val="21"/>
        </w:rPr>
      </w:pPr>
      <w:r>
        <w:rPr>
          <w:rFonts w:hint="eastAsia" w:ascii="宋体" w:hAnsi="宋体"/>
          <w:szCs w:val="21"/>
        </w:rPr>
        <w:t>3.2.1. 投标文件的构成</w:t>
      </w:r>
    </w:p>
    <w:p>
      <w:pPr>
        <w:tabs>
          <w:tab w:val="left" w:pos="1254"/>
        </w:tabs>
        <w:spacing w:line="360" w:lineRule="auto"/>
        <w:ind w:left="598" w:leftChars="285"/>
        <w:rPr>
          <w:rFonts w:ascii="宋体" w:hAnsi="宋体"/>
          <w:szCs w:val="21"/>
        </w:rPr>
      </w:pPr>
      <w:r>
        <w:rPr>
          <w:rFonts w:hint="eastAsia" w:ascii="宋体" w:hAnsi="宋体"/>
          <w:szCs w:val="21"/>
        </w:rPr>
        <w:t>投标人编写的投标文件应编排为五部分：①投标报价文件；②资格审查文件；③符合性审查文件；④商务文件；⑤技术文件，投标文件应包含但不限于以下内容：</w:t>
      </w:r>
    </w:p>
    <w:p>
      <w:pPr>
        <w:spacing w:line="360" w:lineRule="auto"/>
        <w:ind w:firstLine="735" w:firstLineChars="350"/>
        <w:rPr>
          <w:rFonts w:ascii="宋体" w:hAnsi="宋体"/>
          <w:szCs w:val="21"/>
        </w:rPr>
      </w:pPr>
      <w:r>
        <w:rPr>
          <w:rFonts w:hint="eastAsia" w:ascii="宋体" w:hAnsi="宋体"/>
          <w:szCs w:val="21"/>
        </w:rPr>
        <w:t>（1）按规定填写的投标函、开标一览表、报价明细表（如有）；</w:t>
      </w:r>
    </w:p>
    <w:p>
      <w:pPr>
        <w:spacing w:line="360" w:lineRule="auto"/>
        <w:ind w:left="720"/>
        <w:rPr>
          <w:rFonts w:ascii="宋体" w:hAnsi="宋体"/>
          <w:szCs w:val="21"/>
        </w:rPr>
      </w:pPr>
      <w:r>
        <w:rPr>
          <w:rFonts w:hint="eastAsia" w:ascii="宋体" w:hAnsi="宋体"/>
          <w:szCs w:val="21"/>
        </w:rPr>
        <w:t>（2）按要求出具的资格证明文件，证明投标人是合格的，而且中标后有能力履行合同；</w:t>
      </w:r>
    </w:p>
    <w:p>
      <w:pPr>
        <w:spacing w:line="360" w:lineRule="auto"/>
        <w:ind w:left="720"/>
        <w:rPr>
          <w:rFonts w:ascii="宋体" w:hAnsi="宋体"/>
          <w:szCs w:val="21"/>
        </w:rPr>
      </w:pPr>
      <w:r>
        <w:rPr>
          <w:rFonts w:hint="eastAsia" w:ascii="宋体" w:hAnsi="宋体"/>
          <w:szCs w:val="21"/>
        </w:rPr>
        <w:t>（3）按规定出具的证明文件，证明投标人提供的货物和服务是合格的，而且符合招标文件的规定；</w:t>
      </w:r>
    </w:p>
    <w:p>
      <w:pPr>
        <w:spacing w:line="360" w:lineRule="auto"/>
        <w:ind w:left="720"/>
      </w:pPr>
      <w:r>
        <w:rPr>
          <w:rFonts w:hint="eastAsia" w:ascii="宋体" w:hAnsi="宋体"/>
          <w:szCs w:val="21"/>
        </w:rPr>
        <w:t>（4）按规定提交投标保证金；</w:t>
      </w:r>
    </w:p>
    <w:p>
      <w:pPr>
        <w:spacing w:line="360" w:lineRule="auto"/>
        <w:ind w:left="720"/>
        <w:rPr>
          <w:rFonts w:ascii="宋体" w:hAnsi="宋体"/>
          <w:szCs w:val="21"/>
        </w:rPr>
      </w:pPr>
      <w:r>
        <w:rPr>
          <w:rFonts w:hint="eastAsia" w:ascii="宋体" w:hAnsi="宋体"/>
          <w:szCs w:val="21"/>
        </w:rPr>
        <w:t>（5）对招标文件第二章作出的书面响应，包括但不限于技术建议书、技术规格、技术参数、技术文件及图纸、商务要求等；</w:t>
      </w:r>
    </w:p>
    <w:p>
      <w:pPr>
        <w:spacing w:line="360" w:lineRule="auto"/>
        <w:ind w:left="720"/>
        <w:rPr>
          <w:rFonts w:ascii="宋体" w:hAnsi="宋体"/>
          <w:szCs w:val="21"/>
        </w:rPr>
      </w:pPr>
      <w:r>
        <w:rPr>
          <w:rFonts w:hint="eastAsia" w:ascii="宋体" w:hAnsi="宋体"/>
          <w:szCs w:val="21"/>
        </w:rPr>
        <w:t>（6）投标人认为须提交和评分内容相关的别的资料。</w:t>
      </w:r>
    </w:p>
    <w:p>
      <w:pPr>
        <w:spacing w:line="360" w:lineRule="auto"/>
        <w:ind w:left="720"/>
        <w:rPr>
          <w:rFonts w:ascii="宋体" w:hAnsi="宋体"/>
          <w:szCs w:val="21"/>
        </w:rPr>
      </w:pPr>
      <w:r>
        <w:rPr>
          <w:rFonts w:hint="eastAsia" w:ascii="宋体" w:hAnsi="宋体"/>
          <w:szCs w:val="21"/>
        </w:rPr>
        <w:t>上述内容可按《第五章 投标文件格式》格式进行编排。</w:t>
      </w:r>
    </w:p>
    <w:p>
      <w:pPr>
        <w:tabs>
          <w:tab w:val="left" w:pos="1254"/>
        </w:tabs>
        <w:spacing w:line="360" w:lineRule="auto"/>
        <w:ind w:left="735" w:hanging="735" w:hangingChars="350"/>
        <w:rPr>
          <w:rFonts w:ascii="宋体" w:hAnsi="宋体"/>
          <w:szCs w:val="21"/>
        </w:rPr>
      </w:pPr>
      <w:r>
        <w:rPr>
          <w:rFonts w:hint="eastAsia" w:ascii="宋体" w:hAnsi="宋体"/>
          <w:szCs w:val="21"/>
        </w:rPr>
        <w:t>3.2.2. 为提高开标效率，投标人应准备“唱标信封”一份。投标人提交的“唱标信封”，应将下列内容单独密封入该信封。</w:t>
      </w:r>
    </w:p>
    <w:p>
      <w:pPr>
        <w:tabs>
          <w:tab w:val="left" w:pos="525"/>
          <w:tab w:val="left" w:pos="1254"/>
        </w:tabs>
        <w:spacing w:line="360" w:lineRule="auto"/>
        <w:ind w:left="718" w:leftChars="342"/>
        <w:rPr>
          <w:rFonts w:ascii="宋体" w:hAnsi="宋体"/>
          <w:szCs w:val="21"/>
        </w:rPr>
      </w:pPr>
      <w:r>
        <w:rPr>
          <w:rFonts w:hint="eastAsia" w:ascii="宋体" w:hAnsi="宋体"/>
          <w:szCs w:val="21"/>
        </w:rPr>
        <w:t>（1）《投标函》（从投标文件正本中复印并加盖公章）；</w:t>
      </w:r>
    </w:p>
    <w:p>
      <w:pPr>
        <w:tabs>
          <w:tab w:val="left" w:pos="525"/>
          <w:tab w:val="left" w:pos="1254"/>
        </w:tabs>
        <w:spacing w:line="360" w:lineRule="auto"/>
        <w:ind w:left="718" w:leftChars="342"/>
        <w:rPr>
          <w:rFonts w:ascii="宋体" w:hAnsi="宋体"/>
          <w:szCs w:val="21"/>
        </w:rPr>
      </w:pPr>
      <w:r>
        <w:rPr>
          <w:rFonts w:hint="eastAsia" w:ascii="宋体" w:hAnsi="宋体"/>
          <w:szCs w:val="21"/>
        </w:rPr>
        <w:t>（2）《开标一览表》（从投标文件正本中复印并加盖公章）；</w:t>
      </w:r>
    </w:p>
    <w:p>
      <w:pPr>
        <w:tabs>
          <w:tab w:val="left" w:pos="525"/>
          <w:tab w:val="left" w:pos="1254"/>
        </w:tabs>
        <w:spacing w:line="360" w:lineRule="auto"/>
        <w:ind w:left="718" w:leftChars="342"/>
        <w:rPr>
          <w:rFonts w:ascii="宋体" w:hAnsi="宋体"/>
          <w:szCs w:val="21"/>
        </w:rPr>
      </w:pPr>
      <w:r>
        <w:rPr>
          <w:rFonts w:hint="eastAsia" w:ascii="宋体" w:hAnsi="宋体"/>
          <w:szCs w:val="21"/>
        </w:rPr>
        <w:t>（3）《</w:t>
      </w:r>
      <w:r>
        <w:rPr>
          <w:rFonts w:hint="eastAsia"/>
        </w:rPr>
        <w:t>报价明细表》</w:t>
      </w:r>
      <w:r>
        <w:rPr>
          <w:rFonts w:hint="eastAsia" w:ascii="宋体" w:hAnsi="宋体"/>
          <w:szCs w:val="21"/>
        </w:rPr>
        <w:t>（如有）（须同时提供纸质版和电子版。纸质版：从投标文件正本中复印并加盖公章；电子版：WORD或EXCEL格式）；</w:t>
      </w:r>
    </w:p>
    <w:p>
      <w:pPr>
        <w:tabs>
          <w:tab w:val="left" w:pos="525"/>
          <w:tab w:val="left" w:pos="1254"/>
        </w:tabs>
        <w:spacing w:line="360" w:lineRule="auto"/>
        <w:ind w:left="718" w:leftChars="342"/>
        <w:rPr>
          <w:rFonts w:ascii="宋体" w:hAnsi="宋体"/>
          <w:szCs w:val="21"/>
        </w:rPr>
      </w:pPr>
      <w:r>
        <w:rPr>
          <w:rFonts w:hint="eastAsia" w:ascii="宋体" w:hAnsi="宋体"/>
          <w:szCs w:val="21"/>
        </w:rPr>
        <w:t>（4）《投标保证金汇款声明函》（如有）（原件）及投标保证金交付银行回单副本联或复印件（复印件加盖公章）；</w:t>
      </w:r>
    </w:p>
    <w:p>
      <w:pPr>
        <w:tabs>
          <w:tab w:val="left" w:pos="525"/>
          <w:tab w:val="left" w:pos="1254"/>
        </w:tabs>
        <w:spacing w:line="360" w:lineRule="auto"/>
        <w:ind w:left="718" w:leftChars="342"/>
        <w:rPr>
          <w:rFonts w:ascii="宋体" w:hAnsi="宋体"/>
          <w:szCs w:val="21"/>
        </w:rPr>
      </w:pPr>
      <w:r>
        <w:rPr>
          <w:rFonts w:hint="eastAsia" w:ascii="宋体" w:hAnsi="宋体"/>
          <w:szCs w:val="21"/>
        </w:rPr>
        <w:t>（5）法定代表人（负责人）证明及授权书（原件）；</w:t>
      </w:r>
    </w:p>
    <w:p>
      <w:pPr>
        <w:tabs>
          <w:tab w:val="left" w:pos="525"/>
          <w:tab w:val="left" w:pos="1254"/>
        </w:tabs>
        <w:spacing w:line="360" w:lineRule="auto"/>
        <w:ind w:left="718" w:leftChars="342"/>
        <w:rPr>
          <w:rFonts w:ascii="宋体" w:hAnsi="宋体"/>
          <w:szCs w:val="21"/>
        </w:rPr>
      </w:pPr>
      <w:r>
        <w:rPr>
          <w:rFonts w:hint="eastAsia" w:ascii="宋体" w:hAnsi="宋体"/>
          <w:szCs w:val="21"/>
        </w:rPr>
        <w:t>（6）完整投标文件电子文档一份，另附《</w:t>
      </w:r>
      <w:r>
        <w:rPr>
          <w:rFonts w:hint="eastAsia"/>
        </w:rPr>
        <w:t>报价明细表》电子文档一份，</w:t>
      </w:r>
      <w:r>
        <w:rPr>
          <w:rFonts w:hint="eastAsia" w:ascii="宋体" w:hAnsi="宋体"/>
          <w:szCs w:val="21"/>
        </w:rPr>
        <w:t>电子文件要求光盘或U盘介质，WORD或EXCEL格式，不留密码，无病毒，不压缩，内容应与投标人打印产生的纸质投标文件内容一致，如有不同，以纸质投标文件为准。</w:t>
      </w:r>
    </w:p>
    <w:p>
      <w:pPr>
        <w:tabs>
          <w:tab w:val="left" w:pos="1254"/>
        </w:tabs>
        <w:spacing w:line="360" w:lineRule="auto"/>
        <w:rPr>
          <w:rFonts w:ascii="宋体" w:hAnsi="宋体"/>
          <w:szCs w:val="21"/>
        </w:rPr>
      </w:pPr>
      <w:r>
        <w:rPr>
          <w:rFonts w:hint="eastAsia" w:ascii="宋体" w:hAnsi="宋体"/>
          <w:szCs w:val="21"/>
        </w:rPr>
        <w:t>3.2.3.</w:t>
      </w:r>
      <w:r>
        <w:rPr>
          <w:rFonts w:hint="eastAsia" w:ascii="宋体" w:hAnsi="宋体"/>
          <w:b/>
          <w:szCs w:val="21"/>
          <w:u w:val="single"/>
        </w:rPr>
        <w:t>投标人参照招标文件的要求编制带有目录和页码并装订成册的投标文件。</w:t>
      </w:r>
    </w:p>
    <w:p>
      <w:pPr>
        <w:tabs>
          <w:tab w:val="left" w:pos="1254"/>
        </w:tabs>
        <w:spacing w:line="360" w:lineRule="auto"/>
        <w:rPr>
          <w:rFonts w:ascii="宋体" w:hAnsi="宋体"/>
          <w:szCs w:val="21"/>
        </w:rPr>
      </w:pPr>
      <w:r>
        <w:rPr>
          <w:rFonts w:hint="eastAsia" w:ascii="宋体" w:hAnsi="宋体"/>
          <w:szCs w:val="21"/>
        </w:rPr>
        <w:t>3.2.4.投标人必须自行承担因其投标文件的任何错漏而导致的一切后果。</w:t>
      </w:r>
    </w:p>
    <w:p>
      <w:pPr>
        <w:numPr>
          <w:ilvl w:val="1"/>
          <w:numId w:val="10"/>
        </w:numPr>
        <w:spacing w:line="360" w:lineRule="auto"/>
        <w:outlineLvl w:val="3"/>
        <w:rPr>
          <w:rFonts w:ascii="宋体" w:hAnsi="宋体"/>
          <w:b/>
          <w:bCs/>
          <w:szCs w:val="21"/>
        </w:rPr>
      </w:pPr>
      <w:r>
        <w:rPr>
          <w:rFonts w:hint="eastAsia" w:ascii="宋体" w:hAnsi="宋体"/>
          <w:b/>
          <w:bCs/>
          <w:szCs w:val="21"/>
        </w:rPr>
        <w:t>投标文件的修改和撤回</w:t>
      </w:r>
    </w:p>
    <w:p>
      <w:pPr>
        <w:numPr>
          <w:ilvl w:val="2"/>
          <w:numId w:val="10"/>
        </w:numPr>
        <w:tabs>
          <w:tab w:val="left" w:pos="735"/>
        </w:tabs>
        <w:spacing w:line="360" w:lineRule="auto"/>
        <w:ind w:left="735" w:hanging="735"/>
        <w:rPr>
          <w:rFonts w:ascii="宋体" w:hAnsi="宋体"/>
          <w:szCs w:val="21"/>
        </w:rPr>
      </w:pPr>
      <w:r>
        <w:rPr>
          <w:rFonts w:hint="eastAsia" w:ascii="宋体" w:hAnsi="宋体" w:cs="宋体"/>
          <w:kern w:val="0"/>
          <w:szCs w:val="21"/>
        </w:rPr>
        <w:t>投标人在投标截止时间前，可以对所递交的投标文件进行补充、修改或者撤回，并书面通知采购代理机构。补充、修改的内容应当按招标文件要求签署、盖章，并作为投标文件的组成部分。</w:t>
      </w:r>
      <w:r>
        <w:rPr>
          <w:rFonts w:hint="eastAsia" w:ascii="宋体" w:hAnsi="宋体"/>
          <w:szCs w:val="21"/>
        </w:rPr>
        <w:t>修改后的投标文件须按照本招标文件的相关规定在投标截止时间之前重新递交，否则，采购代理机构将拒绝接受修改后的投标文件。</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投标截止时间之后，投标人不得对其投标文件做任何修改。从投标截止时间起至投标有效期前，投标人不得撤回其投标文件，否则将有可能被罚没投标保证金。</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采购代理机构对因不可抗力事件所造成投标文件的损坏、丢失不承担任何责任。</w:t>
      </w:r>
    </w:p>
    <w:p>
      <w:pPr>
        <w:pStyle w:val="6"/>
        <w:keepLines/>
        <w:numPr>
          <w:ilvl w:val="0"/>
          <w:numId w:val="10"/>
        </w:numPr>
        <w:spacing w:before="260" w:after="260" w:line="400" w:lineRule="exact"/>
        <w:rPr>
          <w:sz w:val="21"/>
          <w:szCs w:val="21"/>
        </w:rPr>
      </w:pPr>
      <w:bookmarkStart w:id="74" w:name="_Toc185747581"/>
      <w:bookmarkStart w:id="75" w:name="_Toc228899502"/>
      <w:bookmarkStart w:id="76" w:name="_Toc223939096"/>
      <w:bookmarkStart w:id="77" w:name="_Toc228644973"/>
      <w:bookmarkStart w:id="78" w:name="_Toc15280"/>
      <w:bookmarkStart w:id="79" w:name="_Toc7100"/>
      <w:bookmarkStart w:id="80" w:name="_Toc225565948"/>
      <w:bookmarkStart w:id="81" w:name="_Toc25606"/>
      <w:bookmarkStart w:id="82" w:name="_Toc238282335"/>
      <w:bookmarkStart w:id="83" w:name="_Toc334797735"/>
      <w:bookmarkStart w:id="84" w:name="_Toc224435721"/>
      <w:bookmarkStart w:id="85" w:name="_Toc61327402"/>
      <w:bookmarkStart w:id="86" w:name="_Toc153615292"/>
      <w:bookmarkStart w:id="87" w:name="_Toc130697187"/>
      <w:bookmarkStart w:id="88" w:name="_Toc130695595"/>
      <w:r>
        <w:rPr>
          <w:rFonts w:hint="eastAsia"/>
          <w:sz w:val="21"/>
          <w:szCs w:val="21"/>
        </w:rPr>
        <w:t>投标总则</w:t>
      </w:r>
      <w:bookmarkEnd w:id="74"/>
      <w:bookmarkEnd w:id="75"/>
      <w:bookmarkEnd w:id="76"/>
      <w:bookmarkEnd w:id="77"/>
      <w:bookmarkEnd w:id="78"/>
      <w:bookmarkEnd w:id="79"/>
      <w:bookmarkEnd w:id="80"/>
      <w:bookmarkEnd w:id="81"/>
      <w:bookmarkEnd w:id="82"/>
      <w:bookmarkEnd w:id="83"/>
      <w:bookmarkEnd w:id="84"/>
    </w:p>
    <w:p>
      <w:pPr>
        <w:numPr>
          <w:ilvl w:val="1"/>
          <w:numId w:val="10"/>
        </w:numPr>
        <w:spacing w:line="360" w:lineRule="auto"/>
        <w:outlineLvl w:val="3"/>
        <w:rPr>
          <w:rFonts w:ascii="宋体" w:hAnsi="宋体"/>
          <w:b/>
          <w:bCs/>
          <w:szCs w:val="21"/>
        </w:rPr>
      </w:pPr>
      <w:r>
        <w:rPr>
          <w:rFonts w:hint="eastAsia" w:ascii="宋体" w:hAnsi="宋体"/>
          <w:b/>
          <w:bCs/>
          <w:szCs w:val="21"/>
        </w:rPr>
        <w:t>投标</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全部投标文件应</w:t>
      </w:r>
      <w:r>
        <w:rPr>
          <w:rFonts w:hint="eastAsia" w:ascii="宋体" w:hAnsi="宋体"/>
          <w:szCs w:val="21"/>
          <w:u w:val="single"/>
        </w:rPr>
        <w:t>一式五</w:t>
      </w:r>
      <w:r>
        <w:rPr>
          <w:rFonts w:hint="eastAsia" w:ascii="宋体" w:hAnsi="宋体"/>
          <w:szCs w:val="21"/>
        </w:rPr>
        <w:t>份，其中正本</w:t>
      </w:r>
      <w:r>
        <w:rPr>
          <w:rFonts w:hint="eastAsia" w:ascii="宋体" w:hAnsi="宋体"/>
          <w:szCs w:val="21"/>
          <w:u w:val="single"/>
        </w:rPr>
        <w:t>一</w:t>
      </w:r>
      <w:r>
        <w:rPr>
          <w:rFonts w:hint="eastAsia" w:ascii="宋体" w:hAnsi="宋体"/>
          <w:szCs w:val="21"/>
        </w:rPr>
        <w:t>份，副本</w:t>
      </w:r>
      <w:r>
        <w:rPr>
          <w:rFonts w:hint="eastAsia" w:ascii="宋体" w:hAnsi="宋体"/>
          <w:szCs w:val="21"/>
          <w:u w:val="single"/>
        </w:rPr>
        <w:t>四</w:t>
      </w:r>
      <w:r>
        <w:rPr>
          <w:rFonts w:hint="eastAsia" w:ascii="宋体" w:hAnsi="宋体"/>
          <w:szCs w:val="21"/>
        </w:rPr>
        <w:t>份。所有投标文件应用</w:t>
      </w:r>
      <w:r>
        <w:rPr>
          <w:rFonts w:hint="eastAsia" w:ascii="宋体" w:hAnsi="宋体"/>
          <w:szCs w:val="21"/>
          <w:u w:val="single"/>
        </w:rPr>
        <w:t>A4</w:t>
      </w:r>
      <w:r>
        <w:rPr>
          <w:rFonts w:hint="eastAsia" w:ascii="宋体" w:hAnsi="宋体"/>
          <w:szCs w:val="21"/>
        </w:rPr>
        <w:t>规格纸打印（图纸可按其他规格），并装订成册。投标文件于封面注明“正本”和“副本”。如果正本与副本不符，应以正本为准。投标文件应由投标人的合法授权代表正式签署，任何更改</w:t>
      </w:r>
      <w:r>
        <w:rPr>
          <w:rFonts w:ascii="宋体" w:hAnsi="宋体"/>
          <w:szCs w:val="21"/>
        </w:rPr>
        <w:t>（</w:t>
      </w:r>
      <w:r>
        <w:rPr>
          <w:rFonts w:hint="eastAsia" w:ascii="宋体" w:hAnsi="宋体"/>
          <w:szCs w:val="21"/>
        </w:rPr>
        <w:t>如果有的话</w:t>
      </w:r>
      <w:r>
        <w:rPr>
          <w:rFonts w:ascii="宋体" w:hAnsi="宋体"/>
          <w:szCs w:val="21"/>
        </w:rPr>
        <w:t>）</w:t>
      </w:r>
      <w:r>
        <w:rPr>
          <w:rFonts w:hint="eastAsia" w:ascii="宋体" w:hAnsi="宋体"/>
          <w:szCs w:val="21"/>
        </w:rPr>
        <w:t>应由原签署人签字。所有不完整的投标将被拒绝。无论投标结果如何，投标人的全部投标文件均不退回。</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投标人应对投标货物提供完整的详细的技术说明，如投标人对指定的技术要求建议做任何改动，应在投标文件中清楚地注明。</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投标人资格文件视为投标文件不可分割的一部分。</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所有投标文件应在投标截止时间前送达投标、开标地点，并交予采购代理机构专职人员，任何迟于截止时间的投标将被拒绝。</w:t>
      </w:r>
    </w:p>
    <w:p>
      <w:pPr>
        <w:numPr>
          <w:ilvl w:val="2"/>
          <w:numId w:val="10"/>
        </w:numPr>
        <w:tabs>
          <w:tab w:val="left" w:pos="735"/>
        </w:tabs>
        <w:spacing w:line="360" w:lineRule="auto"/>
        <w:ind w:left="735" w:hanging="735"/>
        <w:rPr>
          <w:rFonts w:ascii="宋体" w:hAnsi="宋体"/>
          <w:szCs w:val="21"/>
        </w:rPr>
      </w:pPr>
      <w:r>
        <w:rPr>
          <w:rFonts w:hint="eastAsia" w:ascii="宋体" w:hAnsi="宋体"/>
          <w:szCs w:val="21"/>
        </w:rPr>
        <w:t xml:space="preserve">所有投标文件必须封入密封完好的信封或包装，封口加盖投标单位公章，并在每一信封或包装的封面上写明： </w:t>
      </w:r>
    </w:p>
    <w:tbl>
      <w:tblPr>
        <w:tblStyle w:val="39"/>
        <w:tblW w:w="945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26" w:hRule="atLeast"/>
        </w:trPr>
        <w:tc>
          <w:tcPr>
            <w:tcW w:w="9458" w:type="dxa"/>
          </w:tcPr>
          <w:p>
            <w:pPr>
              <w:spacing w:line="360" w:lineRule="auto"/>
              <w:ind w:firstLine="420" w:firstLineChars="200"/>
              <w:rPr>
                <w:rFonts w:ascii="宋体" w:hAnsi="宋体"/>
                <w:szCs w:val="21"/>
              </w:rPr>
            </w:pPr>
            <w:r>
              <w:rPr>
                <w:rFonts w:hint="eastAsia" w:ascii="宋体" w:hAnsi="宋体"/>
                <w:szCs w:val="21"/>
              </w:rPr>
              <w:t>收件人名称：广州群生招标代理有限公司             （正本/副本/唱标信封）</w:t>
            </w:r>
          </w:p>
          <w:p>
            <w:pPr>
              <w:spacing w:line="360" w:lineRule="auto"/>
              <w:ind w:left="450"/>
              <w:rPr>
                <w:rFonts w:ascii="宋体" w:hAnsi="宋体"/>
                <w:szCs w:val="21"/>
              </w:rPr>
            </w:pPr>
            <w:r>
              <w:rPr>
                <w:rFonts w:hint="eastAsia" w:ascii="宋体" w:hAnsi="宋体"/>
                <w:szCs w:val="21"/>
              </w:rPr>
              <w:t xml:space="preserve">项目编号：             </w:t>
            </w:r>
            <w:r>
              <w:rPr>
                <w:rFonts w:hint="eastAsia" w:ascii="宋体" w:hAnsi="宋体"/>
                <w:color w:val="FF0000"/>
                <w:szCs w:val="21"/>
              </w:rPr>
              <w:t xml:space="preserve">             </w:t>
            </w:r>
          </w:p>
          <w:p>
            <w:pPr>
              <w:spacing w:line="360" w:lineRule="auto"/>
              <w:ind w:left="450"/>
              <w:rPr>
                <w:rFonts w:ascii="宋体" w:hAnsi="宋体" w:cs="Tahoma"/>
                <w:szCs w:val="21"/>
              </w:rPr>
            </w:pPr>
            <w:r>
              <w:rPr>
                <w:rFonts w:hint="eastAsia" w:ascii="宋体" w:hAnsi="宋体"/>
                <w:szCs w:val="21"/>
              </w:rPr>
              <w:t>项目名称：</w:t>
            </w:r>
          </w:p>
          <w:p>
            <w:pPr>
              <w:spacing w:line="360" w:lineRule="auto"/>
              <w:ind w:left="450"/>
              <w:rPr>
                <w:rFonts w:ascii="宋体" w:hAnsi="宋体"/>
                <w:szCs w:val="21"/>
              </w:rPr>
            </w:pPr>
            <w:r>
              <w:rPr>
                <w:rFonts w:hint="eastAsia" w:ascii="宋体" w:hAnsi="宋体"/>
                <w:szCs w:val="21"/>
              </w:rPr>
              <w:t xml:space="preserve">投标人名称：                        </w:t>
            </w:r>
          </w:p>
          <w:p>
            <w:pPr>
              <w:spacing w:line="360" w:lineRule="auto"/>
              <w:ind w:left="450"/>
              <w:rPr>
                <w:rFonts w:ascii="宋体" w:hAnsi="宋体"/>
                <w:szCs w:val="21"/>
              </w:rPr>
            </w:pPr>
            <w:r>
              <w:rPr>
                <w:rFonts w:hint="eastAsia" w:ascii="宋体" w:hAnsi="宋体"/>
                <w:szCs w:val="21"/>
              </w:rPr>
              <w:t>投标人地址：</w:t>
            </w:r>
          </w:p>
          <w:p>
            <w:pPr>
              <w:spacing w:line="360" w:lineRule="auto"/>
              <w:ind w:firstLine="445" w:firstLineChars="212"/>
              <w:rPr>
                <w:rFonts w:ascii="宋体" w:hAnsi="宋体"/>
                <w:szCs w:val="21"/>
              </w:rPr>
            </w:pPr>
            <w:r>
              <w:rPr>
                <w:rFonts w:hint="eastAsia" w:ascii="宋体" w:hAnsi="宋体"/>
                <w:szCs w:val="21"/>
              </w:rPr>
              <w:t xml:space="preserve">联 系 人：                          </w:t>
            </w:r>
          </w:p>
          <w:p>
            <w:pPr>
              <w:spacing w:line="360" w:lineRule="auto"/>
              <w:ind w:firstLine="445" w:firstLineChars="212"/>
              <w:rPr>
                <w:rFonts w:ascii="宋体" w:hAnsi="宋体"/>
                <w:szCs w:val="21"/>
              </w:rPr>
            </w:pPr>
            <w:r>
              <w:rPr>
                <w:rFonts w:hint="eastAsia" w:ascii="宋体" w:hAnsi="宋体"/>
                <w:szCs w:val="21"/>
              </w:rPr>
              <w:t>联系电话：</w:t>
            </w:r>
          </w:p>
        </w:tc>
      </w:tr>
    </w:tbl>
    <w:p>
      <w:pPr>
        <w:numPr>
          <w:ilvl w:val="2"/>
          <w:numId w:val="10"/>
        </w:numPr>
        <w:tabs>
          <w:tab w:val="left" w:pos="735"/>
        </w:tabs>
        <w:spacing w:line="360" w:lineRule="auto"/>
        <w:ind w:left="735" w:hanging="735"/>
        <w:rPr>
          <w:rFonts w:ascii="宋体" w:hAnsi="宋体"/>
          <w:szCs w:val="21"/>
        </w:rPr>
      </w:pPr>
      <w:r>
        <w:rPr>
          <w:rFonts w:hint="eastAsia" w:ascii="宋体" w:hAnsi="宋体"/>
          <w:szCs w:val="21"/>
        </w:rPr>
        <w:t>采购代理机构不接受电报、电话、电传、传真等非约定形式投标。</w:t>
      </w:r>
    </w:p>
    <w:p>
      <w:pPr>
        <w:numPr>
          <w:ilvl w:val="1"/>
          <w:numId w:val="10"/>
        </w:numPr>
        <w:spacing w:line="360" w:lineRule="auto"/>
        <w:outlineLvl w:val="3"/>
        <w:rPr>
          <w:rFonts w:ascii="宋体" w:hAnsi="宋体"/>
          <w:b/>
          <w:bCs/>
          <w:szCs w:val="21"/>
        </w:rPr>
      </w:pPr>
      <w:r>
        <w:rPr>
          <w:rFonts w:hint="eastAsia" w:ascii="宋体" w:hAnsi="宋体"/>
          <w:b/>
          <w:bCs/>
          <w:szCs w:val="21"/>
        </w:rPr>
        <w:t>投标有效期</w:t>
      </w:r>
    </w:p>
    <w:p>
      <w:pPr>
        <w:spacing w:line="360" w:lineRule="auto"/>
        <w:ind w:firstLine="522" w:firstLineChars="249"/>
        <w:rPr>
          <w:rFonts w:ascii="宋体" w:hAnsi="宋体"/>
          <w:szCs w:val="21"/>
        </w:rPr>
      </w:pPr>
      <w:r>
        <w:rPr>
          <w:rFonts w:hint="eastAsia" w:ascii="宋体" w:hAnsi="宋体"/>
          <w:szCs w:val="21"/>
        </w:rPr>
        <w:t>从投标截止日起，投标有效期为</w:t>
      </w:r>
      <w:r>
        <w:rPr>
          <w:rFonts w:hint="eastAsia" w:ascii="宋体" w:hAnsi="宋体"/>
          <w:szCs w:val="21"/>
          <w:u w:val="single"/>
        </w:rPr>
        <w:t>9</w:t>
      </w:r>
      <w:r>
        <w:rPr>
          <w:rFonts w:ascii="宋体" w:hAnsi="宋体"/>
          <w:szCs w:val="21"/>
          <w:u w:val="single"/>
        </w:rPr>
        <w:t>0</w:t>
      </w:r>
      <w:r>
        <w:rPr>
          <w:rFonts w:hint="eastAsia" w:ascii="宋体" w:hAnsi="宋体"/>
          <w:szCs w:val="21"/>
        </w:rPr>
        <w:t>天（日历天）。在特殊情况下，采购代理机构可于投标有效期满之前要求投标人同意延长有效期，要求与答复均应以书面形式。投标人可以拒绝上述要求，并被视为自动放弃投标，其投标保证金不被没收，同意延期的投标人根据原截止期享有之权利及其所负有的义务相应也延至新的截止期。</w:t>
      </w:r>
    </w:p>
    <w:p>
      <w:pPr>
        <w:numPr>
          <w:ilvl w:val="1"/>
          <w:numId w:val="10"/>
        </w:numPr>
        <w:spacing w:line="360" w:lineRule="auto"/>
        <w:outlineLvl w:val="3"/>
        <w:rPr>
          <w:rFonts w:ascii="宋体" w:hAnsi="宋体"/>
          <w:b/>
          <w:bCs/>
          <w:szCs w:val="21"/>
        </w:rPr>
      </w:pPr>
      <w:r>
        <w:rPr>
          <w:rFonts w:hint="eastAsia" w:ascii="宋体" w:hAnsi="宋体"/>
          <w:b/>
          <w:bCs/>
          <w:szCs w:val="21"/>
        </w:rPr>
        <w:t>投标保证金</w:t>
      </w:r>
    </w:p>
    <w:p>
      <w:pPr>
        <w:tabs>
          <w:tab w:val="left" w:pos="624"/>
        </w:tabs>
        <w:spacing w:line="360" w:lineRule="auto"/>
        <w:ind w:left="624" w:hanging="624"/>
        <w:rPr>
          <w:rFonts w:ascii="宋体" w:hAnsi="宋体"/>
          <w:szCs w:val="21"/>
        </w:rPr>
      </w:pPr>
      <w:bookmarkStart w:id="89" w:name="_Toc179614156"/>
      <w:bookmarkStart w:id="90" w:name="_Toc167617646"/>
      <w:r>
        <w:rPr>
          <w:rFonts w:hint="eastAsia" w:ascii="宋体" w:hAnsi="宋体"/>
          <w:szCs w:val="21"/>
        </w:rPr>
        <w:t>4.3.1.</w:t>
      </w:r>
      <w:r>
        <w:rPr>
          <w:rFonts w:hint="eastAsia" w:ascii="宋体" w:hAnsi="宋体"/>
          <w:szCs w:val="21"/>
        </w:rPr>
        <w:tab/>
      </w:r>
      <w:r>
        <w:rPr>
          <w:rFonts w:hint="eastAsia" w:ascii="宋体" w:hAnsi="宋体"/>
          <w:szCs w:val="21"/>
        </w:rPr>
        <w:t>本项目不收取投标保证金。</w:t>
      </w:r>
    </w:p>
    <w:bookmarkEnd w:id="85"/>
    <w:bookmarkEnd w:id="89"/>
    <w:bookmarkEnd w:id="90"/>
    <w:p>
      <w:pPr>
        <w:pStyle w:val="6"/>
        <w:keepLines/>
        <w:numPr>
          <w:ilvl w:val="0"/>
          <w:numId w:val="10"/>
        </w:numPr>
        <w:spacing w:before="260" w:after="260" w:line="400" w:lineRule="exact"/>
        <w:rPr>
          <w:sz w:val="21"/>
          <w:szCs w:val="21"/>
        </w:rPr>
      </w:pPr>
      <w:bookmarkStart w:id="91" w:name="_Toc185747582"/>
      <w:bookmarkStart w:id="92" w:name="_Toc13496"/>
      <w:bookmarkStart w:id="93" w:name="_Toc223939097"/>
      <w:bookmarkStart w:id="94" w:name="_Toc334795452"/>
      <w:bookmarkStart w:id="95" w:name="_Toc19733"/>
      <w:bookmarkStart w:id="96" w:name="_Toc228644974"/>
      <w:bookmarkStart w:id="97" w:name="_Toc238282336"/>
      <w:bookmarkStart w:id="98" w:name="_Toc224435722"/>
      <w:bookmarkStart w:id="99" w:name="_Toc225565949"/>
      <w:bookmarkStart w:id="100" w:name="_Toc228899503"/>
      <w:bookmarkStart w:id="101" w:name="_Toc5626"/>
      <w:r>
        <w:rPr>
          <w:rFonts w:hint="eastAsia"/>
          <w:sz w:val="21"/>
          <w:szCs w:val="21"/>
        </w:rPr>
        <w:t>开标、资格审查、评标、定标与签约</w:t>
      </w:r>
      <w:bookmarkEnd w:id="91"/>
      <w:bookmarkEnd w:id="92"/>
      <w:bookmarkEnd w:id="93"/>
      <w:bookmarkEnd w:id="94"/>
      <w:bookmarkEnd w:id="95"/>
      <w:bookmarkEnd w:id="96"/>
      <w:bookmarkEnd w:id="97"/>
      <w:bookmarkEnd w:id="98"/>
      <w:bookmarkEnd w:id="99"/>
      <w:bookmarkEnd w:id="100"/>
      <w:bookmarkEnd w:id="101"/>
    </w:p>
    <w:p>
      <w:pPr>
        <w:numPr>
          <w:ilvl w:val="1"/>
          <w:numId w:val="10"/>
        </w:numPr>
        <w:spacing w:before="120" w:beforeLines="50" w:line="360" w:lineRule="auto"/>
        <w:outlineLvl w:val="3"/>
        <w:rPr>
          <w:rFonts w:ascii="宋体" w:hAnsi="宋体"/>
          <w:b/>
          <w:bCs/>
          <w:szCs w:val="21"/>
        </w:rPr>
      </w:pPr>
      <w:r>
        <w:rPr>
          <w:rFonts w:hint="eastAsia" w:ascii="宋体" w:hAnsi="宋体"/>
          <w:b/>
          <w:bCs/>
          <w:szCs w:val="21"/>
        </w:rPr>
        <w:t>开标</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开标在招标文件确定的投标文件递交截止时间的同一时间公开进行，开标地点为招标文件预先确定的地点。</w:t>
      </w:r>
    </w:p>
    <w:p>
      <w:pPr>
        <w:numPr>
          <w:ilvl w:val="2"/>
          <w:numId w:val="10"/>
        </w:numPr>
        <w:tabs>
          <w:tab w:val="left" w:pos="735"/>
        </w:tabs>
        <w:spacing w:line="360" w:lineRule="auto"/>
        <w:ind w:left="735" w:hanging="735"/>
        <w:rPr>
          <w:rFonts w:ascii="宋体" w:hAnsi="宋体"/>
          <w:b/>
          <w:bCs/>
          <w:szCs w:val="21"/>
          <w:u w:val="single"/>
        </w:rPr>
      </w:pPr>
      <w:r>
        <w:rPr>
          <w:rFonts w:hint="eastAsia" w:ascii="宋体" w:hAnsi="宋体"/>
          <w:b/>
          <w:bCs/>
          <w:szCs w:val="21"/>
          <w:u w:val="single"/>
        </w:rPr>
        <w:t>开标由采购代理机构主持，邀请所有投标人授权代表持本人身份证原件、法定代表人（负责人）证明及授权书参加。经核实非投标人授权代表本人的，不得参加开标会。投标人不派出其授权代表参加开标会的，视为完全同意开标内容及对开标会过程无异议。</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在招标文件要求的截止时间前提交的投标文件，开标时，由投标人代表或投标人代表共同推选的代表（如未有推选代表时，</w:t>
      </w:r>
      <w:r>
        <w:rPr>
          <w:rFonts w:hint="eastAsia"/>
        </w:rPr>
        <w:t>按签到顺序递交投标文件的前三名投标人代表作为全体投标人推选的代表</w:t>
      </w:r>
      <w:r>
        <w:rPr>
          <w:rFonts w:hint="eastAsia" w:ascii="宋体" w:hAnsi="宋体"/>
          <w:bCs/>
          <w:szCs w:val="21"/>
        </w:rPr>
        <w:t>）检查投标文件的密封情况；采购人或采购代理机构有权不接收密封不完整的投标文件。</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经检查密封完好的投标文件，由工作人员当众拆封，</w:t>
      </w:r>
      <w:r>
        <w:rPr>
          <w:rFonts w:hint="eastAsia" w:hAnsi="宋体"/>
        </w:rPr>
        <w:t>宣读投标人名称、投标价格、价格折扣、投标文件的其他主要内容和招标文件允许提供的备选投标方案等。</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提交投标文件的截止时间前，应接收的投标人少于</w:t>
      </w:r>
      <w:r>
        <w:rPr>
          <w:rFonts w:hint="eastAsia" w:ascii="宋体" w:hAnsi="宋体"/>
          <w:bCs/>
          <w:szCs w:val="21"/>
          <w:lang w:val="en-US" w:eastAsia="zh-CN"/>
        </w:rPr>
        <w:t>三</w:t>
      </w:r>
      <w:r>
        <w:rPr>
          <w:rFonts w:hint="eastAsia" w:ascii="宋体" w:hAnsi="宋体"/>
          <w:bCs/>
          <w:szCs w:val="21"/>
        </w:rPr>
        <w:t>家时，则招标失败，已递交的投标文件原封退回。</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开标会记录人应在开标记录表上记录唱标内容，并当场公示。</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如开标记录表上内容与投标文件不一致时，投标人代表须当场提出。开标记录表由记录人、唱标人、投标人代表和有关人员签字确认。</w:t>
      </w:r>
    </w:p>
    <w:p>
      <w:pPr>
        <w:numPr>
          <w:ilvl w:val="1"/>
          <w:numId w:val="10"/>
        </w:numPr>
        <w:spacing w:before="120" w:beforeLines="50" w:line="360" w:lineRule="auto"/>
        <w:outlineLvl w:val="3"/>
        <w:rPr>
          <w:rFonts w:ascii="宋体" w:hAnsi="宋体"/>
          <w:b/>
          <w:bCs/>
          <w:szCs w:val="21"/>
        </w:rPr>
      </w:pPr>
      <w:r>
        <w:rPr>
          <w:rFonts w:hint="eastAsia" w:hAnsi="宋体"/>
          <w:b/>
          <w:bCs/>
        </w:rPr>
        <w:t>投标人的资格审查</w:t>
      </w:r>
    </w:p>
    <w:p>
      <w:pPr>
        <w:numPr>
          <w:ilvl w:val="2"/>
          <w:numId w:val="10"/>
        </w:numPr>
        <w:tabs>
          <w:tab w:val="left" w:pos="735"/>
        </w:tabs>
        <w:spacing w:line="360" w:lineRule="auto"/>
        <w:ind w:left="735" w:hanging="735"/>
        <w:rPr>
          <w:rFonts w:ascii="宋体" w:hAnsi="宋体"/>
          <w:b/>
          <w:bCs/>
          <w:szCs w:val="21"/>
        </w:rPr>
      </w:pPr>
      <w:r>
        <w:rPr>
          <w:rFonts w:hint="eastAsia" w:hAnsi="宋体"/>
        </w:rPr>
        <w:t>投标人应按照招标文件要求提交资格文件，采购人及采购代理机构将依法对投标人的资格进行审查，资格审查不通过的投标为无效投标。（具体审查内容详见《</w:t>
      </w:r>
      <w:r>
        <w:rPr>
          <w:rFonts w:hint="eastAsia" w:ascii="宋体" w:hAnsi="宋体"/>
          <w:bCs/>
          <w:szCs w:val="21"/>
        </w:rPr>
        <w:t>第四章 评标和定标</w:t>
      </w:r>
      <w:r>
        <w:rPr>
          <w:rFonts w:hint="eastAsia" w:hAnsi="宋体"/>
        </w:rPr>
        <w:t>》）</w:t>
      </w:r>
    </w:p>
    <w:p>
      <w:pPr>
        <w:numPr>
          <w:ilvl w:val="1"/>
          <w:numId w:val="10"/>
        </w:numPr>
        <w:spacing w:before="120" w:beforeLines="50" w:line="360" w:lineRule="auto"/>
        <w:outlineLvl w:val="3"/>
        <w:rPr>
          <w:rFonts w:ascii="宋体" w:hAnsi="宋体"/>
          <w:szCs w:val="21"/>
        </w:rPr>
      </w:pPr>
      <w:r>
        <w:rPr>
          <w:rFonts w:hint="eastAsia" w:ascii="宋体" w:hAnsi="宋体"/>
          <w:b/>
          <w:bCs/>
          <w:szCs w:val="21"/>
        </w:rPr>
        <w:t>评标</w:t>
      </w:r>
    </w:p>
    <w:p>
      <w:pPr>
        <w:tabs>
          <w:tab w:val="left" w:pos="735"/>
        </w:tabs>
        <w:spacing w:line="360" w:lineRule="auto"/>
        <w:ind w:firstLine="420" w:firstLineChars="200"/>
        <w:rPr>
          <w:rFonts w:ascii="宋体" w:hAnsi="宋体"/>
          <w:bCs/>
          <w:szCs w:val="21"/>
        </w:rPr>
      </w:pPr>
      <w:r>
        <w:rPr>
          <w:rFonts w:hint="eastAsia" w:ascii="宋体" w:hAnsi="宋体"/>
          <w:bCs/>
          <w:szCs w:val="21"/>
        </w:rPr>
        <w:t>评标委员会</w:t>
      </w:r>
      <w:r>
        <w:rPr>
          <w:rFonts w:cs="宋体"/>
          <w:bCs/>
          <w:kern w:val="0"/>
        </w:rPr>
        <w:t>按</w:t>
      </w:r>
      <w:r>
        <w:rPr>
          <w:rFonts w:hint="eastAsia" w:ascii="宋体" w:hAnsi="宋体"/>
          <w:bCs/>
          <w:szCs w:val="21"/>
        </w:rPr>
        <w:t>照客观、公正、审慎的原则，根据采购文件规定的评审程序、评审方法和评审标准进行独立评审。</w:t>
      </w:r>
      <w:r>
        <w:rPr>
          <w:rFonts w:hint="eastAsia" w:hAnsi="宋体"/>
        </w:rPr>
        <w:t>（具体内容详见《</w:t>
      </w:r>
      <w:r>
        <w:rPr>
          <w:rFonts w:hint="eastAsia" w:ascii="宋体" w:hAnsi="宋体"/>
          <w:bCs/>
          <w:szCs w:val="21"/>
        </w:rPr>
        <w:t>第四章 评标和定标</w:t>
      </w:r>
      <w:r>
        <w:rPr>
          <w:rFonts w:hint="eastAsia" w:hAnsi="宋体"/>
        </w:rPr>
        <w:t>》）</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相关注意事项</w:t>
      </w:r>
    </w:p>
    <w:p>
      <w:pPr>
        <w:numPr>
          <w:ilvl w:val="0"/>
          <w:numId w:val="11"/>
        </w:numPr>
        <w:spacing w:line="360" w:lineRule="auto"/>
        <w:rPr>
          <w:rFonts w:ascii="宋体" w:hAnsi="宋体"/>
          <w:bCs/>
          <w:szCs w:val="21"/>
        </w:rPr>
      </w:pPr>
      <w:r>
        <w:rPr>
          <w:rFonts w:hint="eastAsia" w:ascii="宋体" w:hAnsi="宋体"/>
          <w:bCs/>
          <w:szCs w:val="21"/>
        </w:rPr>
        <w:t>评标是招标工作的重要环节，评标工作由评标委员会独立进行。评标委员会将遵照评标原则，公正、平等的对待所有投标人。</w:t>
      </w:r>
    </w:p>
    <w:p>
      <w:pPr>
        <w:numPr>
          <w:ilvl w:val="0"/>
          <w:numId w:val="11"/>
        </w:numPr>
        <w:spacing w:line="360" w:lineRule="auto"/>
        <w:rPr>
          <w:rFonts w:ascii="宋体" w:hAnsi="宋体"/>
          <w:bCs/>
          <w:szCs w:val="21"/>
        </w:rPr>
      </w:pPr>
      <w:r>
        <w:rPr>
          <w:rFonts w:hint="eastAsia" w:ascii="宋体" w:hAnsi="宋体"/>
          <w:bCs/>
          <w:szCs w:val="21"/>
        </w:rPr>
        <w:t>在开标、评标期间，投标人不得向评委询问评标情况，不得进行旨在影响评标结果的活动。</w:t>
      </w:r>
    </w:p>
    <w:p>
      <w:pPr>
        <w:numPr>
          <w:ilvl w:val="0"/>
          <w:numId w:val="11"/>
        </w:numPr>
        <w:spacing w:line="360" w:lineRule="auto"/>
        <w:rPr>
          <w:rFonts w:ascii="宋体" w:hAnsi="宋体"/>
          <w:bCs/>
          <w:szCs w:val="21"/>
        </w:rPr>
      </w:pPr>
      <w:r>
        <w:rPr>
          <w:rFonts w:hint="eastAsia" w:ascii="宋体" w:hAnsi="宋体"/>
          <w:bCs/>
          <w:szCs w:val="21"/>
        </w:rPr>
        <w:t>为保证定标的公正性，在评标过程中，评委不得与投标人私下交换意见。在招标工作结束后，凡与评标过程有接触的任何人，不得将评标情况扩散给与评标无关的人员。</w:t>
      </w:r>
    </w:p>
    <w:p>
      <w:pPr>
        <w:numPr>
          <w:ilvl w:val="0"/>
          <w:numId w:val="11"/>
        </w:numPr>
        <w:spacing w:line="360" w:lineRule="auto"/>
        <w:rPr>
          <w:rFonts w:ascii="宋体" w:hAnsi="宋体"/>
          <w:szCs w:val="21"/>
        </w:rPr>
      </w:pPr>
      <w:r>
        <w:rPr>
          <w:rFonts w:hint="eastAsia" w:ascii="宋体" w:hAnsi="宋体"/>
          <w:bCs/>
          <w:szCs w:val="21"/>
        </w:rPr>
        <w:t>评标委员会不直接向落标方解释落标原因，不退回投标文件。</w:t>
      </w:r>
    </w:p>
    <w:p>
      <w:pPr>
        <w:numPr>
          <w:ilvl w:val="1"/>
          <w:numId w:val="10"/>
        </w:numPr>
        <w:spacing w:before="120" w:beforeLines="50" w:line="360" w:lineRule="auto"/>
        <w:outlineLvl w:val="3"/>
        <w:rPr>
          <w:rFonts w:ascii="宋体" w:hAnsi="宋体"/>
          <w:b/>
          <w:bCs/>
          <w:szCs w:val="21"/>
        </w:rPr>
      </w:pPr>
      <w:r>
        <w:rPr>
          <w:rFonts w:hint="eastAsia" w:ascii="宋体" w:hAnsi="宋体"/>
          <w:b/>
          <w:bCs/>
          <w:szCs w:val="21"/>
        </w:rPr>
        <w:t>定标</w:t>
      </w:r>
    </w:p>
    <w:p>
      <w:pPr>
        <w:tabs>
          <w:tab w:val="left" w:pos="735"/>
        </w:tabs>
        <w:spacing w:line="360" w:lineRule="auto"/>
        <w:ind w:firstLine="420" w:firstLineChars="200"/>
        <w:rPr>
          <w:rFonts w:ascii="宋体" w:hAnsi="宋体"/>
          <w:szCs w:val="21"/>
          <w:u w:val="single"/>
        </w:rPr>
      </w:pPr>
      <w:r>
        <w:rPr>
          <w:rFonts w:hint="eastAsia" w:ascii="宋体" w:hAnsi="宋体"/>
          <w:szCs w:val="21"/>
          <w:u w:val="single"/>
        </w:rPr>
        <w:t>采购人在评标报告确定的中标候选人名单中按顺序确定中标人。（具体内容详见《第四章 评标和定标》）</w:t>
      </w:r>
    </w:p>
    <w:p>
      <w:pPr>
        <w:numPr>
          <w:ilvl w:val="1"/>
          <w:numId w:val="10"/>
        </w:numPr>
        <w:spacing w:before="120" w:beforeLines="50" w:line="360" w:lineRule="auto"/>
        <w:outlineLvl w:val="3"/>
        <w:rPr>
          <w:rFonts w:ascii="宋体" w:hAnsi="宋体"/>
          <w:b/>
          <w:szCs w:val="21"/>
        </w:rPr>
      </w:pPr>
      <w:r>
        <w:rPr>
          <w:rFonts w:hint="eastAsia" w:ascii="宋体" w:hAnsi="宋体"/>
          <w:b/>
          <w:szCs w:val="21"/>
        </w:rPr>
        <w:t>签约</w:t>
      </w:r>
    </w:p>
    <w:p>
      <w:pPr>
        <w:numPr>
          <w:ilvl w:val="2"/>
          <w:numId w:val="10"/>
        </w:numPr>
        <w:tabs>
          <w:tab w:val="left" w:pos="735"/>
        </w:tabs>
        <w:spacing w:line="360" w:lineRule="auto"/>
        <w:ind w:left="735" w:hanging="735"/>
        <w:rPr>
          <w:rFonts w:ascii="宋体" w:hAnsi="宋体"/>
          <w:bCs/>
          <w:szCs w:val="21"/>
        </w:rPr>
      </w:pPr>
      <w:r>
        <w:rPr>
          <w:rFonts w:hint="eastAsia" w:ascii="宋体" w:hAnsi="宋体"/>
          <w:bCs/>
          <w:szCs w:val="21"/>
        </w:rPr>
        <w:t>中标人应当在《中标通知书》发</w:t>
      </w:r>
      <w:r>
        <w:rPr>
          <w:rFonts w:hint="eastAsia" w:ascii="宋体" w:hAnsi="宋体"/>
          <w:color w:val="000000"/>
          <w:szCs w:val="22"/>
          <w:highlight w:val="white"/>
        </w:rPr>
        <w:t>出之日起</w:t>
      </w:r>
      <w:r>
        <w:rPr>
          <w:rFonts w:ascii="宋体" w:hAnsi="宋体"/>
          <w:color w:val="000000"/>
          <w:szCs w:val="22"/>
          <w:highlight w:val="white"/>
        </w:rPr>
        <w:t>3</w:t>
      </w:r>
      <w:r>
        <w:rPr>
          <w:rFonts w:hint="eastAsia" w:ascii="宋体" w:hAnsi="宋体"/>
          <w:color w:val="000000"/>
          <w:szCs w:val="22"/>
          <w:highlight w:val="white"/>
        </w:rPr>
        <w:t>0日内</w:t>
      </w:r>
      <w:r>
        <w:rPr>
          <w:rFonts w:hint="eastAsia" w:ascii="宋体" w:hAnsi="宋体"/>
          <w:bCs/>
          <w:szCs w:val="21"/>
        </w:rPr>
        <w:t>或本招标文件《第二章 采购人需求》要求时限内与采购人签订合同。</w:t>
      </w:r>
    </w:p>
    <w:p>
      <w:pPr>
        <w:numPr>
          <w:ilvl w:val="2"/>
          <w:numId w:val="10"/>
        </w:numPr>
        <w:tabs>
          <w:tab w:val="left" w:pos="735"/>
        </w:tabs>
        <w:spacing w:line="360" w:lineRule="auto"/>
        <w:ind w:left="735" w:hanging="735"/>
        <w:rPr>
          <w:rFonts w:ascii="宋体" w:hAnsi="宋体"/>
          <w:szCs w:val="21"/>
        </w:rPr>
      </w:pPr>
      <w:r>
        <w:rPr>
          <w:rFonts w:hint="eastAsia" w:ascii="宋体" w:hAnsi="宋体"/>
          <w:bCs/>
          <w:szCs w:val="21"/>
        </w:rPr>
        <w:t>采购人</w:t>
      </w:r>
      <w:r>
        <w:rPr>
          <w:rFonts w:hint="eastAsia" w:ascii="宋体" w:hAnsi="宋体"/>
          <w:szCs w:val="21"/>
        </w:rPr>
        <w:t>不得向中标人提出任何不合理的要求，作为签订合同的条件，不得与中标人私下订立背离合同实质性内容的协议。</w:t>
      </w:r>
    </w:p>
    <w:p>
      <w:pPr>
        <w:pStyle w:val="6"/>
        <w:keepLines/>
        <w:numPr>
          <w:ilvl w:val="0"/>
          <w:numId w:val="10"/>
        </w:numPr>
        <w:spacing w:before="260" w:after="260" w:line="400" w:lineRule="exact"/>
        <w:rPr>
          <w:sz w:val="21"/>
          <w:szCs w:val="21"/>
        </w:rPr>
      </w:pPr>
      <w:bookmarkStart w:id="102" w:name="_Toc238282337"/>
      <w:bookmarkStart w:id="103" w:name="_Toc185747583"/>
      <w:bookmarkStart w:id="104" w:name="_Toc223939098"/>
      <w:bookmarkStart w:id="105" w:name="_Toc14339"/>
      <w:bookmarkStart w:id="106" w:name="_Toc228644975"/>
      <w:bookmarkStart w:id="107" w:name="_Toc228899504"/>
      <w:bookmarkStart w:id="108" w:name="_Toc7379"/>
      <w:bookmarkStart w:id="109" w:name="_Toc334797737"/>
      <w:bookmarkStart w:id="110" w:name="_Toc224435723"/>
      <w:bookmarkStart w:id="111" w:name="_Toc2197"/>
      <w:bookmarkStart w:id="112" w:name="_Toc225565950"/>
      <w:r>
        <w:rPr>
          <w:rFonts w:hint="eastAsia"/>
          <w:sz w:val="21"/>
          <w:szCs w:val="21"/>
        </w:rPr>
        <w:t>采购代理服务费</w:t>
      </w:r>
      <w:bookmarkEnd w:id="86"/>
      <w:bookmarkEnd w:id="87"/>
      <w:bookmarkEnd w:id="88"/>
      <w:bookmarkEnd w:id="102"/>
      <w:bookmarkEnd w:id="103"/>
      <w:bookmarkEnd w:id="104"/>
      <w:bookmarkEnd w:id="105"/>
      <w:bookmarkEnd w:id="106"/>
      <w:bookmarkEnd w:id="107"/>
      <w:bookmarkEnd w:id="108"/>
      <w:bookmarkEnd w:id="109"/>
      <w:bookmarkEnd w:id="110"/>
      <w:bookmarkEnd w:id="111"/>
      <w:bookmarkEnd w:id="112"/>
    </w:p>
    <w:p>
      <w:pPr>
        <w:spacing w:before="50" w:after="50" w:line="360" w:lineRule="auto"/>
        <w:ind w:firstLine="420" w:firstLineChars="200"/>
        <w:rPr>
          <w:rFonts w:ascii="宋体" w:hAnsi="宋体"/>
          <w:szCs w:val="21"/>
        </w:rPr>
      </w:pPr>
      <w:r>
        <w:rPr>
          <w:rFonts w:hint="eastAsia" w:ascii="宋体" w:hAnsi="宋体"/>
          <w:szCs w:val="21"/>
        </w:rPr>
        <w:t>采购代理服务费由中标人向采购代理机构支付，采购代理服务费以中标金额作为收费的计算基数，收取标准为1.5%。</w:t>
      </w:r>
    </w:p>
    <w:p>
      <w:pPr>
        <w:spacing w:line="360" w:lineRule="auto"/>
        <w:ind w:left="360" w:right="-317" w:rightChars="-151"/>
        <w:rPr>
          <w:rFonts w:ascii="宋体" w:hAnsi="宋体"/>
          <w:bCs/>
          <w:szCs w:val="21"/>
        </w:rPr>
      </w:pPr>
      <w:r>
        <w:rPr>
          <w:rFonts w:hint="eastAsia" w:ascii="宋体" w:hAnsi="宋体"/>
          <w:bCs/>
          <w:szCs w:val="21"/>
        </w:rPr>
        <w:t>（</w:t>
      </w:r>
      <w:r>
        <w:rPr>
          <w:rFonts w:ascii="宋体" w:hAnsi="宋体"/>
          <w:bCs/>
          <w:szCs w:val="21"/>
        </w:rPr>
        <w:t>1</w:t>
      </w:r>
      <w:r>
        <w:rPr>
          <w:rFonts w:hint="eastAsia" w:ascii="宋体" w:hAnsi="宋体"/>
          <w:bCs/>
          <w:szCs w:val="21"/>
        </w:rPr>
        <w:t>）币种与《中标通知书》的币种相同。</w:t>
      </w:r>
    </w:p>
    <w:p>
      <w:pPr>
        <w:spacing w:line="360" w:lineRule="auto"/>
        <w:ind w:left="360" w:right="-317" w:rightChars="-151"/>
        <w:rPr>
          <w:rFonts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）中标人中标后，必须按规定向采购代理机构直接缴交服务费。</w:t>
      </w:r>
    </w:p>
    <w:p>
      <w:pPr>
        <w:spacing w:line="360" w:lineRule="auto"/>
        <w:ind w:left="360" w:right="-317" w:rightChars="-151"/>
        <w:rPr>
          <w:rFonts w:ascii="宋体" w:hAnsi="宋体"/>
          <w:bCs/>
          <w:szCs w:val="21"/>
        </w:rPr>
      </w:pPr>
      <w:r>
        <w:rPr>
          <w:rFonts w:hint="eastAsia" w:ascii="宋体" w:hAnsi="宋体"/>
          <w:bCs/>
          <w:szCs w:val="21"/>
        </w:rPr>
        <w:t>（</w:t>
      </w:r>
      <w:r>
        <w:rPr>
          <w:rFonts w:ascii="宋体" w:hAnsi="宋体"/>
          <w:bCs/>
          <w:szCs w:val="21"/>
        </w:rPr>
        <w:t>3</w:t>
      </w:r>
      <w:r>
        <w:rPr>
          <w:rFonts w:hint="eastAsia" w:ascii="宋体" w:hAnsi="宋体"/>
          <w:bCs/>
          <w:szCs w:val="21"/>
        </w:rPr>
        <w:t>）服务费不在投标报价中单列。</w:t>
      </w:r>
    </w:p>
    <w:p>
      <w:pPr>
        <w:spacing w:line="360" w:lineRule="auto"/>
        <w:ind w:left="360" w:right="-317" w:rightChars="-151"/>
        <w:rPr>
          <w:rFonts w:ascii="宋体" w:hAnsi="宋体"/>
          <w:bCs/>
          <w:szCs w:val="21"/>
        </w:rPr>
      </w:pPr>
      <w:r>
        <w:rPr>
          <w:rFonts w:hint="eastAsia" w:ascii="宋体" w:hAnsi="宋体"/>
          <w:bCs/>
          <w:szCs w:val="21"/>
        </w:rPr>
        <w:t>（</w:t>
      </w:r>
      <w:r>
        <w:rPr>
          <w:rFonts w:ascii="宋体" w:hAnsi="宋体"/>
          <w:bCs/>
          <w:szCs w:val="21"/>
        </w:rPr>
        <w:t>4</w:t>
      </w:r>
      <w:r>
        <w:rPr>
          <w:rFonts w:hint="eastAsia" w:ascii="宋体" w:hAnsi="宋体"/>
          <w:bCs/>
          <w:szCs w:val="21"/>
        </w:rPr>
        <w:t>）经依法取消、放弃中标资格或无故不与采购人签订合同的，招标服务费不予退还。</w:t>
      </w:r>
    </w:p>
    <w:p>
      <w:pPr>
        <w:pStyle w:val="6"/>
        <w:keepLines/>
        <w:numPr>
          <w:ilvl w:val="0"/>
          <w:numId w:val="10"/>
        </w:numPr>
        <w:spacing w:before="260" w:after="260" w:line="400" w:lineRule="exact"/>
        <w:rPr>
          <w:sz w:val="21"/>
          <w:szCs w:val="21"/>
        </w:rPr>
      </w:pPr>
      <w:bookmarkStart w:id="113" w:name="_Toc134956124"/>
      <w:bookmarkStart w:id="114" w:name="_Toc11338"/>
      <w:bookmarkStart w:id="115" w:name="_Toc32278"/>
      <w:bookmarkStart w:id="116" w:name="_Toc1241"/>
      <w:bookmarkStart w:id="117" w:name="_Toc387076653"/>
      <w:r>
        <w:rPr>
          <w:rFonts w:hint="eastAsia"/>
          <w:sz w:val="21"/>
          <w:szCs w:val="21"/>
        </w:rPr>
        <w:t>询问、质疑</w:t>
      </w:r>
      <w:bookmarkEnd w:id="113"/>
      <w:bookmarkEnd w:id="114"/>
      <w:bookmarkEnd w:id="115"/>
      <w:bookmarkEnd w:id="116"/>
      <w:bookmarkEnd w:id="117"/>
    </w:p>
    <w:p>
      <w:pPr>
        <w:spacing w:before="50" w:after="50" w:line="360" w:lineRule="auto"/>
        <w:ind w:firstLine="420" w:firstLineChars="200"/>
        <w:rPr>
          <w:rFonts w:ascii="宋体" w:hAnsi="宋体"/>
          <w:bCs/>
          <w:szCs w:val="21"/>
        </w:rPr>
      </w:pPr>
      <w:bookmarkStart w:id="118" w:name="_Toc134955411"/>
      <w:r>
        <w:rPr>
          <w:rFonts w:hint="eastAsia" w:ascii="宋体" w:hAnsi="宋体"/>
          <w:bCs/>
          <w:szCs w:val="21"/>
        </w:rPr>
        <w:t>7.1供应商可以向代理机构提出询问和质疑，代理机构依照相关规定就采购人委托授权范围内的事项作出答复。</w:t>
      </w:r>
    </w:p>
    <w:p>
      <w:pPr>
        <w:spacing w:before="50" w:after="50" w:line="360" w:lineRule="auto"/>
        <w:ind w:firstLine="420" w:firstLineChars="200"/>
        <w:rPr>
          <w:rFonts w:ascii="宋体" w:hAnsi="宋体"/>
          <w:szCs w:val="21"/>
        </w:rPr>
      </w:pPr>
      <w:r>
        <w:rPr>
          <w:rFonts w:hint="eastAsia" w:ascii="宋体" w:hAnsi="宋体"/>
          <w:szCs w:val="21"/>
        </w:rPr>
        <w:t>7.2供应商认为采购文件的内容损害其权益的，可以在采购文件公示期间或者自期满之日起7个工作日内以书面形式向采购人或代理机构提出质疑，逾期质疑无效。</w:t>
      </w:r>
    </w:p>
    <w:p>
      <w:pPr>
        <w:spacing w:before="50" w:after="50" w:line="360" w:lineRule="auto"/>
        <w:ind w:firstLine="420" w:firstLineChars="200"/>
        <w:rPr>
          <w:rFonts w:ascii="宋体" w:hAnsi="宋体"/>
          <w:szCs w:val="21"/>
        </w:rPr>
      </w:pPr>
      <w:r>
        <w:rPr>
          <w:rFonts w:hint="eastAsia" w:ascii="宋体" w:hAnsi="宋体"/>
          <w:szCs w:val="21"/>
        </w:rPr>
        <w:t>7.3</w:t>
      </w:r>
      <w:r>
        <w:rPr>
          <w:rFonts w:ascii="宋体" w:hAnsi="宋体"/>
          <w:szCs w:val="21"/>
        </w:rPr>
        <w:t>供应商在法定质疑期内</w:t>
      </w:r>
      <w:r>
        <w:rPr>
          <w:rFonts w:hint="eastAsia" w:ascii="宋体" w:hAnsi="宋体"/>
          <w:szCs w:val="21"/>
        </w:rPr>
        <w:t>须</w:t>
      </w:r>
      <w:r>
        <w:rPr>
          <w:rFonts w:ascii="宋体" w:hAnsi="宋体"/>
          <w:szCs w:val="21"/>
        </w:rPr>
        <w:t>一次性提出针对同一采购程序环节的质疑。</w:t>
      </w:r>
    </w:p>
    <w:p>
      <w:pPr>
        <w:spacing w:before="50" w:after="50" w:line="360" w:lineRule="auto"/>
        <w:ind w:firstLine="420" w:firstLineChars="200"/>
        <w:rPr>
          <w:rFonts w:ascii="宋体" w:hAnsi="宋体"/>
          <w:szCs w:val="21"/>
        </w:rPr>
      </w:pPr>
      <w:r>
        <w:rPr>
          <w:rFonts w:hint="eastAsia" w:ascii="宋体" w:hAnsi="宋体"/>
          <w:szCs w:val="21"/>
        </w:rPr>
        <w:t>7.4供应商认为采购过程和中标结果使自己的权益受到损害的，可以在知道或者应知其权益受到损害之日起7个工作日内，以书面形式向采购人或代理机构提出质疑，逾期质疑无效。</w:t>
      </w:r>
      <w:bookmarkEnd w:id="118"/>
    </w:p>
    <w:p>
      <w:pPr>
        <w:spacing w:before="50" w:after="50" w:line="360" w:lineRule="auto"/>
        <w:ind w:firstLine="420" w:firstLineChars="200"/>
        <w:rPr>
          <w:rFonts w:ascii="宋体" w:hAnsi="宋体"/>
          <w:szCs w:val="21"/>
        </w:rPr>
      </w:pPr>
      <w:r>
        <w:rPr>
          <w:rFonts w:hint="eastAsia" w:ascii="宋体" w:hAnsi="宋体"/>
        </w:rPr>
        <w:t>7.5质疑函应当署名。质疑</w:t>
      </w:r>
      <w:r>
        <w:rPr>
          <w:rFonts w:hint="eastAsia" w:ascii="宋体" w:hAnsi="宋体"/>
          <w:szCs w:val="21"/>
        </w:rPr>
        <w:t>供应商</w:t>
      </w:r>
      <w:r>
        <w:rPr>
          <w:rFonts w:hint="eastAsia" w:ascii="宋体" w:hAnsi="宋体"/>
        </w:rPr>
        <w:t>为自然人的，应当由本人签字并以右手食指手指手印作为确认；质疑</w:t>
      </w:r>
      <w:r>
        <w:rPr>
          <w:rFonts w:hint="eastAsia" w:ascii="宋体" w:hAnsi="宋体"/>
          <w:szCs w:val="21"/>
        </w:rPr>
        <w:t>供应商</w:t>
      </w:r>
      <w:r>
        <w:rPr>
          <w:rFonts w:hint="eastAsia" w:ascii="宋体" w:hAnsi="宋体"/>
        </w:rPr>
        <w:t>为法人或者其他组织的，应当由法定代表人（负责人）签字并加盖公章。</w:t>
      </w:r>
      <w:r>
        <w:rPr>
          <w:rFonts w:hint="eastAsia" w:ascii="宋体" w:hAnsi="宋体"/>
          <w:szCs w:val="21"/>
        </w:rPr>
        <w:t>质疑内容不得含有虚假、恶意成份。依照谁主张谁举证的原则，提出质疑者必须同时提交相关确凿的证据材料和注明证据的确切来源，证据来源必须合法，代理机构有权将质疑函转发质疑事项各关联方，请其作出解释说明。对捏造事实、滥用维权扰乱采购秩序的恶意质疑者，将上报采购监督管理部门依法处理。</w:t>
      </w:r>
    </w:p>
    <w:p>
      <w:pPr>
        <w:spacing w:before="50" w:after="50" w:line="360" w:lineRule="auto"/>
        <w:ind w:firstLine="420" w:firstLineChars="200"/>
        <w:rPr>
          <w:rFonts w:ascii="宋体" w:hAnsi="宋体"/>
          <w:szCs w:val="21"/>
        </w:rPr>
      </w:pPr>
      <w:r>
        <w:rPr>
          <w:rFonts w:hint="eastAsia" w:ascii="宋体" w:hAnsi="宋体"/>
          <w:szCs w:val="21"/>
        </w:rPr>
        <w:t>7.6质疑供应商对采购人、代理机构的质疑答复不满意，或者采购人、代理机构未在规定期限内作出答复的，可以在答复期满后15个工作日内向采购人的同级采购监督管理部门提起投诉。</w:t>
      </w:r>
    </w:p>
    <w:p>
      <w:pPr>
        <w:spacing w:before="50" w:after="50" w:line="360" w:lineRule="auto"/>
        <w:ind w:firstLine="420" w:firstLineChars="200"/>
        <w:rPr>
          <w:szCs w:val="21"/>
        </w:rPr>
      </w:pPr>
      <w:r>
        <w:rPr>
          <w:rFonts w:hint="eastAsia" w:ascii="宋体" w:hAnsi="宋体"/>
          <w:szCs w:val="21"/>
        </w:rPr>
        <w:t>7.7询问及质疑函应按相应格式进行填写及签署，并递交书面文件至代理机构，没有签署的质疑函将不予受理。具体格式详见</w:t>
      </w:r>
      <w:r>
        <w:rPr>
          <w:rFonts w:hint="eastAsia"/>
          <w:szCs w:val="21"/>
        </w:rPr>
        <w:t>http://www.gzqunsheng.com/常用文件一栏。</w:t>
      </w:r>
    </w:p>
    <w:p>
      <w:pPr>
        <w:spacing w:line="360" w:lineRule="auto"/>
        <w:ind w:right="-317" w:rightChars="-151" w:firstLine="420" w:firstLineChars="200"/>
        <w:rPr>
          <w:rFonts w:ascii="宋体" w:hAnsi="宋体"/>
          <w:sz w:val="24"/>
        </w:rPr>
        <w:sectPr>
          <w:footerReference r:id="rId8" w:type="default"/>
          <w:pgSz w:w="11907" w:h="16840"/>
          <w:pgMar w:top="1418" w:right="1304" w:bottom="1361" w:left="1361" w:header="794" w:footer="794" w:gutter="0"/>
          <w:cols w:space="720" w:num="1"/>
          <w:docGrid w:linePitch="285" w:charSpace="0"/>
        </w:sectPr>
      </w:pPr>
      <w:r>
        <w:rPr>
          <w:rFonts w:hint="eastAsia" w:ascii="宋体" w:hAnsi="宋体"/>
          <w:szCs w:val="21"/>
        </w:rPr>
        <w:t>7.8</w:t>
      </w:r>
      <w:r>
        <w:rPr>
          <w:rFonts w:hint="eastAsia"/>
          <w:color w:val="000000"/>
          <w:szCs w:val="21"/>
        </w:rPr>
        <w:t>询问、质疑受理单位：</w:t>
      </w:r>
      <w:r>
        <w:rPr>
          <w:rFonts w:hint="eastAsia"/>
          <w:szCs w:val="21"/>
        </w:rPr>
        <w:t>广州群生招标代理有限公司，联系电话：（</w:t>
      </w:r>
      <w:r>
        <w:rPr>
          <w:szCs w:val="21"/>
        </w:rPr>
        <w:t>020</w:t>
      </w:r>
      <w:r>
        <w:rPr>
          <w:rFonts w:hint="eastAsia"/>
          <w:szCs w:val="21"/>
        </w:rPr>
        <w:t>）</w:t>
      </w:r>
      <w:r>
        <w:rPr>
          <w:szCs w:val="21"/>
        </w:rPr>
        <w:t>83812782</w:t>
      </w:r>
      <w:r>
        <w:rPr>
          <w:rFonts w:hint="eastAsia"/>
          <w:color w:val="000000"/>
          <w:szCs w:val="21"/>
        </w:rPr>
        <w:t>。</w:t>
      </w:r>
    </w:p>
    <w:p>
      <w:pPr>
        <w:pStyle w:val="4"/>
        <w:keepLines w:val="0"/>
        <w:spacing w:before="0" w:after="0" w:line="360" w:lineRule="auto"/>
        <w:ind w:right="-441" w:rightChars="-210"/>
        <w:jc w:val="center"/>
        <w:rPr>
          <w:rFonts w:ascii="宋体" w:hAnsi="宋体" w:cs="宋体"/>
          <w:kern w:val="2"/>
          <w:sz w:val="32"/>
          <w:szCs w:val="32"/>
        </w:rPr>
      </w:pPr>
      <w:bookmarkStart w:id="119" w:name="_Toc3760"/>
      <w:bookmarkStart w:id="120" w:name="_Toc19589"/>
      <w:bookmarkStart w:id="121" w:name="_Toc7940"/>
      <w:bookmarkStart w:id="122" w:name="_Toc123"/>
      <w:bookmarkStart w:id="123" w:name="_Toc31448"/>
      <w:bookmarkStart w:id="124" w:name="_Toc334797738"/>
      <w:bookmarkStart w:id="125" w:name="_Toc130180737"/>
      <w:bookmarkStart w:id="126" w:name="_Toc238282338"/>
      <w:bookmarkStart w:id="127" w:name="_Toc130180842"/>
      <w:bookmarkStart w:id="128" w:name="_Toc130180923"/>
      <w:r>
        <w:rPr>
          <w:rFonts w:hint="eastAsia" w:ascii="宋体" w:hAnsi="宋体" w:cs="宋体"/>
          <w:kern w:val="2"/>
          <w:sz w:val="32"/>
          <w:szCs w:val="32"/>
        </w:rPr>
        <w:t>第二章  采购人需求</w:t>
      </w:r>
      <w:bookmarkEnd w:id="119"/>
      <w:bookmarkEnd w:id="120"/>
      <w:bookmarkEnd w:id="121"/>
      <w:bookmarkEnd w:id="122"/>
      <w:bookmarkEnd w:id="123"/>
      <w:bookmarkEnd w:id="124"/>
    </w:p>
    <w:bookmarkEnd w:id="125"/>
    <w:bookmarkEnd w:id="126"/>
    <w:bookmarkEnd w:id="127"/>
    <w:bookmarkEnd w:id="128"/>
    <w:p>
      <w:pPr>
        <w:pStyle w:val="24"/>
        <w:tabs>
          <w:tab w:val="left" w:pos="540"/>
        </w:tabs>
        <w:snapToGrid w:val="0"/>
        <w:ind w:left="422" w:hanging="422"/>
        <w:rPr>
          <w:rFonts w:hAnsi="宋体" w:cs="宋体"/>
          <w:b/>
          <w:sz w:val="21"/>
          <w:szCs w:val="21"/>
        </w:rPr>
      </w:pPr>
      <w:bookmarkStart w:id="129" w:name="_Toc130697192"/>
      <w:bookmarkStart w:id="130" w:name="_Toc130695600"/>
      <w:bookmarkStart w:id="131" w:name="_Toc185747588"/>
      <w:bookmarkStart w:id="132" w:name="_Toc153615297"/>
      <w:r>
        <w:rPr>
          <w:rFonts w:hint="eastAsia" w:hAnsi="宋体" w:cs="宋体"/>
          <w:b/>
          <w:sz w:val="21"/>
          <w:szCs w:val="21"/>
        </w:rPr>
        <w:t>一、</w:t>
      </w:r>
      <w:r>
        <w:rPr>
          <w:rFonts w:hint="eastAsia" w:hAnsi="宋体"/>
          <w:b/>
        </w:rPr>
        <w:t>项目一览表</w:t>
      </w:r>
    </w:p>
    <w:tbl>
      <w:tblPr>
        <w:tblStyle w:val="39"/>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3"/>
        <w:gridCol w:w="4969"/>
        <w:gridCol w:w="1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743" w:type="dxa"/>
            <w:shd w:val="clear" w:color="auto" w:fill="auto"/>
            <w:vAlign w:val="center"/>
          </w:tcPr>
          <w:p>
            <w:pPr>
              <w:spacing w:line="360" w:lineRule="auto"/>
              <w:jc w:val="center"/>
              <w:rPr>
                <w:rFonts w:ascii="宋体" w:hAnsi="宋体"/>
                <w:b/>
                <w:bCs/>
              </w:rPr>
            </w:pPr>
            <w:r>
              <w:rPr>
                <w:rFonts w:hint="eastAsia" w:ascii="宋体" w:hAnsi="宋体"/>
                <w:b/>
                <w:bCs/>
              </w:rPr>
              <w:t>项目内容</w:t>
            </w:r>
          </w:p>
        </w:tc>
        <w:tc>
          <w:tcPr>
            <w:tcW w:w="4969" w:type="dxa"/>
            <w:shd w:val="clear" w:color="auto" w:fill="auto"/>
            <w:vAlign w:val="center"/>
          </w:tcPr>
          <w:p>
            <w:pPr>
              <w:spacing w:line="360" w:lineRule="auto"/>
              <w:jc w:val="center"/>
              <w:rPr>
                <w:rFonts w:ascii="宋体" w:hAnsi="宋体"/>
                <w:b/>
                <w:bCs/>
              </w:rPr>
            </w:pPr>
            <w:r>
              <w:rPr>
                <w:rFonts w:hint="eastAsia" w:ascii="宋体" w:hAnsi="宋体"/>
                <w:b/>
                <w:bCs/>
              </w:rPr>
              <w:t>项目交付时间</w:t>
            </w:r>
          </w:p>
        </w:tc>
        <w:tc>
          <w:tcPr>
            <w:tcW w:w="1847" w:type="dxa"/>
            <w:shd w:val="clear" w:color="auto" w:fill="auto"/>
            <w:vAlign w:val="center"/>
          </w:tcPr>
          <w:p>
            <w:pPr>
              <w:spacing w:line="360" w:lineRule="auto"/>
              <w:jc w:val="center"/>
              <w:rPr>
                <w:rFonts w:ascii="宋体" w:hAnsi="宋体"/>
                <w:b/>
                <w:bCs/>
              </w:rPr>
            </w:pPr>
            <w:r>
              <w:rPr>
                <w:rFonts w:hint="eastAsia" w:ascii="宋体" w:hAnsi="宋体"/>
                <w:b/>
                <w:bCs/>
              </w:rPr>
              <w:t>项目预算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3" w:type="dxa"/>
            <w:shd w:val="clear" w:color="auto" w:fill="auto"/>
            <w:vAlign w:val="center"/>
          </w:tcPr>
          <w:p>
            <w:pPr>
              <w:spacing w:line="360" w:lineRule="auto"/>
              <w:jc w:val="center"/>
              <w:rPr>
                <w:rFonts w:ascii="宋体" w:hAnsi="宋体"/>
              </w:rPr>
            </w:pPr>
            <w:r>
              <w:rPr>
                <w:rFonts w:hint="eastAsia" w:ascii="宋体" w:hAnsi="宋体"/>
              </w:rPr>
              <w:t>总站机关土地权籍调查服务</w:t>
            </w:r>
          </w:p>
        </w:tc>
        <w:tc>
          <w:tcPr>
            <w:tcW w:w="4969" w:type="dxa"/>
            <w:shd w:val="clear" w:color="auto" w:fill="auto"/>
            <w:vAlign w:val="center"/>
          </w:tcPr>
          <w:p>
            <w:pPr>
              <w:spacing w:line="360" w:lineRule="auto"/>
              <w:jc w:val="center"/>
              <w:rPr>
                <w:rFonts w:ascii="宋体" w:hAnsi="宋体"/>
              </w:rPr>
            </w:pPr>
            <w:r>
              <w:rPr>
                <w:rFonts w:hint="eastAsia" w:ascii="宋体" w:hAnsi="宋体"/>
              </w:rPr>
              <w:t>自合同签订并生效后30个工作日内出具7处地籍调查表，中标人需在不动产登记部门出具审核意见后20个工作日内出具不动产权籍调查报告。</w:t>
            </w:r>
          </w:p>
        </w:tc>
        <w:tc>
          <w:tcPr>
            <w:tcW w:w="1847" w:type="dxa"/>
            <w:shd w:val="clear" w:color="auto" w:fill="auto"/>
            <w:vAlign w:val="center"/>
          </w:tcPr>
          <w:p>
            <w:pPr>
              <w:spacing w:line="360" w:lineRule="auto"/>
              <w:jc w:val="center"/>
              <w:rPr>
                <w:rFonts w:ascii="宋体" w:hAnsi="宋体"/>
              </w:rPr>
            </w:pPr>
            <w:r>
              <w:rPr>
                <w:rFonts w:hint="eastAsia" w:ascii="宋体" w:hAnsi="宋体"/>
              </w:rPr>
              <w:t>人民币592</w:t>
            </w:r>
            <w:r>
              <w:rPr>
                <w:rFonts w:ascii="宋体" w:hAnsi="宋体"/>
              </w:rPr>
              <w:t>,</w:t>
            </w:r>
            <w:r>
              <w:rPr>
                <w:rFonts w:hint="eastAsia" w:ascii="宋体" w:hAnsi="宋体"/>
              </w:rPr>
              <w:t>000</w:t>
            </w:r>
            <w:r>
              <w:rPr>
                <w:rFonts w:ascii="宋体" w:hAnsi="宋体"/>
              </w:rPr>
              <w:t>.00</w:t>
            </w:r>
            <w:r>
              <w:rPr>
                <w:rFonts w:hint="eastAsia" w:ascii="宋体" w:hAnsi="宋体"/>
              </w:rPr>
              <w:t>元</w:t>
            </w:r>
          </w:p>
        </w:tc>
      </w:tr>
    </w:tbl>
    <w:p>
      <w:pPr>
        <w:spacing w:line="360" w:lineRule="auto"/>
        <w:ind w:firstLine="420" w:firstLineChars="200"/>
        <w:rPr>
          <w:rFonts w:ascii="宋体" w:hAnsi="宋体"/>
        </w:rPr>
      </w:pPr>
    </w:p>
    <w:p>
      <w:pPr>
        <w:pStyle w:val="24"/>
        <w:numPr>
          <w:ilvl w:val="0"/>
          <w:numId w:val="12"/>
        </w:numPr>
        <w:tabs>
          <w:tab w:val="left" w:pos="540"/>
        </w:tabs>
        <w:snapToGrid w:val="0"/>
        <w:ind w:left="422" w:hanging="422"/>
        <w:rPr>
          <w:rFonts w:hAnsi="宋体"/>
          <w:b/>
        </w:rPr>
      </w:pPr>
      <w:r>
        <w:rPr>
          <w:rFonts w:hint="eastAsia" w:hAnsi="宋体"/>
          <w:b/>
        </w:rPr>
        <w:t>勘测调查范围</w:t>
      </w:r>
    </w:p>
    <w:p>
      <w:pPr>
        <w:pStyle w:val="24"/>
        <w:tabs>
          <w:tab w:val="left" w:pos="540"/>
        </w:tabs>
        <w:snapToGrid w:val="0"/>
        <w:ind w:firstLine="420" w:firstLineChars="200"/>
        <w:rPr>
          <w:rFonts w:hAnsi="宋体"/>
          <w:sz w:val="21"/>
          <w:szCs w:val="21"/>
        </w:rPr>
      </w:pPr>
      <w:r>
        <w:rPr>
          <w:rFonts w:hint="eastAsia" w:hAnsi="宋体"/>
          <w:sz w:val="21"/>
          <w:szCs w:val="21"/>
        </w:rPr>
        <w:t>1、</w:t>
      </w:r>
      <w:r>
        <w:rPr>
          <w:rFonts w:hAnsi="宋体"/>
          <w:sz w:val="21"/>
          <w:szCs w:val="21"/>
        </w:rPr>
        <w:t>7处土地面积约47174.21平方米，其中天河区6处，越秀区1处。</w:t>
      </w:r>
    </w:p>
    <w:p>
      <w:pPr>
        <w:pStyle w:val="24"/>
        <w:numPr>
          <w:ilvl w:val="0"/>
          <w:numId w:val="13"/>
        </w:numPr>
        <w:tabs>
          <w:tab w:val="left" w:pos="540"/>
        </w:tabs>
        <w:snapToGrid w:val="0"/>
        <w:ind w:firstLine="420" w:firstLineChars="200"/>
        <w:rPr>
          <w:rFonts w:hAnsi="宋体"/>
          <w:sz w:val="21"/>
          <w:szCs w:val="21"/>
        </w:rPr>
      </w:pPr>
      <w:r>
        <w:rPr>
          <w:rFonts w:hint="eastAsia" w:hAnsi="宋体"/>
          <w:sz w:val="21"/>
          <w:szCs w:val="21"/>
        </w:rPr>
        <w:t>土地基本情况：</w:t>
      </w:r>
    </w:p>
    <w:tbl>
      <w:tblPr>
        <w:tblStyle w:val="39"/>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2634"/>
        <w:gridCol w:w="1796"/>
        <w:gridCol w:w="4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2" w:type="dxa"/>
            <w:shd w:val="clear" w:color="auto" w:fill="auto"/>
            <w:vAlign w:val="center"/>
          </w:tcPr>
          <w:p>
            <w:pPr>
              <w:spacing w:line="360" w:lineRule="auto"/>
              <w:jc w:val="center"/>
              <w:rPr>
                <w:szCs w:val="32"/>
              </w:rPr>
            </w:pPr>
            <w:r>
              <w:rPr>
                <w:szCs w:val="32"/>
              </w:rPr>
              <w:t>序号</w:t>
            </w:r>
          </w:p>
        </w:tc>
        <w:tc>
          <w:tcPr>
            <w:tcW w:w="2634" w:type="dxa"/>
            <w:shd w:val="clear" w:color="auto" w:fill="auto"/>
            <w:vAlign w:val="center"/>
          </w:tcPr>
          <w:p>
            <w:pPr>
              <w:spacing w:line="360" w:lineRule="auto"/>
              <w:jc w:val="center"/>
              <w:rPr>
                <w:szCs w:val="32"/>
              </w:rPr>
            </w:pPr>
            <w:r>
              <w:rPr>
                <w:szCs w:val="32"/>
              </w:rPr>
              <w:t>名称</w:t>
            </w:r>
          </w:p>
        </w:tc>
        <w:tc>
          <w:tcPr>
            <w:tcW w:w="1796" w:type="dxa"/>
            <w:shd w:val="clear" w:color="auto" w:fill="auto"/>
            <w:vAlign w:val="center"/>
          </w:tcPr>
          <w:p>
            <w:pPr>
              <w:spacing w:line="360" w:lineRule="auto"/>
              <w:jc w:val="center"/>
              <w:rPr>
                <w:szCs w:val="32"/>
              </w:rPr>
            </w:pPr>
            <w:r>
              <w:rPr>
                <w:rFonts w:hint="eastAsia"/>
                <w:szCs w:val="32"/>
              </w:rPr>
              <w:t>土地</w:t>
            </w:r>
            <w:r>
              <w:rPr>
                <w:szCs w:val="32"/>
              </w:rPr>
              <w:t>面积</w:t>
            </w:r>
          </w:p>
          <w:p>
            <w:pPr>
              <w:spacing w:line="360" w:lineRule="auto"/>
              <w:jc w:val="center"/>
              <w:rPr>
                <w:szCs w:val="32"/>
              </w:rPr>
            </w:pPr>
            <w:r>
              <w:rPr>
                <w:szCs w:val="32"/>
              </w:rPr>
              <w:t>（平方米）</w:t>
            </w:r>
          </w:p>
        </w:tc>
        <w:tc>
          <w:tcPr>
            <w:tcW w:w="4222" w:type="dxa"/>
            <w:shd w:val="clear" w:color="auto" w:fill="auto"/>
            <w:vAlign w:val="center"/>
          </w:tcPr>
          <w:p>
            <w:pPr>
              <w:spacing w:line="360" w:lineRule="auto"/>
              <w:jc w:val="center"/>
              <w:rPr>
                <w:szCs w:val="32"/>
              </w:rPr>
            </w:pPr>
            <w:r>
              <w:rPr>
                <w:szCs w:val="32"/>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1</w:t>
            </w:r>
          </w:p>
        </w:tc>
        <w:tc>
          <w:tcPr>
            <w:tcW w:w="2634" w:type="dxa"/>
            <w:shd w:val="clear" w:color="auto" w:fill="auto"/>
            <w:vAlign w:val="center"/>
          </w:tcPr>
          <w:p>
            <w:pPr>
              <w:spacing w:line="360" w:lineRule="auto"/>
              <w:jc w:val="center"/>
              <w:rPr>
                <w:szCs w:val="32"/>
              </w:rPr>
            </w:pPr>
            <w:r>
              <w:rPr>
                <w:szCs w:val="32"/>
              </w:rPr>
              <w:t>总站机关院区</w:t>
            </w:r>
          </w:p>
        </w:tc>
        <w:tc>
          <w:tcPr>
            <w:tcW w:w="1796" w:type="dxa"/>
            <w:shd w:val="clear" w:color="auto" w:fill="auto"/>
            <w:vAlign w:val="center"/>
          </w:tcPr>
          <w:p>
            <w:pPr>
              <w:spacing w:line="360" w:lineRule="auto"/>
              <w:jc w:val="center"/>
              <w:rPr>
                <w:szCs w:val="32"/>
              </w:rPr>
            </w:pPr>
            <w:r>
              <w:rPr>
                <w:szCs w:val="32"/>
              </w:rPr>
              <w:t>17551.37</w:t>
            </w:r>
          </w:p>
        </w:tc>
        <w:tc>
          <w:tcPr>
            <w:tcW w:w="4222" w:type="dxa"/>
            <w:shd w:val="clear" w:color="auto" w:fill="auto"/>
            <w:vAlign w:val="center"/>
          </w:tcPr>
          <w:p>
            <w:pPr>
              <w:spacing w:line="360" w:lineRule="auto"/>
              <w:jc w:val="center"/>
              <w:rPr>
                <w:szCs w:val="32"/>
              </w:rPr>
            </w:pPr>
            <w:r>
              <w:rPr>
                <w:szCs w:val="32"/>
              </w:rPr>
              <w:t>广州市天河区中山大道中489号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2</w:t>
            </w:r>
          </w:p>
        </w:tc>
        <w:tc>
          <w:tcPr>
            <w:tcW w:w="2634" w:type="dxa"/>
            <w:shd w:val="clear" w:color="auto" w:fill="auto"/>
            <w:vAlign w:val="center"/>
          </w:tcPr>
          <w:p>
            <w:pPr>
              <w:spacing w:line="360" w:lineRule="auto"/>
              <w:jc w:val="center"/>
              <w:rPr>
                <w:szCs w:val="32"/>
              </w:rPr>
            </w:pPr>
            <w:r>
              <w:rPr>
                <w:szCs w:val="32"/>
              </w:rPr>
              <w:t>嘉逸皇冠酒店</w:t>
            </w:r>
          </w:p>
        </w:tc>
        <w:tc>
          <w:tcPr>
            <w:tcW w:w="1796" w:type="dxa"/>
            <w:shd w:val="clear" w:color="auto" w:fill="auto"/>
            <w:vAlign w:val="center"/>
          </w:tcPr>
          <w:p>
            <w:pPr>
              <w:spacing w:line="360" w:lineRule="auto"/>
              <w:jc w:val="center"/>
              <w:rPr>
                <w:szCs w:val="32"/>
              </w:rPr>
            </w:pPr>
            <w:r>
              <w:rPr>
                <w:szCs w:val="32"/>
              </w:rPr>
              <w:t>10549.72</w:t>
            </w:r>
          </w:p>
        </w:tc>
        <w:tc>
          <w:tcPr>
            <w:tcW w:w="4222" w:type="dxa"/>
            <w:shd w:val="clear" w:color="auto" w:fill="auto"/>
            <w:vAlign w:val="center"/>
          </w:tcPr>
          <w:p>
            <w:pPr>
              <w:spacing w:line="360" w:lineRule="auto"/>
              <w:jc w:val="center"/>
              <w:rPr>
                <w:szCs w:val="32"/>
              </w:rPr>
            </w:pPr>
            <w:r>
              <w:rPr>
                <w:szCs w:val="32"/>
              </w:rPr>
              <w:t>广州市天河区中山大道中483号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3</w:t>
            </w:r>
          </w:p>
        </w:tc>
        <w:tc>
          <w:tcPr>
            <w:tcW w:w="2634" w:type="dxa"/>
            <w:shd w:val="clear" w:color="auto" w:fill="auto"/>
            <w:vAlign w:val="center"/>
          </w:tcPr>
          <w:p>
            <w:pPr>
              <w:spacing w:line="360" w:lineRule="auto"/>
              <w:jc w:val="center"/>
              <w:rPr>
                <w:szCs w:val="32"/>
              </w:rPr>
            </w:pPr>
            <w:r>
              <w:rPr>
                <w:szCs w:val="32"/>
              </w:rPr>
              <w:t>天河路综合楼</w:t>
            </w:r>
          </w:p>
        </w:tc>
        <w:tc>
          <w:tcPr>
            <w:tcW w:w="1796" w:type="dxa"/>
            <w:shd w:val="clear" w:color="auto" w:fill="auto"/>
            <w:vAlign w:val="center"/>
          </w:tcPr>
          <w:p>
            <w:pPr>
              <w:spacing w:line="360" w:lineRule="auto"/>
              <w:jc w:val="center"/>
              <w:rPr>
                <w:szCs w:val="32"/>
              </w:rPr>
            </w:pPr>
            <w:r>
              <w:rPr>
                <w:szCs w:val="32"/>
              </w:rPr>
              <w:t>4092</w:t>
            </w:r>
          </w:p>
        </w:tc>
        <w:tc>
          <w:tcPr>
            <w:tcW w:w="4222" w:type="dxa"/>
            <w:shd w:val="clear" w:color="auto" w:fill="auto"/>
            <w:vAlign w:val="center"/>
          </w:tcPr>
          <w:p>
            <w:pPr>
              <w:spacing w:line="360" w:lineRule="auto"/>
              <w:jc w:val="center"/>
              <w:rPr>
                <w:szCs w:val="32"/>
              </w:rPr>
            </w:pPr>
            <w:r>
              <w:rPr>
                <w:szCs w:val="32"/>
              </w:rPr>
              <w:t>广州市天河区天河路89号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4</w:t>
            </w:r>
          </w:p>
        </w:tc>
        <w:tc>
          <w:tcPr>
            <w:tcW w:w="2634" w:type="dxa"/>
            <w:shd w:val="clear" w:color="auto" w:fill="auto"/>
            <w:vAlign w:val="center"/>
          </w:tcPr>
          <w:p>
            <w:pPr>
              <w:spacing w:line="360" w:lineRule="auto"/>
              <w:jc w:val="center"/>
              <w:rPr>
                <w:szCs w:val="32"/>
              </w:rPr>
            </w:pPr>
            <w:r>
              <w:rPr>
                <w:szCs w:val="32"/>
              </w:rPr>
              <w:t>文工团院区</w:t>
            </w:r>
          </w:p>
        </w:tc>
        <w:tc>
          <w:tcPr>
            <w:tcW w:w="1796" w:type="dxa"/>
            <w:shd w:val="clear" w:color="auto" w:fill="auto"/>
            <w:vAlign w:val="center"/>
          </w:tcPr>
          <w:p>
            <w:pPr>
              <w:spacing w:line="360" w:lineRule="auto"/>
              <w:jc w:val="center"/>
              <w:rPr>
                <w:szCs w:val="32"/>
              </w:rPr>
            </w:pPr>
            <w:r>
              <w:rPr>
                <w:szCs w:val="32"/>
              </w:rPr>
              <w:t>4200</w:t>
            </w:r>
          </w:p>
        </w:tc>
        <w:tc>
          <w:tcPr>
            <w:tcW w:w="4222" w:type="dxa"/>
            <w:shd w:val="clear" w:color="auto" w:fill="auto"/>
            <w:vAlign w:val="center"/>
          </w:tcPr>
          <w:p>
            <w:pPr>
              <w:spacing w:line="360" w:lineRule="auto"/>
              <w:jc w:val="center"/>
              <w:rPr>
                <w:szCs w:val="32"/>
              </w:rPr>
            </w:pPr>
            <w:r>
              <w:rPr>
                <w:szCs w:val="32"/>
              </w:rPr>
              <w:t>广州市天河区元岗路399-11、13号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5</w:t>
            </w:r>
          </w:p>
        </w:tc>
        <w:tc>
          <w:tcPr>
            <w:tcW w:w="2634" w:type="dxa"/>
            <w:shd w:val="clear" w:color="auto" w:fill="auto"/>
            <w:vAlign w:val="center"/>
          </w:tcPr>
          <w:p>
            <w:pPr>
              <w:spacing w:line="360" w:lineRule="auto"/>
              <w:jc w:val="center"/>
              <w:rPr>
                <w:szCs w:val="32"/>
              </w:rPr>
            </w:pPr>
            <w:r>
              <w:rPr>
                <w:szCs w:val="32"/>
              </w:rPr>
              <w:t>广武酒店</w:t>
            </w:r>
          </w:p>
        </w:tc>
        <w:tc>
          <w:tcPr>
            <w:tcW w:w="1796" w:type="dxa"/>
            <w:shd w:val="clear" w:color="auto" w:fill="auto"/>
            <w:vAlign w:val="center"/>
          </w:tcPr>
          <w:p>
            <w:pPr>
              <w:spacing w:line="360" w:lineRule="auto"/>
              <w:jc w:val="center"/>
              <w:rPr>
                <w:szCs w:val="32"/>
              </w:rPr>
            </w:pPr>
            <w:r>
              <w:rPr>
                <w:szCs w:val="32"/>
              </w:rPr>
              <w:t>2910</w:t>
            </w:r>
          </w:p>
        </w:tc>
        <w:tc>
          <w:tcPr>
            <w:tcW w:w="4222" w:type="dxa"/>
            <w:shd w:val="clear" w:color="auto" w:fill="auto"/>
            <w:vAlign w:val="center"/>
          </w:tcPr>
          <w:p>
            <w:pPr>
              <w:spacing w:line="360" w:lineRule="auto"/>
              <w:jc w:val="center"/>
              <w:rPr>
                <w:szCs w:val="32"/>
              </w:rPr>
            </w:pPr>
            <w:r>
              <w:rPr>
                <w:szCs w:val="32"/>
              </w:rPr>
              <w:t>广州市天河区天河路603号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6</w:t>
            </w:r>
          </w:p>
        </w:tc>
        <w:tc>
          <w:tcPr>
            <w:tcW w:w="2634" w:type="dxa"/>
            <w:shd w:val="clear" w:color="auto" w:fill="auto"/>
            <w:vAlign w:val="center"/>
          </w:tcPr>
          <w:p>
            <w:pPr>
              <w:spacing w:line="360" w:lineRule="auto"/>
              <w:jc w:val="center"/>
              <w:rPr>
                <w:szCs w:val="32"/>
              </w:rPr>
            </w:pPr>
            <w:r>
              <w:rPr>
                <w:szCs w:val="32"/>
              </w:rPr>
              <w:t>天河大院</w:t>
            </w:r>
          </w:p>
        </w:tc>
        <w:tc>
          <w:tcPr>
            <w:tcW w:w="1796" w:type="dxa"/>
            <w:shd w:val="clear" w:color="auto" w:fill="auto"/>
            <w:vAlign w:val="center"/>
          </w:tcPr>
          <w:p>
            <w:pPr>
              <w:spacing w:line="360" w:lineRule="auto"/>
              <w:jc w:val="center"/>
              <w:rPr>
                <w:szCs w:val="32"/>
              </w:rPr>
            </w:pPr>
            <w:r>
              <w:rPr>
                <w:szCs w:val="32"/>
              </w:rPr>
              <w:t>510</w:t>
            </w:r>
          </w:p>
        </w:tc>
        <w:tc>
          <w:tcPr>
            <w:tcW w:w="4222" w:type="dxa"/>
            <w:shd w:val="clear" w:color="auto" w:fill="auto"/>
            <w:vAlign w:val="center"/>
          </w:tcPr>
          <w:p>
            <w:pPr>
              <w:spacing w:line="360" w:lineRule="auto"/>
              <w:jc w:val="center"/>
              <w:rPr>
                <w:szCs w:val="32"/>
              </w:rPr>
            </w:pPr>
            <w:r>
              <w:rPr>
                <w:szCs w:val="32"/>
              </w:rPr>
              <w:t>广州市天河区天河路126号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7</w:t>
            </w:r>
          </w:p>
        </w:tc>
        <w:tc>
          <w:tcPr>
            <w:tcW w:w="2634" w:type="dxa"/>
            <w:shd w:val="clear" w:color="auto" w:fill="auto"/>
            <w:vAlign w:val="center"/>
          </w:tcPr>
          <w:p>
            <w:pPr>
              <w:spacing w:line="360" w:lineRule="auto"/>
              <w:jc w:val="center"/>
              <w:rPr>
                <w:szCs w:val="32"/>
              </w:rPr>
            </w:pPr>
            <w:r>
              <w:rPr>
                <w:szCs w:val="32"/>
              </w:rPr>
              <w:t>站西路</w:t>
            </w:r>
          </w:p>
        </w:tc>
        <w:tc>
          <w:tcPr>
            <w:tcW w:w="1796" w:type="dxa"/>
            <w:shd w:val="clear" w:color="auto" w:fill="auto"/>
            <w:vAlign w:val="center"/>
          </w:tcPr>
          <w:p>
            <w:pPr>
              <w:spacing w:line="360" w:lineRule="auto"/>
              <w:jc w:val="center"/>
              <w:rPr>
                <w:szCs w:val="32"/>
              </w:rPr>
            </w:pPr>
            <w:r>
              <w:rPr>
                <w:szCs w:val="32"/>
              </w:rPr>
              <w:t>7361.12</w:t>
            </w:r>
          </w:p>
        </w:tc>
        <w:tc>
          <w:tcPr>
            <w:tcW w:w="4222" w:type="dxa"/>
            <w:shd w:val="clear" w:color="auto" w:fill="auto"/>
            <w:vAlign w:val="center"/>
          </w:tcPr>
          <w:p>
            <w:pPr>
              <w:spacing w:line="360" w:lineRule="auto"/>
              <w:jc w:val="center"/>
              <w:rPr>
                <w:szCs w:val="32"/>
              </w:rPr>
            </w:pPr>
            <w:r>
              <w:rPr>
                <w:szCs w:val="32"/>
              </w:rPr>
              <w:t>广州市越秀区站西路39号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rFonts w:hint="eastAsia"/>
                <w:szCs w:val="32"/>
              </w:rPr>
              <w:t>合计</w:t>
            </w:r>
          </w:p>
        </w:tc>
        <w:tc>
          <w:tcPr>
            <w:tcW w:w="2634" w:type="dxa"/>
            <w:shd w:val="clear" w:color="auto" w:fill="auto"/>
            <w:vAlign w:val="center"/>
          </w:tcPr>
          <w:p>
            <w:pPr>
              <w:spacing w:line="360" w:lineRule="auto"/>
              <w:jc w:val="center"/>
              <w:rPr>
                <w:szCs w:val="32"/>
              </w:rPr>
            </w:pPr>
          </w:p>
        </w:tc>
        <w:tc>
          <w:tcPr>
            <w:tcW w:w="1796" w:type="dxa"/>
            <w:shd w:val="clear" w:color="auto" w:fill="auto"/>
            <w:vAlign w:val="center"/>
          </w:tcPr>
          <w:p>
            <w:pPr>
              <w:spacing w:line="360" w:lineRule="auto"/>
              <w:jc w:val="center"/>
              <w:rPr>
                <w:szCs w:val="32"/>
              </w:rPr>
            </w:pPr>
            <w:r>
              <w:rPr>
                <w:szCs w:val="32"/>
              </w:rPr>
              <w:t>47174.21</w:t>
            </w:r>
          </w:p>
        </w:tc>
        <w:tc>
          <w:tcPr>
            <w:tcW w:w="4222" w:type="dxa"/>
            <w:shd w:val="clear" w:color="auto" w:fill="auto"/>
            <w:vAlign w:val="center"/>
          </w:tcPr>
          <w:p>
            <w:pPr>
              <w:spacing w:line="360" w:lineRule="auto"/>
              <w:jc w:val="center"/>
              <w:rPr>
                <w:szCs w:val="32"/>
              </w:rPr>
            </w:pPr>
          </w:p>
        </w:tc>
      </w:tr>
    </w:tbl>
    <w:p>
      <w:pPr>
        <w:pStyle w:val="24"/>
        <w:tabs>
          <w:tab w:val="left" w:pos="540"/>
        </w:tabs>
        <w:snapToGrid w:val="0"/>
        <w:ind w:left="420" w:leftChars="200" w:firstLine="0"/>
        <w:rPr>
          <w:rFonts w:hAnsi="宋体"/>
          <w:sz w:val="21"/>
          <w:szCs w:val="21"/>
        </w:rPr>
      </w:pPr>
    </w:p>
    <w:p>
      <w:pPr>
        <w:pStyle w:val="24"/>
        <w:tabs>
          <w:tab w:val="left" w:pos="540"/>
        </w:tabs>
        <w:snapToGrid w:val="0"/>
        <w:ind w:left="422" w:hanging="422"/>
        <w:rPr>
          <w:rFonts w:hAnsi="宋体" w:cs="宋体"/>
          <w:b/>
          <w:szCs w:val="24"/>
        </w:rPr>
      </w:pPr>
      <w:r>
        <w:rPr>
          <w:rFonts w:hint="eastAsia" w:hAnsi="宋体" w:cs="宋体"/>
          <w:b/>
          <w:szCs w:val="24"/>
        </w:rPr>
        <w:t>三、项目内容</w:t>
      </w:r>
    </w:p>
    <w:p>
      <w:pPr>
        <w:spacing w:line="360" w:lineRule="auto"/>
        <w:ind w:firstLine="420" w:firstLineChars="200"/>
        <w:rPr>
          <w:rFonts w:ascii="宋体" w:hAnsi="宋体"/>
          <w:szCs w:val="21"/>
        </w:rPr>
      </w:pPr>
      <w:r>
        <w:rPr>
          <w:rFonts w:hint="eastAsia" w:ascii="宋体" w:hAnsi="宋体"/>
          <w:szCs w:val="21"/>
        </w:rPr>
        <w:t>中标人负责为总站机关</w:t>
      </w:r>
      <w:r>
        <w:rPr>
          <w:rFonts w:ascii="宋体" w:hAnsi="宋体"/>
          <w:szCs w:val="21"/>
        </w:rPr>
        <w:t>7处土地开展土地权籍调查工作，包括地籍调查和不动产权籍调查</w:t>
      </w:r>
      <w:r>
        <w:rPr>
          <w:rFonts w:hint="eastAsia" w:ascii="宋体" w:hAnsi="宋体"/>
          <w:szCs w:val="21"/>
        </w:rPr>
        <w:t>，并出具权籍调查成果，权籍调查成果需满足相关规范、标准与不动产登记部门入案的要求，作为办理土地确权、取得土地《不动产权证》的重要依据。</w:t>
      </w:r>
    </w:p>
    <w:p>
      <w:pPr>
        <w:pStyle w:val="24"/>
        <w:tabs>
          <w:tab w:val="left" w:pos="540"/>
        </w:tabs>
        <w:snapToGrid w:val="0"/>
        <w:ind w:left="422" w:hanging="422"/>
        <w:rPr>
          <w:rFonts w:hAnsi="宋体" w:cs="宋体"/>
          <w:b/>
          <w:szCs w:val="24"/>
        </w:rPr>
      </w:pPr>
      <w:r>
        <w:rPr>
          <w:rFonts w:hint="eastAsia" w:hAnsi="宋体" w:cs="宋体"/>
          <w:b/>
          <w:szCs w:val="24"/>
        </w:rPr>
        <w:t>四、项目标准</w:t>
      </w:r>
    </w:p>
    <w:p>
      <w:pPr>
        <w:spacing w:line="360" w:lineRule="auto"/>
        <w:ind w:firstLine="420" w:firstLineChars="200"/>
        <w:rPr>
          <w:rFonts w:ascii="宋体" w:hAnsi="宋体"/>
          <w:szCs w:val="21"/>
        </w:rPr>
      </w:pPr>
      <w:r>
        <w:rPr>
          <w:rFonts w:hint="eastAsia" w:ascii="宋体" w:hAnsi="宋体"/>
          <w:szCs w:val="21"/>
        </w:rPr>
        <w:t>1、技术标准</w:t>
      </w:r>
    </w:p>
    <w:p>
      <w:pPr>
        <w:pStyle w:val="47"/>
        <w:ind w:firstLine="420"/>
        <w:rPr>
          <w:rFonts w:ascii="宋体" w:hAnsi="宋体"/>
          <w:szCs w:val="21"/>
        </w:rPr>
      </w:pPr>
      <w:r>
        <w:rPr>
          <w:rFonts w:hint="eastAsia" w:ascii="宋体" w:hAnsi="宋体"/>
          <w:szCs w:val="21"/>
        </w:rPr>
        <w:t>（1）《城市测量规范》 CJJ/T 8-2011；</w:t>
      </w:r>
    </w:p>
    <w:p>
      <w:pPr>
        <w:pStyle w:val="47"/>
        <w:ind w:firstLine="420"/>
        <w:rPr>
          <w:rFonts w:ascii="宋体" w:hAnsi="宋体"/>
          <w:szCs w:val="21"/>
        </w:rPr>
      </w:pPr>
      <w:r>
        <w:rPr>
          <w:rFonts w:hint="eastAsia" w:ascii="宋体" w:hAnsi="宋体"/>
          <w:szCs w:val="21"/>
        </w:rPr>
        <w:t>（2）《卫星定位城市测量技术标准》CJJ/T73-2019</w:t>
      </w:r>
    </w:p>
    <w:p>
      <w:pPr>
        <w:pStyle w:val="47"/>
        <w:ind w:firstLine="420"/>
        <w:rPr>
          <w:rFonts w:ascii="宋体" w:hAnsi="宋体"/>
          <w:szCs w:val="21"/>
        </w:rPr>
      </w:pPr>
      <w:r>
        <w:rPr>
          <w:rFonts w:hint="eastAsia" w:ascii="宋体" w:hAnsi="宋体"/>
          <w:szCs w:val="21"/>
        </w:rPr>
        <w:t>（3）《土地利用现状分类》GB/T 21010—2017；</w:t>
      </w:r>
    </w:p>
    <w:p>
      <w:pPr>
        <w:pStyle w:val="47"/>
        <w:ind w:firstLine="420"/>
        <w:rPr>
          <w:rFonts w:ascii="宋体" w:hAnsi="宋体"/>
          <w:szCs w:val="21"/>
        </w:rPr>
      </w:pPr>
      <w:r>
        <w:rPr>
          <w:rFonts w:hint="eastAsia" w:ascii="宋体" w:hAnsi="宋体"/>
          <w:szCs w:val="21"/>
        </w:rPr>
        <w:t>（4）《1:500 1:1000 1:2000地形图图式》DB4401T 166—2022；</w:t>
      </w:r>
    </w:p>
    <w:p>
      <w:pPr>
        <w:pStyle w:val="47"/>
        <w:ind w:firstLine="420"/>
        <w:rPr>
          <w:rFonts w:ascii="宋体" w:hAnsi="宋体"/>
          <w:szCs w:val="21"/>
        </w:rPr>
      </w:pPr>
      <w:r>
        <w:rPr>
          <w:rFonts w:hint="eastAsia" w:ascii="宋体" w:hAnsi="宋体"/>
          <w:szCs w:val="21"/>
        </w:rPr>
        <w:t>（5）《数字地图测绘技术规程》DB4401/T 31-2019；</w:t>
      </w:r>
    </w:p>
    <w:p>
      <w:pPr>
        <w:pStyle w:val="47"/>
        <w:ind w:firstLine="420"/>
        <w:rPr>
          <w:rFonts w:ascii="宋体" w:hAnsi="宋体"/>
          <w:szCs w:val="21"/>
        </w:rPr>
      </w:pPr>
      <w:r>
        <w:rPr>
          <w:rFonts w:hint="eastAsia" w:ascii="宋体" w:hAnsi="宋体"/>
          <w:szCs w:val="21"/>
        </w:rPr>
        <w:t>（6）《地籍调查规程》DB4401/T 2-2018；</w:t>
      </w:r>
    </w:p>
    <w:p>
      <w:pPr>
        <w:pStyle w:val="47"/>
        <w:ind w:firstLine="420"/>
        <w:rPr>
          <w:rFonts w:ascii="宋体" w:hAnsi="宋体"/>
          <w:szCs w:val="21"/>
        </w:rPr>
      </w:pPr>
      <w:r>
        <w:rPr>
          <w:rFonts w:hint="eastAsia" w:ascii="宋体" w:hAnsi="宋体"/>
          <w:szCs w:val="21"/>
        </w:rPr>
        <w:t>（7）《测绘成果质量检查与验收》GB/T 24356-2023。</w:t>
      </w:r>
    </w:p>
    <w:p>
      <w:pPr>
        <w:pStyle w:val="47"/>
        <w:ind w:firstLine="420"/>
        <w:rPr>
          <w:rFonts w:ascii="宋体" w:hAnsi="宋体"/>
          <w:szCs w:val="21"/>
        </w:rPr>
      </w:pPr>
      <w:r>
        <w:rPr>
          <w:rFonts w:hint="eastAsia" w:ascii="宋体" w:hAnsi="宋体"/>
          <w:szCs w:val="21"/>
        </w:rPr>
        <w:t>2、其他标准</w:t>
      </w:r>
    </w:p>
    <w:p>
      <w:pPr>
        <w:pStyle w:val="47"/>
        <w:ind w:firstLine="420"/>
        <w:rPr>
          <w:rFonts w:ascii="宋体" w:hAnsi="宋体"/>
          <w:szCs w:val="21"/>
        </w:rPr>
      </w:pPr>
      <w:r>
        <w:rPr>
          <w:rFonts w:ascii="宋体" w:hAnsi="宋体"/>
          <w:szCs w:val="21"/>
        </w:rPr>
        <w:t>采用广州2000平面坐标、2000国家大地坐标和广州高程系统。</w:t>
      </w:r>
    </w:p>
    <w:p>
      <w:pPr>
        <w:pStyle w:val="24"/>
        <w:tabs>
          <w:tab w:val="left" w:pos="540"/>
        </w:tabs>
        <w:snapToGrid w:val="0"/>
        <w:ind w:left="422" w:hanging="422"/>
        <w:rPr>
          <w:rFonts w:hAnsi="宋体" w:cs="宋体"/>
          <w:b/>
          <w:sz w:val="21"/>
          <w:szCs w:val="21"/>
        </w:rPr>
      </w:pPr>
      <w:r>
        <w:rPr>
          <w:rFonts w:hint="eastAsia" w:hAnsi="宋体" w:cs="宋体"/>
          <w:b/>
          <w:szCs w:val="24"/>
        </w:rPr>
        <w:t>五、付款方式</w:t>
      </w:r>
    </w:p>
    <w:p>
      <w:pPr>
        <w:spacing w:line="360" w:lineRule="auto"/>
        <w:ind w:firstLine="420" w:firstLineChars="200"/>
        <w:rPr>
          <w:rFonts w:ascii="宋体" w:hAnsi="宋体"/>
          <w:szCs w:val="21"/>
        </w:rPr>
      </w:pPr>
      <w:r>
        <w:rPr>
          <w:rFonts w:hint="eastAsia" w:ascii="宋体" w:hAnsi="宋体"/>
          <w:szCs w:val="21"/>
        </w:rPr>
        <w:t>（1）合同签订并生效后，中标人向采购人开具合法等额有效的发票起10个工作日内，采购人向中标人支付本项目合同技术服务费的30%；</w:t>
      </w:r>
    </w:p>
    <w:p>
      <w:pPr>
        <w:spacing w:line="360" w:lineRule="auto"/>
        <w:ind w:firstLine="420" w:firstLineChars="200"/>
        <w:rPr>
          <w:rFonts w:ascii="宋体" w:hAnsi="宋体"/>
          <w:szCs w:val="21"/>
        </w:rPr>
      </w:pPr>
      <w:r>
        <w:rPr>
          <w:rFonts w:hint="eastAsia" w:ascii="宋体" w:hAnsi="宋体"/>
          <w:szCs w:val="21"/>
        </w:rPr>
        <w:t>（2）中标人向采购人出具7处地籍调查表且满足不动产登记部门入案要求后，采购人向中标人支付本项目合同技术服务费的40%；</w:t>
      </w:r>
    </w:p>
    <w:p>
      <w:pPr>
        <w:spacing w:line="360" w:lineRule="auto"/>
        <w:ind w:firstLine="420" w:firstLineChars="200"/>
        <w:rPr>
          <w:rFonts w:ascii="宋体" w:hAnsi="宋体"/>
          <w:szCs w:val="21"/>
        </w:rPr>
      </w:pPr>
      <w:r>
        <w:rPr>
          <w:rFonts w:hint="eastAsia" w:ascii="宋体" w:hAnsi="宋体"/>
          <w:szCs w:val="21"/>
        </w:rPr>
        <w:t>（3）中标人向采购人出具7处土地不动产权籍调查报告且满足不动产登记部门入案要求后，采购人向中标人支付本项目合同技术服务费的30%；</w:t>
      </w:r>
    </w:p>
    <w:p>
      <w:pPr>
        <w:spacing w:line="360" w:lineRule="auto"/>
        <w:ind w:firstLine="420" w:firstLineChars="200"/>
        <w:rPr>
          <w:rFonts w:ascii="宋体" w:hAnsi="宋体"/>
          <w:szCs w:val="21"/>
        </w:rPr>
      </w:pPr>
      <w:r>
        <w:rPr>
          <w:rFonts w:hint="eastAsia" w:ascii="宋体" w:hAnsi="宋体"/>
          <w:szCs w:val="21"/>
        </w:rPr>
        <w:t>（4）本项目的付款时间是指采购人向财务部门提交付款申请的时间（不含财务部门的审核和支付时间），在规定时间内提交付款申请即视采购人已履行付款义务，中标人不得以付款期限已过为由向采购人索赔或要求支付违约金；</w:t>
      </w:r>
    </w:p>
    <w:p>
      <w:pPr>
        <w:spacing w:line="360" w:lineRule="auto"/>
        <w:ind w:firstLine="420" w:firstLineChars="200"/>
        <w:rPr>
          <w:rFonts w:ascii="宋体" w:hAnsi="宋体"/>
          <w:szCs w:val="21"/>
        </w:rPr>
      </w:pPr>
      <w:r>
        <w:rPr>
          <w:rFonts w:hint="eastAsia" w:ascii="宋体" w:hAnsi="宋体"/>
          <w:szCs w:val="21"/>
        </w:rPr>
        <w:t>（5）付款方式：采用支票、银行汇票、电汇三种形式。</w:t>
      </w:r>
    </w:p>
    <w:p>
      <w:pPr>
        <w:spacing w:line="360" w:lineRule="auto"/>
        <w:ind w:firstLine="420" w:firstLineChars="200"/>
        <w:rPr>
          <w:rFonts w:ascii="宋体" w:hAnsi="宋体"/>
          <w:szCs w:val="21"/>
        </w:rPr>
      </w:pPr>
      <w:r>
        <w:rPr>
          <w:rFonts w:hint="eastAsia" w:ascii="宋体" w:hAnsi="宋体"/>
          <w:szCs w:val="21"/>
        </w:rPr>
        <w:t>（6）中标价格已包含中标人提供服务所需的所有费用，采购人不再另行支付费用。</w:t>
      </w:r>
    </w:p>
    <w:p>
      <w:pPr>
        <w:pStyle w:val="24"/>
        <w:tabs>
          <w:tab w:val="left" w:pos="540"/>
        </w:tabs>
        <w:snapToGrid w:val="0"/>
        <w:ind w:left="422" w:hanging="422"/>
        <w:rPr>
          <w:rFonts w:hAnsi="宋体" w:cs="宋体"/>
          <w:b/>
          <w:szCs w:val="24"/>
        </w:rPr>
      </w:pPr>
      <w:r>
        <w:rPr>
          <w:rFonts w:hint="eastAsia" w:hAnsi="宋体" w:cs="宋体"/>
          <w:b/>
          <w:szCs w:val="24"/>
        </w:rPr>
        <w:t>六、验收要求</w:t>
      </w:r>
    </w:p>
    <w:p>
      <w:pPr>
        <w:spacing w:line="360" w:lineRule="auto"/>
        <w:ind w:firstLine="420" w:firstLineChars="200"/>
        <w:rPr>
          <w:rFonts w:ascii="宋体" w:hAnsi="宋体"/>
          <w:szCs w:val="21"/>
        </w:rPr>
      </w:pPr>
      <w:r>
        <w:rPr>
          <w:rFonts w:hint="eastAsia" w:ascii="宋体" w:hAnsi="宋体"/>
          <w:szCs w:val="21"/>
        </w:rPr>
        <w:t>1、技术履约内容</w:t>
      </w:r>
    </w:p>
    <w:p>
      <w:pPr>
        <w:spacing w:line="360" w:lineRule="auto"/>
        <w:ind w:firstLine="420" w:firstLineChars="200"/>
        <w:rPr>
          <w:rFonts w:ascii="宋体" w:hAnsi="宋体"/>
          <w:szCs w:val="21"/>
        </w:rPr>
      </w:pPr>
      <w:r>
        <w:rPr>
          <w:rFonts w:hint="eastAsia" w:ascii="宋体" w:hAnsi="宋体"/>
          <w:szCs w:val="21"/>
        </w:rPr>
        <w:t>本项目涉及到的相关国家标准及规范。</w:t>
      </w:r>
    </w:p>
    <w:p>
      <w:pPr>
        <w:spacing w:line="360" w:lineRule="auto"/>
        <w:ind w:firstLine="420" w:firstLineChars="200"/>
        <w:rPr>
          <w:rFonts w:ascii="宋体" w:hAnsi="宋体"/>
          <w:szCs w:val="21"/>
        </w:rPr>
      </w:pPr>
      <w:r>
        <w:rPr>
          <w:rFonts w:hint="eastAsia" w:ascii="宋体" w:hAnsi="宋体"/>
          <w:szCs w:val="21"/>
        </w:rPr>
        <w:t>2、履约验收标准</w:t>
      </w:r>
    </w:p>
    <w:p>
      <w:pPr>
        <w:spacing w:line="360" w:lineRule="auto"/>
        <w:ind w:firstLine="420" w:firstLineChars="200"/>
        <w:rPr>
          <w:rFonts w:ascii="宋体" w:hAnsi="宋体"/>
          <w:szCs w:val="21"/>
        </w:rPr>
      </w:pPr>
      <w:r>
        <w:rPr>
          <w:rFonts w:hint="eastAsia" w:ascii="宋体" w:hAnsi="宋体"/>
          <w:szCs w:val="21"/>
        </w:rPr>
        <w:t>提供正式的土地地籍调查报告及不动产权籍调查报告。</w:t>
      </w:r>
    </w:p>
    <w:p>
      <w:pPr>
        <w:spacing w:line="360" w:lineRule="auto"/>
        <w:ind w:firstLine="420" w:firstLineChars="200"/>
      </w:pPr>
      <w:r>
        <w:rPr>
          <w:rFonts w:ascii="宋体" w:hAnsi="宋体"/>
          <w:szCs w:val="21"/>
        </w:rPr>
        <w:t>3</w:t>
      </w:r>
      <w:r>
        <w:rPr>
          <w:rFonts w:hint="eastAsia" w:ascii="宋体" w:hAnsi="宋体"/>
          <w:szCs w:val="21"/>
        </w:rPr>
        <w:t>、</w:t>
      </w:r>
      <w:r>
        <w:t>工作成果的验收方法</w:t>
      </w:r>
      <w:r>
        <w:rPr>
          <w:rFonts w:hint="eastAsia"/>
        </w:rPr>
        <w:t>：</w:t>
      </w:r>
    </w:p>
    <w:p>
      <w:pPr>
        <w:spacing w:line="360" w:lineRule="auto"/>
        <w:ind w:firstLine="420" w:firstLineChars="200"/>
        <w:rPr>
          <w:rFonts w:ascii="宋体" w:hAnsi="宋体"/>
          <w:szCs w:val="21"/>
        </w:rPr>
      </w:pPr>
      <w:r>
        <w:rPr>
          <w:rFonts w:hint="eastAsia"/>
        </w:rPr>
        <w:t>中标人</w:t>
      </w:r>
      <w:r>
        <w:rPr>
          <w:rFonts w:hint="eastAsia" w:ascii="宋体" w:hAnsi="宋体"/>
          <w:szCs w:val="21"/>
        </w:rPr>
        <w:t>出具的权籍调查成果，须满足不动产登记部门入案要求，作为办理土地确权、取得土地《不动产权证》的重要依据。中标人提供的权籍调查成果须满足登记质量及格式要求。</w:t>
      </w:r>
    </w:p>
    <w:p>
      <w:pPr>
        <w:spacing w:line="360" w:lineRule="auto"/>
        <w:ind w:firstLine="420" w:firstLineChars="200"/>
      </w:pPr>
      <w:r>
        <w:rPr>
          <w:rFonts w:hint="eastAsia" w:ascii="宋体" w:hAnsi="宋体"/>
          <w:szCs w:val="21"/>
        </w:rPr>
        <w:t>若因质量、格式问题导致无法确权登记的，中标人须结合采购人需求按照登记部门意见对权籍调查成果进行修改，相关费用由中标人承担。</w:t>
      </w:r>
      <w:r>
        <w:rPr>
          <w:rFonts w:hint="eastAsia" w:ascii="宋体" w:hAnsi="宋体"/>
          <w:b/>
          <w:bCs/>
          <w:szCs w:val="21"/>
        </w:rPr>
        <w:t>（提供承诺函，格式自定）</w:t>
      </w:r>
    </w:p>
    <w:bookmarkEnd w:id="129"/>
    <w:bookmarkEnd w:id="130"/>
    <w:bookmarkEnd w:id="131"/>
    <w:bookmarkEnd w:id="132"/>
    <w:p>
      <w:pPr>
        <w:pStyle w:val="24"/>
        <w:tabs>
          <w:tab w:val="left" w:pos="540"/>
        </w:tabs>
        <w:snapToGrid w:val="0"/>
        <w:ind w:left="422" w:hanging="422"/>
        <w:rPr>
          <w:rFonts w:hAnsi="宋体" w:cs="宋体"/>
          <w:b/>
          <w:szCs w:val="24"/>
        </w:rPr>
      </w:pPr>
      <w:bookmarkStart w:id="133" w:name="_Toc130180843"/>
      <w:bookmarkStart w:id="134" w:name="_Toc130180738"/>
      <w:bookmarkStart w:id="135" w:name="_Toc238282339"/>
      <w:bookmarkStart w:id="136" w:name="_Toc130180924"/>
      <w:r>
        <w:rPr>
          <w:rFonts w:hint="eastAsia" w:hAnsi="宋体" w:cs="宋体"/>
          <w:b/>
          <w:szCs w:val="24"/>
        </w:rPr>
        <w:t>七、技术保障要求</w:t>
      </w:r>
    </w:p>
    <w:p>
      <w:pPr>
        <w:spacing w:line="360" w:lineRule="auto"/>
        <w:ind w:firstLine="420" w:firstLineChars="200"/>
        <w:rPr>
          <w:rFonts w:ascii="宋体" w:hAnsi="宋体"/>
          <w:szCs w:val="21"/>
        </w:rPr>
      </w:pPr>
      <w:r>
        <w:rPr>
          <w:rFonts w:hint="eastAsia" w:ascii="宋体" w:hAnsi="宋体"/>
          <w:szCs w:val="21"/>
        </w:rPr>
        <w:t>1、中标人必须配备足够的技术力量，保证项目工期和质量。中标人应配备不少于10人（含1名项目负责人）熟悉权籍调查以及不动产登记要求的专业技术人员。</w:t>
      </w:r>
    </w:p>
    <w:p>
      <w:pPr>
        <w:snapToGrid w:val="0"/>
        <w:spacing w:line="360" w:lineRule="auto"/>
        <w:ind w:firstLine="420" w:firstLineChars="200"/>
        <w:rPr>
          <w:rFonts w:ascii="宋体" w:hAnsi="宋体" w:cs="宋体"/>
          <w:b/>
          <w:sz w:val="24"/>
        </w:rPr>
      </w:pPr>
      <w:r>
        <w:rPr>
          <w:rFonts w:hint="eastAsia" w:ascii="宋体" w:hAnsi="宋体"/>
          <w:szCs w:val="21"/>
        </w:rPr>
        <w:t>2、中标人应按照项目需要自行配备必要的测绘仪器设备、计算机、车辆等。</w:t>
      </w:r>
      <w:r>
        <w:rPr>
          <w:rFonts w:ascii="宋体" w:hAnsi="宋体"/>
          <w:szCs w:val="21"/>
        </w:rPr>
        <w:cr/>
      </w:r>
      <w:r>
        <w:rPr>
          <w:rFonts w:hint="eastAsia" w:ascii="宋体" w:hAnsi="宋体" w:cs="宋体"/>
          <w:b/>
          <w:sz w:val="24"/>
        </w:rPr>
        <w:t>八、保密要求</w:t>
      </w:r>
    </w:p>
    <w:p>
      <w:pPr>
        <w:spacing w:line="360" w:lineRule="auto"/>
        <w:ind w:firstLine="420" w:firstLineChars="200"/>
        <w:rPr>
          <w:rFonts w:ascii="宋体" w:hAnsi="宋体"/>
          <w:szCs w:val="21"/>
        </w:rPr>
      </w:pPr>
      <w:r>
        <w:rPr>
          <w:rFonts w:hint="eastAsia" w:ascii="宋体" w:hAnsi="宋体"/>
          <w:szCs w:val="21"/>
        </w:rPr>
        <w:t>1、保密内容：采购人提供的所有数据和资料，以及本项目技术服务信息，未经采购人书面同意，中标人不得向第三方提供或披露，且仅被用于采购人规定的用途；</w:t>
      </w:r>
    </w:p>
    <w:p>
      <w:pPr>
        <w:spacing w:line="360" w:lineRule="auto"/>
        <w:ind w:firstLine="420" w:firstLineChars="200"/>
        <w:rPr>
          <w:rFonts w:ascii="宋体" w:hAnsi="宋体"/>
          <w:szCs w:val="21"/>
        </w:rPr>
      </w:pPr>
      <w:r>
        <w:rPr>
          <w:rFonts w:hint="eastAsia" w:ascii="宋体" w:hAnsi="宋体"/>
          <w:szCs w:val="21"/>
        </w:rPr>
        <w:t>2、涉密人员范围：中标人参加本技术服务项目的所有成员及可能获得本技术服务项目资料的人员；</w:t>
      </w:r>
    </w:p>
    <w:p>
      <w:pPr>
        <w:spacing w:line="360" w:lineRule="auto"/>
        <w:ind w:firstLine="420" w:firstLineChars="200"/>
        <w:rPr>
          <w:rFonts w:ascii="宋体" w:hAnsi="宋体"/>
          <w:szCs w:val="21"/>
        </w:rPr>
      </w:pPr>
      <w:r>
        <w:rPr>
          <w:rFonts w:hint="eastAsia" w:ascii="宋体" w:hAnsi="宋体"/>
          <w:szCs w:val="21"/>
        </w:rPr>
        <w:t>3、保密期限：中标人在合同中涉及的保密义务期限为永久保密，不因合同终止、解除而完结；</w:t>
      </w:r>
    </w:p>
    <w:p>
      <w:pPr>
        <w:spacing w:line="360" w:lineRule="auto"/>
        <w:ind w:firstLine="420" w:firstLineChars="200"/>
        <w:rPr>
          <w:rFonts w:ascii="宋体" w:hAnsi="宋体"/>
          <w:szCs w:val="21"/>
        </w:rPr>
      </w:pPr>
      <w:r>
        <w:rPr>
          <w:rFonts w:hint="eastAsia" w:ascii="宋体" w:hAnsi="宋体"/>
          <w:szCs w:val="21"/>
        </w:rPr>
        <w:t>4、泄密责任：</w:t>
      </w:r>
      <w:r>
        <w:rPr>
          <w:rFonts w:hint="eastAsia"/>
          <w:szCs w:val="21"/>
        </w:rPr>
        <w:t>中标人违反保密义务导致采购人遭受任何损失的，中标人应予全部赔偿，损失赔偿的范围包括但不限于直接损失、采购人向第三方支付的赔偿/违约金以及采购人为此而支出的律师费、鉴定费、保全费、诉讼与仲裁费用等，其余</w:t>
      </w:r>
      <w:r>
        <w:rPr>
          <w:rFonts w:hint="eastAsia" w:ascii="宋体" w:hAnsi="宋体"/>
          <w:szCs w:val="21"/>
        </w:rPr>
        <w:t>按照国家相关法律法规追究泄密责任；</w:t>
      </w:r>
    </w:p>
    <w:p>
      <w:pPr>
        <w:spacing w:line="360" w:lineRule="auto"/>
        <w:ind w:firstLine="420" w:firstLineChars="200"/>
        <w:rPr>
          <w:rFonts w:ascii="宋体" w:hAnsi="宋体"/>
          <w:szCs w:val="21"/>
        </w:rPr>
      </w:pPr>
      <w:r>
        <w:rPr>
          <w:rFonts w:hint="eastAsia" w:ascii="宋体" w:hAnsi="宋体"/>
          <w:szCs w:val="21"/>
        </w:rPr>
        <w:t>5、结合采购人的测绘需求，除法律、法规规定或行政职能部门要求提供情况外，未经中标人书面授权同意，采购人不得将项目成果提供其他第三方使用或用于其他用途。</w:t>
      </w:r>
    </w:p>
    <w:p>
      <w:pPr>
        <w:spacing w:line="360" w:lineRule="auto"/>
        <w:ind w:firstLine="422" w:firstLineChars="200"/>
        <w:rPr>
          <w:rFonts w:ascii="宋体" w:hAnsi="宋体" w:cs="宋体"/>
          <w:b/>
        </w:rPr>
      </w:pPr>
      <w:r>
        <w:rPr>
          <w:rFonts w:hint="eastAsia" w:ascii="宋体" w:hAnsi="宋体"/>
          <w:b/>
          <w:bCs/>
          <w:szCs w:val="21"/>
        </w:rPr>
        <w:t>注：以上要求需提供承诺函，格式自定。</w:t>
      </w:r>
      <w:r>
        <w:rPr>
          <w:rFonts w:ascii="宋体" w:hAnsi="宋体"/>
          <w:b/>
          <w:bCs/>
          <w:szCs w:val="21"/>
        </w:rPr>
        <w:cr/>
      </w:r>
      <w:r>
        <w:rPr>
          <w:rFonts w:hint="eastAsia" w:hAnsi="宋体" w:cs="宋体"/>
          <w:b/>
          <w:sz w:val="24"/>
        </w:rPr>
        <w:t>九、知识产权要求</w:t>
      </w:r>
    </w:p>
    <w:p>
      <w:pPr>
        <w:spacing w:line="360" w:lineRule="auto"/>
        <w:ind w:firstLine="420" w:firstLineChars="200"/>
        <w:rPr>
          <w:rFonts w:ascii="宋体" w:hAnsi="宋体"/>
          <w:szCs w:val="21"/>
        </w:rPr>
      </w:pPr>
      <w:bookmarkStart w:id="137" w:name="_Hlk143620881"/>
      <w:r>
        <w:rPr>
          <w:rFonts w:hint="eastAsia" w:ascii="宋体" w:hAnsi="宋体"/>
          <w:szCs w:val="21"/>
        </w:rPr>
        <w:t>1、本项目成果的所有权与知识产权均归采购人所有。</w:t>
      </w:r>
    </w:p>
    <w:p>
      <w:pPr>
        <w:spacing w:line="360" w:lineRule="auto"/>
        <w:ind w:firstLine="420" w:firstLineChars="200"/>
        <w:rPr>
          <w:rFonts w:ascii="宋体" w:hAnsi="宋体"/>
          <w:szCs w:val="21"/>
        </w:rPr>
      </w:pPr>
      <w:r>
        <w:rPr>
          <w:rFonts w:hint="eastAsia" w:ascii="宋体" w:hAnsi="宋体"/>
          <w:szCs w:val="21"/>
        </w:rPr>
        <w:t>2、在服务期内，采购人利用中标人提交的技术服务成果所完成的新的技术成果，归采购人所有。</w:t>
      </w:r>
    </w:p>
    <w:p>
      <w:pPr>
        <w:spacing w:line="360" w:lineRule="auto"/>
        <w:ind w:firstLine="420" w:firstLineChars="200"/>
        <w:rPr>
          <w:rFonts w:ascii="宋体" w:hAnsi="宋体"/>
          <w:szCs w:val="21"/>
        </w:rPr>
      </w:pPr>
      <w:r>
        <w:rPr>
          <w:rFonts w:hint="eastAsia" w:ascii="宋体" w:hAnsi="宋体"/>
          <w:szCs w:val="21"/>
        </w:rPr>
        <w:t>3、在服务期内，中标人利用采购人提供的技术资料和工作条件所完成的新的技术成果，归采购人所有。</w:t>
      </w:r>
    </w:p>
    <w:p>
      <w:pPr>
        <w:spacing w:line="360" w:lineRule="auto"/>
        <w:ind w:firstLine="420" w:firstLineChars="200"/>
        <w:rPr>
          <w:rFonts w:ascii="宋体" w:hAnsi="宋体"/>
          <w:szCs w:val="21"/>
        </w:rPr>
      </w:pPr>
      <w:r>
        <w:rPr>
          <w:rFonts w:hint="eastAsia" w:ascii="宋体" w:hAnsi="宋体"/>
          <w:szCs w:val="21"/>
        </w:rPr>
        <w:t>4、未经采购人书面同意，中标人不得复制、出版、披露或者允许他人使用等方式使用本项目的成果。</w:t>
      </w:r>
      <w:bookmarkEnd w:id="137"/>
    </w:p>
    <w:p>
      <w:pPr>
        <w:spacing w:line="360" w:lineRule="auto"/>
        <w:ind w:firstLine="420" w:firstLineChars="200"/>
        <w:rPr>
          <w:rFonts w:ascii="宋体" w:hAnsi="宋体"/>
          <w:szCs w:val="21"/>
        </w:rPr>
      </w:pPr>
      <w:r>
        <w:rPr>
          <w:rFonts w:hint="eastAsia" w:ascii="宋体" w:hAnsi="宋体"/>
          <w:szCs w:val="21"/>
        </w:rPr>
        <w:t>5、中标人应保证本项目的投标技术、服务或其任何一部分不会产生因第三方提出侵犯其专利权或其他知识产权而引起的法律和经济纠纷；如因第三方提出其专利权或其他知识产权的侵权之诉，则一切法律责任由中标人承担。中标人违反本条款之约定导致采购人遭受任何损失的，中标人应予全部赔偿，损失赔偿的范围包括但不限于直接损失、采购人向第三方支付的赔偿/违约金以及采购人为此而支出的律师费、鉴定费、保全费、诉讼与仲裁费用等。</w:t>
      </w:r>
    </w:p>
    <w:p>
      <w:pPr>
        <w:pStyle w:val="24"/>
      </w:pPr>
    </w:p>
    <w:p>
      <w:pPr>
        <w:pStyle w:val="24"/>
      </w:pPr>
      <w:r>
        <w:br w:type="page"/>
      </w:r>
    </w:p>
    <w:p>
      <w:pPr>
        <w:pStyle w:val="4"/>
        <w:keepLines w:val="0"/>
        <w:spacing w:before="0" w:after="0" w:line="360" w:lineRule="auto"/>
        <w:jc w:val="center"/>
        <w:rPr>
          <w:rFonts w:ascii="宋体" w:hAnsi="宋体"/>
          <w:kern w:val="2"/>
          <w:sz w:val="32"/>
          <w:szCs w:val="32"/>
        </w:rPr>
      </w:pPr>
      <w:bookmarkStart w:id="138" w:name="_Toc16895"/>
      <w:bookmarkStart w:id="139" w:name="_Toc19964"/>
      <w:bookmarkStart w:id="140" w:name="_Toc26534"/>
      <w:bookmarkStart w:id="141" w:name="_Toc334797739"/>
      <w:bookmarkStart w:id="142" w:name="_Toc18024"/>
      <w:bookmarkStart w:id="143" w:name="_Toc28161"/>
      <w:r>
        <w:rPr>
          <w:rFonts w:hint="eastAsia"/>
          <w:bCs w:val="0"/>
          <w:sz w:val="32"/>
          <w:szCs w:val="32"/>
        </w:rPr>
        <w:t>第三章   合同文本</w:t>
      </w:r>
      <w:bookmarkEnd w:id="133"/>
      <w:bookmarkEnd w:id="134"/>
      <w:bookmarkEnd w:id="135"/>
      <w:bookmarkEnd w:id="136"/>
      <w:bookmarkEnd w:id="138"/>
      <w:bookmarkEnd w:id="139"/>
      <w:bookmarkEnd w:id="140"/>
      <w:bookmarkEnd w:id="141"/>
      <w:bookmarkEnd w:id="142"/>
      <w:bookmarkEnd w:id="143"/>
    </w:p>
    <w:p>
      <w:pPr>
        <w:pStyle w:val="92"/>
        <w:spacing w:line="360" w:lineRule="auto"/>
        <w:ind w:firstLine="2914" w:firstLineChars="1382"/>
        <w:rPr>
          <w:b w:val="0"/>
          <w:bCs w:val="0"/>
          <w:sz w:val="24"/>
        </w:rPr>
      </w:pPr>
      <w:r>
        <w:rPr>
          <w:rFonts w:hint="eastAsia"/>
        </w:rPr>
        <w:t>（《采购人需求》中另有规定的，以采购人需求为准）</w:t>
      </w:r>
    </w:p>
    <w:p>
      <w:pPr>
        <w:spacing w:line="360" w:lineRule="auto"/>
        <w:rPr>
          <w:rFonts w:ascii="宋体" w:hAnsi="宋体"/>
          <w:b/>
          <w:bCs/>
        </w:rPr>
      </w:pPr>
      <w:r>
        <w:rPr>
          <w:rFonts w:hint="eastAsia" w:ascii="宋体" w:hAnsi="宋体"/>
        </w:rPr>
        <w:t>注：本合同条款仅供参考，甲乙双方可根据实际情况进行补充。</w:t>
      </w:r>
    </w:p>
    <w:p>
      <w:pPr>
        <w:tabs>
          <w:tab w:val="left" w:pos="720"/>
        </w:tabs>
        <w:spacing w:line="360" w:lineRule="auto"/>
        <w:rPr>
          <w:rFonts w:ascii="宋体" w:hAnsi="宋体" w:cs="宋体"/>
          <w:szCs w:val="21"/>
        </w:rPr>
      </w:pPr>
    </w:p>
    <w:p>
      <w:pPr>
        <w:spacing w:line="360" w:lineRule="auto"/>
        <w:rPr>
          <w:rFonts w:ascii="宋体" w:hAnsi="宋体"/>
          <w:b/>
          <w:szCs w:val="21"/>
        </w:rPr>
      </w:pPr>
      <w:r>
        <w:rPr>
          <w:rFonts w:hint="eastAsia" w:ascii="宋体" w:hAnsi="宋体"/>
          <w:b/>
          <w:szCs w:val="21"/>
        </w:rPr>
        <w:t>甲    方</w:t>
      </w:r>
      <w:r>
        <w:rPr>
          <w:rFonts w:hint="eastAsia" w:ascii="宋体" w:hAnsi="宋体" w:cs="宋体"/>
          <w:szCs w:val="21"/>
        </w:rPr>
        <w:t>（采购人）</w:t>
      </w:r>
      <w:r>
        <w:rPr>
          <w:rFonts w:hint="eastAsia" w:ascii="宋体" w:hAnsi="宋体"/>
          <w:b/>
          <w:szCs w:val="21"/>
        </w:rPr>
        <w:t>：中华人民共和国广州出入境边防检查总站</w:t>
      </w:r>
    </w:p>
    <w:p>
      <w:pPr>
        <w:spacing w:line="360" w:lineRule="auto"/>
        <w:rPr>
          <w:rFonts w:ascii="宋体" w:hAnsi="宋体"/>
          <w:szCs w:val="21"/>
        </w:rPr>
      </w:pPr>
      <w:r>
        <w:rPr>
          <w:rFonts w:hint="eastAsia" w:ascii="宋体" w:hAnsi="宋体"/>
          <w:szCs w:val="21"/>
        </w:rPr>
        <w:t>电    话：                传  真：             住  所：广州市天河区中山大道中489号</w:t>
      </w:r>
    </w:p>
    <w:p>
      <w:pPr>
        <w:spacing w:line="360" w:lineRule="auto"/>
        <w:rPr>
          <w:rFonts w:ascii="宋体" w:hAnsi="宋体"/>
          <w:b/>
          <w:szCs w:val="21"/>
        </w:rPr>
      </w:pPr>
    </w:p>
    <w:p>
      <w:pPr>
        <w:spacing w:line="360" w:lineRule="auto"/>
        <w:rPr>
          <w:rFonts w:ascii="宋体" w:hAnsi="宋体"/>
          <w:szCs w:val="21"/>
        </w:rPr>
      </w:pPr>
      <w:r>
        <w:rPr>
          <w:rFonts w:hint="eastAsia" w:ascii="宋体" w:hAnsi="宋体"/>
          <w:b/>
          <w:szCs w:val="21"/>
        </w:rPr>
        <w:t>乙    方</w:t>
      </w:r>
      <w:r>
        <w:rPr>
          <w:rFonts w:hint="eastAsia" w:ascii="宋体" w:hAnsi="宋体" w:cs="宋体"/>
          <w:szCs w:val="21"/>
        </w:rPr>
        <w:t>（中标人）</w:t>
      </w:r>
      <w:r>
        <w:rPr>
          <w:rFonts w:hint="eastAsia" w:ascii="宋体" w:hAnsi="宋体"/>
          <w:b/>
          <w:szCs w:val="21"/>
        </w:rPr>
        <w:t xml:space="preserve">： </w:t>
      </w:r>
      <w:r>
        <w:rPr>
          <w:rFonts w:hint="eastAsia" w:ascii="宋体" w:hAnsi="宋体"/>
          <w:b/>
          <w:szCs w:val="21"/>
        </w:rPr>
        <w:br w:type="textWrapping"/>
      </w:r>
      <w:r>
        <w:rPr>
          <w:rFonts w:hint="eastAsia" w:ascii="宋体" w:hAnsi="宋体"/>
          <w:szCs w:val="21"/>
        </w:rPr>
        <w:t xml:space="preserve">电    话：                传  真：             住  所：   </w:t>
      </w:r>
    </w:p>
    <w:p>
      <w:pPr>
        <w:spacing w:line="360" w:lineRule="auto"/>
        <w:rPr>
          <w:rFonts w:ascii="宋体" w:hAnsi="宋体"/>
          <w:szCs w:val="21"/>
        </w:rPr>
      </w:pPr>
      <w:r>
        <w:rPr>
          <w:rFonts w:hint="eastAsia" w:ascii="宋体" w:hAnsi="宋体"/>
          <w:szCs w:val="21"/>
        </w:rPr>
        <w:t xml:space="preserve">项目名称：                                   </w:t>
      </w:r>
      <w:r>
        <w:rPr>
          <w:rFonts w:hint="eastAsia" w:ascii="宋体" w:hAnsi="宋体" w:cs="宋体"/>
          <w:szCs w:val="21"/>
        </w:rPr>
        <w:t>项目</w:t>
      </w:r>
      <w:r>
        <w:rPr>
          <w:rFonts w:hint="eastAsia" w:ascii="宋体" w:hAnsi="宋体"/>
          <w:szCs w:val="21"/>
        </w:rPr>
        <w:t xml:space="preserve">编号：  </w:t>
      </w:r>
    </w:p>
    <w:p>
      <w:pPr>
        <w:spacing w:line="360" w:lineRule="auto"/>
        <w:ind w:firstLine="420" w:firstLineChars="200"/>
        <w:rPr>
          <w:rFonts w:ascii="宋体" w:hAnsi="宋体"/>
          <w:szCs w:val="21"/>
        </w:rPr>
      </w:pPr>
      <w:r>
        <w:rPr>
          <w:rFonts w:hint="eastAsia" w:ascii="宋体" w:hAnsi="宋体" w:cs="宋体"/>
          <w:szCs w:val="21"/>
        </w:rPr>
        <w:t>根据</w:t>
      </w:r>
      <w:r>
        <w:rPr>
          <w:rFonts w:hint="eastAsia" w:ascii="宋体" w:hAnsi="宋体" w:cs="宋体"/>
          <w:szCs w:val="21"/>
          <w:u w:val="single"/>
        </w:rPr>
        <w:t xml:space="preserve">            </w:t>
      </w:r>
      <w:r>
        <w:rPr>
          <w:rFonts w:hint="eastAsia" w:ascii="宋体" w:hAnsi="宋体" w:cs="宋体"/>
          <w:szCs w:val="21"/>
        </w:rPr>
        <w:t>（项目编号：</w:t>
      </w:r>
      <w:r>
        <w:rPr>
          <w:rFonts w:hint="eastAsia" w:ascii="宋体" w:hAnsi="宋体" w:cs="宋体"/>
          <w:szCs w:val="21"/>
          <w:u w:val="single"/>
        </w:rPr>
        <w:t xml:space="preserve">         </w:t>
      </w:r>
      <w:r>
        <w:rPr>
          <w:rFonts w:hint="eastAsia" w:ascii="宋体" w:hAnsi="宋体" w:cs="宋体"/>
          <w:szCs w:val="21"/>
        </w:rPr>
        <w:t>）</w:t>
      </w:r>
      <w:r>
        <w:rPr>
          <w:rFonts w:hint="eastAsia" w:ascii="宋体" w:hAnsi="宋体"/>
          <w:szCs w:val="21"/>
        </w:rPr>
        <w:t>的采购结果，根据《中华人民共和国民法典》，以及参照《中华人民共和国政府采购法》</w:t>
      </w:r>
      <w:r>
        <w:rPr>
          <w:rFonts w:hint="eastAsia" w:ascii="宋体" w:hAnsi="宋体" w:cs="宋体"/>
          <w:szCs w:val="21"/>
        </w:rPr>
        <w:t>及其实施条例</w:t>
      </w:r>
      <w:r>
        <w:rPr>
          <w:rFonts w:hint="eastAsia" w:ascii="宋体" w:hAnsi="宋体"/>
          <w:szCs w:val="21"/>
        </w:rPr>
        <w:t>的相关规定，</w:t>
      </w:r>
      <w:r>
        <w:rPr>
          <w:rFonts w:hint="eastAsia" w:ascii="宋体" w:hAnsi="宋体"/>
          <w:kern w:val="28"/>
          <w:szCs w:val="21"/>
        </w:rPr>
        <w:t>经双方协商，</w:t>
      </w:r>
      <w:r>
        <w:rPr>
          <w:rFonts w:hint="eastAsia" w:ascii="宋体" w:hAnsi="宋体"/>
          <w:szCs w:val="21"/>
        </w:rPr>
        <w:t>本着平等互利和诚实信用的原则，</w:t>
      </w:r>
      <w:r>
        <w:rPr>
          <w:rFonts w:hint="eastAsia" w:ascii="宋体" w:hAnsi="宋体"/>
          <w:kern w:val="28"/>
          <w:szCs w:val="21"/>
        </w:rPr>
        <w:t>一致同意签订本合同如下</w:t>
      </w:r>
      <w:r>
        <w:rPr>
          <w:rFonts w:hint="eastAsia" w:ascii="宋体" w:hAnsi="宋体"/>
          <w:szCs w:val="21"/>
        </w:rPr>
        <w:t>。</w:t>
      </w:r>
    </w:p>
    <w:p>
      <w:pPr>
        <w:tabs>
          <w:tab w:val="left" w:pos="425"/>
        </w:tabs>
        <w:autoSpaceDE w:val="0"/>
        <w:autoSpaceDN w:val="0"/>
        <w:spacing w:line="360" w:lineRule="auto"/>
        <w:jc w:val="left"/>
        <w:rPr>
          <w:rFonts w:ascii="宋体" w:hAnsi="宋体"/>
          <w:b/>
          <w:szCs w:val="21"/>
        </w:rPr>
      </w:pPr>
      <w:r>
        <w:rPr>
          <w:rFonts w:hint="eastAsia" w:ascii="宋体" w:hAnsi="宋体"/>
          <w:b/>
          <w:szCs w:val="21"/>
        </w:rPr>
        <w:t>一、甲方委托乙方进行技术服务的内容如下：</w:t>
      </w:r>
    </w:p>
    <w:p>
      <w:pPr>
        <w:pStyle w:val="47"/>
        <w:ind w:left="420"/>
        <w:rPr>
          <w:bCs/>
        </w:rPr>
      </w:pPr>
      <w:r>
        <w:rPr>
          <w:rFonts w:hint="eastAsia" w:ascii="宋体" w:hAnsi="宋体"/>
          <w:bCs/>
          <w:szCs w:val="21"/>
        </w:rPr>
        <w:t>1.合同内容、金额及项目交付时间：</w:t>
      </w:r>
    </w:p>
    <w:tbl>
      <w:tblPr>
        <w:tblStyle w:val="39"/>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27"/>
        <w:gridCol w:w="1701"/>
        <w:gridCol w:w="4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16" w:type="dxa"/>
            <w:tcBorders>
              <w:top w:val="single" w:color="auto" w:sz="4" w:space="0"/>
              <w:left w:val="single" w:color="auto" w:sz="4" w:space="0"/>
              <w:bottom w:val="single" w:color="auto" w:sz="4" w:space="0"/>
              <w:right w:val="single" w:color="auto" w:sz="4" w:space="0"/>
            </w:tcBorders>
            <w:vAlign w:val="center"/>
          </w:tcPr>
          <w:p>
            <w:pPr>
              <w:tabs>
                <w:tab w:val="left" w:pos="426"/>
              </w:tabs>
              <w:autoSpaceDE w:val="0"/>
              <w:autoSpaceDN w:val="0"/>
              <w:spacing w:line="360" w:lineRule="auto"/>
              <w:jc w:val="center"/>
              <w:outlineLvl w:val="2"/>
              <w:rPr>
                <w:rFonts w:ascii="宋体" w:hAnsi="宋体"/>
                <w:b/>
                <w:szCs w:val="21"/>
              </w:rPr>
            </w:pPr>
            <w:r>
              <w:rPr>
                <w:rFonts w:hint="eastAsia" w:ascii="宋体" w:hAnsi="宋体"/>
                <w:b/>
                <w:szCs w:val="21"/>
              </w:rPr>
              <w:t>序号</w:t>
            </w:r>
          </w:p>
        </w:tc>
        <w:tc>
          <w:tcPr>
            <w:tcW w:w="2127" w:type="dxa"/>
            <w:tcBorders>
              <w:top w:val="single" w:color="auto" w:sz="4" w:space="0"/>
              <w:left w:val="single" w:color="auto" w:sz="4" w:space="0"/>
              <w:bottom w:val="single" w:color="auto" w:sz="4" w:space="0"/>
              <w:right w:val="single" w:color="auto" w:sz="4" w:space="0"/>
            </w:tcBorders>
            <w:vAlign w:val="center"/>
          </w:tcPr>
          <w:p>
            <w:pPr>
              <w:tabs>
                <w:tab w:val="left" w:pos="426"/>
              </w:tabs>
              <w:autoSpaceDE w:val="0"/>
              <w:autoSpaceDN w:val="0"/>
              <w:spacing w:line="360" w:lineRule="auto"/>
              <w:jc w:val="center"/>
              <w:outlineLvl w:val="2"/>
              <w:rPr>
                <w:rFonts w:ascii="宋体" w:hAnsi="宋体"/>
                <w:szCs w:val="21"/>
              </w:rPr>
            </w:pPr>
            <w:r>
              <w:rPr>
                <w:rFonts w:hint="eastAsia" w:ascii="宋体" w:hAnsi="宋体"/>
                <w:b/>
                <w:bCs/>
                <w:szCs w:val="21"/>
              </w:rPr>
              <w:t>合同内容</w:t>
            </w: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426"/>
              </w:tabs>
              <w:autoSpaceDE w:val="0"/>
              <w:autoSpaceDN w:val="0"/>
              <w:spacing w:line="360" w:lineRule="auto"/>
              <w:jc w:val="center"/>
              <w:outlineLvl w:val="2"/>
              <w:rPr>
                <w:rFonts w:ascii="宋体" w:hAnsi="宋体"/>
                <w:b/>
                <w:szCs w:val="21"/>
              </w:rPr>
            </w:pPr>
            <w:r>
              <w:rPr>
                <w:rFonts w:hint="eastAsia" w:ascii="宋体" w:hAnsi="宋体"/>
                <w:b/>
                <w:szCs w:val="21"/>
              </w:rPr>
              <w:t>合同金额（元）</w:t>
            </w:r>
          </w:p>
        </w:tc>
        <w:tc>
          <w:tcPr>
            <w:tcW w:w="4915" w:type="dxa"/>
            <w:tcBorders>
              <w:top w:val="single" w:color="auto" w:sz="4" w:space="0"/>
              <w:left w:val="single" w:color="auto" w:sz="4" w:space="0"/>
              <w:bottom w:val="single" w:color="auto" w:sz="4" w:space="0"/>
              <w:right w:val="single" w:color="auto" w:sz="4" w:space="0"/>
            </w:tcBorders>
            <w:vAlign w:val="center"/>
          </w:tcPr>
          <w:p>
            <w:pPr>
              <w:tabs>
                <w:tab w:val="left" w:pos="426"/>
              </w:tabs>
              <w:autoSpaceDE w:val="0"/>
              <w:autoSpaceDN w:val="0"/>
              <w:spacing w:line="360" w:lineRule="auto"/>
              <w:jc w:val="center"/>
              <w:outlineLvl w:val="2"/>
              <w:rPr>
                <w:rFonts w:ascii="宋体" w:hAnsi="宋体"/>
                <w:b/>
                <w:szCs w:val="21"/>
              </w:rPr>
            </w:pPr>
            <w:r>
              <w:rPr>
                <w:rFonts w:hint="eastAsia" w:ascii="宋体" w:hAnsi="宋体"/>
                <w:b/>
                <w:szCs w:val="21"/>
              </w:rPr>
              <w:t>项目交付时间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16" w:type="dxa"/>
            <w:tcBorders>
              <w:top w:val="single" w:color="auto" w:sz="4" w:space="0"/>
              <w:left w:val="single" w:color="auto" w:sz="4" w:space="0"/>
              <w:bottom w:val="single" w:color="auto" w:sz="4" w:space="0"/>
              <w:right w:val="single" w:color="auto" w:sz="4" w:space="0"/>
            </w:tcBorders>
          </w:tcPr>
          <w:p>
            <w:pPr>
              <w:tabs>
                <w:tab w:val="left" w:pos="426"/>
              </w:tabs>
              <w:autoSpaceDE w:val="0"/>
              <w:autoSpaceDN w:val="0"/>
              <w:spacing w:line="360" w:lineRule="auto"/>
              <w:jc w:val="center"/>
              <w:outlineLvl w:val="2"/>
              <w:rPr>
                <w:rFonts w:ascii="宋体" w:hAnsi="宋体"/>
                <w:szCs w:val="21"/>
              </w:rPr>
            </w:pPr>
            <w:r>
              <w:rPr>
                <w:rFonts w:hint="eastAsia" w:ascii="宋体" w:hAnsi="宋体"/>
                <w:szCs w:val="21"/>
              </w:rPr>
              <w:t>1</w:t>
            </w:r>
          </w:p>
        </w:tc>
        <w:tc>
          <w:tcPr>
            <w:tcW w:w="2127" w:type="dxa"/>
            <w:tcBorders>
              <w:top w:val="single" w:color="auto" w:sz="4" w:space="0"/>
              <w:left w:val="single" w:color="auto" w:sz="4" w:space="0"/>
              <w:bottom w:val="single" w:color="auto" w:sz="4" w:space="0"/>
              <w:right w:val="single" w:color="auto" w:sz="4" w:space="0"/>
            </w:tcBorders>
          </w:tcPr>
          <w:p>
            <w:pPr>
              <w:pStyle w:val="99"/>
              <w:widowControl/>
              <w:spacing w:line="360" w:lineRule="auto"/>
              <w:ind w:firstLine="0" w:firstLineChars="0"/>
              <w:jc w:val="left"/>
              <w:rPr>
                <w:rFonts w:ascii="宋体" w:hAnsi="宋体"/>
                <w:szCs w:val="21"/>
              </w:rPr>
            </w:pPr>
            <w:r>
              <w:rPr>
                <w:rFonts w:hint="eastAsia" w:ascii="宋体" w:hAnsi="宋体"/>
                <w:szCs w:val="21"/>
              </w:rPr>
              <w:t>总站机关土地权籍调查服务</w:t>
            </w:r>
          </w:p>
        </w:tc>
        <w:tc>
          <w:tcPr>
            <w:tcW w:w="1701" w:type="dxa"/>
            <w:tcBorders>
              <w:top w:val="single" w:color="auto" w:sz="4" w:space="0"/>
              <w:left w:val="single" w:color="auto" w:sz="4" w:space="0"/>
              <w:bottom w:val="single" w:color="auto" w:sz="4" w:space="0"/>
              <w:right w:val="single" w:color="auto" w:sz="4" w:space="0"/>
            </w:tcBorders>
          </w:tcPr>
          <w:p>
            <w:pPr>
              <w:tabs>
                <w:tab w:val="left" w:pos="426"/>
              </w:tabs>
              <w:autoSpaceDE w:val="0"/>
              <w:autoSpaceDN w:val="0"/>
              <w:spacing w:line="360" w:lineRule="auto"/>
              <w:jc w:val="center"/>
              <w:outlineLvl w:val="2"/>
              <w:rPr>
                <w:rFonts w:ascii="宋体" w:hAnsi="宋体"/>
                <w:szCs w:val="21"/>
              </w:rPr>
            </w:pPr>
          </w:p>
        </w:tc>
        <w:tc>
          <w:tcPr>
            <w:tcW w:w="4915" w:type="dxa"/>
            <w:tcBorders>
              <w:top w:val="single" w:color="auto" w:sz="4" w:space="0"/>
              <w:left w:val="single" w:color="auto" w:sz="4" w:space="0"/>
              <w:bottom w:val="single" w:color="auto" w:sz="4" w:space="0"/>
              <w:right w:val="single" w:color="auto" w:sz="4" w:space="0"/>
            </w:tcBorders>
          </w:tcPr>
          <w:p>
            <w:pPr>
              <w:tabs>
                <w:tab w:val="left" w:pos="426"/>
              </w:tabs>
              <w:autoSpaceDE w:val="0"/>
              <w:autoSpaceDN w:val="0"/>
              <w:spacing w:line="360" w:lineRule="auto"/>
              <w:jc w:val="center"/>
              <w:outlineLvl w:val="2"/>
              <w:rPr>
                <w:rFonts w:ascii="宋体" w:hAnsi="宋体"/>
                <w:szCs w:val="21"/>
              </w:rPr>
            </w:pPr>
            <w:r>
              <w:rPr>
                <w:rFonts w:hint="eastAsia" w:ascii="宋体" w:hAnsi="宋体"/>
                <w:szCs w:val="21"/>
              </w:rPr>
              <w:t>自合同签订并生效后30个工作日内出具7处地籍调查表，乙方需在不动产登记部门出具审核意见后20个工作日内出具不动产权籍调查报告。</w:t>
            </w:r>
          </w:p>
        </w:tc>
      </w:tr>
    </w:tbl>
    <w:p>
      <w:pPr>
        <w:autoSpaceDE w:val="0"/>
        <w:autoSpaceDN w:val="0"/>
        <w:spacing w:line="360" w:lineRule="auto"/>
        <w:ind w:left="420"/>
        <w:jc w:val="left"/>
      </w:pPr>
      <w:r>
        <w:rPr>
          <w:rFonts w:hint="eastAsia"/>
        </w:rPr>
        <w:t>2.土地基本情况：</w:t>
      </w:r>
    </w:p>
    <w:tbl>
      <w:tblPr>
        <w:tblStyle w:val="39"/>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2634"/>
        <w:gridCol w:w="1796"/>
        <w:gridCol w:w="4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2" w:type="dxa"/>
            <w:shd w:val="clear" w:color="auto" w:fill="auto"/>
            <w:vAlign w:val="center"/>
          </w:tcPr>
          <w:p>
            <w:pPr>
              <w:spacing w:line="360" w:lineRule="auto"/>
              <w:jc w:val="center"/>
              <w:rPr>
                <w:b/>
                <w:bCs/>
                <w:szCs w:val="32"/>
              </w:rPr>
            </w:pPr>
            <w:r>
              <w:rPr>
                <w:b/>
                <w:bCs/>
                <w:szCs w:val="32"/>
              </w:rPr>
              <w:t>序号</w:t>
            </w:r>
          </w:p>
        </w:tc>
        <w:tc>
          <w:tcPr>
            <w:tcW w:w="2634" w:type="dxa"/>
            <w:shd w:val="clear" w:color="auto" w:fill="auto"/>
            <w:vAlign w:val="center"/>
          </w:tcPr>
          <w:p>
            <w:pPr>
              <w:spacing w:line="360" w:lineRule="auto"/>
              <w:jc w:val="center"/>
              <w:rPr>
                <w:b/>
                <w:bCs/>
                <w:szCs w:val="32"/>
              </w:rPr>
            </w:pPr>
            <w:r>
              <w:rPr>
                <w:b/>
                <w:bCs/>
                <w:szCs w:val="32"/>
              </w:rPr>
              <w:t>名称</w:t>
            </w:r>
          </w:p>
        </w:tc>
        <w:tc>
          <w:tcPr>
            <w:tcW w:w="1796" w:type="dxa"/>
            <w:shd w:val="clear" w:color="auto" w:fill="auto"/>
            <w:vAlign w:val="center"/>
          </w:tcPr>
          <w:p>
            <w:pPr>
              <w:spacing w:line="360" w:lineRule="auto"/>
              <w:jc w:val="center"/>
              <w:rPr>
                <w:b/>
                <w:bCs/>
                <w:szCs w:val="32"/>
              </w:rPr>
            </w:pPr>
            <w:r>
              <w:rPr>
                <w:rFonts w:hint="eastAsia"/>
                <w:b/>
                <w:bCs/>
                <w:szCs w:val="32"/>
              </w:rPr>
              <w:t>土地</w:t>
            </w:r>
            <w:r>
              <w:rPr>
                <w:b/>
                <w:bCs/>
                <w:szCs w:val="32"/>
              </w:rPr>
              <w:t>面积</w:t>
            </w:r>
          </w:p>
          <w:p>
            <w:pPr>
              <w:spacing w:line="360" w:lineRule="auto"/>
              <w:jc w:val="center"/>
              <w:rPr>
                <w:b/>
                <w:bCs/>
                <w:szCs w:val="32"/>
              </w:rPr>
            </w:pPr>
            <w:r>
              <w:rPr>
                <w:b/>
                <w:bCs/>
                <w:szCs w:val="32"/>
              </w:rPr>
              <w:t>（平方米）</w:t>
            </w:r>
          </w:p>
        </w:tc>
        <w:tc>
          <w:tcPr>
            <w:tcW w:w="4222" w:type="dxa"/>
            <w:shd w:val="clear" w:color="auto" w:fill="auto"/>
            <w:vAlign w:val="center"/>
          </w:tcPr>
          <w:p>
            <w:pPr>
              <w:spacing w:line="360" w:lineRule="auto"/>
              <w:jc w:val="center"/>
              <w:rPr>
                <w:b/>
                <w:bCs/>
                <w:szCs w:val="32"/>
              </w:rPr>
            </w:pPr>
            <w:r>
              <w:rPr>
                <w:b/>
                <w:bCs/>
                <w:szCs w:val="32"/>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1</w:t>
            </w:r>
          </w:p>
        </w:tc>
        <w:tc>
          <w:tcPr>
            <w:tcW w:w="2634" w:type="dxa"/>
            <w:shd w:val="clear" w:color="auto" w:fill="auto"/>
            <w:vAlign w:val="center"/>
          </w:tcPr>
          <w:p>
            <w:pPr>
              <w:spacing w:line="360" w:lineRule="auto"/>
              <w:jc w:val="center"/>
              <w:rPr>
                <w:szCs w:val="32"/>
              </w:rPr>
            </w:pPr>
            <w:r>
              <w:rPr>
                <w:szCs w:val="32"/>
              </w:rPr>
              <w:t>总站机关院区</w:t>
            </w:r>
          </w:p>
        </w:tc>
        <w:tc>
          <w:tcPr>
            <w:tcW w:w="1796" w:type="dxa"/>
            <w:shd w:val="clear" w:color="auto" w:fill="auto"/>
            <w:vAlign w:val="center"/>
          </w:tcPr>
          <w:p>
            <w:pPr>
              <w:spacing w:line="360" w:lineRule="auto"/>
              <w:jc w:val="center"/>
              <w:rPr>
                <w:szCs w:val="32"/>
              </w:rPr>
            </w:pPr>
            <w:r>
              <w:rPr>
                <w:szCs w:val="32"/>
              </w:rPr>
              <w:t>17551.37</w:t>
            </w:r>
          </w:p>
        </w:tc>
        <w:tc>
          <w:tcPr>
            <w:tcW w:w="4222" w:type="dxa"/>
            <w:shd w:val="clear" w:color="auto" w:fill="auto"/>
            <w:vAlign w:val="center"/>
          </w:tcPr>
          <w:p>
            <w:pPr>
              <w:spacing w:line="360" w:lineRule="auto"/>
              <w:jc w:val="center"/>
              <w:rPr>
                <w:szCs w:val="32"/>
              </w:rPr>
            </w:pPr>
            <w:r>
              <w:rPr>
                <w:szCs w:val="32"/>
              </w:rPr>
              <w:t>广州市天河区中山大道中489号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2</w:t>
            </w:r>
          </w:p>
        </w:tc>
        <w:tc>
          <w:tcPr>
            <w:tcW w:w="2634" w:type="dxa"/>
            <w:shd w:val="clear" w:color="auto" w:fill="auto"/>
            <w:vAlign w:val="center"/>
          </w:tcPr>
          <w:p>
            <w:pPr>
              <w:spacing w:line="360" w:lineRule="auto"/>
              <w:jc w:val="center"/>
              <w:rPr>
                <w:szCs w:val="32"/>
              </w:rPr>
            </w:pPr>
            <w:r>
              <w:rPr>
                <w:szCs w:val="32"/>
              </w:rPr>
              <w:t>嘉逸皇冠酒店</w:t>
            </w:r>
          </w:p>
        </w:tc>
        <w:tc>
          <w:tcPr>
            <w:tcW w:w="1796" w:type="dxa"/>
            <w:shd w:val="clear" w:color="auto" w:fill="auto"/>
            <w:vAlign w:val="center"/>
          </w:tcPr>
          <w:p>
            <w:pPr>
              <w:spacing w:line="360" w:lineRule="auto"/>
              <w:jc w:val="center"/>
              <w:rPr>
                <w:szCs w:val="32"/>
              </w:rPr>
            </w:pPr>
            <w:r>
              <w:rPr>
                <w:szCs w:val="32"/>
              </w:rPr>
              <w:t>10549.72</w:t>
            </w:r>
          </w:p>
        </w:tc>
        <w:tc>
          <w:tcPr>
            <w:tcW w:w="4222" w:type="dxa"/>
            <w:shd w:val="clear" w:color="auto" w:fill="auto"/>
            <w:vAlign w:val="center"/>
          </w:tcPr>
          <w:p>
            <w:pPr>
              <w:spacing w:line="360" w:lineRule="auto"/>
              <w:jc w:val="center"/>
              <w:rPr>
                <w:szCs w:val="32"/>
              </w:rPr>
            </w:pPr>
            <w:r>
              <w:rPr>
                <w:szCs w:val="32"/>
              </w:rPr>
              <w:t>广州市天河区中山大道中483号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3</w:t>
            </w:r>
          </w:p>
        </w:tc>
        <w:tc>
          <w:tcPr>
            <w:tcW w:w="2634" w:type="dxa"/>
            <w:shd w:val="clear" w:color="auto" w:fill="auto"/>
            <w:vAlign w:val="center"/>
          </w:tcPr>
          <w:p>
            <w:pPr>
              <w:spacing w:line="360" w:lineRule="auto"/>
              <w:jc w:val="center"/>
              <w:rPr>
                <w:szCs w:val="32"/>
              </w:rPr>
            </w:pPr>
            <w:r>
              <w:rPr>
                <w:szCs w:val="32"/>
              </w:rPr>
              <w:t>天河路综合楼</w:t>
            </w:r>
          </w:p>
        </w:tc>
        <w:tc>
          <w:tcPr>
            <w:tcW w:w="1796" w:type="dxa"/>
            <w:shd w:val="clear" w:color="auto" w:fill="auto"/>
            <w:vAlign w:val="center"/>
          </w:tcPr>
          <w:p>
            <w:pPr>
              <w:spacing w:line="360" w:lineRule="auto"/>
              <w:jc w:val="center"/>
              <w:rPr>
                <w:szCs w:val="32"/>
              </w:rPr>
            </w:pPr>
            <w:r>
              <w:rPr>
                <w:szCs w:val="32"/>
              </w:rPr>
              <w:t>4092</w:t>
            </w:r>
          </w:p>
        </w:tc>
        <w:tc>
          <w:tcPr>
            <w:tcW w:w="4222" w:type="dxa"/>
            <w:shd w:val="clear" w:color="auto" w:fill="auto"/>
            <w:vAlign w:val="center"/>
          </w:tcPr>
          <w:p>
            <w:pPr>
              <w:spacing w:line="360" w:lineRule="auto"/>
              <w:jc w:val="center"/>
              <w:rPr>
                <w:szCs w:val="32"/>
              </w:rPr>
            </w:pPr>
            <w:r>
              <w:rPr>
                <w:szCs w:val="32"/>
              </w:rPr>
              <w:t>广州市天河区天河路89号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4</w:t>
            </w:r>
          </w:p>
        </w:tc>
        <w:tc>
          <w:tcPr>
            <w:tcW w:w="2634" w:type="dxa"/>
            <w:shd w:val="clear" w:color="auto" w:fill="auto"/>
            <w:vAlign w:val="center"/>
          </w:tcPr>
          <w:p>
            <w:pPr>
              <w:spacing w:line="360" w:lineRule="auto"/>
              <w:jc w:val="center"/>
              <w:rPr>
                <w:szCs w:val="32"/>
              </w:rPr>
            </w:pPr>
            <w:r>
              <w:rPr>
                <w:szCs w:val="32"/>
              </w:rPr>
              <w:t>文工团院区</w:t>
            </w:r>
          </w:p>
        </w:tc>
        <w:tc>
          <w:tcPr>
            <w:tcW w:w="1796" w:type="dxa"/>
            <w:shd w:val="clear" w:color="auto" w:fill="auto"/>
            <w:vAlign w:val="center"/>
          </w:tcPr>
          <w:p>
            <w:pPr>
              <w:spacing w:line="360" w:lineRule="auto"/>
              <w:jc w:val="center"/>
              <w:rPr>
                <w:szCs w:val="32"/>
              </w:rPr>
            </w:pPr>
            <w:r>
              <w:rPr>
                <w:szCs w:val="32"/>
              </w:rPr>
              <w:t>4200</w:t>
            </w:r>
          </w:p>
        </w:tc>
        <w:tc>
          <w:tcPr>
            <w:tcW w:w="4222" w:type="dxa"/>
            <w:shd w:val="clear" w:color="auto" w:fill="auto"/>
            <w:vAlign w:val="center"/>
          </w:tcPr>
          <w:p>
            <w:pPr>
              <w:spacing w:line="360" w:lineRule="auto"/>
              <w:jc w:val="center"/>
              <w:rPr>
                <w:szCs w:val="32"/>
              </w:rPr>
            </w:pPr>
            <w:r>
              <w:rPr>
                <w:szCs w:val="32"/>
              </w:rPr>
              <w:t>广州市天河区元岗路399-11、13号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5</w:t>
            </w:r>
          </w:p>
        </w:tc>
        <w:tc>
          <w:tcPr>
            <w:tcW w:w="2634" w:type="dxa"/>
            <w:shd w:val="clear" w:color="auto" w:fill="auto"/>
            <w:vAlign w:val="center"/>
          </w:tcPr>
          <w:p>
            <w:pPr>
              <w:spacing w:line="360" w:lineRule="auto"/>
              <w:jc w:val="center"/>
              <w:rPr>
                <w:szCs w:val="32"/>
              </w:rPr>
            </w:pPr>
            <w:r>
              <w:rPr>
                <w:szCs w:val="32"/>
              </w:rPr>
              <w:t>广武酒店</w:t>
            </w:r>
          </w:p>
        </w:tc>
        <w:tc>
          <w:tcPr>
            <w:tcW w:w="1796" w:type="dxa"/>
            <w:shd w:val="clear" w:color="auto" w:fill="auto"/>
            <w:vAlign w:val="center"/>
          </w:tcPr>
          <w:p>
            <w:pPr>
              <w:spacing w:line="360" w:lineRule="auto"/>
              <w:jc w:val="center"/>
              <w:rPr>
                <w:szCs w:val="32"/>
              </w:rPr>
            </w:pPr>
            <w:r>
              <w:rPr>
                <w:szCs w:val="32"/>
              </w:rPr>
              <w:t>2910</w:t>
            </w:r>
          </w:p>
        </w:tc>
        <w:tc>
          <w:tcPr>
            <w:tcW w:w="4222" w:type="dxa"/>
            <w:shd w:val="clear" w:color="auto" w:fill="auto"/>
            <w:vAlign w:val="center"/>
          </w:tcPr>
          <w:p>
            <w:pPr>
              <w:spacing w:line="360" w:lineRule="auto"/>
              <w:jc w:val="center"/>
              <w:rPr>
                <w:szCs w:val="32"/>
              </w:rPr>
            </w:pPr>
            <w:r>
              <w:rPr>
                <w:szCs w:val="32"/>
              </w:rPr>
              <w:t>广州市天河区天河路603号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6</w:t>
            </w:r>
          </w:p>
        </w:tc>
        <w:tc>
          <w:tcPr>
            <w:tcW w:w="2634" w:type="dxa"/>
            <w:shd w:val="clear" w:color="auto" w:fill="auto"/>
            <w:vAlign w:val="center"/>
          </w:tcPr>
          <w:p>
            <w:pPr>
              <w:spacing w:line="360" w:lineRule="auto"/>
              <w:jc w:val="center"/>
              <w:rPr>
                <w:szCs w:val="32"/>
              </w:rPr>
            </w:pPr>
            <w:r>
              <w:rPr>
                <w:szCs w:val="32"/>
              </w:rPr>
              <w:t>天河大院</w:t>
            </w:r>
          </w:p>
        </w:tc>
        <w:tc>
          <w:tcPr>
            <w:tcW w:w="1796" w:type="dxa"/>
            <w:shd w:val="clear" w:color="auto" w:fill="auto"/>
            <w:vAlign w:val="center"/>
          </w:tcPr>
          <w:p>
            <w:pPr>
              <w:spacing w:line="360" w:lineRule="auto"/>
              <w:jc w:val="center"/>
              <w:rPr>
                <w:szCs w:val="32"/>
              </w:rPr>
            </w:pPr>
            <w:r>
              <w:rPr>
                <w:szCs w:val="32"/>
              </w:rPr>
              <w:t>510</w:t>
            </w:r>
          </w:p>
        </w:tc>
        <w:tc>
          <w:tcPr>
            <w:tcW w:w="4222" w:type="dxa"/>
            <w:shd w:val="clear" w:color="auto" w:fill="auto"/>
            <w:vAlign w:val="center"/>
          </w:tcPr>
          <w:p>
            <w:pPr>
              <w:spacing w:line="360" w:lineRule="auto"/>
              <w:jc w:val="center"/>
              <w:rPr>
                <w:szCs w:val="32"/>
              </w:rPr>
            </w:pPr>
            <w:r>
              <w:rPr>
                <w:szCs w:val="32"/>
              </w:rPr>
              <w:t>广州市天河区天河路126号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szCs w:val="32"/>
              </w:rPr>
              <w:t>7</w:t>
            </w:r>
          </w:p>
        </w:tc>
        <w:tc>
          <w:tcPr>
            <w:tcW w:w="2634" w:type="dxa"/>
            <w:shd w:val="clear" w:color="auto" w:fill="auto"/>
            <w:vAlign w:val="center"/>
          </w:tcPr>
          <w:p>
            <w:pPr>
              <w:spacing w:line="360" w:lineRule="auto"/>
              <w:jc w:val="center"/>
              <w:rPr>
                <w:szCs w:val="32"/>
              </w:rPr>
            </w:pPr>
            <w:r>
              <w:rPr>
                <w:szCs w:val="32"/>
              </w:rPr>
              <w:t>站西路</w:t>
            </w:r>
          </w:p>
        </w:tc>
        <w:tc>
          <w:tcPr>
            <w:tcW w:w="1796" w:type="dxa"/>
            <w:shd w:val="clear" w:color="auto" w:fill="auto"/>
            <w:vAlign w:val="center"/>
          </w:tcPr>
          <w:p>
            <w:pPr>
              <w:spacing w:line="360" w:lineRule="auto"/>
              <w:jc w:val="center"/>
              <w:rPr>
                <w:szCs w:val="32"/>
              </w:rPr>
            </w:pPr>
            <w:r>
              <w:rPr>
                <w:szCs w:val="32"/>
              </w:rPr>
              <w:t>7361.12</w:t>
            </w:r>
          </w:p>
        </w:tc>
        <w:tc>
          <w:tcPr>
            <w:tcW w:w="4222" w:type="dxa"/>
            <w:shd w:val="clear" w:color="auto" w:fill="auto"/>
            <w:vAlign w:val="center"/>
          </w:tcPr>
          <w:p>
            <w:pPr>
              <w:spacing w:line="360" w:lineRule="auto"/>
              <w:jc w:val="center"/>
              <w:rPr>
                <w:szCs w:val="32"/>
              </w:rPr>
            </w:pPr>
            <w:r>
              <w:rPr>
                <w:szCs w:val="32"/>
              </w:rPr>
              <w:t>广州市越秀区站西路39号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shd w:val="clear" w:color="auto" w:fill="auto"/>
            <w:vAlign w:val="center"/>
          </w:tcPr>
          <w:p>
            <w:pPr>
              <w:spacing w:line="360" w:lineRule="auto"/>
              <w:jc w:val="center"/>
              <w:rPr>
                <w:szCs w:val="32"/>
              </w:rPr>
            </w:pPr>
            <w:r>
              <w:rPr>
                <w:rFonts w:hint="eastAsia"/>
                <w:szCs w:val="32"/>
              </w:rPr>
              <w:t>合计</w:t>
            </w:r>
          </w:p>
        </w:tc>
        <w:tc>
          <w:tcPr>
            <w:tcW w:w="2634" w:type="dxa"/>
            <w:shd w:val="clear" w:color="auto" w:fill="auto"/>
            <w:vAlign w:val="center"/>
          </w:tcPr>
          <w:p>
            <w:pPr>
              <w:spacing w:line="360" w:lineRule="auto"/>
              <w:jc w:val="center"/>
              <w:rPr>
                <w:szCs w:val="32"/>
              </w:rPr>
            </w:pPr>
          </w:p>
        </w:tc>
        <w:tc>
          <w:tcPr>
            <w:tcW w:w="1796" w:type="dxa"/>
            <w:shd w:val="clear" w:color="auto" w:fill="auto"/>
            <w:vAlign w:val="center"/>
          </w:tcPr>
          <w:p>
            <w:pPr>
              <w:spacing w:line="360" w:lineRule="auto"/>
              <w:jc w:val="center"/>
              <w:rPr>
                <w:szCs w:val="32"/>
              </w:rPr>
            </w:pPr>
            <w:r>
              <w:rPr>
                <w:szCs w:val="32"/>
              </w:rPr>
              <w:t>47174.21</w:t>
            </w:r>
          </w:p>
        </w:tc>
        <w:tc>
          <w:tcPr>
            <w:tcW w:w="4222" w:type="dxa"/>
            <w:shd w:val="clear" w:color="auto" w:fill="auto"/>
            <w:vAlign w:val="center"/>
          </w:tcPr>
          <w:p>
            <w:pPr>
              <w:spacing w:line="360" w:lineRule="auto"/>
              <w:jc w:val="center"/>
              <w:rPr>
                <w:szCs w:val="32"/>
              </w:rPr>
            </w:pPr>
          </w:p>
        </w:tc>
      </w:tr>
    </w:tbl>
    <w:p>
      <w:pPr>
        <w:pStyle w:val="47"/>
        <w:ind w:left="420"/>
      </w:pPr>
    </w:p>
    <w:p>
      <w:pPr>
        <w:spacing w:line="360" w:lineRule="auto"/>
        <w:ind w:firstLine="420" w:firstLineChars="200"/>
        <w:rPr>
          <w:rFonts w:ascii="宋体" w:hAnsi="宋体" w:cs="宋体"/>
          <w:szCs w:val="21"/>
        </w:rPr>
      </w:pPr>
      <w:r>
        <w:rPr>
          <w:rFonts w:hint="eastAsia" w:ascii="宋体" w:hAnsi="宋体" w:cs="宋体"/>
          <w:szCs w:val="21"/>
        </w:rPr>
        <w:t>3.工作内容：负责7处土地开展土地权籍调查工作，包括地籍调查和不动产权籍调查，出具权籍调查成果，权籍调查成果需满足不动产登记部门入案要求，作为办理土地确权、取得土地《不动产权证》的重要依据。</w:t>
      </w:r>
    </w:p>
    <w:p>
      <w:pPr>
        <w:tabs>
          <w:tab w:val="left" w:pos="425"/>
        </w:tabs>
        <w:autoSpaceDE w:val="0"/>
        <w:autoSpaceDN w:val="0"/>
        <w:spacing w:line="360" w:lineRule="auto"/>
        <w:jc w:val="left"/>
      </w:pPr>
      <w:r>
        <w:rPr>
          <w:rFonts w:hint="eastAsia" w:ascii="宋体" w:hAnsi="宋体"/>
          <w:b/>
          <w:szCs w:val="21"/>
        </w:rPr>
        <w:t>二、执行技术标准</w:t>
      </w:r>
    </w:p>
    <w:p>
      <w:pPr>
        <w:widowControl/>
        <w:numPr>
          <w:ilvl w:val="0"/>
          <w:numId w:val="14"/>
        </w:numPr>
        <w:spacing w:line="360" w:lineRule="auto"/>
        <w:ind w:left="0" w:firstLine="420" w:firstLineChars="200"/>
        <w:jc w:val="left"/>
        <w:rPr>
          <w:rFonts w:ascii="宋体" w:hAnsi="宋体"/>
          <w:b/>
          <w:bCs/>
          <w:szCs w:val="21"/>
        </w:rPr>
      </w:pPr>
      <w:r>
        <w:rPr>
          <w:rFonts w:hint="eastAsia" w:ascii="宋体" w:hAnsi="宋体" w:cs="宋体"/>
          <w:szCs w:val="21"/>
        </w:rPr>
        <w:t>《城市测量规范》 CJJ/T 8-2011；</w:t>
      </w:r>
    </w:p>
    <w:p>
      <w:pPr>
        <w:widowControl/>
        <w:numPr>
          <w:ilvl w:val="0"/>
          <w:numId w:val="14"/>
        </w:numPr>
        <w:spacing w:line="360" w:lineRule="auto"/>
        <w:ind w:left="0" w:firstLine="420" w:firstLineChars="200"/>
        <w:jc w:val="left"/>
        <w:rPr>
          <w:rFonts w:ascii="宋体" w:hAnsi="宋体"/>
          <w:b/>
          <w:bCs/>
          <w:szCs w:val="21"/>
        </w:rPr>
      </w:pPr>
      <w:r>
        <w:rPr>
          <w:rFonts w:hint="eastAsia" w:ascii="宋体" w:hAnsi="宋体"/>
          <w:szCs w:val="21"/>
        </w:rPr>
        <w:t>《卫星定位城市测量技术标准》CJJ/T73-2019；</w:t>
      </w:r>
    </w:p>
    <w:p>
      <w:pPr>
        <w:widowControl/>
        <w:numPr>
          <w:ilvl w:val="0"/>
          <w:numId w:val="14"/>
        </w:numPr>
        <w:spacing w:line="360" w:lineRule="auto"/>
        <w:ind w:left="0" w:firstLine="420" w:firstLineChars="200"/>
        <w:jc w:val="left"/>
        <w:rPr>
          <w:rFonts w:ascii="宋体" w:hAnsi="宋体"/>
          <w:b/>
          <w:bCs/>
          <w:szCs w:val="21"/>
        </w:rPr>
      </w:pPr>
      <w:r>
        <w:rPr>
          <w:rFonts w:hint="eastAsia" w:ascii="宋体" w:hAnsi="宋体"/>
          <w:szCs w:val="21"/>
        </w:rPr>
        <w:t>《土地利用现状分类》GB/T 21010—2017；</w:t>
      </w:r>
    </w:p>
    <w:p>
      <w:pPr>
        <w:widowControl/>
        <w:numPr>
          <w:ilvl w:val="0"/>
          <w:numId w:val="14"/>
        </w:numPr>
        <w:spacing w:line="360" w:lineRule="auto"/>
        <w:ind w:left="0" w:firstLine="420" w:firstLineChars="200"/>
        <w:jc w:val="left"/>
        <w:rPr>
          <w:rFonts w:ascii="宋体" w:hAnsi="宋体"/>
          <w:bCs/>
          <w:szCs w:val="21"/>
        </w:rPr>
      </w:pPr>
      <w:r>
        <w:rPr>
          <w:rFonts w:hint="eastAsia" w:ascii="宋体" w:hAnsi="宋体"/>
          <w:bCs/>
          <w:szCs w:val="21"/>
        </w:rPr>
        <w:t>《1:500 1:1000 1:2000地形图图式》DB4401T 166—2022；</w:t>
      </w:r>
    </w:p>
    <w:p>
      <w:pPr>
        <w:widowControl/>
        <w:numPr>
          <w:ilvl w:val="0"/>
          <w:numId w:val="14"/>
        </w:numPr>
        <w:spacing w:line="360" w:lineRule="auto"/>
        <w:ind w:left="0" w:firstLine="420" w:firstLineChars="200"/>
        <w:jc w:val="left"/>
        <w:rPr>
          <w:rFonts w:ascii="宋体" w:hAnsi="宋体"/>
          <w:b/>
          <w:bCs/>
          <w:szCs w:val="21"/>
        </w:rPr>
      </w:pPr>
      <w:r>
        <w:rPr>
          <w:rFonts w:hint="eastAsia" w:ascii="宋体" w:hAnsi="宋体"/>
          <w:szCs w:val="21"/>
        </w:rPr>
        <w:t>《数字地图测绘技术规程》DB4401/T 31-2019；</w:t>
      </w:r>
    </w:p>
    <w:p>
      <w:pPr>
        <w:widowControl/>
        <w:numPr>
          <w:ilvl w:val="0"/>
          <w:numId w:val="14"/>
        </w:numPr>
        <w:spacing w:line="360" w:lineRule="auto"/>
        <w:ind w:left="0" w:firstLine="420" w:firstLineChars="200"/>
        <w:jc w:val="left"/>
        <w:rPr>
          <w:rFonts w:hAnsi="宋体"/>
          <w:szCs w:val="21"/>
        </w:rPr>
      </w:pPr>
      <w:r>
        <w:rPr>
          <w:rFonts w:hint="eastAsia" w:ascii="宋体" w:hAnsi="宋体"/>
          <w:szCs w:val="21"/>
        </w:rPr>
        <w:t>《地籍调查规程》DB4401/T 2-2018；</w:t>
      </w:r>
    </w:p>
    <w:p>
      <w:pPr>
        <w:widowControl/>
        <w:numPr>
          <w:ilvl w:val="0"/>
          <w:numId w:val="14"/>
        </w:numPr>
        <w:spacing w:line="360" w:lineRule="auto"/>
        <w:ind w:left="0" w:firstLine="420" w:firstLineChars="200"/>
        <w:jc w:val="left"/>
      </w:pPr>
      <w:r>
        <w:rPr>
          <w:rFonts w:hint="eastAsia"/>
        </w:rPr>
        <w:t>《测绘成果质量检查与验收》GB/T 24356-2023；</w:t>
      </w:r>
    </w:p>
    <w:p>
      <w:pPr>
        <w:widowControl/>
        <w:numPr>
          <w:ilvl w:val="0"/>
          <w:numId w:val="14"/>
        </w:numPr>
        <w:spacing w:line="360" w:lineRule="auto"/>
        <w:ind w:left="0" w:firstLine="420" w:firstLineChars="200"/>
        <w:jc w:val="left"/>
      </w:pPr>
      <w:r>
        <w:rPr>
          <w:rFonts w:hint="eastAsia"/>
        </w:rPr>
        <w:t>采用广州2000平面坐标、2000国家大地坐标和广州高程系统。</w:t>
      </w:r>
    </w:p>
    <w:p>
      <w:pPr>
        <w:widowControl/>
        <w:numPr>
          <w:ilvl w:val="0"/>
          <w:numId w:val="14"/>
        </w:numPr>
        <w:spacing w:line="360" w:lineRule="auto"/>
        <w:ind w:left="0" w:firstLine="420" w:firstLineChars="200"/>
        <w:jc w:val="left"/>
      </w:pPr>
      <w:r>
        <w:rPr>
          <w:rFonts w:hint="eastAsia"/>
        </w:rPr>
        <w:t>其它相关规定。</w:t>
      </w:r>
    </w:p>
    <w:p>
      <w:pPr>
        <w:tabs>
          <w:tab w:val="left" w:pos="425"/>
        </w:tabs>
        <w:autoSpaceDE w:val="0"/>
        <w:autoSpaceDN w:val="0"/>
        <w:spacing w:line="360" w:lineRule="auto"/>
        <w:jc w:val="left"/>
        <w:rPr>
          <w:b/>
          <w:bCs/>
        </w:rPr>
      </w:pPr>
      <w:r>
        <w:rPr>
          <w:rFonts w:hint="eastAsia"/>
          <w:b/>
          <w:bCs/>
        </w:rPr>
        <w:t>三、交付时间要求</w:t>
      </w:r>
    </w:p>
    <w:p>
      <w:pPr>
        <w:pStyle w:val="47"/>
        <w:tabs>
          <w:tab w:val="left" w:pos="312"/>
        </w:tabs>
        <w:spacing w:after="0" w:line="360" w:lineRule="auto"/>
        <w:ind w:firstLine="420" w:firstLineChars="200"/>
        <w:rPr>
          <w:rFonts w:ascii="宋体" w:hAnsi="宋体" w:cs="宋体"/>
        </w:rPr>
      </w:pPr>
      <w:r>
        <w:rPr>
          <w:rFonts w:hint="eastAsia" w:ascii="宋体" w:hAnsi="宋体" w:cs="宋体"/>
        </w:rPr>
        <w:t>1</w:t>
      </w:r>
      <w:r>
        <w:rPr>
          <w:rFonts w:ascii="宋体" w:hAnsi="宋体" w:cs="宋体"/>
        </w:rPr>
        <w:t>.</w:t>
      </w:r>
      <w:r>
        <w:rPr>
          <w:rFonts w:hint="eastAsia" w:ascii="宋体" w:hAnsi="宋体"/>
          <w:szCs w:val="21"/>
        </w:rPr>
        <w:t>自合同签订并生效后30个工作日内出具7处地籍调查表，乙方需在不动产登记部门出具审核意见后20个工作日内出具不动产权籍调查报告。</w:t>
      </w:r>
    </w:p>
    <w:p>
      <w:pPr>
        <w:pStyle w:val="47"/>
        <w:tabs>
          <w:tab w:val="left" w:pos="312"/>
        </w:tabs>
        <w:spacing w:after="0" w:line="360" w:lineRule="auto"/>
        <w:ind w:firstLine="420" w:firstLineChars="200"/>
        <w:rPr>
          <w:rFonts w:ascii="宋体" w:hAnsi="宋体" w:cs="宋体"/>
        </w:rPr>
      </w:pPr>
      <w:r>
        <w:rPr>
          <w:rFonts w:hint="eastAsia" w:ascii="宋体" w:hAnsi="宋体" w:cs="宋体"/>
        </w:rPr>
        <w:t>2</w:t>
      </w:r>
      <w:r>
        <w:rPr>
          <w:rFonts w:ascii="宋体" w:hAnsi="宋体" w:cs="宋体"/>
        </w:rPr>
        <w:t>.</w:t>
      </w:r>
      <w:r>
        <w:rPr>
          <w:rFonts w:hint="eastAsia" w:ascii="宋体" w:hAnsi="宋体" w:cs="宋体"/>
        </w:rPr>
        <w:t>由于甲方原因或不可抗力原因造成乙方无法按约定时间提交权籍调查成果的，经甲乙双方协商一致，受影响部分提交权籍调查成果的时间可以相应顺延，并另行签署补充协议。</w:t>
      </w:r>
    </w:p>
    <w:p>
      <w:pPr>
        <w:tabs>
          <w:tab w:val="left" w:pos="425"/>
        </w:tabs>
        <w:autoSpaceDE w:val="0"/>
        <w:autoSpaceDN w:val="0"/>
        <w:spacing w:line="360" w:lineRule="auto"/>
        <w:jc w:val="left"/>
        <w:rPr>
          <w:rFonts w:ascii="宋体" w:hAnsi="宋体"/>
          <w:b/>
          <w:szCs w:val="21"/>
        </w:rPr>
      </w:pPr>
      <w:r>
        <w:rPr>
          <w:rFonts w:hint="eastAsia" w:ascii="宋体" w:hAnsi="宋体"/>
          <w:b/>
          <w:szCs w:val="21"/>
        </w:rPr>
        <w:t>四、甲乙双方的权利和义务</w:t>
      </w:r>
    </w:p>
    <w:p>
      <w:pPr>
        <w:spacing w:line="360" w:lineRule="auto"/>
        <w:ind w:firstLine="420" w:firstLineChars="200"/>
        <w:rPr>
          <w:rFonts w:ascii="宋体" w:hAnsi="宋体"/>
          <w:color w:val="0000FF"/>
          <w:szCs w:val="21"/>
        </w:rPr>
      </w:pPr>
      <w:r>
        <w:rPr>
          <w:rFonts w:hint="eastAsia" w:ascii="宋体" w:hAnsi="宋体"/>
          <w:szCs w:val="21"/>
        </w:rPr>
        <w:t>（一） 甲方的权利和义务</w:t>
      </w:r>
    </w:p>
    <w:p>
      <w:pPr>
        <w:pStyle w:val="24"/>
        <w:rPr>
          <w:rFonts w:hAnsi="宋体"/>
          <w:sz w:val="21"/>
          <w:szCs w:val="21"/>
        </w:rPr>
      </w:pPr>
      <w:r>
        <w:rPr>
          <w:rFonts w:hint="eastAsia" w:hAnsi="宋体"/>
          <w:sz w:val="21"/>
          <w:szCs w:val="21"/>
        </w:rPr>
        <w:t>1.甲方有权检查项目工作的开展情况，对于乙方在项目开展过程中存在的不合理行为提出限期整改要求。</w:t>
      </w:r>
    </w:p>
    <w:p>
      <w:pPr>
        <w:pStyle w:val="24"/>
        <w:rPr>
          <w:rFonts w:hAnsi="宋体"/>
          <w:sz w:val="21"/>
          <w:szCs w:val="21"/>
        </w:rPr>
      </w:pPr>
      <w:r>
        <w:rPr>
          <w:rFonts w:hint="eastAsia" w:hAnsi="宋体"/>
          <w:sz w:val="21"/>
          <w:szCs w:val="21"/>
        </w:rPr>
        <w:t>2.甲方有权根据合同约定向乙方提出合理的建议，双方经沟通协商确认是否采用该建议。</w:t>
      </w:r>
    </w:p>
    <w:p>
      <w:pPr>
        <w:pStyle w:val="24"/>
        <w:rPr>
          <w:rFonts w:hAnsi="宋体"/>
          <w:sz w:val="21"/>
          <w:szCs w:val="21"/>
        </w:rPr>
      </w:pPr>
      <w:r>
        <w:rPr>
          <w:rFonts w:hint="eastAsia" w:hAnsi="宋体"/>
          <w:sz w:val="21"/>
          <w:szCs w:val="21"/>
        </w:rPr>
        <w:t>3.甲方向乙方提供有关资料和技术要求，并对所提供材料的真实性和完整性负责。</w:t>
      </w:r>
    </w:p>
    <w:p>
      <w:pPr>
        <w:pStyle w:val="24"/>
        <w:rPr>
          <w:rFonts w:hAnsi="宋体"/>
          <w:sz w:val="21"/>
          <w:szCs w:val="21"/>
        </w:rPr>
      </w:pPr>
      <w:r>
        <w:rPr>
          <w:rFonts w:hint="eastAsia" w:hAnsi="宋体"/>
          <w:sz w:val="21"/>
          <w:szCs w:val="21"/>
        </w:rPr>
        <w:t>4.甲方有义务以组织会议、发放文件通知、现场协调等形式协助乙方开展工作。</w:t>
      </w:r>
    </w:p>
    <w:p>
      <w:pPr>
        <w:pStyle w:val="24"/>
        <w:rPr>
          <w:rFonts w:hAnsi="宋体"/>
          <w:sz w:val="21"/>
          <w:szCs w:val="21"/>
        </w:rPr>
      </w:pPr>
      <w:r>
        <w:rPr>
          <w:rFonts w:hint="eastAsia" w:hAnsi="宋体"/>
          <w:sz w:val="21"/>
          <w:szCs w:val="21"/>
        </w:rPr>
        <w:t>5.甲方有义务根据本合同约定按时足额向乙方支付技术服务费。</w:t>
      </w:r>
    </w:p>
    <w:p>
      <w:pPr>
        <w:pStyle w:val="24"/>
        <w:rPr>
          <w:rFonts w:hAnsi="宋体"/>
          <w:sz w:val="21"/>
          <w:szCs w:val="21"/>
        </w:rPr>
      </w:pPr>
      <w:r>
        <w:rPr>
          <w:rFonts w:hint="eastAsia" w:hAnsi="宋体"/>
          <w:sz w:val="21"/>
          <w:szCs w:val="21"/>
        </w:rPr>
        <w:t>6.甲方足额支付本合同技术服务费后，乙方在提供服务过程中所制作与提交所有成果之所有权与知识产权归甲方所有。</w:t>
      </w:r>
    </w:p>
    <w:p>
      <w:pPr>
        <w:spacing w:line="360" w:lineRule="auto"/>
        <w:ind w:firstLine="405"/>
        <w:rPr>
          <w:rFonts w:ascii="宋体" w:hAnsi="宋体"/>
          <w:szCs w:val="21"/>
        </w:rPr>
      </w:pPr>
      <w:r>
        <w:rPr>
          <w:rFonts w:hint="eastAsia" w:ascii="宋体" w:hAnsi="宋体"/>
          <w:szCs w:val="21"/>
        </w:rPr>
        <w:t>（二） 乙方的权利和义务</w:t>
      </w:r>
    </w:p>
    <w:p>
      <w:pPr>
        <w:spacing w:line="360" w:lineRule="auto"/>
        <w:ind w:firstLine="405"/>
        <w:rPr>
          <w:rFonts w:ascii="宋体" w:hAnsi="宋体" w:cs="宋体"/>
          <w:szCs w:val="21"/>
        </w:rPr>
      </w:pPr>
      <w:r>
        <w:rPr>
          <w:rFonts w:hint="eastAsia" w:ascii="宋体" w:hAnsi="宋体" w:cs="宋体"/>
          <w:szCs w:val="21"/>
        </w:rPr>
        <w:t>1.根据甲方提供的有关资料和技术要求，及时组织测绘工作的实施。</w:t>
      </w:r>
    </w:p>
    <w:p>
      <w:pPr>
        <w:widowControl/>
        <w:spacing w:line="360" w:lineRule="auto"/>
        <w:ind w:firstLine="420" w:firstLineChars="200"/>
        <w:jc w:val="left"/>
        <w:rPr>
          <w:rFonts w:ascii="宋体" w:hAnsi="宋体" w:cs="宋体"/>
          <w:szCs w:val="21"/>
        </w:rPr>
      </w:pPr>
      <w:r>
        <w:rPr>
          <w:rFonts w:hint="eastAsia" w:ascii="宋体" w:hAnsi="宋体" w:cs="宋体"/>
          <w:szCs w:val="21"/>
        </w:rPr>
        <w:t>2.乙方确保拥有足够的人力、财力、物力和技术能力等资源，确保测绘项目如期完成。</w:t>
      </w:r>
    </w:p>
    <w:p>
      <w:pPr>
        <w:pStyle w:val="47"/>
        <w:spacing w:after="0" w:line="360" w:lineRule="auto"/>
        <w:ind w:firstLine="420" w:firstLineChars="200"/>
      </w:pPr>
      <w:r>
        <w:rPr>
          <w:rFonts w:hint="eastAsia" w:ascii="宋体" w:hAnsi="宋体" w:cs="宋体"/>
          <w:szCs w:val="21"/>
        </w:rPr>
        <w:t>3.乙方应当根据合同约定的要求确保测绘项目如期完成。</w:t>
      </w:r>
    </w:p>
    <w:p>
      <w:pPr>
        <w:widowControl/>
        <w:spacing w:line="360" w:lineRule="auto"/>
        <w:ind w:firstLine="420" w:firstLineChars="200"/>
        <w:jc w:val="left"/>
        <w:rPr>
          <w:rFonts w:ascii="宋体" w:hAnsi="宋体" w:cs="宋体"/>
          <w:szCs w:val="21"/>
        </w:rPr>
      </w:pPr>
      <w:r>
        <w:rPr>
          <w:rFonts w:hint="eastAsia" w:ascii="宋体" w:hAnsi="宋体" w:cs="宋体"/>
          <w:szCs w:val="21"/>
        </w:rPr>
        <w:t>4.乙方对本合同成果的质量负责，如有疏漏、错误等，乙方在甲方指定时间内完成修改。</w:t>
      </w:r>
    </w:p>
    <w:p>
      <w:pPr>
        <w:pStyle w:val="47"/>
        <w:spacing w:after="0" w:line="360" w:lineRule="auto"/>
        <w:ind w:firstLine="420"/>
        <w:rPr>
          <w:rFonts w:ascii="宋体" w:hAnsi="宋体" w:cs="宋体"/>
          <w:szCs w:val="21"/>
        </w:rPr>
      </w:pPr>
      <w:r>
        <w:rPr>
          <w:rFonts w:hint="eastAsia" w:ascii="宋体" w:hAnsi="宋体" w:cs="宋体"/>
          <w:szCs w:val="21"/>
        </w:rPr>
        <w:t>5.乙方对成果资料和成果质量负责。</w:t>
      </w:r>
    </w:p>
    <w:p>
      <w:pPr>
        <w:pStyle w:val="47"/>
        <w:spacing w:after="0" w:line="360" w:lineRule="auto"/>
        <w:ind w:firstLine="420"/>
        <w:rPr>
          <w:rFonts w:ascii="宋体" w:hAnsi="宋体" w:cs="宋体"/>
          <w:szCs w:val="21"/>
        </w:rPr>
      </w:pPr>
      <w:r>
        <w:rPr>
          <w:rFonts w:hint="eastAsia" w:ascii="宋体" w:hAnsi="宋体" w:cs="宋体"/>
          <w:szCs w:val="21"/>
        </w:rPr>
        <w:t>6.乙方有权根据本合同约定收取技术服务费，如甲方支付给乙方的测绘费结清后，甲方在使用测绘成果中发现疏漏、错误、调整界线等归责于乙方原因的，乙方应无条件进行更正完善（该部分费用已包含在合同金额中）；如归于甲方原因的，涉及修改费用由甲方承担，并按实结算。乙方提供服务中所需设备与软件系统由乙方自备，甲方不另行承担相关费用。</w:t>
      </w:r>
    </w:p>
    <w:p>
      <w:pPr>
        <w:tabs>
          <w:tab w:val="left" w:pos="425"/>
        </w:tabs>
        <w:autoSpaceDE w:val="0"/>
        <w:autoSpaceDN w:val="0"/>
        <w:spacing w:line="360" w:lineRule="auto"/>
        <w:jc w:val="left"/>
        <w:rPr>
          <w:rFonts w:ascii="宋体" w:hAnsi="宋体"/>
          <w:b/>
          <w:szCs w:val="21"/>
        </w:rPr>
      </w:pPr>
      <w:r>
        <w:rPr>
          <w:rFonts w:hint="eastAsia" w:ascii="宋体" w:hAnsi="宋体"/>
          <w:b/>
          <w:szCs w:val="21"/>
        </w:rPr>
        <w:t>五、付款方式</w:t>
      </w:r>
    </w:p>
    <w:p>
      <w:pPr>
        <w:pStyle w:val="47"/>
        <w:tabs>
          <w:tab w:val="left" w:pos="312"/>
        </w:tabs>
        <w:spacing w:after="0" w:line="360" w:lineRule="auto"/>
        <w:ind w:firstLine="420" w:firstLineChars="200"/>
      </w:pPr>
      <w:r>
        <w:rPr>
          <w:rFonts w:hint="eastAsia"/>
        </w:rPr>
        <w:t>1</w:t>
      </w:r>
      <w:r>
        <w:t>.</w:t>
      </w:r>
      <w:r>
        <w:rPr>
          <w:rFonts w:hint="eastAsia"/>
        </w:rPr>
        <w:t>自合同签订并生效后，乙方向甲方开具合法等额有效的发票起10个工作日内，甲方向乙方支付本项目合同技术服务费的30%。</w:t>
      </w:r>
    </w:p>
    <w:p>
      <w:pPr>
        <w:pStyle w:val="47"/>
        <w:tabs>
          <w:tab w:val="left" w:pos="312"/>
        </w:tabs>
        <w:spacing w:after="0" w:line="360" w:lineRule="auto"/>
        <w:ind w:firstLine="420" w:firstLineChars="200"/>
      </w:pPr>
      <w:r>
        <w:t>2.</w:t>
      </w:r>
      <w:r>
        <w:rPr>
          <w:rFonts w:hint="eastAsia"/>
        </w:rPr>
        <w:t>乙方向甲方出具7处地籍调查表且</w:t>
      </w:r>
      <w:r>
        <w:rPr>
          <w:rFonts w:hint="eastAsia" w:ascii="宋体" w:hAnsi="宋体"/>
          <w:szCs w:val="21"/>
        </w:rPr>
        <w:t>满足不动产登记部门入案要求后</w:t>
      </w:r>
      <w:r>
        <w:rPr>
          <w:rFonts w:hint="eastAsia"/>
        </w:rPr>
        <w:t>，甲方向乙方支付本项目合同技术服务费的40%。</w:t>
      </w:r>
    </w:p>
    <w:p>
      <w:pPr>
        <w:pStyle w:val="47"/>
        <w:tabs>
          <w:tab w:val="left" w:pos="312"/>
        </w:tabs>
        <w:spacing w:after="0" w:line="360" w:lineRule="auto"/>
        <w:ind w:firstLine="420" w:firstLineChars="200"/>
      </w:pPr>
      <w:r>
        <w:rPr>
          <w:rFonts w:hint="eastAsia"/>
        </w:rPr>
        <w:t>3</w:t>
      </w:r>
      <w:r>
        <w:t>.</w:t>
      </w:r>
      <w:r>
        <w:rPr>
          <w:rFonts w:hint="eastAsia"/>
        </w:rPr>
        <w:t>乙方向甲方出具7处土地不动产权籍调查报告且</w:t>
      </w:r>
      <w:r>
        <w:rPr>
          <w:rFonts w:hint="eastAsia" w:ascii="宋体" w:hAnsi="宋体"/>
          <w:szCs w:val="21"/>
        </w:rPr>
        <w:t>满足不动产登记部门入案要求后</w:t>
      </w:r>
      <w:r>
        <w:rPr>
          <w:rFonts w:hint="eastAsia"/>
        </w:rPr>
        <w:t>，甲方向乙方支付本项目合同技术服务费的30%。</w:t>
      </w:r>
    </w:p>
    <w:p>
      <w:pPr>
        <w:pStyle w:val="47"/>
        <w:tabs>
          <w:tab w:val="left" w:pos="312"/>
        </w:tabs>
        <w:spacing w:after="0" w:line="360" w:lineRule="auto"/>
        <w:ind w:firstLine="420" w:firstLineChars="200"/>
      </w:pPr>
      <w:r>
        <w:rPr>
          <w:rFonts w:hint="eastAsia"/>
        </w:rPr>
        <w:t>4.本项目的付款时间是指甲方向财务部门提交付款申请的时间（不含财务部门的审核和支付时间），在规定时间内提交付款申请即视甲方已履行付款义务，乙方不得以付款期限已过为由向甲方索赔或要求支付违约金。</w:t>
      </w:r>
    </w:p>
    <w:p>
      <w:pPr>
        <w:pStyle w:val="47"/>
        <w:tabs>
          <w:tab w:val="left" w:pos="312"/>
        </w:tabs>
        <w:spacing w:after="0" w:line="360" w:lineRule="auto"/>
        <w:ind w:firstLine="420" w:firstLineChars="200"/>
      </w:pPr>
      <w:r>
        <w:rPr>
          <w:rFonts w:hint="eastAsia"/>
        </w:rPr>
        <w:t>5.付款方式：采用支票、银行汇票、电汇三种形式。</w:t>
      </w:r>
    </w:p>
    <w:p>
      <w:pPr>
        <w:tabs>
          <w:tab w:val="left" w:pos="425"/>
        </w:tabs>
        <w:autoSpaceDE w:val="0"/>
        <w:autoSpaceDN w:val="0"/>
        <w:spacing w:line="360" w:lineRule="auto"/>
        <w:jc w:val="left"/>
        <w:rPr>
          <w:rFonts w:ascii="宋体" w:hAnsi="宋体"/>
          <w:b/>
          <w:szCs w:val="21"/>
        </w:rPr>
      </w:pPr>
      <w:r>
        <w:rPr>
          <w:rFonts w:hint="eastAsia" w:ascii="宋体" w:hAnsi="宋体"/>
          <w:b/>
          <w:szCs w:val="21"/>
        </w:rPr>
        <w:t>六、保密要求</w:t>
      </w:r>
    </w:p>
    <w:p>
      <w:pPr>
        <w:pStyle w:val="24"/>
        <w:rPr>
          <w:sz w:val="21"/>
          <w:szCs w:val="21"/>
        </w:rPr>
      </w:pPr>
      <w:r>
        <w:rPr>
          <w:rFonts w:hint="eastAsia"/>
          <w:sz w:val="21"/>
          <w:szCs w:val="21"/>
        </w:rPr>
        <w:t>1.保密内容：甲方提供的所有数据和资料，以及本项目技术服务信息，未经甲方书面同意，乙方不得向第三方提供或披露，且仅被用于甲方规定的用途，即使向与履行本合同有关的人员提供，也应注意保密并限于履行合同所必需的范围；</w:t>
      </w:r>
    </w:p>
    <w:p>
      <w:pPr>
        <w:pStyle w:val="24"/>
        <w:rPr>
          <w:sz w:val="21"/>
          <w:szCs w:val="21"/>
        </w:rPr>
      </w:pPr>
      <w:r>
        <w:rPr>
          <w:rFonts w:hint="eastAsia"/>
          <w:sz w:val="21"/>
          <w:szCs w:val="21"/>
        </w:rPr>
        <w:t>2.涉密人员范围：乙方参加本技术服务项目的所有成员及可能获得本技术服务项目资料的人员；</w:t>
      </w:r>
    </w:p>
    <w:p>
      <w:pPr>
        <w:pStyle w:val="24"/>
        <w:rPr>
          <w:sz w:val="21"/>
          <w:szCs w:val="21"/>
        </w:rPr>
      </w:pPr>
      <w:r>
        <w:rPr>
          <w:rFonts w:hint="eastAsia"/>
          <w:sz w:val="21"/>
          <w:szCs w:val="21"/>
        </w:rPr>
        <w:t>3.保密期限：乙方在合同中涉及的保密义务期限为永久保密，不因合同终止、解除而完结；</w:t>
      </w:r>
    </w:p>
    <w:p>
      <w:pPr>
        <w:pStyle w:val="24"/>
        <w:rPr>
          <w:sz w:val="21"/>
          <w:szCs w:val="21"/>
        </w:rPr>
      </w:pPr>
      <w:r>
        <w:rPr>
          <w:rFonts w:hint="eastAsia"/>
          <w:sz w:val="21"/>
          <w:szCs w:val="21"/>
        </w:rPr>
        <w:t>4.泄密责任：乙方违反保密义务导致甲方遭受任何损失的，乙方应予全部赔偿，损失赔偿的范围包括但不限于直接损失、甲方向第三方支付的赔偿/违约金以及甲方为此而支出的律师费、鉴定费、保全费、诉讼与仲裁费用等，其余按照国家相关法律法规追究泄密责任；</w:t>
      </w:r>
    </w:p>
    <w:p>
      <w:pPr>
        <w:pStyle w:val="24"/>
      </w:pPr>
      <w:r>
        <w:rPr>
          <w:rFonts w:hint="eastAsia"/>
          <w:sz w:val="21"/>
          <w:szCs w:val="21"/>
        </w:rPr>
        <w:t>5.结合甲方的测绘需求，除法律、法规规定或行政职能部门要求提供情况外，未经乙方书面授权同意，甲方不得将项目成果提供其他第三方使用或用于其他用途。</w:t>
      </w:r>
    </w:p>
    <w:p>
      <w:pPr>
        <w:tabs>
          <w:tab w:val="left" w:pos="425"/>
        </w:tabs>
        <w:autoSpaceDE w:val="0"/>
        <w:autoSpaceDN w:val="0"/>
        <w:spacing w:line="360" w:lineRule="auto"/>
        <w:jc w:val="left"/>
        <w:rPr>
          <w:rFonts w:ascii="宋体" w:hAnsi="宋体"/>
          <w:b/>
          <w:szCs w:val="21"/>
        </w:rPr>
      </w:pPr>
      <w:r>
        <w:rPr>
          <w:rFonts w:hint="eastAsia" w:ascii="宋体" w:hAnsi="宋体"/>
          <w:b/>
          <w:szCs w:val="21"/>
        </w:rPr>
        <w:t>七、知识产权归属</w:t>
      </w:r>
    </w:p>
    <w:p>
      <w:pPr>
        <w:spacing w:line="360" w:lineRule="auto"/>
        <w:ind w:firstLine="420" w:firstLineChars="200"/>
        <w:rPr>
          <w:rFonts w:ascii="宋体" w:hAnsi="宋体" w:cs="宋体"/>
          <w:szCs w:val="21"/>
        </w:rPr>
      </w:pPr>
      <w:r>
        <w:rPr>
          <w:rFonts w:hint="eastAsia" w:ascii="宋体" w:hAnsi="宋体" w:cs="宋体"/>
          <w:szCs w:val="21"/>
        </w:rPr>
        <w:t>1</w:t>
      </w:r>
      <w:r>
        <w:rPr>
          <w:rFonts w:ascii="宋体" w:hAnsi="宋体" w:cs="宋体"/>
          <w:szCs w:val="21"/>
        </w:rPr>
        <w:t>.</w:t>
      </w:r>
      <w:r>
        <w:rPr>
          <w:rFonts w:hint="eastAsia" w:ascii="宋体" w:hAnsi="宋体" w:cs="宋体"/>
          <w:szCs w:val="21"/>
        </w:rPr>
        <w:t>本项目成果的所有权与知识产权均归甲方所有。</w:t>
      </w:r>
    </w:p>
    <w:p>
      <w:pPr>
        <w:spacing w:line="360" w:lineRule="auto"/>
        <w:ind w:firstLine="420" w:firstLineChars="200"/>
        <w:rPr>
          <w:rFonts w:ascii="宋体" w:hAnsi="宋体" w:cs="宋体"/>
          <w:szCs w:val="21"/>
        </w:rPr>
      </w:pPr>
      <w:r>
        <w:rPr>
          <w:rFonts w:hint="eastAsia" w:ascii="宋体" w:hAnsi="宋体" w:cs="宋体"/>
          <w:szCs w:val="21"/>
        </w:rPr>
        <w:t>2</w:t>
      </w:r>
      <w:r>
        <w:rPr>
          <w:rFonts w:ascii="宋体" w:hAnsi="宋体" w:cs="宋体"/>
          <w:szCs w:val="21"/>
        </w:rPr>
        <w:t>.</w:t>
      </w:r>
      <w:r>
        <w:rPr>
          <w:rFonts w:hint="eastAsia" w:ascii="宋体" w:hAnsi="宋体" w:cs="宋体"/>
          <w:szCs w:val="21"/>
        </w:rPr>
        <w:t>在本合同有效期内，甲方利用乙方提交的技术服务成果所完成的新的技术成果，归甲方所有。</w:t>
      </w:r>
    </w:p>
    <w:p>
      <w:pPr>
        <w:spacing w:line="360" w:lineRule="auto"/>
        <w:ind w:firstLine="420" w:firstLineChars="200"/>
        <w:rPr>
          <w:rFonts w:ascii="宋体" w:hAnsi="宋体" w:cs="宋体"/>
          <w:szCs w:val="21"/>
        </w:rPr>
      </w:pPr>
      <w:r>
        <w:rPr>
          <w:rFonts w:hint="eastAsia" w:ascii="宋体" w:hAnsi="宋体" w:cs="宋体"/>
          <w:szCs w:val="21"/>
        </w:rPr>
        <w:t>3</w:t>
      </w:r>
      <w:r>
        <w:rPr>
          <w:rFonts w:ascii="宋体" w:hAnsi="宋体" w:cs="宋体"/>
          <w:szCs w:val="21"/>
        </w:rPr>
        <w:t>.</w:t>
      </w:r>
      <w:r>
        <w:rPr>
          <w:rFonts w:hint="eastAsia" w:ascii="宋体" w:hAnsi="宋体" w:cs="宋体"/>
          <w:szCs w:val="21"/>
        </w:rPr>
        <w:t>在本合同有效期内，乙方利用甲方提供的技术资料和工作条件所完成的新的技术成果，归甲方所有。</w:t>
      </w:r>
    </w:p>
    <w:p>
      <w:pPr>
        <w:spacing w:line="360" w:lineRule="auto"/>
        <w:ind w:firstLine="420" w:firstLineChars="200"/>
        <w:rPr>
          <w:rFonts w:ascii="宋体" w:hAnsi="宋体" w:cs="宋体"/>
          <w:szCs w:val="21"/>
        </w:rPr>
      </w:pPr>
      <w:r>
        <w:rPr>
          <w:rFonts w:hint="eastAsia" w:ascii="宋体" w:hAnsi="宋体" w:cs="宋体"/>
          <w:szCs w:val="21"/>
        </w:rPr>
        <w:t>4</w:t>
      </w:r>
      <w:r>
        <w:rPr>
          <w:rFonts w:ascii="宋体" w:hAnsi="宋体" w:cs="宋体"/>
          <w:szCs w:val="21"/>
        </w:rPr>
        <w:t>.</w:t>
      </w:r>
      <w:r>
        <w:rPr>
          <w:rFonts w:hint="eastAsia" w:ascii="宋体" w:hAnsi="宋体" w:cs="宋体"/>
          <w:szCs w:val="21"/>
        </w:rPr>
        <w:t>未经甲方书面同意，乙方不得复制、出版、披露或者允许他人使用等方式使用本项目的成果。</w:t>
      </w:r>
    </w:p>
    <w:p>
      <w:pPr>
        <w:spacing w:line="360" w:lineRule="auto"/>
        <w:ind w:firstLine="420" w:firstLineChars="200"/>
        <w:rPr>
          <w:rFonts w:ascii="宋体" w:hAnsi="宋体" w:cs="宋体"/>
          <w:szCs w:val="21"/>
        </w:rPr>
      </w:pPr>
      <w:r>
        <w:rPr>
          <w:rFonts w:hint="eastAsia" w:ascii="宋体" w:hAnsi="宋体" w:cs="宋体"/>
          <w:szCs w:val="21"/>
        </w:rPr>
        <w:t>5.乙方应保证本项目的投标技术、服务或其任何一部分不会产生因第三方提出侵犯其专利权或其他知识产权而引起的法律和经济纠纷；如因第三方提出其专利权或其他知识产权的侵权之诉，则一切法律责任由乙方承担。乙方违反本条款之约定导致甲方遭受任何损失的，乙方应予全部赔偿，损失赔偿的范围包括但不限于直接损失、甲方向第三方支付的赔偿/违约金以及甲方为此而支出的律师费、鉴定费、保全费、诉讼与仲裁费用等。</w:t>
      </w:r>
    </w:p>
    <w:p>
      <w:pPr>
        <w:tabs>
          <w:tab w:val="left" w:pos="425"/>
        </w:tabs>
        <w:autoSpaceDE w:val="0"/>
        <w:autoSpaceDN w:val="0"/>
        <w:spacing w:line="360" w:lineRule="auto"/>
        <w:jc w:val="left"/>
        <w:rPr>
          <w:rFonts w:ascii="宋体" w:hAnsi="宋体"/>
          <w:b/>
          <w:szCs w:val="21"/>
        </w:rPr>
      </w:pPr>
      <w:r>
        <w:rPr>
          <w:rFonts w:hint="eastAsia" w:ascii="宋体" w:hAnsi="宋体"/>
          <w:b/>
          <w:szCs w:val="21"/>
        </w:rPr>
        <w:t>八、违约责任与赔偿损失</w:t>
      </w:r>
    </w:p>
    <w:p>
      <w:pPr>
        <w:tabs>
          <w:tab w:val="left" w:pos="900"/>
        </w:tabs>
        <w:spacing w:line="360" w:lineRule="auto"/>
        <w:ind w:firstLine="420" w:firstLineChars="200"/>
        <w:rPr>
          <w:rFonts w:ascii="宋体" w:hAnsi="宋体"/>
          <w:szCs w:val="21"/>
        </w:rPr>
      </w:pPr>
      <w:r>
        <w:rPr>
          <w:rFonts w:ascii="宋体" w:hAnsi="宋体"/>
          <w:szCs w:val="21"/>
        </w:rPr>
        <w:t>1.</w:t>
      </w:r>
      <w:r>
        <w:rPr>
          <w:rFonts w:hint="eastAsia" w:ascii="宋体" w:hAnsi="宋体"/>
          <w:szCs w:val="21"/>
        </w:rPr>
        <w:t>乙方提供的服务不符合本合同规定的，甲方有权拒收，要求乙方进行整改，并且乙方须向甲方支付本合同总价5%的违约金。由于乙方原因造成给甲方造成经济损失的，由乙方承担，包括但不限于直接经济损失、诉讼相关费用（包括但不限于诉讼费、律师费、差旅费等）。如经整改后仍不符合甲方要求或者不符合不动产登记部门入案要求，则甲方除有权要求乙方支付违约金外，还有权单方无责解除合同，要求乙方全额返还甲方已付款项，且由此造成的甲方其他经济损失由乙方承担。</w:t>
      </w:r>
    </w:p>
    <w:p>
      <w:pPr>
        <w:tabs>
          <w:tab w:val="left" w:pos="720"/>
          <w:tab w:val="left" w:pos="900"/>
        </w:tabs>
        <w:spacing w:line="360" w:lineRule="auto"/>
        <w:ind w:firstLine="420" w:firstLineChars="200"/>
        <w:rPr>
          <w:rFonts w:ascii="宋体" w:hAnsi="宋体"/>
          <w:szCs w:val="21"/>
        </w:rPr>
      </w:pPr>
      <w:r>
        <w:rPr>
          <w:rFonts w:ascii="宋体" w:hAnsi="宋体"/>
          <w:szCs w:val="21"/>
        </w:rPr>
        <w:t>2.</w:t>
      </w:r>
      <w:r>
        <w:rPr>
          <w:rFonts w:hint="eastAsia" w:ascii="宋体" w:hAnsi="宋体"/>
          <w:szCs w:val="21"/>
        </w:rPr>
        <w:t>乙方无正当理由未能按合同规定的日期提交测绘成果的，从逾期之日起每日按本</w:t>
      </w:r>
      <w:r>
        <w:rPr>
          <w:rFonts w:hint="eastAsia" w:ascii="宋体" w:hAnsi="宋体" w:cs="宋体"/>
          <w:szCs w:val="21"/>
        </w:rPr>
        <w:t>合同费用</w:t>
      </w:r>
      <w:r>
        <w:rPr>
          <w:rFonts w:hint="eastAsia" w:ascii="宋体" w:hAnsi="宋体"/>
          <w:szCs w:val="21"/>
        </w:rPr>
        <w:t>总价3‰的数额向甲方支付违约金；逾期15天以上（含15天）的，甲方有权终止合同，要求乙方按合同总金额的10%支付违约金，并且给甲方造成的经济损失由乙方承担赔偿责任。</w:t>
      </w:r>
    </w:p>
    <w:p>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服务期内，乙方未能按照未能严格履行合同其他服务要求，违约一次按合同金额的千分之三的数额向甲方支付违约金；如发生违约的情况累计超过</w:t>
      </w:r>
      <w:r>
        <w:rPr>
          <w:rFonts w:ascii="宋体" w:hAnsi="宋体"/>
          <w:szCs w:val="21"/>
        </w:rPr>
        <w:t>5</w:t>
      </w:r>
      <w:r>
        <w:rPr>
          <w:rFonts w:hint="eastAsia" w:ascii="宋体" w:hAnsi="宋体"/>
          <w:szCs w:val="21"/>
        </w:rPr>
        <w:t>次的，甲方有权解除合同，乙方需全额返还甲方已付款项，且由此造成的甲方其他经济损失由乙方承担。</w:t>
      </w:r>
    </w:p>
    <w:p>
      <w:pPr>
        <w:spacing w:line="360" w:lineRule="auto"/>
        <w:ind w:firstLine="420" w:firstLineChars="200"/>
        <w:rPr>
          <w:rFonts w:ascii="宋体" w:hAnsi="宋体"/>
          <w:szCs w:val="21"/>
        </w:rPr>
      </w:pPr>
      <w:r>
        <w:rPr>
          <w:rFonts w:ascii="宋体" w:hAnsi="宋体"/>
          <w:bCs/>
          <w:szCs w:val="21"/>
        </w:rPr>
        <w:t>4.</w:t>
      </w:r>
      <w:r>
        <w:rPr>
          <w:rFonts w:hint="eastAsia" w:ascii="宋体" w:hAnsi="宋体"/>
          <w:szCs w:val="21"/>
        </w:rPr>
        <w:t>甲方无正当理由拒收接受服务，甲方向乙方偿付合同金额的千分之三的的违约金。</w:t>
      </w:r>
      <w:r>
        <w:rPr>
          <w:rFonts w:hint="eastAsia" w:ascii="宋体" w:hAnsi="宋体" w:cs="宋体"/>
          <w:szCs w:val="21"/>
        </w:rPr>
        <w:t>甲方</w:t>
      </w:r>
      <w:r>
        <w:rPr>
          <w:rFonts w:hint="eastAsia" w:ascii="宋体" w:hAnsi="宋体"/>
          <w:szCs w:val="21"/>
        </w:rPr>
        <w:t>逾期付款，则甲方按照合同金额的千分之三的向乙方偿付违约金。甲方使用的是财政资金，甲方在约定期限内办理了财政支付申请手续即为付款</w:t>
      </w:r>
      <w:r>
        <w:rPr>
          <w:rFonts w:ascii="宋体" w:hAnsi="宋体"/>
          <w:szCs w:val="21"/>
        </w:rPr>
        <w:t xml:space="preserve">; </w:t>
      </w:r>
      <w:r>
        <w:rPr>
          <w:rFonts w:hint="eastAsia" w:ascii="宋体" w:hAnsi="宋体"/>
          <w:szCs w:val="21"/>
        </w:rPr>
        <w:t>因财政审批、财政拨款未及时到位、集中支付延误等致乙方收款延迟到账，不属于甲方违约情形，甲方无需承担任何责任。</w:t>
      </w:r>
    </w:p>
    <w:p>
      <w:pPr>
        <w:spacing w:line="360" w:lineRule="auto"/>
        <w:ind w:firstLine="420" w:firstLineChars="200"/>
        <w:rPr>
          <w:rFonts w:ascii="宋体" w:hAnsi="宋体"/>
          <w:bCs/>
          <w:szCs w:val="21"/>
        </w:rPr>
      </w:pPr>
      <w:r>
        <w:rPr>
          <w:rFonts w:hint="eastAsia" w:ascii="宋体" w:hAnsi="宋体"/>
          <w:bCs/>
          <w:szCs w:val="21"/>
        </w:rPr>
        <w:t>5.本合同约定的违约金不足以弥补甲方损失的，甲方可继续向乙方追偿。</w:t>
      </w:r>
    </w:p>
    <w:p>
      <w:pPr>
        <w:spacing w:line="360" w:lineRule="auto"/>
        <w:ind w:firstLine="420" w:firstLineChars="200"/>
        <w:rPr>
          <w:rFonts w:ascii="宋体" w:hAnsi="宋体"/>
          <w:bCs/>
          <w:szCs w:val="21"/>
        </w:rPr>
      </w:pPr>
      <w:r>
        <w:rPr>
          <w:rFonts w:hint="eastAsia" w:ascii="宋体" w:hAnsi="宋体"/>
          <w:bCs/>
          <w:szCs w:val="21"/>
        </w:rPr>
        <w:t>6.其它违约责任按《</w:t>
      </w:r>
      <w:r>
        <w:rPr>
          <w:rFonts w:hint="eastAsia" w:ascii="宋体" w:hAnsi="宋体"/>
          <w:szCs w:val="21"/>
        </w:rPr>
        <w:t>中华人民共和国民法典</w:t>
      </w:r>
      <w:r>
        <w:rPr>
          <w:rFonts w:hint="eastAsia" w:ascii="宋体" w:hAnsi="宋体"/>
          <w:bCs/>
          <w:szCs w:val="21"/>
        </w:rPr>
        <w:t>》处理。</w:t>
      </w:r>
    </w:p>
    <w:p>
      <w:pPr>
        <w:tabs>
          <w:tab w:val="left" w:pos="425"/>
        </w:tabs>
        <w:autoSpaceDE w:val="0"/>
        <w:autoSpaceDN w:val="0"/>
        <w:spacing w:line="360" w:lineRule="auto"/>
        <w:jc w:val="left"/>
        <w:rPr>
          <w:rFonts w:ascii="宋体" w:hAnsi="宋体"/>
          <w:b/>
          <w:szCs w:val="21"/>
        </w:rPr>
      </w:pPr>
      <w:r>
        <w:rPr>
          <w:rFonts w:hint="eastAsia" w:ascii="宋体" w:hAnsi="宋体"/>
          <w:b/>
          <w:szCs w:val="21"/>
        </w:rPr>
        <w:t>九、争端的解决</w:t>
      </w:r>
    </w:p>
    <w:p>
      <w:pPr>
        <w:spacing w:line="360" w:lineRule="auto"/>
        <w:ind w:firstLine="420" w:firstLineChars="200"/>
        <w:rPr>
          <w:rFonts w:ascii="宋体" w:hAnsi="宋体"/>
          <w:szCs w:val="21"/>
        </w:rPr>
      </w:pPr>
      <w:r>
        <w:rPr>
          <w:rFonts w:hint="eastAsia" w:ascii="宋体" w:hAnsi="宋体"/>
          <w:szCs w:val="21"/>
        </w:rPr>
        <w:t>合同执行过程中发生的任何争议，双方应当先友好协商解决，如双方不能通过友好协商解决，甲、乙双方一致同意向甲方所在地人民法院提起诉讼。</w:t>
      </w:r>
    </w:p>
    <w:p>
      <w:pPr>
        <w:tabs>
          <w:tab w:val="left" w:pos="425"/>
        </w:tabs>
        <w:autoSpaceDE w:val="0"/>
        <w:autoSpaceDN w:val="0"/>
        <w:spacing w:line="360" w:lineRule="auto"/>
        <w:jc w:val="left"/>
        <w:rPr>
          <w:rFonts w:ascii="宋体" w:hAnsi="宋体"/>
          <w:b/>
          <w:szCs w:val="21"/>
        </w:rPr>
      </w:pPr>
      <w:r>
        <w:rPr>
          <w:rFonts w:hint="eastAsia" w:ascii="宋体" w:hAnsi="宋体"/>
          <w:b/>
          <w:szCs w:val="21"/>
        </w:rPr>
        <w:t>十、不可抗力</w:t>
      </w:r>
    </w:p>
    <w:p>
      <w:pPr>
        <w:spacing w:line="360" w:lineRule="auto"/>
        <w:ind w:firstLine="420" w:firstLineChars="200"/>
        <w:rPr>
          <w:rFonts w:ascii="宋体" w:hAnsi="宋体"/>
          <w:szCs w:val="21"/>
        </w:rPr>
      </w:pPr>
      <w:r>
        <w:rPr>
          <w:rFonts w:hint="eastAsia" w:ascii="宋体" w:hAnsi="宋体"/>
          <w:szCs w:val="21"/>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tabs>
          <w:tab w:val="left" w:pos="425"/>
        </w:tabs>
        <w:autoSpaceDE w:val="0"/>
        <w:autoSpaceDN w:val="0"/>
        <w:spacing w:line="360" w:lineRule="auto"/>
        <w:jc w:val="left"/>
        <w:rPr>
          <w:rFonts w:ascii="宋体" w:hAnsi="宋体"/>
          <w:b/>
          <w:szCs w:val="21"/>
        </w:rPr>
      </w:pPr>
      <w:r>
        <w:rPr>
          <w:rFonts w:hint="eastAsia" w:ascii="宋体" w:hAnsi="宋体"/>
          <w:b/>
          <w:szCs w:val="21"/>
        </w:rPr>
        <w:t>十一、税费</w:t>
      </w:r>
    </w:p>
    <w:p>
      <w:pPr>
        <w:spacing w:line="360" w:lineRule="auto"/>
        <w:ind w:firstLine="420" w:firstLineChars="200"/>
        <w:rPr>
          <w:rFonts w:ascii="宋体" w:hAnsi="宋体"/>
          <w:szCs w:val="21"/>
        </w:rPr>
      </w:pPr>
      <w:r>
        <w:rPr>
          <w:rFonts w:hint="eastAsia" w:ascii="宋体" w:hAnsi="宋体"/>
          <w:szCs w:val="21"/>
        </w:rPr>
        <w:t>在中国境内、外发生的与本合同履行有关的一切税费均由乙方负担。</w:t>
      </w:r>
    </w:p>
    <w:p>
      <w:pPr>
        <w:tabs>
          <w:tab w:val="left" w:pos="425"/>
        </w:tabs>
        <w:autoSpaceDE w:val="0"/>
        <w:autoSpaceDN w:val="0"/>
        <w:spacing w:line="360" w:lineRule="auto"/>
        <w:jc w:val="left"/>
        <w:rPr>
          <w:rFonts w:ascii="宋体" w:hAnsi="宋体"/>
          <w:b/>
          <w:szCs w:val="21"/>
        </w:rPr>
      </w:pPr>
      <w:r>
        <w:rPr>
          <w:rFonts w:hint="eastAsia" w:ascii="宋体" w:hAnsi="宋体"/>
          <w:b/>
          <w:szCs w:val="21"/>
        </w:rPr>
        <w:t>十二、其它</w:t>
      </w:r>
    </w:p>
    <w:p>
      <w:pPr>
        <w:spacing w:line="360" w:lineRule="auto"/>
        <w:ind w:firstLine="420" w:firstLineChars="200"/>
        <w:rPr>
          <w:rFonts w:ascii="宋体" w:hAnsi="宋体"/>
          <w:b/>
          <w:szCs w:val="21"/>
        </w:rPr>
      </w:pPr>
      <w:r>
        <w:rPr>
          <w:rFonts w:ascii="宋体" w:hAnsi="宋体"/>
          <w:szCs w:val="21"/>
        </w:rPr>
        <w:t>1.</w:t>
      </w:r>
      <w:r>
        <w:rPr>
          <w:rFonts w:hint="eastAsia" w:ascii="宋体" w:hAnsi="宋体"/>
          <w:szCs w:val="21"/>
        </w:rPr>
        <w:t>本合同所有附件、招标文件、投标文件、中标通知书均为合同的有效组成部分，与本合同具有同等法律效力。</w:t>
      </w:r>
    </w:p>
    <w:p>
      <w:pPr>
        <w:spacing w:line="360" w:lineRule="auto"/>
        <w:ind w:firstLine="420" w:firstLineChars="200"/>
        <w:rPr>
          <w:rFonts w:ascii="宋体" w:hAnsi="宋体"/>
          <w:szCs w:val="21"/>
        </w:rPr>
      </w:pPr>
      <w:r>
        <w:rPr>
          <w:rFonts w:ascii="宋体" w:hAnsi="宋体"/>
          <w:bCs/>
          <w:szCs w:val="21"/>
        </w:rPr>
        <w:t>2.</w:t>
      </w:r>
      <w:r>
        <w:rPr>
          <w:rFonts w:hint="eastAsia" w:ascii="宋体" w:hAnsi="宋体"/>
          <w:szCs w:val="21"/>
        </w:rPr>
        <w:t>在执行本合同的过程中，所有经双方签署确认的文件（包括会议纪要、补充协议、往来信函）即成为本合同的有效组成部分。</w:t>
      </w:r>
    </w:p>
    <w:p>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 xml:space="preserve">如一方地址、电话、传真号码有变更，应在变更当日内书面通知对方，否则，相关文件按原地址、传真号码送达之日即视为对方已接收。 </w:t>
      </w:r>
    </w:p>
    <w:p>
      <w:pPr>
        <w:spacing w:line="360" w:lineRule="auto"/>
        <w:ind w:firstLine="420" w:firstLineChars="200"/>
        <w:rPr>
          <w:rFonts w:ascii="宋体" w:hAnsi="宋体"/>
          <w:szCs w:val="21"/>
        </w:rPr>
      </w:pPr>
      <w:r>
        <w:rPr>
          <w:rFonts w:ascii="宋体" w:hAnsi="宋体"/>
          <w:szCs w:val="21"/>
        </w:rPr>
        <w:t>4.</w:t>
      </w:r>
      <w:r>
        <w:rPr>
          <w:rFonts w:hint="eastAsia" w:ascii="宋体" w:hAnsi="宋体"/>
          <w:szCs w:val="21"/>
        </w:rPr>
        <w:t>除甲方事先书面同意外，乙方不得部分或全部转让其应履行的合同项下的义务。</w:t>
      </w:r>
    </w:p>
    <w:p>
      <w:pPr>
        <w:spacing w:line="360" w:lineRule="auto"/>
        <w:ind w:firstLine="420" w:firstLineChars="200"/>
        <w:rPr>
          <w:rFonts w:ascii="宋体" w:hAnsi="宋体"/>
          <w:szCs w:val="21"/>
        </w:rPr>
      </w:pPr>
      <w:r>
        <w:rPr>
          <w:rFonts w:hint="eastAsia" w:ascii="宋体" w:hAnsi="宋体"/>
          <w:szCs w:val="21"/>
        </w:rPr>
        <w:t>5.任何一方没有行使其权利或没有就违约方的违约行为采取任何行动，不应被视为是对其权利的放弃或对追究另一方违约责任权利的放弃。任何一方放弃针对违约方的某种权利，或放弃追究违约方的某种责任，不应视为对其它权利或追究其它责任的放弃。</w:t>
      </w:r>
    </w:p>
    <w:p>
      <w:pPr>
        <w:spacing w:line="360" w:lineRule="auto"/>
        <w:rPr>
          <w:rFonts w:ascii="宋体" w:hAnsi="宋体"/>
          <w:b/>
          <w:bCs/>
          <w:szCs w:val="21"/>
        </w:rPr>
      </w:pPr>
      <w:r>
        <w:rPr>
          <w:rFonts w:hint="eastAsia" w:ascii="宋体" w:hAnsi="宋体"/>
          <w:b/>
          <w:bCs/>
          <w:szCs w:val="21"/>
        </w:rPr>
        <w:t>十三、合同生效</w:t>
      </w:r>
    </w:p>
    <w:p>
      <w:pPr>
        <w:spacing w:line="360" w:lineRule="auto"/>
        <w:ind w:firstLine="420" w:firstLineChars="200"/>
        <w:rPr>
          <w:rFonts w:ascii="宋体" w:hAnsi="宋体" w:cs="宋体"/>
          <w:szCs w:val="21"/>
        </w:rPr>
      </w:pPr>
      <w:r>
        <w:rPr>
          <w:rFonts w:ascii="宋体" w:hAnsi="宋体" w:cs="宋体"/>
          <w:szCs w:val="21"/>
        </w:rPr>
        <w:t>1.</w:t>
      </w:r>
      <w:r>
        <w:rPr>
          <w:rFonts w:hint="eastAsia" w:ascii="宋体" w:hAnsi="宋体" w:cs="宋体"/>
          <w:szCs w:val="21"/>
        </w:rPr>
        <w:t>合同自甲乙双方法人代表或其授权代表签字盖章之日起生效。</w:t>
      </w:r>
    </w:p>
    <w:p>
      <w:pPr>
        <w:tabs>
          <w:tab w:val="left" w:pos="567"/>
        </w:tabs>
        <w:autoSpaceDE w:val="0"/>
        <w:autoSpaceDN w:val="0"/>
        <w:adjustRightInd w:val="0"/>
        <w:snapToGrid w:val="0"/>
        <w:spacing w:line="360" w:lineRule="auto"/>
        <w:ind w:firstLine="420" w:firstLineChars="200"/>
        <w:textAlignment w:val="baseline"/>
        <w:rPr>
          <w:rFonts w:ascii="宋体" w:hAnsi="宋体" w:cs="宋体"/>
          <w:szCs w:val="21"/>
        </w:rPr>
      </w:pPr>
      <w:r>
        <w:rPr>
          <w:rFonts w:ascii="宋体" w:hAnsi="宋体"/>
          <w:szCs w:val="21"/>
        </w:rPr>
        <w:t>2.</w:t>
      </w:r>
      <w:r>
        <w:rPr>
          <w:rFonts w:hint="eastAsia" w:ascii="宋体" w:hAnsi="宋体" w:cs="宋体"/>
          <w:szCs w:val="21"/>
        </w:rPr>
        <w:t>合同一式</w:t>
      </w:r>
      <w:r>
        <w:rPr>
          <w:rFonts w:hint="eastAsia" w:ascii="宋体" w:hAnsi="宋体"/>
          <w:szCs w:val="21"/>
        </w:rPr>
        <w:t>肆</w:t>
      </w:r>
      <w:r>
        <w:rPr>
          <w:rFonts w:hint="eastAsia" w:ascii="宋体" w:hAnsi="宋体" w:cs="宋体"/>
          <w:szCs w:val="21"/>
        </w:rPr>
        <w:t>份，其中甲、乙双方各执</w:t>
      </w:r>
      <w:r>
        <w:rPr>
          <w:rFonts w:hint="eastAsia" w:ascii="宋体" w:hAnsi="宋体"/>
          <w:szCs w:val="21"/>
        </w:rPr>
        <w:t>贰</w:t>
      </w:r>
      <w:r>
        <w:rPr>
          <w:rFonts w:hint="eastAsia" w:ascii="宋体" w:hAnsi="宋体" w:cs="宋体"/>
          <w:szCs w:val="21"/>
        </w:rPr>
        <w:t>份</w:t>
      </w:r>
      <w:r>
        <w:rPr>
          <w:rFonts w:hint="eastAsia" w:ascii="宋体" w:hAnsi="宋体"/>
          <w:szCs w:val="21"/>
        </w:rPr>
        <w:t>。</w:t>
      </w:r>
    </w:p>
    <w:p>
      <w:pPr>
        <w:autoSpaceDE w:val="0"/>
        <w:autoSpaceDN w:val="0"/>
        <w:snapToGrid w:val="0"/>
        <w:spacing w:line="360" w:lineRule="auto"/>
        <w:rPr>
          <w:rFonts w:ascii="宋体" w:hAnsi="宋体" w:cs="宋体"/>
          <w:szCs w:val="21"/>
        </w:rPr>
      </w:pPr>
    </w:p>
    <w:p>
      <w:pPr>
        <w:pStyle w:val="2"/>
        <w:spacing w:line="360" w:lineRule="auto"/>
      </w:pPr>
    </w:p>
    <w:p>
      <w:pPr>
        <w:pStyle w:val="2"/>
        <w:spacing w:line="360" w:lineRule="auto"/>
      </w:pPr>
    </w:p>
    <w:p>
      <w:pPr>
        <w:pStyle w:val="2"/>
        <w:spacing w:line="360" w:lineRule="auto"/>
      </w:pPr>
    </w:p>
    <w:p>
      <w:pPr>
        <w:snapToGrid w:val="0"/>
        <w:spacing w:line="360" w:lineRule="auto"/>
        <w:rPr>
          <w:rFonts w:ascii="宋体" w:hAnsi="宋体" w:cs="宋体"/>
          <w:szCs w:val="21"/>
        </w:rPr>
      </w:pPr>
      <w:r>
        <w:rPr>
          <w:rFonts w:hint="eastAsia" w:ascii="宋体" w:hAnsi="宋体" w:cs="宋体"/>
          <w:szCs w:val="21"/>
        </w:rPr>
        <w:t>甲方（盖章）：                          乙方（盖章）：</w:t>
      </w:r>
    </w:p>
    <w:p>
      <w:pPr>
        <w:snapToGrid w:val="0"/>
        <w:spacing w:line="360" w:lineRule="auto"/>
        <w:rPr>
          <w:rFonts w:ascii="宋体" w:hAnsi="宋体" w:cs="宋体"/>
          <w:szCs w:val="21"/>
        </w:rPr>
      </w:pPr>
      <w:r>
        <w:rPr>
          <w:rFonts w:hint="eastAsia" w:ascii="宋体" w:hAnsi="宋体" w:cs="宋体"/>
          <w:szCs w:val="21"/>
        </w:rPr>
        <w:t xml:space="preserve">代表：                                  代表： </w:t>
      </w:r>
    </w:p>
    <w:p>
      <w:pPr>
        <w:snapToGrid w:val="0"/>
        <w:spacing w:line="360" w:lineRule="auto"/>
        <w:rPr>
          <w:rFonts w:ascii="宋体" w:hAnsi="宋体" w:cs="宋体"/>
          <w:szCs w:val="21"/>
        </w:rPr>
      </w:pPr>
      <w:r>
        <w:rPr>
          <w:rFonts w:hint="eastAsia" w:ascii="宋体" w:hAnsi="宋体" w:cs="宋体"/>
          <w:szCs w:val="21"/>
        </w:rPr>
        <w:t xml:space="preserve">签订日期：        年     月    日       签订日期：        年     月     日    </w:t>
      </w:r>
    </w:p>
    <w:p>
      <w:pPr>
        <w:snapToGrid w:val="0"/>
        <w:spacing w:line="360" w:lineRule="auto"/>
        <w:ind w:firstLine="4200" w:firstLineChars="2000"/>
        <w:rPr>
          <w:rFonts w:ascii="宋体" w:hAnsi="宋体" w:cs="宋体"/>
          <w:szCs w:val="21"/>
        </w:rPr>
      </w:pPr>
      <w:r>
        <w:rPr>
          <w:rFonts w:hint="eastAsia" w:ascii="宋体" w:hAnsi="宋体" w:cs="宋体"/>
          <w:szCs w:val="21"/>
        </w:rPr>
        <w:t>开户名称：</w:t>
      </w:r>
    </w:p>
    <w:p>
      <w:pPr>
        <w:snapToGrid w:val="0"/>
        <w:spacing w:line="360" w:lineRule="auto"/>
        <w:ind w:firstLine="4200" w:firstLineChars="2000"/>
        <w:rPr>
          <w:rFonts w:ascii="宋体" w:hAnsi="宋体" w:cs="宋体"/>
          <w:szCs w:val="21"/>
        </w:rPr>
      </w:pPr>
      <w:r>
        <w:rPr>
          <w:rFonts w:hint="eastAsia" w:ascii="宋体" w:hAnsi="宋体" w:cs="宋体"/>
          <w:szCs w:val="21"/>
        </w:rPr>
        <w:t>银行账号：</w:t>
      </w:r>
    </w:p>
    <w:p>
      <w:pPr>
        <w:snapToGrid w:val="0"/>
        <w:spacing w:line="360" w:lineRule="auto"/>
        <w:ind w:firstLine="4200" w:firstLineChars="2000"/>
        <w:rPr>
          <w:rFonts w:ascii="宋体" w:hAnsi="宋体" w:cs="宋体"/>
          <w:szCs w:val="21"/>
        </w:rPr>
      </w:pPr>
      <w:r>
        <w:rPr>
          <w:rFonts w:hint="eastAsia" w:ascii="宋体" w:hAnsi="宋体" w:cs="宋体"/>
          <w:szCs w:val="21"/>
        </w:rPr>
        <w:t>开 户 行：</w:t>
      </w:r>
    </w:p>
    <w:p>
      <w:pPr>
        <w:widowControl/>
        <w:jc w:val="left"/>
      </w:pPr>
      <w:r>
        <w:br w:type="page"/>
      </w:r>
    </w:p>
    <w:p>
      <w:pPr>
        <w:pStyle w:val="2"/>
        <w:spacing w:line="360" w:lineRule="auto"/>
      </w:pPr>
    </w:p>
    <w:p>
      <w:pPr>
        <w:pStyle w:val="4"/>
        <w:keepLines w:val="0"/>
        <w:spacing w:before="0" w:after="0" w:line="360" w:lineRule="auto"/>
        <w:ind w:right="-441" w:rightChars="-210"/>
        <w:jc w:val="center"/>
        <w:rPr>
          <w:bCs w:val="0"/>
        </w:rPr>
      </w:pPr>
      <w:bookmarkStart w:id="144" w:name="_Toc12029"/>
      <w:bookmarkStart w:id="145" w:name="_Toc4103"/>
      <w:bookmarkStart w:id="146" w:name="_Toc21418"/>
      <w:bookmarkStart w:id="147" w:name="_Toc12301"/>
      <w:bookmarkStart w:id="148" w:name="_Toc3083"/>
      <w:bookmarkStart w:id="149" w:name="_Toc334797740"/>
      <w:r>
        <w:rPr>
          <w:rFonts w:hint="eastAsia"/>
          <w:bCs w:val="0"/>
          <w:sz w:val="32"/>
          <w:szCs w:val="32"/>
        </w:rPr>
        <w:t>第四章  评标和定标</w:t>
      </w:r>
      <w:bookmarkEnd w:id="144"/>
      <w:bookmarkEnd w:id="145"/>
      <w:bookmarkEnd w:id="146"/>
      <w:bookmarkEnd w:id="147"/>
      <w:bookmarkEnd w:id="148"/>
      <w:bookmarkEnd w:id="149"/>
    </w:p>
    <w:p>
      <w:pPr>
        <w:spacing w:line="360" w:lineRule="auto"/>
        <w:jc w:val="left"/>
        <w:rPr>
          <w:rFonts w:ascii="宋体" w:hAnsi="宋体"/>
          <w:b/>
          <w:szCs w:val="21"/>
        </w:rPr>
      </w:pPr>
      <w:bookmarkStart w:id="150" w:name="_Toc98579007"/>
      <w:bookmarkStart w:id="151" w:name="_Toc98579606"/>
      <w:bookmarkStart w:id="152" w:name="_Toc101775128"/>
      <w:bookmarkStart w:id="153" w:name="_Toc98579065"/>
      <w:bookmarkStart w:id="154" w:name="_Toc42394669"/>
      <w:bookmarkStart w:id="155" w:name="_Toc101951266"/>
      <w:bookmarkStart w:id="156" w:name="_Toc101771375"/>
      <w:bookmarkStart w:id="157" w:name="_Toc101843128"/>
      <w:bookmarkStart w:id="158" w:name="_Toc50276153"/>
      <w:bookmarkStart w:id="159" w:name="_Toc98580289"/>
      <w:bookmarkStart w:id="160" w:name="_Toc42394513"/>
      <w:bookmarkStart w:id="161" w:name="_Toc264203535"/>
      <w:bookmarkStart w:id="162" w:name="_Toc41884701"/>
      <w:bookmarkStart w:id="163" w:name="_Toc42313167"/>
      <w:bookmarkStart w:id="164" w:name="_Toc41723931"/>
      <w:r>
        <w:rPr>
          <w:rFonts w:hint="eastAsia" w:ascii="宋体" w:hAnsi="宋体"/>
          <w:b/>
          <w:szCs w:val="21"/>
        </w:rPr>
        <w:t>一、评标</w:t>
      </w:r>
      <w:bookmarkEnd w:id="150"/>
      <w:bookmarkEnd w:id="151"/>
      <w:bookmarkEnd w:id="152"/>
      <w:bookmarkEnd w:id="153"/>
      <w:bookmarkEnd w:id="154"/>
      <w:bookmarkEnd w:id="155"/>
      <w:bookmarkEnd w:id="156"/>
      <w:bookmarkEnd w:id="157"/>
      <w:bookmarkEnd w:id="158"/>
      <w:bookmarkEnd w:id="159"/>
      <w:bookmarkEnd w:id="160"/>
      <w:bookmarkEnd w:id="161"/>
    </w:p>
    <w:p>
      <w:pPr>
        <w:widowControl/>
        <w:spacing w:line="360" w:lineRule="auto"/>
        <w:jc w:val="left"/>
        <w:rPr>
          <w:rFonts w:ascii="宋体" w:hAnsi="宋体"/>
          <w:szCs w:val="21"/>
        </w:rPr>
      </w:pPr>
      <w:r>
        <w:rPr>
          <w:rFonts w:hint="eastAsia" w:ascii="宋体" w:hAnsi="宋体"/>
          <w:szCs w:val="21"/>
        </w:rPr>
        <w:t>（一）本次招标依法组建评标委员会。评标委员会由采购人代表和从采购专家库随机抽取的共计</w:t>
      </w:r>
      <w:r>
        <w:rPr>
          <w:rFonts w:hint="eastAsia" w:ascii="宋体" w:hAnsi="宋体"/>
          <w:szCs w:val="21"/>
          <w:u w:val="single"/>
        </w:rPr>
        <w:t>5</w:t>
      </w:r>
      <w:r>
        <w:rPr>
          <w:rFonts w:hint="eastAsia" w:ascii="宋体" w:hAnsi="宋体"/>
          <w:szCs w:val="21"/>
        </w:rPr>
        <w:t>名或以上专家组成，其中专家人数不少于评委会成员总数的三分之二。评委会将本着公平、公正、科学、择优的原则，严格按照法律法规和招标文件的要求推荐评审结果。</w:t>
      </w:r>
    </w:p>
    <w:p>
      <w:pPr>
        <w:widowControl/>
        <w:spacing w:line="360" w:lineRule="auto"/>
        <w:jc w:val="left"/>
        <w:rPr>
          <w:rFonts w:ascii="宋体" w:hAnsi="宋体"/>
          <w:szCs w:val="21"/>
        </w:rPr>
      </w:pPr>
      <w:r>
        <w:rPr>
          <w:rFonts w:hint="eastAsia" w:ascii="宋体" w:hAnsi="宋体"/>
          <w:szCs w:val="21"/>
        </w:rPr>
        <w:t>（二）评审专家有下列情形之一的，受到邀请应主动提出回避，采购当事人也可以要求该评审专家回避：</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1.参加采购活动前3年内与供应商存在劳动关系；</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2.参加采购活动前3年内担任供应商的董事、监事；</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3.参加采购活动前3年内是供应商的控股股东或者实际控制人；</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4.与供应商的法定代表人（负责人）或者负责人有夫妻、直系血亲、三代以内旁系血亲或者近姻亲关系；</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5.与参加该采购项目供应商发生过法律纠纷的；</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6.评标委员会中，同一任职单位评审专家超过二名的；</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7.任职单位与采购人或参加该采购项目的供应商存在行政隶属关系的（不含采购人代表）；</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8.参与招标文件论证的（不含采购人代表）；</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9.与供应商有其他可能影响采购活动公平、公正进行的关系；</w:t>
      </w:r>
    </w:p>
    <w:p>
      <w:pPr>
        <w:widowControl/>
        <w:tabs>
          <w:tab w:val="left" w:pos="720"/>
          <w:tab w:val="left" w:pos="1080"/>
        </w:tabs>
        <w:spacing w:line="360" w:lineRule="auto"/>
        <w:rPr>
          <w:rFonts w:ascii="宋体" w:hAnsi="宋体"/>
          <w:bCs/>
          <w:szCs w:val="21"/>
        </w:rPr>
      </w:pPr>
      <w:r>
        <w:rPr>
          <w:rFonts w:hint="eastAsia" w:ascii="宋体" w:hAnsi="宋体"/>
          <w:szCs w:val="21"/>
        </w:rPr>
        <w:t>（三）评标过程的保密性</w:t>
      </w:r>
    </w:p>
    <w:p>
      <w:pPr>
        <w:spacing w:line="360" w:lineRule="auto"/>
        <w:ind w:firstLine="420" w:firstLineChars="200"/>
        <w:rPr>
          <w:rFonts w:ascii="宋体" w:hAnsi="宋体"/>
          <w:bCs/>
          <w:szCs w:val="21"/>
        </w:rPr>
      </w:pPr>
      <w:r>
        <w:rPr>
          <w:rFonts w:hint="eastAsia" w:ascii="宋体" w:hAnsi="宋体"/>
          <w:bCs/>
          <w:szCs w:val="21"/>
        </w:rPr>
        <w:t>1.评标是招标工作的重要环节，评标工作由评标委员会独立进行。评标委员会将遵照评标原则，公正、平等的对待所有投标人。</w:t>
      </w:r>
    </w:p>
    <w:p>
      <w:pPr>
        <w:widowControl/>
        <w:spacing w:line="360" w:lineRule="auto"/>
        <w:ind w:firstLine="420" w:firstLineChars="200"/>
        <w:jc w:val="left"/>
        <w:rPr>
          <w:rFonts w:ascii="宋体" w:hAnsi="宋体"/>
          <w:szCs w:val="21"/>
        </w:rPr>
      </w:pPr>
      <w:r>
        <w:rPr>
          <w:rFonts w:hint="eastAsia" w:ascii="宋体" w:hAnsi="宋体"/>
          <w:bCs/>
          <w:szCs w:val="21"/>
        </w:rPr>
        <w:t xml:space="preserve">2.除法定公开信息外，凡与评标过程和结果的资料以及授标意见等，均不得向投标人及与评标无关的其他人透露。 </w:t>
      </w:r>
    </w:p>
    <w:p>
      <w:pPr>
        <w:widowControl/>
        <w:spacing w:line="360" w:lineRule="auto"/>
        <w:jc w:val="left"/>
        <w:rPr>
          <w:rFonts w:ascii="宋体" w:hAnsi="宋体"/>
          <w:szCs w:val="21"/>
        </w:rPr>
      </w:pPr>
      <w:r>
        <w:rPr>
          <w:rFonts w:hint="eastAsia" w:ascii="宋体" w:hAnsi="宋体"/>
          <w:szCs w:val="21"/>
        </w:rPr>
        <w:t>（四）本次评标采用综合评分法。评标以招标文件规定的条件为依据。评分分值详见附表三。</w:t>
      </w:r>
    </w:p>
    <w:p>
      <w:pPr>
        <w:spacing w:line="360" w:lineRule="auto"/>
        <w:jc w:val="left"/>
        <w:rPr>
          <w:rFonts w:ascii="宋体" w:hAnsi="宋体"/>
          <w:b/>
          <w:szCs w:val="21"/>
        </w:rPr>
      </w:pPr>
      <w:bookmarkStart w:id="165" w:name="_Toc101843129"/>
      <w:bookmarkStart w:id="166" w:name="_Toc264203536"/>
      <w:bookmarkStart w:id="167" w:name="_Toc101951267"/>
      <w:bookmarkStart w:id="168" w:name="_Toc101771376"/>
      <w:bookmarkStart w:id="169" w:name="_Toc101775129"/>
      <w:r>
        <w:rPr>
          <w:rFonts w:hint="eastAsia" w:ascii="宋体" w:hAnsi="宋体"/>
          <w:b/>
          <w:szCs w:val="21"/>
        </w:rPr>
        <w:t>二、评标程序</w:t>
      </w:r>
      <w:bookmarkEnd w:id="165"/>
      <w:bookmarkEnd w:id="166"/>
      <w:bookmarkEnd w:id="167"/>
      <w:bookmarkEnd w:id="168"/>
      <w:bookmarkEnd w:id="169"/>
    </w:p>
    <w:p>
      <w:pPr>
        <w:widowControl/>
        <w:spacing w:line="360" w:lineRule="auto"/>
        <w:jc w:val="left"/>
        <w:rPr>
          <w:rFonts w:ascii="宋体" w:hAnsi="宋体"/>
          <w:b/>
          <w:color w:val="000000"/>
          <w:szCs w:val="21"/>
        </w:rPr>
      </w:pPr>
      <w:r>
        <w:rPr>
          <w:rFonts w:hint="eastAsia" w:ascii="宋体" w:hAnsi="宋体"/>
          <w:b/>
          <w:color w:val="000000"/>
          <w:szCs w:val="21"/>
        </w:rPr>
        <w:t>（一）投标文件资格审查、符合性审查</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1.</w:t>
      </w:r>
      <w:r>
        <w:rPr>
          <w:rFonts w:hint="eastAsia" w:ascii="宋体" w:cs="宋体"/>
          <w:szCs w:val="21"/>
        </w:rPr>
        <w:t>开标结束后，采购人或者采购代理机构应当依法对投标人的资格进行审查，详见《资格审查表》。未通过资格审查的投标人，不进入符合性审查。</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2.评标委员会将根据评审细则的规定，对各投标文件进行符合性审查，详见《符合性审查表》。</w:t>
      </w:r>
      <w:r>
        <w:rPr>
          <w:rFonts w:hint="eastAsia" w:ascii="宋体" w:cs="宋体"/>
          <w:szCs w:val="21"/>
        </w:rPr>
        <w:t>未通过符合性审查的投标人，不进入后续评审。</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3.投标文件出现下列情况之一时将被认定为无效投标：</w:t>
      </w:r>
    </w:p>
    <w:p>
      <w:pPr>
        <w:widowControl/>
        <w:tabs>
          <w:tab w:val="left" w:pos="720"/>
          <w:tab w:val="left" w:pos="1080"/>
        </w:tabs>
        <w:spacing w:line="360" w:lineRule="auto"/>
        <w:ind w:firstLine="420" w:firstLineChars="200"/>
        <w:rPr>
          <w:rFonts w:ascii="宋体" w:cs="宋体"/>
          <w:szCs w:val="21"/>
        </w:rPr>
      </w:pPr>
      <w:bookmarkStart w:id="170" w:name="_Toc334797742"/>
      <w:bookmarkStart w:id="171" w:name="_Toc28586"/>
      <w:bookmarkStart w:id="172" w:name="_Toc16027"/>
      <w:bookmarkStart w:id="173" w:name="_Toc22608"/>
      <w:r>
        <w:rPr>
          <w:rFonts w:hint="eastAsia" w:ascii="宋体" w:cs="宋体"/>
          <w:szCs w:val="21"/>
        </w:rPr>
        <w:t>（1）</w:t>
      </w:r>
      <w:bookmarkEnd w:id="170"/>
      <w:r>
        <w:rPr>
          <w:rFonts w:hint="eastAsia" w:ascii="宋体" w:cs="宋体"/>
          <w:szCs w:val="21"/>
        </w:rPr>
        <w:t>投标报价不是唯一或高于采购人需求规定的最高限价或投标报价明显低于其他通过符合性审查投标人的报价应作无效投标处理的；</w:t>
      </w:r>
      <w:bookmarkEnd w:id="171"/>
      <w:bookmarkEnd w:id="172"/>
      <w:bookmarkEnd w:id="173"/>
    </w:p>
    <w:p>
      <w:pPr>
        <w:widowControl/>
        <w:tabs>
          <w:tab w:val="left" w:pos="720"/>
          <w:tab w:val="left" w:pos="1080"/>
        </w:tabs>
        <w:spacing w:line="360" w:lineRule="auto"/>
        <w:ind w:firstLine="420" w:firstLineChars="200"/>
        <w:rPr>
          <w:rFonts w:ascii="宋体" w:cs="宋体"/>
          <w:szCs w:val="21"/>
        </w:rPr>
      </w:pPr>
      <w:bookmarkStart w:id="174" w:name="_Toc334797743"/>
      <w:bookmarkStart w:id="175" w:name="_Toc15538"/>
      <w:bookmarkStart w:id="176" w:name="_Toc14273"/>
      <w:bookmarkStart w:id="177" w:name="_Toc28247"/>
      <w:r>
        <w:rPr>
          <w:rFonts w:hint="eastAsia" w:ascii="宋体" w:cs="宋体"/>
          <w:szCs w:val="21"/>
        </w:rPr>
        <w:t>（2）</w:t>
      </w:r>
      <w:bookmarkEnd w:id="174"/>
      <w:r>
        <w:rPr>
          <w:rFonts w:hint="eastAsia" w:ascii="宋体" w:cs="宋体"/>
          <w:szCs w:val="21"/>
        </w:rPr>
        <w:t>投标文件未按招标文件的要求盖章及由法定代表人（负责人）</w:t>
      </w:r>
      <w:r>
        <w:rPr>
          <w:rFonts w:ascii="宋体" w:cs="宋体"/>
          <w:szCs w:val="21"/>
        </w:rPr>
        <w:t>（</w:t>
      </w:r>
      <w:r>
        <w:rPr>
          <w:rFonts w:hint="eastAsia" w:ascii="宋体" w:cs="宋体"/>
          <w:szCs w:val="21"/>
        </w:rPr>
        <w:t>或法定代表人（负责人）委托的代理人</w:t>
      </w:r>
      <w:r>
        <w:rPr>
          <w:rFonts w:ascii="宋体" w:cs="宋体"/>
          <w:szCs w:val="21"/>
        </w:rPr>
        <w:t>）</w:t>
      </w:r>
      <w:r>
        <w:rPr>
          <w:rFonts w:hint="eastAsia" w:ascii="宋体" w:cs="宋体"/>
          <w:szCs w:val="21"/>
        </w:rPr>
        <w:t>的印鉴或签名的；</w:t>
      </w:r>
      <w:bookmarkEnd w:id="175"/>
      <w:bookmarkEnd w:id="176"/>
      <w:bookmarkEnd w:id="177"/>
    </w:p>
    <w:p>
      <w:pPr>
        <w:widowControl/>
        <w:tabs>
          <w:tab w:val="left" w:pos="720"/>
          <w:tab w:val="left" w:pos="1080"/>
        </w:tabs>
        <w:spacing w:line="360" w:lineRule="auto"/>
        <w:ind w:firstLine="420" w:firstLineChars="200"/>
        <w:rPr>
          <w:rFonts w:ascii="宋体" w:cs="宋体"/>
          <w:szCs w:val="21"/>
        </w:rPr>
      </w:pPr>
      <w:bookmarkStart w:id="178" w:name="_Toc334797744"/>
      <w:bookmarkStart w:id="179" w:name="_Toc11510"/>
      <w:bookmarkStart w:id="180" w:name="_Toc4353"/>
      <w:bookmarkStart w:id="181" w:name="_Toc16110"/>
      <w:r>
        <w:rPr>
          <w:rFonts w:hint="eastAsia" w:ascii="宋体" w:cs="宋体"/>
          <w:szCs w:val="21"/>
        </w:rPr>
        <w:t>（3）</w:t>
      </w:r>
      <w:bookmarkEnd w:id="178"/>
      <w:r>
        <w:rPr>
          <w:rFonts w:hint="eastAsia" w:ascii="宋体" w:cs="宋体"/>
          <w:szCs w:val="21"/>
        </w:rPr>
        <w:t>投标文件没有提供有效的法定代表人（负责人）证明及授权书；</w:t>
      </w:r>
      <w:bookmarkEnd w:id="179"/>
      <w:bookmarkEnd w:id="180"/>
      <w:bookmarkEnd w:id="181"/>
    </w:p>
    <w:p>
      <w:pPr>
        <w:widowControl/>
        <w:tabs>
          <w:tab w:val="left" w:pos="720"/>
          <w:tab w:val="left" w:pos="1080"/>
        </w:tabs>
        <w:spacing w:line="360" w:lineRule="auto"/>
        <w:ind w:firstLine="420" w:firstLineChars="200"/>
        <w:rPr>
          <w:rFonts w:ascii="宋体" w:cs="宋体"/>
          <w:szCs w:val="21"/>
        </w:rPr>
      </w:pPr>
      <w:bookmarkStart w:id="182" w:name="_Toc334797745"/>
      <w:bookmarkStart w:id="183" w:name="_Toc4501"/>
      <w:bookmarkStart w:id="184" w:name="_Toc30912"/>
      <w:bookmarkStart w:id="185" w:name="_Toc10133"/>
      <w:r>
        <w:rPr>
          <w:rFonts w:hint="eastAsia" w:ascii="宋体" w:cs="宋体"/>
          <w:szCs w:val="21"/>
        </w:rPr>
        <w:t>（4）</w:t>
      </w:r>
      <w:bookmarkEnd w:id="182"/>
      <w:r>
        <w:rPr>
          <w:rFonts w:hint="eastAsia" w:ascii="宋体" w:cs="宋体"/>
          <w:szCs w:val="21"/>
        </w:rPr>
        <w:t>投标有效期不足的；</w:t>
      </w:r>
      <w:bookmarkEnd w:id="183"/>
      <w:bookmarkEnd w:id="184"/>
      <w:bookmarkEnd w:id="185"/>
    </w:p>
    <w:p>
      <w:pPr>
        <w:widowControl/>
        <w:tabs>
          <w:tab w:val="left" w:pos="720"/>
          <w:tab w:val="left" w:pos="1080"/>
        </w:tabs>
        <w:spacing w:line="360" w:lineRule="auto"/>
        <w:ind w:firstLine="420" w:firstLineChars="200"/>
        <w:rPr>
          <w:rFonts w:ascii="宋体" w:cs="宋体"/>
          <w:szCs w:val="21"/>
        </w:rPr>
      </w:pPr>
      <w:bookmarkStart w:id="186" w:name="_Toc334797746"/>
      <w:bookmarkStart w:id="187" w:name="_Toc23982"/>
      <w:bookmarkStart w:id="188" w:name="_Toc7053"/>
      <w:bookmarkStart w:id="189" w:name="_Toc8437"/>
      <w:r>
        <w:rPr>
          <w:rFonts w:hint="eastAsia" w:ascii="宋体" w:cs="宋体"/>
          <w:szCs w:val="21"/>
        </w:rPr>
        <w:t>（5）</w:t>
      </w:r>
      <w:bookmarkEnd w:id="186"/>
      <w:r>
        <w:rPr>
          <w:rFonts w:hint="eastAsia" w:ascii="宋体" w:cs="宋体"/>
          <w:szCs w:val="21"/>
        </w:rPr>
        <w:t>投标文件未完全满足招标文件中带★号的条款和指标，或不符合招标文件的其他要求，有重大偏离的；</w:t>
      </w:r>
      <w:bookmarkEnd w:id="187"/>
      <w:bookmarkEnd w:id="188"/>
      <w:bookmarkEnd w:id="189"/>
    </w:p>
    <w:p>
      <w:pPr>
        <w:widowControl/>
        <w:tabs>
          <w:tab w:val="left" w:pos="720"/>
          <w:tab w:val="left" w:pos="1080"/>
        </w:tabs>
        <w:spacing w:line="360" w:lineRule="auto"/>
        <w:ind w:firstLine="420" w:firstLineChars="200"/>
        <w:rPr>
          <w:rFonts w:ascii="宋体" w:cs="宋体"/>
          <w:szCs w:val="21"/>
        </w:rPr>
      </w:pPr>
      <w:bookmarkStart w:id="190" w:name="_Toc334797747"/>
      <w:bookmarkStart w:id="191" w:name="_Toc15338"/>
      <w:bookmarkStart w:id="192" w:name="_Toc4877"/>
      <w:bookmarkStart w:id="193" w:name="_Toc2172"/>
      <w:r>
        <w:rPr>
          <w:rFonts w:hint="eastAsia" w:ascii="宋体" w:cs="宋体"/>
          <w:szCs w:val="21"/>
        </w:rPr>
        <w:t>（6）</w:t>
      </w:r>
      <w:bookmarkEnd w:id="190"/>
      <w:r>
        <w:rPr>
          <w:rFonts w:hint="eastAsia" w:ascii="宋体" w:cs="宋体"/>
          <w:szCs w:val="21"/>
        </w:rPr>
        <w:t>评标期间，投标人没有按评标委员会的要求提交经授权代表签字的澄清、说明、补正或改变了投标文件的实质性内容的；</w:t>
      </w:r>
      <w:bookmarkEnd w:id="191"/>
      <w:bookmarkEnd w:id="192"/>
      <w:bookmarkEnd w:id="193"/>
    </w:p>
    <w:p>
      <w:pPr>
        <w:widowControl/>
        <w:tabs>
          <w:tab w:val="left" w:pos="720"/>
          <w:tab w:val="left" w:pos="1080"/>
        </w:tabs>
        <w:spacing w:line="360" w:lineRule="auto"/>
        <w:ind w:firstLine="420" w:firstLineChars="200"/>
        <w:rPr>
          <w:rFonts w:ascii="宋体" w:cs="宋体"/>
          <w:szCs w:val="21"/>
        </w:rPr>
      </w:pPr>
      <w:bookmarkStart w:id="194" w:name="_Toc334797748"/>
      <w:bookmarkStart w:id="195" w:name="_Toc28051"/>
      <w:bookmarkStart w:id="196" w:name="_Toc5201"/>
      <w:bookmarkStart w:id="197" w:name="_Toc22360"/>
      <w:r>
        <w:rPr>
          <w:rFonts w:hint="eastAsia" w:ascii="宋体" w:cs="宋体"/>
          <w:szCs w:val="21"/>
        </w:rPr>
        <w:t>（7）</w:t>
      </w:r>
      <w:bookmarkEnd w:id="194"/>
      <w:r>
        <w:rPr>
          <w:rFonts w:hint="eastAsia" w:ascii="宋体" w:cs="宋体"/>
          <w:szCs w:val="21"/>
        </w:rPr>
        <w:t>经评标委员会认定投标文件提供虚假材料的；</w:t>
      </w:r>
      <w:bookmarkEnd w:id="195"/>
      <w:bookmarkEnd w:id="196"/>
      <w:bookmarkEnd w:id="197"/>
    </w:p>
    <w:p>
      <w:pPr>
        <w:widowControl/>
        <w:tabs>
          <w:tab w:val="left" w:pos="720"/>
          <w:tab w:val="left" w:pos="1080"/>
        </w:tabs>
        <w:spacing w:line="360" w:lineRule="auto"/>
        <w:ind w:firstLine="420" w:firstLineChars="200"/>
        <w:rPr>
          <w:rFonts w:ascii="宋体" w:cs="宋体"/>
          <w:szCs w:val="21"/>
        </w:rPr>
      </w:pPr>
      <w:bookmarkStart w:id="198" w:name="_Toc334797749"/>
      <w:bookmarkStart w:id="199" w:name="_Toc18233"/>
      <w:bookmarkStart w:id="200" w:name="_Toc29522"/>
      <w:bookmarkStart w:id="201" w:name="_Toc22831"/>
      <w:r>
        <w:rPr>
          <w:rFonts w:hint="eastAsia" w:ascii="宋体" w:cs="宋体"/>
          <w:szCs w:val="21"/>
        </w:rPr>
        <w:t>（8）</w:t>
      </w:r>
      <w:bookmarkEnd w:id="198"/>
      <w:r>
        <w:rPr>
          <w:rFonts w:hint="eastAsia" w:ascii="宋体" w:cs="宋体"/>
          <w:szCs w:val="21"/>
        </w:rPr>
        <w:t>投标人以他人的名义投标、串通投标、以行贿手段谋取中标或者以其他弄虚作假方式投标的；</w:t>
      </w:r>
      <w:bookmarkEnd w:id="199"/>
      <w:bookmarkEnd w:id="200"/>
      <w:bookmarkEnd w:id="201"/>
    </w:p>
    <w:p>
      <w:pPr>
        <w:widowControl/>
        <w:tabs>
          <w:tab w:val="left" w:pos="720"/>
          <w:tab w:val="left" w:pos="1080"/>
        </w:tabs>
        <w:spacing w:line="360" w:lineRule="auto"/>
        <w:ind w:firstLine="420" w:firstLineChars="200"/>
        <w:rPr>
          <w:rFonts w:ascii="宋体" w:cs="宋体"/>
          <w:szCs w:val="21"/>
        </w:rPr>
      </w:pPr>
      <w:bookmarkStart w:id="202" w:name="_Toc334797750"/>
      <w:bookmarkStart w:id="203" w:name="_Toc12695"/>
      <w:bookmarkStart w:id="204" w:name="_Toc18916"/>
      <w:bookmarkStart w:id="205" w:name="_Toc9093"/>
      <w:r>
        <w:rPr>
          <w:rFonts w:hint="eastAsia" w:ascii="宋体" w:cs="宋体"/>
          <w:szCs w:val="21"/>
        </w:rPr>
        <w:t>（9）</w:t>
      </w:r>
      <w:bookmarkEnd w:id="202"/>
      <w:r>
        <w:rPr>
          <w:rFonts w:hint="eastAsia" w:ascii="宋体" w:cs="宋体"/>
          <w:szCs w:val="21"/>
        </w:rPr>
        <w:t>投标人对采购人、采购代理机构、评标委员会及其工作人员施加影响，有碍招标公平、公正的；</w:t>
      </w:r>
      <w:bookmarkEnd w:id="203"/>
      <w:bookmarkEnd w:id="204"/>
      <w:bookmarkEnd w:id="205"/>
    </w:p>
    <w:p>
      <w:pPr>
        <w:widowControl/>
        <w:tabs>
          <w:tab w:val="left" w:pos="720"/>
          <w:tab w:val="left" w:pos="1080"/>
        </w:tabs>
        <w:spacing w:line="360" w:lineRule="auto"/>
        <w:ind w:firstLine="420" w:firstLineChars="200"/>
        <w:rPr>
          <w:rFonts w:ascii="宋体" w:cs="宋体"/>
          <w:szCs w:val="21"/>
        </w:rPr>
      </w:pPr>
      <w:bookmarkStart w:id="206" w:name="_Toc334797751"/>
      <w:bookmarkStart w:id="207" w:name="_Toc6620"/>
      <w:bookmarkStart w:id="208" w:name="_Toc21483"/>
      <w:bookmarkStart w:id="209" w:name="_Toc12338"/>
      <w:r>
        <w:rPr>
          <w:rFonts w:hint="eastAsia" w:ascii="宋体" w:cs="宋体"/>
          <w:szCs w:val="21"/>
        </w:rPr>
        <w:t>（10）</w:t>
      </w:r>
      <w:bookmarkEnd w:id="206"/>
      <w:r>
        <w:rPr>
          <w:rFonts w:ascii="宋体" w:cs="宋体"/>
          <w:szCs w:val="21"/>
        </w:rPr>
        <w:t>投标</w:t>
      </w:r>
      <w:r>
        <w:rPr>
          <w:rFonts w:hint="eastAsia" w:ascii="宋体" w:cs="宋体"/>
          <w:szCs w:val="21"/>
        </w:rPr>
        <w:t>文件</w:t>
      </w:r>
      <w:r>
        <w:rPr>
          <w:rFonts w:ascii="宋体" w:cs="宋体"/>
          <w:szCs w:val="21"/>
        </w:rPr>
        <w:t>附有采购人不能接受的条件；</w:t>
      </w:r>
      <w:bookmarkEnd w:id="207"/>
      <w:bookmarkEnd w:id="208"/>
      <w:bookmarkEnd w:id="209"/>
    </w:p>
    <w:p>
      <w:pPr>
        <w:widowControl/>
        <w:tabs>
          <w:tab w:val="left" w:pos="720"/>
          <w:tab w:val="left" w:pos="1080"/>
        </w:tabs>
        <w:spacing w:line="360" w:lineRule="auto"/>
        <w:ind w:firstLine="420" w:firstLineChars="200"/>
        <w:rPr>
          <w:rFonts w:ascii="宋体" w:cs="宋体"/>
          <w:szCs w:val="21"/>
        </w:rPr>
      </w:pPr>
      <w:bookmarkStart w:id="210" w:name="_Toc334797752"/>
      <w:bookmarkStart w:id="211" w:name="_Toc6394"/>
      <w:bookmarkStart w:id="212" w:name="_Toc9456"/>
      <w:bookmarkStart w:id="213" w:name="_Toc19855"/>
      <w:r>
        <w:rPr>
          <w:rFonts w:hint="eastAsia" w:ascii="宋体" w:cs="宋体"/>
          <w:szCs w:val="21"/>
        </w:rPr>
        <w:t>（11）</w:t>
      </w:r>
      <w:bookmarkEnd w:id="210"/>
      <w:r>
        <w:rPr>
          <w:rFonts w:hint="eastAsia" w:ascii="宋体" w:cs="宋体"/>
          <w:szCs w:val="21"/>
        </w:rPr>
        <w:t>出现不符合相关法律、法规要求的情况的。</w:t>
      </w:r>
      <w:bookmarkEnd w:id="211"/>
      <w:bookmarkEnd w:id="212"/>
      <w:bookmarkEnd w:id="213"/>
    </w:p>
    <w:p>
      <w:pPr>
        <w:widowControl/>
        <w:tabs>
          <w:tab w:val="left" w:pos="720"/>
          <w:tab w:val="left" w:pos="1080"/>
        </w:tabs>
        <w:spacing w:line="360" w:lineRule="auto"/>
        <w:ind w:firstLine="420" w:firstLineChars="200"/>
        <w:rPr>
          <w:rFonts w:ascii="宋体" w:cs="宋体"/>
          <w:szCs w:val="21"/>
        </w:rPr>
      </w:pPr>
      <w:r>
        <w:rPr>
          <w:rFonts w:hint="eastAsia" w:ascii="宋体" w:cs="宋体"/>
          <w:szCs w:val="21"/>
        </w:rPr>
        <w:t>4.符合性审查结论意见采取少数服从多数原则，即超过半数评委的结论为“通过”则该投标人通过</w:t>
      </w:r>
      <w:r>
        <w:rPr>
          <w:rFonts w:ascii="宋体" w:cs="宋体"/>
          <w:szCs w:val="21"/>
        </w:rPr>
        <w:t>符合性检查</w:t>
      </w:r>
      <w:r>
        <w:rPr>
          <w:rFonts w:hint="eastAsia" w:ascii="宋体" w:cs="宋体"/>
          <w:szCs w:val="21"/>
        </w:rPr>
        <w:t>，否则不通过。</w:t>
      </w:r>
    </w:p>
    <w:p>
      <w:pPr>
        <w:widowControl/>
        <w:tabs>
          <w:tab w:val="left" w:pos="720"/>
          <w:tab w:val="left" w:pos="1080"/>
        </w:tabs>
        <w:spacing w:line="360" w:lineRule="auto"/>
        <w:ind w:firstLine="420" w:firstLineChars="200"/>
        <w:rPr>
          <w:rFonts w:ascii="宋体" w:cs="宋体"/>
          <w:szCs w:val="21"/>
        </w:rPr>
      </w:pPr>
      <w:r>
        <w:rPr>
          <w:rFonts w:hint="eastAsia" w:ascii="宋体" w:cs="宋体"/>
          <w:szCs w:val="21"/>
        </w:rPr>
        <w:t>5.招标文件中，如标有“▲”的条款均为评审的重要评分指标，投标人若有部分“▲”条款未响应或不满足，将导致其响应性评审严重扣分。</w:t>
      </w:r>
    </w:p>
    <w:p>
      <w:pPr>
        <w:widowControl/>
        <w:tabs>
          <w:tab w:val="left" w:pos="720"/>
          <w:tab w:val="left" w:pos="1080"/>
        </w:tabs>
        <w:spacing w:line="360" w:lineRule="auto"/>
        <w:ind w:firstLine="422" w:firstLineChars="200"/>
        <w:rPr>
          <w:rFonts w:ascii="宋体" w:hAnsi="宋体"/>
          <w:szCs w:val="21"/>
        </w:rPr>
      </w:pPr>
      <w:r>
        <w:rPr>
          <w:rFonts w:hint="eastAsia" w:ascii="宋体" w:hAnsi="宋体"/>
          <w:b/>
          <w:bCs/>
          <w:szCs w:val="21"/>
        </w:rPr>
        <w:t>6.</w:t>
      </w:r>
      <w:r>
        <w:rPr>
          <w:rFonts w:hint="eastAsia" w:ascii="宋体" w:hAnsi="宋体"/>
          <w:b/>
          <w:bCs/>
          <w:color w:val="00000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spacing w:line="360" w:lineRule="auto"/>
        <w:jc w:val="left"/>
        <w:rPr>
          <w:rFonts w:ascii="宋体" w:hAnsi="宋体"/>
          <w:b/>
          <w:szCs w:val="21"/>
        </w:rPr>
      </w:pPr>
      <w:r>
        <w:rPr>
          <w:rFonts w:hint="eastAsia" w:ascii="宋体" w:hAnsi="宋体"/>
          <w:b/>
          <w:szCs w:val="21"/>
        </w:rPr>
        <w:t>（二）投标文件的澄清</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1.</w:t>
      </w:r>
      <w:r>
        <w:rPr>
          <w:rFonts w:hint="eastAsia" w:ascii="宋体" w:hAnsi="宋体"/>
          <w:bCs/>
          <w:szCs w:val="21"/>
        </w:rPr>
        <w:t>除评标委员会主动要求澄清外，从开标后至授予合同期间，任何投标人均不得就本项目投标相关的任何问题与评标委员会联系。</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2.对投标文件中含义不明确、同类问题表述不一致或者有明显文字和计算错误的内容，评标委员会可以书面形式要求投标人作出必要的澄清、说明或者纠正。</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3.投标人的澄清、说明或者补正应当采用书面形式，由其授权的代表签字，并不得超出投标文件的范围或者改变投标文件的实质性内容。</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4.除上述规定的情形之外，评标委员会在评审过程中，不得接收来自评审现场以外的任何形式的文件资料。</w:t>
      </w:r>
    </w:p>
    <w:p>
      <w:pPr>
        <w:widowControl/>
        <w:spacing w:line="360" w:lineRule="auto"/>
        <w:jc w:val="left"/>
        <w:rPr>
          <w:rFonts w:ascii="宋体" w:hAnsi="宋体"/>
          <w:b/>
          <w:szCs w:val="21"/>
        </w:rPr>
      </w:pPr>
      <w:r>
        <w:rPr>
          <w:rFonts w:hint="eastAsia" w:ascii="宋体" w:hAnsi="宋体"/>
          <w:b/>
          <w:szCs w:val="21"/>
        </w:rPr>
        <w:t>（三）商务评定</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1.由评委对所有有效投标文件的商务条件进行审核和评价，填写《商务评审表》。评审内容见附表。</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2.</w:t>
      </w:r>
      <w:r>
        <w:rPr>
          <w:rFonts w:hint="eastAsia" w:ascii="宋体" w:hAnsi="宋体"/>
          <w:szCs w:val="21"/>
          <w:lang w:val="zh-CN"/>
        </w:rPr>
        <w:t>将每一个评委的评分汇总进行算术平均，得出该投标人的商务评分。</w:t>
      </w:r>
    </w:p>
    <w:p>
      <w:pPr>
        <w:widowControl/>
        <w:spacing w:line="360" w:lineRule="auto"/>
        <w:jc w:val="left"/>
        <w:rPr>
          <w:rFonts w:ascii="宋体" w:hAnsi="宋体"/>
          <w:b/>
          <w:szCs w:val="21"/>
        </w:rPr>
      </w:pPr>
      <w:r>
        <w:rPr>
          <w:rFonts w:hint="eastAsia" w:ascii="宋体" w:hAnsi="宋体"/>
          <w:b/>
          <w:szCs w:val="21"/>
        </w:rPr>
        <w:t>（四）</w:t>
      </w:r>
      <w:r>
        <w:rPr>
          <w:rFonts w:hint="eastAsia" w:ascii="宋体" w:hAnsi="宋体"/>
          <w:b/>
          <w:color w:val="000000"/>
          <w:szCs w:val="21"/>
        </w:rPr>
        <w:t>技术</w:t>
      </w:r>
      <w:r>
        <w:rPr>
          <w:rFonts w:hint="eastAsia" w:ascii="宋体" w:hAnsi="宋体"/>
          <w:b/>
          <w:szCs w:val="21"/>
        </w:rPr>
        <w:t>评定</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1.由评委对所有有效投标文件的</w:t>
      </w:r>
      <w:r>
        <w:rPr>
          <w:rFonts w:hint="eastAsia" w:ascii="宋体" w:hAnsi="宋体"/>
          <w:color w:val="000000"/>
          <w:szCs w:val="21"/>
        </w:rPr>
        <w:t>技术</w:t>
      </w:r>
      <w:r>
        <w:rPr>
          <w:rFonts w:hint="eastAsia" w:ascii="宋体" w:hAnsi="宋体"/>
          <w:szCs w:val="21"/>
        </w:rPr>
        <w:t>响应方案进行审核和评价，填写《</w:t>
      </w:r>
      <w:r>
        <w:rPr>
          <w:rFonts w:hint="eastAsia" w:ascii="宋体" w:hAnsi="宋体"/>
          <w:color w:val="000000"/>
          <w:szCs w:val="21"/>
        </w:rPr>
        <w:t>技术</w:t>
      </w:r>
      <w:r>
        <w:rPr>
          <w:rFonts w:hint="eastAsia" w:ascii="宋体" w:hAnsi="宋体"/>
          <w:szCs w:val="21"/>
        </w:rPr>
        <w:t xml:space="preserve">评审表》，评审内容见附表。 </w:t>
      </w:r>
    </w:p>
    <w:p>
      <w:pPr>
        <w:widowControl/>
        <w:tabs>
          <w:tab w:val="left" w:pos="720"/>
          <w:tab w:val="left" w:pos="1080"/>
        </w:tabs>
        <w:spacing w:line="360" w:lineRule="auto"/>
        <w:ind w:firstLine="420" w:firstLineChars="200"/>
        <w:rPr>
          <w:rFonts w:ascii="宋体" w:hAnsi="宋体"/>
          <w:szCs w:val="21"/>
        </w:rPr>
      </w:pPr>
      <w:r>
        <w:rPr>
          <w:rFonts w:hint="eastAsia" w:ascii="宋体" w:hAnsi="宋体"/>
          <w:szCs w:val="21"/>
        </w:rPr>
        <w:t>2.</w:t>
      </w:r>
      <w:r>
        <w:rPr>
          <w:rFonts w:hint="eastAsia" w:ascii="宋体" w:hAnsi="宋体"/>
          <w:szCs w:val="21"/>
          <w:lang w:val="zh-CN"/>
        </w:rPr>
        <w:t>将每一个评委的评分汇总进行算术平均，得出该投标人的技术评分。</w:t>
      </w:r>
    </w:p>
    <w:p>
      <w:pPr>
        <w:widowControl/>
        <w:spacing w:line="360" w:lineRule="auto"/>
        <w:rPr>
          <w:rFonts w:ascii="宋体" w:hAnsi="宋体"/>
          <w:b/>
          <w:szCs w:val="21"/>
        </w:rPr>
      </w:pPr>
      <w:r>
        <w:rPr>
          <w:rFonts w:hint="eastAsia" w:ascii="宋体" w:hAnsi="宋体"/>
          <w:b/>
          <w:szCs w:val="21"/>
        </w:rPr>
        <w:t>（五）价格评定</w:t>
      </w:r>
    </w:p>
    <w:p>
      <w:pPr>
        <w:widowControl/>
        <w:tabs>
          <w:tab w:val="left" w:pos="720"/>
        </w:tabs>
        <w:spacing w:line="360" w:lineRule="auto"/>
        <w:ind w:firstLine="420" w:firstLineChars="200"/>
        <w:rPr>
          <w:rFonts w:ascii="宋体" w:hAnsi="宋体"/>
          <w:szCs w:val="21"/>
        </w:rPr>
      </w:pPr>
      <w:r>
        <w:rPr>
          <w:rFonts w:hint="eastAsia" w:ascii="宋体" w:hAnsi="宋体"/>
          <w:szCs w:val="21"/>
        </w:rPr>
        <w:t>价格核准：评委对有效投标人的详细报价进行复核，复核原则为：</w:t>
      </w:r>
    </w:p>
    <w:p>
      <w:pPr>
        <w:widowControl/>
        <w:tabs>
          <w:tab w:val="left" w:pos="720"/>
        </w:tabs>
        <w:spacing w:line="360" w:lineRule="auto"/>
        <w:ind w:firstLine="420" w:firstLineChars="200"/>
        <w:rPr>
          <w:rFonts w:ascii="宋体" w:hAnsi="宋体"/>
          <w:szCs w:val="21"/>
        </w:rPr>
      </w:pPr>
      <w:r>
        <w:rPr>
          <w:rFonts w:hint="eastAsia" w:ascii="宋体" w:hAnsi="宋体"/>
          <w:szCs w:val="21"/>
        </w:rPr>
        <w:t>1）开标时，投标文件中开标一览表（报价表）内容与投标文件中明细表内容不一致的，以开标一览表（报价表）为准。投标文件的大写金额和小写金额不一致的，以大写金额为准；总价金额与按单价计算汇总金额不一致的，以单价计算汇总金额为准；单价金额小数点有明显错位的，应以总价为准，并修改单价；</w:t>
      </w:r>
    </w:p>
    <w:p>
      <w:pPr>
        <w:widowControl/>
        <w:tabs>
          <w:tab w:val="left" w:pos="720"/>
        </w:tabs>
        <w:spacing w:line="360" w:lineRule="auto"/>
        <w:ind w:firstLine="420" w:firstLineChars="200"/>
        <w:rPr>
          <w:rFonts w:ascii="宋体" w:hAnsi="宋体"/>
          <w:szCs w:val="21"/>
        </w:rPr>
      </w:pPr>
      <w:r>
        <w:rPr>
          <w:rFonts w:hint="eastAsia" w:ascii="宋体" w:hAnsi="宋体"/>
          <w:szCs w:val="21"/>
        </w:rPr>
        <w:t>2）对投标货物或服务的关键、主要内容，投标人报价漏项的，作非实质性响应投标处理；</w:t>
      </w:r>
    </w:p>
    <w:p>
      <w:pPr>
        <w:widowControl/>
        <w:tabs>
          <w:tab w:val="left" w:pos="720"/>
        </w:tabs>
        <w:spacing w:line="360" w:lineRule="auto"/>
        <w:ind w:firstLine="420" w:firstLineChars="200"/>
        <w:rPr>
          <w:rFonts w:ascii="宋体" w:hAnsi="宋体"/>
          <w:szCs w:val="21"/>
        </w:rPr>
      </w:pPr>
      <w:r>
        <w:rPr>
          <w:rFonts w:hint="eastAsia" w:ascii="宋体" w:hAnsi="宋体"/>
          <w:szCs w:val="21"/>
        </w:rPr>
        <w:t>3）对投标货物或服务的非关键、非主要内容，投标人报价漏项的，评标时将要求漏项的投标人予以澄清，但该澄清不作为评标的依据；评标委员会将以其它投标供应商对应项的最高投标报价补充计入其评标价；</w:t>
      </w:r>
    </w:p>
    <w:p>
      <w:pPr>
        <w:widowControl/>
        <w:tabs>
          <w:tab w:val="left" w:pos="720"/>
        </w:tabs>
        <w:spacing w:line="360" w:lineRule="auto"/>
        <w:ind w:firstLine="420" w:firstLineChars="200"/>
        <w:rPr>
          <w:rFonts w:ascii="宋体" w:hAnsi="宋体"/>
          <w:szCs w:val="21"/>
        </w:rPr>
      </w:pPr>
      <w:r>
        <w:rPr>
          <w:rFonts w:hint="eastAsia" w:ascii="宋体" w:hAnsi="宋体"/>
          <w:szCs w:val="21"/>
        </w:rPr>
        <w:t>4）对非关键、非主要内容的费用，如果投标人是另行单独报价的，评标时也相应另行计入其评标价；</w:t>
      </w:r>
    </w:p>
    <w:p>
      <w:pPr>
        <w:widowControl/>
        <w:tabs>
          <w:tab w:val="left" w:pos="720"/>
        </w:tabs>
        <w:spacing w:line="360" w:lineRule="auto"/>
        <w:ind w:firstLine="420" w:firstLineChars="200"/>
        <w:rPr>
          <w:rFonts w:ascii="宋体" w:hAnsi="宋体"/>
          <w:szCs w:val="21"/>
        </w:rPr>
      </w:pPr>
      <w:r>
        <w:rPr>
          <w:rFonts w:hint="eastAsia" w:ascii="宋体" w:hAnsi="宋体"/>
          <w:szCs w:val="21"/>
        </w:rPr>
        <w:t>5）对数量的评审，以第二部分《采购人需求》所明示数量为准；《采购人需求》未明示的，由评标委员会以其专业知识判断，必要时参考投标人的澄清文件决定；</w:t>
      </w:r>
    </w:p>
    <w:p>
      <w:pPr>
        <w:widowControl/>
        <w:tabs>
          <w:tab w:val="left" w:pos="720"/>
        </w:tabs>
        <w:spacing w:line="360" w:lineRule="auto"/>
        <w:ind w:firstLine="420" w:firstLineChars="200"/>
        <w:rPr>
          <w:rFonts w:ascii="宋体" w:hAnsi="宋体"/>
          <w:szCs w:val="21"/>
        </w:rPr>
      </w:pPr>
      <w:r>
        <w:rPr>
          <w:rFonts w:hint="eastAsia" w:ascii="宋体" w:hAnsi="宋体"/>
          <w:szCs w:val="21"/>
        </w:rPr>
        <w:t>6）本条款中多种处理原则所产生的结果不一致的，以最高的修正价作为评标价。</w:t>
      </w:r>
    </w:p>
    <w:p>
      <w:pPr>
        <w:widowControl/>
        <w:spacing w:line="360" w:lineRule="auto"/>
        <w:jc w:val="left"/>
        <w:rPr>
          <w:rFonts w:ascii="宋体" w:hAnsi="宋体"/>
          <w:b/>
          <w:szCs w:val="21"/>
        </w:rPr>
      </w:pPr>
      <w:r>
        <w:rPr>
          <w:rFonts w:hint="eastAsia" w:ascii="宋体" w:hAnsi="宋体"/>
          <w:b/>
          <w:szCs w:val="21"/>
        </w:rPr>
        <w:t>（六）综合评分的计算</w:t>
      </w:r>
    </w:p>
    <w:p>
      <w:pPr>
        <w:widowControl/>
        <w:tabs>
          <w:tab w:val="left" w:pos="720"/>
        </w:tabs>
        <w:spacing w:line="360" w:lineRule="auto"/>
        <w:ind w:firstLine="420" w:firstLineChars="200"/>
        <w:rPr>
          <w:rFonts w:ascii="宋体" w:hAnsi="宋体"/>
          <w:color w:val="000000"/>
          <w:szCs w:val="21"/>
        </w:rPr>
      </w:pPr>
      <w:r>
        <w:rPr>
          <w:rFonts w:hint="eastAsia" w:ascii="宋体" w:hAnsi="宋体"/>
          <w:color w:val="000000"/>
          <w:szCs w:val="21"/>
        </w:rPr>
        <w:t>1.综合评分=</w:t>
      </w:r>
      <w:r>
        <w:rPr>
          <w:rFonts w:hint="eastAsia" w:ascii="宋体" w:hAnsi="宋体"/>
          <w:bCs/>
          <w:color w:val="000000"/>
          <w:szCs w:val="21"/>
        </w:rPr>
        <w:t>商务得分</w:t>
      </w:r>
      <w:r>
        <w:rPr>
          <w:rFonts w:ascii="宋体" w:hAnsi="宋体"/>
          <w:bCs/>
          <w:color w:val="000000"/>
          <w:szCs w:val="21"/>
        </w:rPr>
        <w:t>+</w:t>
      </w:r>
      <w:r>
        <w:rPr>
          <w:rFonts w:hint="eastAsia" w:ascii="宋体" w:hAnsi="宋体"/>
          <w:bCs/>
          <w:color w:val="000000"/>
          <w:szCs w:val="21"/>
        </w:rPr>
        <w:t>技术得分</w:t>
      </w:r>
      <w:r>
        <w:rPr>
          <w:rFonts w:ascii="宋体" w:hAnsi="宋体"/>
          <w:bCs/>
          <w:color w:val="000000"/>
          <w:szCs w:val="21"/>
        </w:rPr>
        <w:t>+</w:t>
      </w:r>
      <w:r>
        <w:rPr>
          <w:rFonts w:hint="eastAsia" w:ascii="宋体" w:hAnsi="宋体"/>
          <w:bCs/>
          <w:color w:val="000000"/>
          <w:szCs w:val="21"/>
        </w:rPr>
        <w:t>价格得分。</w:t>
      </w:r>
    </w:p>
    <w:p>
      <w:pPr>
        <w:widowControl/>
        <w:tabs>
          <w:tab w:val="left" w:pos="720"/>
        </w:tabs>
        <w:spacing w:line="360" w:lineRule="auto"/>
        <w:ind w:firstLine="420" w:firstLineChars="200"/>
        <w:rPr>
          <w:rStyle w:val="46"/>
        </w:rPr>
      </w:pPr>
      <w:r>
        <w:rPr>
          <w:rFonts w:hint="eastAsia" w:ascii="宋体" w:hAnsi="宋体"/>
          <w:color w:val="000000"/>
          <w:szCs w:val="21"/>
        </w:rPr>
        <w:t>2.</w:t>
      </w:r>
      <w:r>
        <w:rPr>
          <w:rFonts w:hint="eastAsia"/>
          <w:szCs w:val="21"/>
        </w:rPr>
        <w:t>各项得分按四舍五入原则精确到小数点后两位，如因计算软件四舍五入导致后两位小数相同的，则计算至后三位，依次类推，直接得出排序。将综合评分由高到低顺序排列。</w:t>
      </w:r>
    </w:p>
    <w:p>
      <w:pPr>
        <w:widowControl/>
        <w:spacing w:line="360" w:lineRule="auto"/>
        <w:jc w:val="left"/>
        <w:rPr>
          <w:rFonts w:ascii="宋体" w:hAnsi="宋体"/>
          <w:b/>
          <w:color w:val="000000"/>
          <w:szCs w:val="21"/>
        </w:rPr>
      </w:pPr>
      <w:r>
        <w:rPr>
          <w:rFonts w:hint="eastAsia" w:ascii="宋体" w:hAnsi="宋体"/>
          <w:b/>
          <w:color w:val="000000"/>
          <w:szCs w:val="21"/>
        </w:rPr>
        <w:t>（七）推荐中标候选人</w:t>
      </w:r>
    </w:p>
    <w:p>
      <w:pPr>
        <w:widowControl/>
        <w:tabs>
          <w:tab w:val="left" w:pos="720"/>
        </w:tabs>
        <w:spacing w:line="360" w:lineRule="auto"/>
        <w:ind w:firstLine="420" w:firstLineChars="200"/>
        <w:rPr>
          <w:rFonts w:ascii="宋体" w:hAnsi="宋体"/>
          <w:szCs w:val="21"/>
        </w:rPr>
      </w:pPr>
      <w:r>
        <w:rPr>
          <w:rFonts w:hint="eastAsia" w:ascii="宋体" w:hAnsi="宋体"/>
          <w:szCs w:val="21"/>
        </w:rPr>
        <w:t>1.本项目评标委员会按综合总得分排序推荐两名中标候选人。</w:t>
      </w:r>
    </w:p>
    <w:p>
      <w:pPr>
        <w:widowControl/>
        <w:tabs>
          <w:tab w:val="left" w:pos="720"/>
        </w:tabs>
        <w:spacing w:line="360" w:lineRule="auto"/>
        <w:ind w:firstLine="420" w:firstLineChars="200"/>
        <w:rPr>
          <w:rFonts w:ascii="宋体" w:hAnsi="宋体"/>
          <w:szCs w:val="21"/>
        </w:rPr>
      </w:pPr>
      <w:r>
        <w:rPr>
          <w:rFonts w:hint="eastAsia" w:ascii="宋体" w:hAnsi="宋体"/>
          <w:szCs w:val="21"/>
        </w:rPr>
        <w:t>2.评标结果按评审后得分由高到低顺序排列，得分最高的投标人为排名第一的中标候选人，排名第二的为第二中标候选人。总得分相同的，按投标报价由低到高顺序排列。总得分且投标报价相同的并列。</w:t>
      </w:r>
    </w:p>
    <w:p>
      <w:pPr>
        <w:widowControl/>
        <w:tabs>
          <w:tab w:val="left" w:pos="720"/>
        </w:tabs>
        <w:spacing w:line="360" w:lineRule="auto"/>
        <w:ind w:firstLine="420" w:firstLineChars="200"/>
        <w:rPr>
          <w:rFonts w:ascii="宋体" w:hAnsi="宋体" w:cs="宋体"/>
          <w:szCs w:val="21"/>
        </w:rPr>
      </w:pPr>
      <w:r>
        <w:rPr>
          <w:rFonts w:hint="eastAsia" w:ascii="宋体" w:hAnsi="宋体"/>
          <w:szCs w:val="21"/>
        </w:rPr>
        <w:t>3.第一中标候选人无正当理由不得随意放弃中标资格</w:t>
      </w:r>
      <w:r>
        <w:rPr>
          <w:rFonts w:hint="eastAsia"/>
          <w:szCs w:val="21"/>
        </w:rPr>
        <w:t>。</w:t>
      </w:r>
    </w:p>
    <w:p>
      <w:pPr>
        <w:spacing w:line="360" w:lineRule="auto"/>
        <w:jc w:val="left"/>
        <w:rPr>
          <w:rFonts w:ascii="宋体" w:hAnsi="宋体"/>
          <w:b/>
          <w:szCs w:val="21"/>
        </w:rPr>
      </w:pPr>
      <w:bookmarkStart w:id="214" w:name="_Toc264203537"/>
      <w:bookmarkStart w:id="215" w:name="_Toc101775130"/>
      <w:bookmarkStart w:id="216" w:name="_Toc101843130"/>
      <w:bookmarkStart w:id="217" w:name="_Toc101951268"/>
      <w:bookmarkStart w:id="218" w:name="_Toc101771377"/>
      <w:r>
        <w:rPr>
          <w:rFonts w:hint="eastAsia" w:ascii="宋体" w:hAnsi="宋体"/>
          <w:b/>
          <w:szCs w:val="21"/>
        </w:rPr>
        <w:t>三、定标</w:t>
      </w:r>
      <w:bookmarkEnd w:id="214"/>
      <w:bookmarkEnd w:id="215"/>
      <w:bookmarkEnd w:id="216"/>
      <w:bookmarkEnd w:id="217"/>
      <w:bookmarkEnd w:id="218"/>
    </w:p>
    <w:p>
      <w:pPr>
        <w:widowControl/>
        <w:tabs>
          <w:tab w:val="left" w:pos="720"/>
        </w:tabs>
        <w:spacing w:line="360" w:lineRule="auto"/>
        <w:ind w:firstLine="420" w:firstLineChars="200"/>
        <w:rPr>
          <w:rFonts w:ascii="宋体" w:hAnsi="宋体"/>
          <w:color w:val="000000"/>
          <w:szCs w:val="21"/>
        </w:rPr>
      </w:pPr>
      <w:bookmarkStart w:id="219" w:name="_Toc6830"/>
      <w:r>
        <w:rPr>
          <w:rFonts w:hint="eastAsia" w:ascii="宋体" w:hAnsi="宋体"/>
          <w:color w:val="000000"/>
          <w:szCs w:val="21"/>
        </w:rPr>
        <w:t>（一）采购人在评标报告确定的中标候选人名单中按顺序确定中标人。中标候选人并列的，由采购人按1）投标报价（由低到高）；2）技术评分（由高到低）；如以上都相同的，则由采购人采取随机抽取方式确定中标人。</w:t>
      </w:r>
    </w:p>
    <w:bookmarkEnd w:id="219"/>
    <w:p>
      <w:pPr>
        <w:widowControl/>
        <w:tabs>
          <w:tab w:val="left" w:pos="720"/>
        </w:tabs>
        <w:spacing w:line="360" w:lineRule="auto"/>
        <w:ind w:firstLine="420" w:firstLineChars="200"/>
        <w:rPr>
          <w:rFonts w:ascii="宋体" w:hAnsi="宋体"/>
          <w:color w:val="000000"/>
          <w:szCs w:val="21"/>
        </w:rPr>
      </w:pPr>
      <w:bookmarkStart w:id="220" w:name="_Toc10979"/>
      <w:r>
        <w:rPr>
          <w:rFonts w:hint="eastAsia" w:ascii="宋体" w:hAnsi="宋体"/>
          <w:color w:val="000000"/>
          <w:szCs w:val="21"/>
        </w:rPr>
        <w:t>（二）采购人确认结果后，采购代理机构将中标结果以网上公告的方式通知所有未中标的投标人。</w:t>
      </w:r>
      <w:bookmarkEnd w:id="220"/>
    </w:p>
    <w:p>
      <w:pPr>
        <w:widowControl/>
        <w:tabs>
          <w:tab w:val="left" w:pos="720"/>
        </w:tabs>
        <w:spacing w:line="360" w:lineRule="auto"/>
        <w:ind w:firstLine="420" w:firstLineChars="200"/>
        <w:rPr>
          <w:rFonts w:ascii="宋体" w:hAnsi="宋体"/>
          <w:color w:val="000000"/>
          <w:szCs w:val="21"/>
        </w:rPr>
      </w:pPr>
      <w:bookmarkStart w:id="221" w:name="_Toc29238"/>
      <w:r>
        <w:rPr>
          <w:rFonts w:hint="eastAsia" w:ascii="宋体" w:hAnsi="宋体"/>
          <w:color w:val="000000"/>
          <w:szCs w:val="21"/>
        </w:rPr>
        <w:t>（三）中标结果公告后，采购代理机构以书面形式向中标供应商发出《招标代理服务费缴费通知书》。</w:t>
      </w:r>
      <w:bookmarkEnd w:id="221"/>
    </w:p>
    <w:p>
      <w:pPr>
        <w:widowControl/>
        <w:tabs>
          <w:tab w:val="left" w:pos="720"/>
        </w:tabs>
        <w:spacing w:line="360" w:lineRule="auto"/>
        <w:ind w:firstLine="420" w:firstLineChars="200"/>
        <w:rPr>
          <w:rFonts w:ascii="宋体" w:hAnsi="宋体"/>
          <w:color w:val="000000"/>
          <w:szCs w:val="21"/>
        </w:rPr>
      </w:pPr>
      <w:bookmarkStart w:id="222" w:name="_Toc3095"/>
      <w:r>
        <w:rPr>
          <w:rFonts w:hint="eastAsia" w:ascii="宋体" w:hAnsi="宋体"/>
          <w:color w:val="000000"/>
          <w:szCs w:val="21"/>
        </w:rPr>
        <w:t>（四）中标供应商凭采购代理机构开具的《招标代理服务费缴费通知书》到银行办理缴费手续，凭银行回单原件到采购代理机构开发票，领取《中标通知书》。《中标通知书》将作为授予合同资格的唯一合法依据。</w:t>
      </w:r>
      <w:bookmarkEnd w:id="222"/>
    </w:p>
    <w:p>
      <w:pPr>
        <w:widowControl/>
        <w:tabs>
          <w:tab w:val="left" w:pos="720"/>
        </w:tabs>
        <w:spacing w:line="360" w:lineRule="auto"/>
        <w:ind w:firstLine="420" w:firstLineChars="200"/>
        <w:rPr>
          <w:rFonts w:ascii="宋体" w:hAnsi="宋体"/>
          <w:color w:val="000000"/>
          <w:szCs w:val="21"/>
        </w:rPr>
      </w:pPr>
      <w:r>
        <w:rPr>
          <w:rFonts w:hint="eastAsia" w:ascii="宋体" w:hAnsi="宋体"/>
          <w:color w:val="000000"/>
          <w:szCs w:val="21"/>
        </w:rPr>
        <w:t>（五）中标供应商放弃中标或被确定中标无效的，应当依法承担法律责任，同时，采购人可以按照评审报告推荐的中标候选人名单排序，确定下一候选人为中标人，也可以重新开展采购活动。</w:t>
      </w:r>
    </w:p>
    <w:p>
      <w:pPr>
        <w:widowControl/>
        <w:tabs>
          <w:tab w:val="left" w:pos="720"/>
        </w:tabs>
        <w:spacing w:line="360" w:lineRule="auto"/>
        <w:ind w:firstLine="420" w:firstLineChars="200"/>
        <w:rPr>
          <w:rFonts w:ascii="宋体" w:hAnsi="宋体"/>
          <w:color w:val="000000"/>
          <w:szCs w:val="21"/>
        </w:rPr>
      </w:pPr>
      <w:r>
        <w:rPr>
          <w:rFonts w:hint="eastAsia" w:ascii="宋体" w:hAnsi="宋体"/>
          <w:color w:val="000000"/>
          <w:szCs w:val="21"/>
        </w:rPr>
        <w:t>（六）投标人必须对投标文件所提供的全部资料的真实性承担法律责任，并无条件接受采购人和采购监督管理部门对其中任何资料进行核实（核对原件）的要求。如有必要，采购人将</w:t>
      </w:r>
      <w:r>
        <w:rPr>
          <w:rFonts w:ascii="宋体" w:hAnsi="宋体"/>
          <w:color w:val="000000"/>
          <w:szCs w:val="21"/>
        </w:rPr>
        <w:t>核对</w:t>
      </w:r>
      <w:r>
        <w:rPr>
          <w:rFonts w:hint="eastAsia" w:ascii="宋体" w:hAnsi="宋体"/>
          <w:color w:val="000000"/>
          <w:szCs w:val="21"/>
        </w:rPr>
        <w:t>投标文件资料，</w:t>
      </w:r>
      <w:r>
        <w:rPr>
          <w:rFonts w:ascii="宋体" w:hAnsi="宋体"/>
          <w:color w:val="000000"/>
          <w:szCs w:val="21"/>
        </w:rPr>
        <w:t>发现有不一致或供应商无正当理由不按时提供原件的，书面知会</w:t>
      </w:r>
      <w:r>
        <w:rPr>
          <w:rFonts w:hint="eastAsia" w:ascii="宋体" w:hAnsi="宋体"/>
          <w:color w:val="000000"/>
          <w:szCs w:val="21"/>
        </w:rPr>
        <w:t>采购代理机构</w:t>
      </w:r>
      <w:r>
        <w:rPr>
          <w:rFonts w:ascii="宋体" w:hAnsi="宋体"/>
          <w:color w:val="000000"/>
          <w:szCs w:val="21"/>
        </w:rPr>
        <w:t>，并报同级财政部门核实后按中标无效处理</w:t>
      </w:r>
      <w:r>
        <w:rPr>
          <w:rFonts w:hint="eastAsia" w:ascii="宋体" w:hAnsi="宋体"/>
          <w:color w:val="000000"/>
          <w:szCs w:val="21"/>
        </w:rPr>
        <w:t>。</w:t>
      </w:r>
    </w:p>
    <w:bookmarkEnd w:id="162"/>
    <w:bookmarkEnd w:id="163"/>
    <w:bookmarkEnd w:id="164"/>
    <w:p>
      <w:pPr>
        <w:spacing w:line="360" w:lineRule="auto"/>
        <w:jc w:val="left"/>
        <w:rPr>
          <w:rFonts w:ascii="宋体" w:hAnsi="宋体"/>
          <w:b/>
          <w:szCs w:val="21"/>
        </w:rPr>
      </w:pPr>
      <w:bookmarkStart w:id="223" w:name="_Toc101775131"/>
      <w:bookmarkStart w:id="224" w:name="_Toc101771378"/>
      <w:bookmarkStart w:id="225" w:name="_Toc264203538"/>
      <w:bookmarkStart w:id="226" w:name="_Toc98580290"/>
      <w:bookmarkStart w:id="227" w:name="_Toc42394514"/>
      <w:bookmarkStart w:id="228" w:name="_Toc101951269"/>
      <w:bookmarkStart w:id="229" w:name="_Toc42313169"/>
      <w:bookmarkStart w:id="230" w:name="_Toc42394670"/>
      <w:bookmarkStart w:id="231" w:name="_Toc98579066"/>
      <w:bookmarkStart w:id="232" w:name="_Toc41723933"/>
      <w:bookmarkStart w:id="233" w:name="_Toc101843131"/>
      <w:bookmarkStart w:id="234" w:name="_Toc50276154"/>
      <w:bookmarkStart w:id="235" w:name="_Toc41884703"/>
      <w:bookmarkStart w:id="236" w:name="_Toc98579008"/>
      <w:bookmarkStart w:id="237" w:name="_Toc98579607"/>
      <w:r>
        <w:rPr>
          <w:rFonts w:hint="eastAsia" w:ascii="宋体" w:hAnsi="宋体"/>
          <w:b/>
          <w:szCs w:val="21"/>
        </w:rPr>
        <w:t>四、项目废标处理</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pPr>
        <w:spacing w:line="360" w:lineRule="auto"/>
        <w:ind w:firstLine="420" w:firstLineChars="200"/>
        <w:rPr>
          <w:rFonts w:ascii="宋体" w:hAnsi="宋体"/>
          <w:color w:val="000000"/>
          <w:szCs w:val="21"/>
        </w:rPr>
      </w:pPr>
      <w:bookmarkStart w:id="238" w:name="_Toc24743"/>
      <w:bookmarkStart w:id="239" w:name="_Toc7444"/>
      <w:bookmarkStart w:id="240" w:name="_Toc334795474"/>
      <w:bookmarkStart w:id="241" w:name="_Toc21390"/>
      <w:r>
        <w:rPr>
          <w:rFonts w:hint="eastAsia" w:ascii="宋体" w:hAnsi="宋体"/>
          <w:color w:val="000000"/>
          <w:szCs w:val="21"/>
        </w:rPr>
        <w:t>下列情况出现将作废标处理：</w:t>
      </w:r>
    </w:p>
    <w:p>
      <w:pPr>
        <w:widowControl/>
        <w:tabs>
          <w:tab w:val="left" w:pos="720"/>
        </w:tabs>
        <w:spacing w:line="360" w:lineRule="auto"/>
        <w:ind w:firstLine="420" w:firstLineChars="200"/>
        <w:rPr>
          <w:rFonts w:ascii="宋体" w:hAnsi="宋体"/>
          <w:color w:val="000000"/>
          <w:szCs w:val="21"/>
        </w:rPr>
      </w:pPr>
      <w:bookmarkStart w:id="242" w:name="_Toc10199"/>
      <w:r>
        <w:rPr>
          <w:rFonts w:hint="eastAsia" w:ascii="宋体" w:hAnsi="宋体"/>
          <w:color w:val="000000"/>
          <w:szCs w:val="21"/>
        </w:rPr>
        <w:t>（一）</w:t>
      </w:r>
      <w:bookmarkStart w:id="243" w:name="_Toc334795470"/>
      <w:r>
        <w:rPr>
          <w:rFonts w:hint="eastAsia" w:ascii="宋体" w:hAnsi="宋体"/>
          <w:color w:val="000000"/>
          <w:szCs w:val="21"/>
        </w:rPr>
        <w:t>符合专业资格条件的投标人或者对招标文件作实质响应的有效投标人不足</w:t>
      </w:r>
      <w:r>
        <w:rPr>
          <w:rFonts w:hint="eastAsia" w:ascii="宋体" w:hAnsi="宋体"/>
          <w:color w:val="000000"/>
          <w:szCs w:val="21"/>
          <w:lang w:val="en-US" w:eastAsia="zh-CN"/>
        </w:rPr>
        <w:t>三</w:t>
      </w:r>
      <w:r>
        <w:rPr>
          <w:rFonts w:hint="eastAsia" w:ascii="宋体" w:hAnsi="宋体"/>
          <w:color w:val="000000"/>
          <w:szCs w:val="21"/>
        </w:rPr>
        <w:t>家的</w:t>
      </w:r>
      <w:r>
        <w:rPr>
          <w:rFonts w:ascii="宋体" w:hAnsi="宋体"/>
          <w:color w:val="000000"/>
          <w:szCs w:val="21"/>
        </w:rPr>
        <w:t>；</w:t>
      </w:r>
      <w:bookmarkEnd w:id="242"/>
      <w:bookmarkEnd w:id="243"/>
    </w:p>
    <w:p>
      <w:pPr>
        <w:widowControl/>
        <w:tabs>
          <w:tab w:val="left" w:pos="720"/>
        </w:tabs>
        <w:spacing w:line="360" w:lineRule="auto"/>
        <w:ind w:firstLine="420" w:firstLineChars="200"/>
        <w:rPr>
          <w:rFonts w:ascii="宋体" w:hAnsi="宋体"/>
          <w:color w:val="000000"/>
          <w:szCs w:val="21"/>
        </w:rPr>
      </w:pPr>
      <w:bookmarkStart w:id="244" w:name="_Toc4527"/>
      <w:bookmarkStart w:id="245" w:name="_Toc334795471"/>
      <w:r>
        <w:rPr>
          <w:rFonts w:hint="eastAsia" w:ascii="宋体" w:hAnsi="宋体"/>
          <w:color w:val="000000"/>
          <w:szCs w:val="21"/>
        </w:rPr>
        <w:t>（二）出现影响采购公正的违法、违规行为的；</w:t>
      </w:r>
      <w:bookmarkEnd w:id="244"/>
      <w:bookmarkEnd w:id="245"/>
      <w:r>
        <w:rPr>
          <w:rFonts w:hint="eastAsia" w:ascii="宋体" w:hAnsi="宋体"/>
          <w:color w:val="000000"/>
          <w:szCs w:val="21"/>
        </w:rPr>
        <w:t xml:space="preserve"> </w:t>
      </w:r>
    </w:p>
    <w:p>
      <w:pPr>
        <w:widowControl/>
        <w:tabs>
          <w:tab w:val="left" w:pos="720"/>
        </w:tabs>
        <w:spacing w:line="360" w:lineRule="auto"/>
        <w:ind w:firstLine="420" w:firstLineChars="200"/>
        <w:rPr>
          <w:rFonts w:ascii="宋体" w:hAnsi="宋体"/>
          <w:color w:val="000000"/>
          <w:szCs w:val="21"/>
        </w:rPr>
      </w:pPr>
      <w:bookmarkStart w:id="246" w:name="_Toc17413"/>
      <w:bookmarkStart w:id="247" w:name="_Toc334795472"/>
      <w:r>
        <w:rPr>
          <w:rFonts w:hint="eastAsia" w:ascii="宋体" w:hAnsi="宋体"/>
          <w:color w:val="000000"/>
          <w:szCs w:val="21"/>
        </w:rPr>
        <w:t>（三）投标人的报价均超过了采购预算，采购人不能支付的；</w:t>
      </w:r>
      <w:bookmarkEnd w:id="246"/>
      <w:bookmarkEnd w:id="247"/>
      <w:r>
        <w:rPr>
          <w:rFonts w:hint="eastAsia" w:ascii="宋体" w:hAnsi="宋体"/>
          <w:color w:val="000000"/>
          <w:szCs w:val="21"/>
        </w:rPr>
        <w:t xml:space="preserve"> </w:t>
      </w:r>
    </w:p>
    <w:p>
      <w:pPr>
        <w:widowControl/>
        <w:tabs>
          <w:tab w:val="left" w:pos="720"/>
        </w:tabs>
        <w:spacing w:line="360" w:lineRule="auto"/>
        <w:ind w:firstLine="420" w:firstLineChars="200"/>
        <w:rPr>
          <w:rFonts w:ascii="宋体" w:hAnsi="宋体"/>
          <w:color w:val="000000"/>
          <w:szCs w:val="21"/>
        </w:rPr>
      </w:pPr>
      <w:bookmarkStart w:id="248" w:name="_Toc334795473"/>
      <w:bookmarkStart w:id="249" w:name="_Toc5443"/>
      <w:r>
        <w:rPr>
          <w:rFonts w:hint="eastAsia" w:ascii="宋体" w:hAnsi="宋体"/>
          <w:color w:val="000000"/>
          <w:szCs w:val="21"/>
        </w:rPr>
        <w:t>（四）因重大变故，采购任务取消的</w:t>
      </w:r>
      <w:bookmarkEnd w:id="248"/>
      <w:bookmarkEnd w:id="249"/>
      <w:r>
        <w:rPr>
          <w:rFonts w:hint="eastAsia" w:ascii="宋体" w:hAnsi="宋体"/>
          <w:color w:val="000000"/>
          <w:szCs w:val="21"/>
        </w:rPr>
        <w:t>。</w:t>
      </w:r>
    </w:p>
    <w:bookmarkEnd w:id="238"/>
    <w:bookmarkEnd w:id="239"/>
    <w:bookmarkEnd w:id="240"/>
    <w:bookmarkEnd w:id="241"/>
    <w:p>
      <w:pPr>
        <w:spacing w:line="360" w:lineRule="auto"/>
        <w:jc w:val="left"/>
        <w:rPr>
          <w:rFonts w:ascii="宋体" w:hAnsi="宋体"/>
          <w:b/>
          <w:szCs w:val="21"/>
        </w:rPr>
      </w:pPr>
      <w:bookmarkStart w:id="250" w:name="_Toc12126"/>
      <w:bookmarkStart w:id="251" w:name="_Toc6267"/>
      <w:bookmarkStart w:id="252" w:name="_Toc1828"/>
      <w:r>
        <w:rPr>
          <w:rFonts w:hint="eastAsia" w:ascii="宋体" w:hAnsi="宋体"/>
          <w:b/>
          <w:szCs w:val="21"/>
        </w:rPr>
        <w:t>五、供应商不得存在以下行为</w:t>
      </w:r>
      <w:bookmarkEnd w:id="250"/>
      <w:bookmarkEnd w:id="251"/>
      <w:bookmarkEnd w:id="252"/>
      <w:bookmarkStart w:id="253" w:name="_Toc705"/>
      <w:bookmarkStart w:id="254" w:name="_Toc23821"/>
      <w:r>
        <w:rPr>
          <w:rFonts w:hint="eastAsia" w:ascii="宋体" w:hAnsi="宋体"/>
          <w:b/>
          <w:szCs w:val="21"/>
        </w:rPr>
        <w:t xml:space="preserve">： </w:t>
      </w:r>
      <w:bookmarkStart w:id="357" w:name="_GoBack"/>
      <w:bookmarkEnd w:id="357"/>
    </w:p>
    <w:p>
      <w:pPr>
        <w:spacing w:line="360" w:lineRule="auto"/>
        <w:ind w:firstLine="420" w:firstLineChars="200"/>
        <w:rPr>
          <w:rFonts w:ascii="宋体" w:hAnsi="宋体" w:cs="宋体"/>
          <w:szCs w:val="21"/>
        </w:rPr>
      </w:pPr>
      <w:r>
        <w:rPr>
          <w:rFonts w:hint="eastAsia" w:ascii="宋体" w:hAnsi="宋体" w:cs="宋体"/>
          <w:szCs w:val="21"/>
        </w:rPr>
        <w:t>（一）提供虚假材料谋取中标、成交的；</w:t>
      </w:r>
    </w:p>
    <w:p>
      <w:pPr>
        <w:spacing w:line="360" w:lineRule="auto"/>
        <w:ind w:firstLine="420" w:firstLineChars="200"/>
        <w:rPr>
          <w:rFonts w:ascii="宋体" w:hAnsi="宋体" w:cs="宋体"/>
          <w:szCs w:val="21"/>
        </w:rPr>
      </w:pPr>
      <w:r>
        <w:rPr>
          <w:rFonts w:hint="eastAsia" w:ascii="宋体" w:hAnsi="宋体" w:cs="宋体"/>
          <w:szCs w:val="21"/>
        </w:rPr>
        <w:t>（二）采取不正当手段诋毁、排挤其他供应商的；</w:t>
      </w:r>
    </w:p>
    <w:p>
      <w:pPr>
        <w:spacing w:line="360" w:lineRule="auto"/>
        <w:ind w:firstLine="420" w:firstLineChars="200"/>
        <w:rPr>
          <w:rFonts w:ascii="宋体" w:hAnsi="宋体" w:cs="宋体"/>
          <w:szCs w:val="21"/>
        </w:rPr>
      </w:pPr>
      <w:r>
        <w:rPr>
          <w:rFonts w:hint="eastAsia" w:ascii="宋体" w:hAnsi="宋体" w:cs="宋体"/>
          <w:szCs w:val="21"/>
        </w:rPr>
        <w:t>（三）与采购人、其他供应商或者采购代理机构恶意串通的；</w:t>
      </w:r>
    </w:p>
    <w:p>
      <w:pPr>
        <w:spacing w:line="360" w:lineRule="auto"/>
        <w:ind w:firstLine="420" w:firstLineChars="200"/>
        <w:rPr>
          <w:rFonts w:ascii="宋体" w:hAnsi="宋体" w:cs="宋体"/>
          <w:szCs w:val="21"/>
        </w:rPr>
      </w:pPr>
      <w:r>
        <w:rPr>
          <w:rFonts w:hint="eastAsia" w:ascii="宋体" w:hAnsi="宋体" w:cs="宋体"/>
          <w:szCs w:val="21"/>
        </w:rPr>
        <w:t>（四）向采购人、采购代理机构行贿或者提供其他不正当利益的；</w:t>
      </w:r>
    </w:p>
    <w:p>
      <w:pPr>
        <w:spacing w:line="360" w:lineRule="auto"/>
        <w:ind w:firstLine="420" w:firstLineChars="200"/>
        <w:rPr>
          <w:rFonts w:ascii="宋体" w:hAnsi="宋体" w:cs="宋体"/>
          <w:szCs w:val="21"/>
        </w:rPr>
      </w:pPr>
      <w:r>
        <w:rPr>
          <w:rFonts w:hint="eastAsia" w:ascii="宋体" w:hAnsi="宋体" w:cs="宋体"/>
          <w:szCs w:val="21"/>
        </w:rPr>
        <w:t>（五）在招标采购过程中与采购人进行协商谈判的；</w:t>
      </w:r>
    </w:p>
    <w:p>
      <w:pPr>
        <w:spacing w:line="360" w:lineRule="auto"/>
        <w:ind w:firstLine="420" w:firstLineChars="200"/>
        <w:rPr>
          <w:rFonts w:ascii="宋体" w:hAnsi="宋体" w:cs="宋体"/>
          <w:szCs w:val="21"/>
        </w:rPr>
      </w:pPr>
      <w:r>
        <w:rPr>
          <w:rFonts w:hint="eastAsia" w:ascii="宋体" w:hAnsi="宋体" w:cs="宋体"/>
          <w:szCs w:val="21"/>
        </w:rPr>
        <w:t>（六）拒绝有关部门监督检查或者提供虚假情况的；</w:t>
      </w:r>
    </w:p>
    <w:p>
      <w:pPr>
        <w:spacing w:line="360" w:lineRule="auto"/>
        <w:ind w:firstLine="420" w:firstLineChars="200"/>
        <w:rPr>
          <w:rFonts w:ascii="宋体" w:hAnsi="宋体" w:cs="宋体"/>
          <w:szCs w:val="21"/>
        </w:rPr>
      </w:pPr>
      <w:r>
        <w:rPr>
          <w:rFonts w:hint="eastAsia" w:ascii="宋体" w:hAnsi="宋体" w:cs="宋体"/>
          <w:szCs w:val="21"/>
        </w:rPr>
        <w:t>（七）收到中标、成交通知书后无正当理由拖延或者放弃与采购人签订采购合同的；</w:t>
      </w:r>
    </w:p>
    <w:p>
      <w:pPr>
        <w:spacing w:line="360" w:lineRule="auto"/>
        <w:ind w:firstLine="420" w:firstLineChars="200"/>
        <w:rPr>
          <w:rFonts w:ascii="宋体" w:hAnsi="宋体" w:cs="宋体"/>
          <w:szCs w:val="21"/>
        </w:rPr>
      </w:pPr>
      <w:r>
        <w:rPr>
          <w:rFonts w:hint="eastAsia" w:ascii="宋体" w:hAnsi="宋体" w:cs="宋体"/>
          <w:szCs w:val="21"/>
        </w:rPr>
        <w:t>（八）无正当理由拒不履行或者拖延履行采购合同义务的；</w:t>
      </w:r>
    </w:p>
    <w:p>
      <w:pPr>
        <w:spacing w:line="360" w:lineRule="auto"/>
        <w:ind w:firstLine="420" w:firstLineChars="200"/>
        <w:rPr>
          <w:rFonts w:ascii="宋体" w:hAnsi="宋体" w:cs="宋体"/>
          <w:szCs w:val="21"/>
        </w:rPr>
      </w:pPr>
      <w:r>
        <w:rPr>
          <w:rFonts w:hint="eastAsia" w:ascii="宋体" w:hAnsi="宋体" w:cs="宋体"/>
          <w:szCs w:val="21"/>
        </w:rPr>
        <w:t>（九）擅自变更、中止或者终止采购合同的；</w:t>
      </w:r>
    </w:p>
    <w:p>
      <w:pPr>
        <w:spacing w:line="360" w:lineRule="auto"/>
        <w:ind w:firstLine="420" w:firstLineChars="200"/>
        <w:rPr>
          <w:rFonts w:ascii="宋体" w:hAnsi="宋体" w:cs="宋体"/>
          <w:szCs w:val="21"/>
        </w:rPr>
      </w:pPr>
      <w:r>
        <w:rPr>
          <w:rFonts w:hint="eastAsia" w:ascii="宋体" w:hAnsi="宋体" w:cs="宋体"/>
          <w:szCs w:val="21"/>
        </w:rPr>
        <w:t>（十）捏造事实，进行虚假质疑及投诉的；</w:t>
      </w:r>
    </w:p>
    <w:p>
      <w:pPr>
        <w:widowControl/>
        <w:tabs>
          <w:tab w:val="left" w:pos="720"/>
        </w:tabs>
        <w:spacing w:line="360" w:lineRule="auto"/>
        <w:ind w:firstLine="420" w:firstLineChars="200"/>
        <w:jc w:val="left"/>
        <w:rPr>
          <w:color w:val="000000"/>
          <w:szCs w:val="21"/>
        </w:rPr>
        <w:sectPr>
          <w:footerReference r:id="rId9" w:type="default"/>
          <w:pgSz w:w="11906" w:h="16838"/>
          <w:pgMar w:top="1191" w:right="1361" w:bottom="1191" w:left="1191" w:header="567" w:footer="794" w:gutter="0"/>
          <w:cols w:space="720" w:num="1"/>
          <w:docGrid w:linePitch="285" w:charSpace="0"/>
        </w:sectPr>
      </w:pPr>
      <w:bookmarkStart w:id="255" w:name="_Toc7418"/>
      <w:r>
        <w:rPr>
          <w:rFonts w:hint="eastAsia"/>
          <w:color w:val="000000"/>
          <w:szCs w:val="21"/>
        </w:rPr>
        <w:t>供应商有前款情形之一，属中标无效情形的，中标无效。由采购监管部门处以采购金额千分之五以上千分之十以下的罚款，列入不良行为记录名单，在一至三年内禁止参加采购活动，有违法所得的，并处没收违法所得，情节严重的，由工商行政管理机关吊销营业执照；构成犯罪的，依法追究刑事责任。</w:t>
      </w:r>
      <w:bookmarkEnd w:id="255"/>
    </w:p>
    <w:bookmarkEnd w:id="253"/>
    <w:bookmarkEnd w:id="254"/>
    <w:p>
      <w:pPr>
        <w:pStyle w:val="5"/>
        <w:spacing w:line="240" w:lineRule="auto"/>
      </w:pPr>
      <w:bookmarkStart w:id="256" w:name="_Toc9325"/>
      <w:bookmarkStart w:id="257" w:name="_Toc7054"/>
      <w:bookmarkStart w:id="258" w:name="_Toc12166"/>
      <w:bookmarkStart w:id="259" w:name="_Toc334795480"/>
      <w:r>
        <w:rPr>
          <w:rFonts w:hint="eastAsia"/>
        </w:rPr>
        <w:t>附表一                 资格审查表</w:t>
      </w:r>
      <w:bookmarkEnd w:id="256"/>
      <w:bookmarkEnd w:id="257"/>
      <w:bookmarkEnd w:id="258"/>
    </w:p>
    <w:tbl>
      <w:tblPr>
        <w:tblStyle w:val="39"/>
        <w:tblW w:w="9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3"/>
        <w:gridCol w:w="1268"/>
        <w:gridCol w:w="1145"/>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923" w:type="dxa"/>
            <w:vMerge w:val="restart"/>
            <w:vAlign w:val="center"/>
          </w:tcPr>
          <w:p>
            <w:pPr>
              <w:spacing w:line="360" w:lineRule="auto"/>
              <w:jc w:val="center"/>
              <w:rPr>
                <w:rFonts w:ascii="宋体" w:hAnsi="宋体" w:cs="宋体"/>
                <w:color w:val="000000"/>
                <w:szCs w:val="21"/>
              </w:rPr>
            </w:pPr>
            <w:r>
              <w:rPr>
                <w:rFonts w:hint="eastAsia" w:ascii="宋体" w:hAnsi="宋体" w:cs="宋体"/>
                <w:color w:val="000000"/>
                <w:szCs w:val="21"/>
              </w:rPr>
              <w:t>评审内容</w:t>
            </w:r>
          </w:p>
        </w:tc>
        <w:tc>
          <w:tcPr>
            <w:tcW w:w="3608" w:type="dxa"/>
            <w:gridSpan w:val="3"/>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5923" w:type="dxa"/>
            <w:vMerge w:val="continue"/>
            <w:vAlign w:val="center"/>
          </w:tcPr>
          <w:p>
            <w:pPr>
              <w:spacing w:line="360" w:lineRule="auto"/>
              <w:rPr>
                <w:rFonts w:ascii="宋体" w:hAnsi="宋体" w:cs="宋体"/>
                <w:color w:val="000000"/>
                <w:szCs w:val="21"/>
              </w:rPr>
            </w:pPr>
          </w:p>
        </w:tc>
        <w:tc>
          <w:tcPr>
            <w:tcW w:w="1268"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投标人A</w:t>
            </w:r>
          </w:p>
        </w:tc>
        <w:tc>
          <w:tcPr>
            <w:tcW w:w="1145"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投标人B</w:t>
            </w:r>
          </w:p>
        </w:tc>
        <w:tc>
          <w:tcPr>
            <w:tcW w:w="1195"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投标人C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5923" w:type="dxa"/>
            <w:vAlign w:val="center"/>
          </w:tcPr>
          <w:p>
            <w:pPr>
              <w:spacing w:line="360" w:lineRule="auto"/>
              <w:rPr>
                <w:rFonts w:ascii="宋体" w:hAnsi="宋体" w:cs="宋体"/>
                <w:szCs w:val="21"/>
              </w:rPr>
            </w:pPr>
            <w:r>
              <w:rPr>
                <w:rFonts w:hint="eastAsia" w:ascii="宋体" w:hAnsi="宋体" w:cs="宋体"/>
                <w:szCs w:val="21"/>
              </w:rPr>
              <w:t>1.供应商符合资格条件要求并提供相关证明材料。</w:t>
            </w:r>
          </w:p>
        </w:tc>
        <w:tc>
          <w:tcPr>
            <w:tcW w:w="1268" w:type="dxa"/>
            <w:vAlign w:val="center"/>
          </w:tcPr>
          <w:p>
            <w:pPr>
              <w:spacing w:line="360" w:lineRule="auto"/>
              <w:rPr>
                <w:rFonts w:ascii="宋体" w:hAnsi="宋体" w:cs="宋体"/>
                <w:szCs w:val="21"/>
              </w:rPr>
            </w:pPr>
          </w:p>
        </w:tc>
        <w:tc>
          <w:tcPr>
            <w:tcW w:w="1145" w:type="dxa"/>
            <w:vAlign w:val="center"/>
          </w:tcPr>
          <w:p>
            <w:pPr>
              <w:spacing w:line="360" w:lineRule="auto"/>
              <w:rPr>
                <w:rFonts w:ascii="宋体" w:hAnsi="宋体" w:cs="宋体"/>
                <w:szCs w:val="21"/>
              </w:rPr>
            </w:pPr>
          </w:p>
        </w:tc>
        <w:tc>
          <w:tcPr>
            <w:tcW w:w="1195"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923" w:type="dxa"/>
            <w:vAlign w:val="center"/>
          </w:tcPr>
          <w:p>
            <w:pPr>
              <w:spacing w:line="360" w:lineRule="auto"/>
              <w:rPr>
                <w:rFonts w:ascii="宋体" w:hAnsi="宋体" w:cs="宋体"/>
                <w:szCs w:val="21"/>
              </w:rPr>
            </w:pPr>
            <w:r>
              <w:rPr>
                <w:rFonts w:ascii="宋体" w:hAnsi="宋体" w:cs="宋体"/>
                <w:szCs w:val="21"/>
              </w:rPr>
              <w:t>2</w:t>
            </w:r>
            <w:r>
              <w:rPr>
                <w:rFonts w:hint="eastAsia" w:ascii="宋体" w:hAnsi="宋体" w:cs="宋体"/>
                <w:szCs w:val="21"/>
              </w:rPr>
              <w:t>.供应商符合本项目的特定资格要求并提供相关材料。</w:t>
            </w:r>
          </w:p>
        </w:tc>
        <w:tc>
          <w:tcPr>
            <w:tcW w:w="1268" w:type="dxa"/>
            <w:vAlign w:val="center"/>
          </w:tcPr>
          <w:p>
            <w:pPr>
              <w:spacing w:line="360" w:lineRule="auto"/>
              <w:rPr>
                <w:rFonts w:ascii="宋体" w:hAnsi="宋体" w:cs="宋体"/>
                <w:szCs w:val="21"/>
              </w:rPr>
            </w:pPr>
          </w:p>
        </w:tc>
        <w:tc>
          <w:tcPr>
            <w:tcW w:w="1145" w:type="dxa"/>
            <w:vAlign w:val="center"/>
          </w:tcPr>
          <w:p>
            <w:pPr>
              <w:spacing w:line="360" w:lineRule="auto"/>
              <w:rPr>
                <w:rFonts w:ascii="宋体" w:hAnsi="宋体" w:cs="宋体"/>
                <w:szCs w:val="21"/>
              </w:rPr>
            </w:pPr>
          </w:p>
        </w:tc>
        <w:tc>
          <w:tcPr>
            <w:tcW w:w="1195"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5923" w:type="dxa"/>
            <w:vAlign w:val="center"/>
          </w:tcPr>
          <w:p>
            <w:pPr>
              <w:spacing w:line="360" w:lineRule="auto"/>
              <w:jc w:val="center"/>
              <w:rPr>
                <w:rFonts w:ascii="宋体" w:hAnsi="宋体" w:cs="宋体"/>
                <w:szCs w:val="21"/>
              </w:rPr>
            </w:pPr>
            <w:r>
              <w:rPr>
                <w:rFonts w:hint="eastAsia" w:ascii="宋体" w:hAnsi="宋体" w:cs="宋体"/>
                <w:szCs w:val="21"/>
              </w:rPr>
              <w:t>结论</w:t>
            </w:r>
          </w:p>
        </w:tc>
        <w:tc>
          <w:tcPr>
            <w:tcW w:w="1268" w:type="dxa"/>
            <w:vAlign w:val="center"/>
          </w:tcPr>
          <w:p>
            <w:pPr>
              <w:spacing w:line="360" w:lineRule="auto"/>
              <w:rPr>
                <w:rFonts w:ascii="宋体" w:hAnsi="宋体" w:cs="宋体"/>
                <w:szCs w:val="21"/>
              </w:rPr>
            </w:pPr>
          </w:p>
        </w:tc>
        <w:tc>
          <w:tcPr>
            <w:tcW w:w="1145" w:type="dxa"/>
            <w:vAlign w:val="center"/>
          </w:tcPr>
          <w:p>
            <w:pPr>
              <w:spacing w:line="360" w:lineRule="auto"/>
              <w:rPr>
                <w:rFonts w:ascii="宋体" w:hAnsi="宋体" w:cs="宋体"/>
                <w:szCs w:val="21"/>
              </w:rPr>
            </w:pPr>
          </w:p>
        </w:tc>
        <w:tc>
          <w:tcPr>
            <w:tcW w:w="1195" w:type="dxa"/>
            <w:vAlign w:val="center"/>
          </w:tcPr>
          <w:p>
            <w:pPr>
              <w:spacing w:line="360" w:lineRule="auto"/>
              <w:rPr>
                <w:rFonts w:ascii="宋体" w:hAnsi="宋体" w:cs="宋体"/>
                <w:szCs w:val="21"/>
              </w:rPr>
            </w:pPr>
          </w:p>
        </w:tc>
      </w:tr>
    </w:tbl>
    <w:p/>
    <w:p>
      <w:pPr>
        <w:sectPr>
          <w:headerReference r:id="rId10" w:type="default"/>
          <w:footerReference r:id="rId11" w:type="default"/>
          <w:type w:val="continuous"/>
          <w:pgSz w:w="11905" w:h="16838"/>
          <w:pgMar w:top="1191" w:right="1361" w:bottom="1191" w:left="1191" w:header="794" w:footer="794" w:gutter="0"/>
          <w:cols w:space="720" w:num="1"/>
          <w:docGrid w:linePitch="285" w:charSpace="0"/>
        </w:sectPr>
      </w:pPr>
    </w:p>
    <w:p>
      <w:pPr>
        <w:spacing w:line="360" w:lineRule="auto"/>
        <w:rPr>
          <w:rFonts w:ascii="宋体" w:hAnsi="宋体" w:cs="宋体"/>
          <w:color w:val="000000"/>
        </w:rPr>
      </w:pPr>
      <w:bookmarkStart w:id="260" w:name="_Toc32221"/>
      <w:bookmarkStart w:id="261" w:name="_Toc14687"/>
      <w:bookmarkStart w:id="262" w:name="_Toc1811"/>
      <w:r>
        <w:rPr>
          <w:rFonts w:hint="eastAsia" w:ascii="宋体" w:hAnsi="宋体" w:cs="宋体"/>
          <w:color w:val="000000"/>
        </w:rPr>
        <w:t>注：1、投标人分栏中填写“○”表示该项符合招标文件要求，“×”表示该项不符合招标文件要求；</w:t>
      </w:r>
    </w:p>
    <w:p>
      <w:pPr>
        <w:spacing w:line="360" w:lineRule="auto"/>
        <w:rPr>
          <w:rFonts w:ascii="宋体" w:hAnsi="宋体" w:cs="宋体"/>
          <w:color w:val="000000"/>
        </w:rPr>
      </w:pPr>
      <w:r>
        <w:rPr>
          <w:rFonts w:hint="eastAsia" w:ascii="宋体" w:hAnsi="宋体" w:cs="宋体"/>
          <w:color w:val="000000"/>
        </w:rPr>
        <w:t>2、结论栏中填写“通过”表示该投标人投标文件符合招标文件要求，“不通过”表示该投标人投标文件不符合文件要求；</w:t>
      </w:r>
    </w:p>
    <w:p>
      <w:pPr>
        <w:spacing w:line="360" w:lineRule="auto"/>
        <w:rPr>
          <w:rFonts w:ascii="宋体" w:hAnsi="宋体" w:cs="宋体"/>
          <w:color w:val="000000"/>
        </w:rPr>
      </w:pPr>
      <w:r>
        <w:rPr>
          <w:rFonts w:hint="eastAsia" w:ascii="宋体" w:hAnsi="宋体" w:cs="宋体"/>
          <w:color w:val="000000"/>
        </w:rPr>
        <w:t>3、结论汇总意见采取少数服从多数原则，即超过半数评标委员会成员的结论为“通过”则该投标人通过资格审查及符合性检查，否则不通过。</w:t>
      </w:r>
    </w:p>
    <w:p>
      <w:pPr>
        <w:spacing w:line="360" w:lineRule="auto"/>
        <w:rPr>
          <w:rFonts w:ascii="宋体" w:hAnsi="宋体" w:cs="宋体"/>
          <w:color w:val="000000"/>
        </w:rPr>
      </w:pPr>
      <w:r>
        <w:rPr>
          <w:rFonts w:hint="eastAsia" w:ascii="宋体" w:hAnsi="宋体" w:cs="宋体"/>
          <w:color w:val="000000"/>
        </w:rPr>
        <w:t>4、无效报价的其他情形</w:t>
      </w:r>
    </w:p>
    <w:p>
      <w:pPr>
        <w:spacing w:line="360" w:lineRule="auto"/>
        <w:rPr>
          <w:rFonts w:ascii="宋体" w:hAnsi="宋体" w:cs="宋体"/>
          <w:color w:val="000000"/>
        </w:rPr>
      </w:pPr>
      <w:r>
        <w:rPr>
          <w:rFonts w:hint="eastAsia" w:ascii="宋体" w:hAnsi="宋体" w:cs="宋体"/>
          <w:color w:val="000000"/>
        </w:rPr>
        <w:t>（1）经评标委员会认定投标文件提供虚假材料的；</w:t>
      </w:r>
    </w:p>
    <w:p>
      <w:pPr>
        <w:spacing w:line="360" w:lineRule="auto"/>
        <w:rPr>
          <w:rFonts w:ascii="宋体" w:hAnsi="宋体" w:cs="宋体"/>
          <w:color w:val="000000"/>
        </w:rPr>
      </w:pPr>
      <w:r>
        <w:rPr>
          <w:rFonts w:hint="eastAsia" w:ascii="宋体" w:hAnsi="宋体" w:cs="宋体"/>
          <w:color w:val="000000"/>
        </w:rPr>
        <w:t>（3）投标人以他人的名义投标、串通投标、以行贿手段谋取成交或者以其他弄虚作假方式投标的；</w:t>
      </w:r>
    </w:p>
    <w:p>
      <w:pPr>
        <w:spacing w:line="360" w:lineRule="auto"/>
        <w:rPr>
          <w:rFonts w:ascii="宋体" w:hAnsi="宋体" w:cs="宋体"/>
          <w:color w:val="000000"/>
        </w:rPr>
      </w:pPr>
      <w:r>
        <w:rPr>
          <w:rFonts w:hint="eastAsia" w:ascii="宋体" w:hAnsi="宋体" w:cs="宋体"/>
          <w:color w:val="000000"/>
        </w:rPr>
        <w:t>（4）投标人对采购人、采购代理机构、评标委员会及其工作人员施加影响，有碍采购公平、公正的；</w:t>
      </w:r>
    </w:p>
    <w:p>
      <w:pPr>
        <w:spacing w:line="360" w:lineRule="auto"/>
        <w:rPr>
          <w:rFonts w:ascii="宋体" w:hAnsi="宋体" w:cs="宋体"/>
          <w:color w:val="000000"/>
        </w:rPr>
      </w:pPr>
      <w:r>
        <w:rPr>
          <w:rFonts w:hint="eastAsia" w:ascii="宋体" w:hAnsi="宋体" w:cs="宋体"/>
          <w:color w:val="000000"/>
        </w:rPr>
        <w:t>（5）投标文件附有采购人不能接受的条件；</w:t>
      </w:r>
    </w:p>
    <w:p>
      <w:pPr>
        <w:spacing w:line="360" w:lineRule="auto"/>
        <w:rPr>
          <w:rFonts w:ascii="宋体" w:hAnsi="宋体" w:cs="宋体"/>
          <w:color w:val="000000"/>
        </w:rPr>
      </w:pPr>
      <w:r>
        <w:rPr>
          <w:rFonts w:hint="eastAsia" w:ascii="宋体" w:hAnsi="宋体" w:cs="宋体"/>
          <w:color w:val="000000"/>
        </w:rPr>
        <w:t>（6）出现不符合相关法律、法规要求的情况的。</w:t>
      </w:r>
    </w:p>
    <w:p>
      <w:pPr>
        <w:widowControl/>
        <w:jc w:val="left"/>
      </w:pPr>
      <w:r>
        <w:br w:type="page"/>
      </w:r>
    </w:p>
    <w:p>
      <w:pPr>
        <w:pStyle w:val="5"/>
        <w:spacing w:line="240" w:lineRule="auto"/>
      </w:pPr>
      <w:r>
        <w:rPr>
          <w:rFonts w:hint="eastAsia"/>
        </w:rPr>
        <w:t>附表二                 符合性审查表</w:t>
      </w:r>
      <w:bookmarkEnd w:id="259"/>
      <w:bookmarkEnd w:id="260"/>
      <w:bookmarkEnd w:id="261"/>
      <w:bookmarkEnd w:id="262"/>
    </w:p>
    <w:tbl>
      <w:tblPr>
        <w:tblStyle w:val="39"/>
        <w:tblW w:w="9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3"/>
        <w:gridCol w:w="1418"/>
        <w:gridCol w:w="1336"/>
        <w:gridCol w:w="1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73" w:type="dxa"/>
            <w:vMerge w:val="restart"/>
            <w:vAlign w:val="center"/>
          </w:tcPr>
          <w:p>
            <w:pPr>
              <w:jc w:val="center"/>
              <w:rPr>
                <w:rFonts w:ascii="宋体" w:hAnsi="宋体"/>
                <w:color w:val="000000"/>
                <w:szCs w:val="21"/>
              </w:rPr>
            </w:pPr>
            <w:r>
              <w:rPr>
                <w:rFonts w:hint="eastAsia" w:ascii="宋体" w:hAnsi="宋体"/>
                <w:color w:val="000000"/>
                <w:szCs w:val="21"/>
              </w:rPr>
              <w:t>评审内容</w:t>
            </w:r>
          </w:p>
        </w:tc>
        <w:tc>
          <w:tcPr>
            <w:tcW w:w="4058" w:type="dxa"/>
            <w:gridSpan w:val="3"/>
            <w:vAlign w:val="center"/>
          </w:tcPr>
          <w:p>
            <w:pPr>
              <w:jc w:val="center"/>
              <w:rPr>
                <w:rFonts w:ascii="宋体" w:hAnsi="宋体"/>
                <w:color w:val="000000"/>
                <w:szCs w:val="21"/>
              </w:rPr>
            </w:pPr>
            <w:r>
              <w:rPr>
                <w:rFonts w:hint="eastAsia" w:ascii="宋体" w:hAnsi="宋体"/>
                <w:color w:val="000000"/>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473" w:type="dxa"/>
            <w:vMerge w:val="continue"/>
            <w:vAlign w:val="center"/>
          </w:tcPr>
          <w:p>
            <w:pPr>
              <w:rPr>
                <w:rFonts w:ascii="宋体" w:hAnsi="宋体"/>
                <w:color w:val="000000"/>
                <w:szCs w:val="21"/>
              </w:rPr>
            </w:pPr>
          </w:p>
        </w:tc>
        <w:tc>
          <w:tcPr>
            <w:tcW w:w="1418" w:type="dxa"/>
            <w:vAlign w:val="center"/>
          </w:tcPr>
          <w:p>
            <w:pPr>
              <w:jc w:val="center"/>
              <w:rPr>
                <w:rFonts w:ascii="宋体" w:hAnsi="宋体" w:cs="宋体"/>
                <w:color w:val="000000"/>
                <w:szCs w:val="21"/>
              </w:rPr>
            </w:pPr>
            <w:r>
              <w:rPr>
                <w:rFonts w:hint="eastAsia" w:ascii="宋体" w:hAnsi="宋体" w:cs="宋体"/>
                <w:color w:val="000000"/>
                <w:szCs w:val="21"/>
              </w:rPr>
              <w:t>投标人</w:t>
            </w:r>
            <w:r>
              <w:rPr>
                <w:rFonts w:ascii="宋体" w:hAnsi="宋体" w:cs="宋体"/>
                <w:color w:val="000000"/>
                <w:szCs w:val="21"/>
              </w:rPr>
              <w:t>A</w:t>
            </w:r>
          </w:p>
        </w:tc>
        <w:tc>
          <w:tcPr>
            <w:tcW w:w="1336" w:type="dxa"/>
            <w:vAlign w:val="center"/>
          </w:tcPr>
          <w:p>
            <w:pPr>
              <w:jc w:val="center"/>
              <w:rPr>
                <w:rFonts w:ascii="宋体" w:hAnsi="宋体" w:cs="宋体"/>
                <w:color w:val="000000"/>
                <w:szCs w:val="21"/>
              </w:rPr>
            </w:pPr>
            <w:r>
              <w:rPr>
                <w:rFonts w:hint="eastAsia" w:ascii="宋体" w:hAnsi="宋体" w:cs="宋体"/>
                <w:color w:val="000000"/>
                <w:szCs w:val="21"/>
              </w:rPr>
              <w:t>投标人</w:t>
            </w:r>
            <w:r>
              <w:rPr>
                <w:rFonts w:ascii="宋体" w:hAnsi="宋体" w:cs="宋体"/>
                <w:color w:val="000000"/>
                <w:szCs w:val="21"/>
              </w:rPr>
              <w:t>B</w:t>
            </w:r>
          </w:p>
        </w:tc>
        <w:tc>
          <w:tcPr>
            <w:tcW w:w="1304" w:type="dxa"/>
            <w:vAlign w:val="center"/>
          </w:tcPr>
          <w:p>
            <w:pPr>
              <w:jc w:val="center"/>
              <w:rPr>
                <w:rFonts w:ascii="宋体" w:hAnsi="宋体" w:cs="宋体"/>
                <w:color w:val="000000"/>
                <w:szCs w:val="21"/>
              </w:rPr>
            </w:pPr>
            <w:r>
              <w:rPr>
                <w:rFonts w:hint="eastAsia" w:ascii="宋体" w:hAnsi="宋体" w:cs="宋体"/>
                <w:color w:val="000000"/>
                <w:szCs w:val="21"/>
              </w:rPr>
              <w:t>投标人</w:t>
            </w:r>
            <w:r>
              <w:rPr>
                <w:rFonts w:ascii="宋体" w:hAnsi="宋体" w:cs="宋体"/>
                <w:color w:val="000000"/>
                <w:szCs w:val="21"/>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5473" w:type="dxa"/>
            <w:vAlign w:val="center"/>
          </w:tcPr>
          <w:p>
            <w:pPr>
              <w:rPr>
                <w:rFonts w:ascii="宋体" w:hAnsi="宋体"/>
                <w:color w:val="000000"/>
                <w:szCs w:val="21"/>
              </w:rPr>
            </w:pPr>
            <w:r>
              <w:rPr>
                <w:rFonts w:hint="eastAsia" w:ascii="宋体" w:hAnsi="宋体"/>
                <w:color w:val="000000"/>
                <w:szCs w:val="21"/>
              </w:rPr>
              <w:t>投标报价唯一，不高于采购人需求规定的最高限价</w:t>
            </w:r>
          </w:p>
        </w:tc>
        <w:tc>
          <w:tcPr>
            <w:tcW w:w="1418" w:type="dxa"/>
            <w:vAlign w:val="center"/>
          </w:tcPr>
          <w:p>
            <w:pPr>
              <w:rPr>
                <w:rFonts w:ascii="宋体" w:hAnsi="宋体"/>
                <w:color w:val="000000"/>
                <w:szCs w:val="21"/>
              </w:rPr>
            </w:pPr>
          </w:p>
        </w:tc>
        <w:tc>
          <w:tcPr>
            <w:tcW w:w="1336" w:type="dxa"/>
            <w:vAlign w:val="center"/>
          </w:tcPr>
          <w:p>
            <w:pPr>
              <w:rPr>
                <w:rFonts w:ascii="宋体" w:hAnsi="宋体"/>
                <w:color w:val="000000"/>
                <w:szCs w:val="21"/>
              </w:rPr>
            </w:pPr>
          </w:p>
        </w:tc>
        <w:tc>
          <w:tcPr>
            <w:tcW w:w="1304" w:type="dxa"/>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5473" w:type="dxa"/>
            <w:vAlign w:val="center"/>
          </w:tcPr>
          <w:p>
            <w:pPr>
              <w:rPr>
                <w:rFonts w:ascii="宋体" w:hAnsi="宋体"/>
                <w:color w:val="000000"/>
                <w:szCs w:val="21"/>
              </w:rPr>
            </w:pPr>
            <w:r>
              <w:rPr>
                <w:rFonts w:hint="eastAsia" w:ascii="宋体" w:hAnsi="宋体"/>
                <w:color w:val="000000"/>
                <w:szCs w:val="21"/>
              </w:rPr>
              <w:t>符合招标文件的签署、盖章要求</w:t>
            </w:r>
          </w:p>
        </w:tc>
        <w:tc>
          <w:tcPr>
            <w:tcW w:w="1418" w:type="dxa"/>
            <w:vAlign w:val="center"/>
          </w:tcPr>
          <w:p>
            <w:pPr>
              <w:rPr>
                <w:rFonts w:ascii="宋体" w:hAnsi="宋体"/>
                <w:color w:val="000000"/>
                <w:szCs w:val="21"/>
              </w:rPr>
            </w:pPr>
          </w:p>
        </w:tc>
        <w:tc>
          <w:tcPr>
            <w:tcW w:w="1336" w:type="dxa"/>
            <w:vAlign w:val="center"/>
          </w:tcPr>
          <w:p>
            <w:pPr>
              <w:rPr>
                <w:rFonts w:ascii="宋体" w:hAnsi="宋体"/>
                <w:color w:val="000000"/>
                <w:szCs w:val="21"/>
              </w:rPr>
            </w:pPr>
          </w:p>
        </w:tc>
        <w:tc>
          <w:tcPr>
            <w:tcW w:w="1304" w:type="dxa"/>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5473" w:type="dxa"/>
            <w:vAlign w:val="center"/>
          </w:tcPr>
          <w:p>
            <w:pPr>
              <w:rPr>
                <w:rFonts w:ascii="宋体" w:hAnsi="宋体"/>
                <w:color w:val="000000"/>
                <w:szCs w:val="21"/>
              </w:rPr>
            </w:pPr>
            <w:r>
              <w:rPr>
                <w:rFonts w:hint="eastAsia" w:ascii="宋体" w:hAnsi="宋体"/>
                <w:color w:val="000000"/>
                <w:szCs w:val="21"/>
              </w:rPr>
              <w:t>按招标文件要求提供法定代表人（负责人）</w:t>
            </w:r>
            <w:r>
              <w:rPr>
                <w:rFonts w:ascii="宋体" w:hAnsi="宋体"/>
                <w:color w:val="000000"/>
                <w:szCs w:val="21"/>
              </w:rPr>
              <w:t>证明</w:t>
            </w:r>
            <w:r>
              <w:rPr>
                <w:rFonts w:hint="eastAsia" w:ascii="宋体" w:hAnsi="宋体"/>
                <w:color w:val="000000"/>
                <w:szCs w:val="21"/>
              </w:rPr>
              <w:t>及授</w:t>
            </w:r>
            <w:r>
              <w:rPr>
                <w:rFonts w:ascii="宋体" w:hAnsi="宋体"/>
                <w:color w:val="000000"/>
                <w:szCs w:val="21"/>
              </w:rPr>
              <w:t>权书</w:t>
            </w:r>
            <w:r>
              <w:rPr>
                <w:rFonts w:hint="eastAsia" w:ascii="宋体" w:hAnsi="宋体"/>
                <w:color w:val="000000"/>
                <w:szCs w:val="21"/>
              </w:rPr>
              <w:t>的</w:t>
            </w:r>
          </w:p>
        </w:tc>
        <w:tc>
          <w:tcPr>
            <w:tcW w:w="1418" w:type="dxa"/>
            <w:vAlign w:val="center"/>
          </w:tcPr>
          <w:p>
            <w:pPr>
              <w:rPr>
                <w:rFonts w:ascii="宋体" w:hAnsi="宋体"/>
                <w:color w:val="000000"/>
                <w:szCs w:val="21"/>
              </w:rPr>
            </w:pPr>
          </w:p>
        </w:tc>
        <w:tc>
          <w:tcPr>
            <w:tcW w:w="1336" w:type="dxa"/>
            <w:vAlign w:val="center"/>
          </w:tcPr>
          <w:p>
            <w:pPr>
              <w:rPr>
                <w:rFonts w:ascii="宋体" w:hAnsi="宋体"/>
                <w:color w:val="000000"/>
                <w:szCs w:val="21"/>
              </w:rPr>
            </w:pPr>
          </w:p>
        </w:tc>
        <w:tc>
          <w:tcPr>
            <w:tcW w:w="1304" w:type="dxa"/>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5473" w:type="dxa"/>
            <w:vAlign w:val="center"/>
          </w:tcPr>
          <w:p>
            <w:pPr>
              <w:rPr>
                <w:rFonts w:ascii="宋体" w:hAnsi="宋体"/>
                <w:color w:val="000000"/>
                <w:szCs w:val="21"/>
              </w:rPr>
            </w:pPr>
            <w:r>
              <w:rPr>
                <w:rFonts w:hint="eastAsia" w:ascii="宋体" w:hAnsi="宋体"/>
                <w:color w:val="000000"/>
                <w:szCs w:val="21"/>
              </w:rPr>
              <w:t>符合招标文件投标有效期要求的</w:t>
            </w:r>
          </w:p>
        </w:tc>
        <w:tc>
          <w:tcPr>
            <w:tcW w:w="1418" w:type="dxa"/>
            <w:vAlign w:val="center"/>
          </w:tcPr>
          <w:p>
            <w:pPr>
              <w:rPr>
                <w:rFonts w:ascii="宋体" w:hAnsi="宋体"/>
                <w:color w:val="000000"/>
                <w:szCs w:val="21"/>
              </w:rPr>
            </w:pPr>
          </w:p>
        </w:tc>
        <w:tc>
          <w:tcPr>
            <w:tcW w:w="1336" w:type="dxa"/>
            <w:vAlign w:val="center"/>
          </w:tcPr>
          <w:p>
            <w:pPr>
              <w:rPr>
                <w:rFonts w:ascii="宋体" w:hAnsi="宋体"/>
                <w:color w:val="000000"/>
                <w:szCs w:val="21"/>
              </w:rPr>
            </w:pPr>
          </w:p>
        </w:tc>
        <w:tc>
          <w:tcPr>
            <w:tcW w:w="1304" w:type="dxa"/>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5473" w:type="dxa"/>
            <w:vAlign w:val="center"/>
          </w:tcPr>
          <w:p>
            <w:pPr>
              <w:rPr>
                <w:rFonts w:ascii="宋体" w:hAnsi="宋体"/>
                <w:color w:val="000000"/>
                <w:szCs w:val="21"/>
              </w:rPr>
            </w:pPr>
            <w:r>
              <w:rPr>
                <w:rFonts w:hint="eastAsia" w:ascii="宋体" w:hAnsi="宋体"/>
                <w:color w:val="000000"/>
                <w:szCs w:val="21"/>
              </w:rPr>
              <w:t>满足招标文件中带★号的条款和指标</w:t>
            </w:r>
          </w:p>
        </w:tc>
        <w:tc>
          <w:tcPr>
            <w:tcW w:w="1418" w:type="dxa"/>
            <w:vAlign w:val="center"/>
          </w:tcPr>
          <w:p>
            <w:pPr>
              <w:rPr>
                <w:rFonts w:ascii="宋体" w:hAnsi="宋体"/>
                <w:color w:val="000000"/>
                <w:szCs w:val="21"/>
              </w:rPr>
            </w:pPr>
          </w:p>
        </w:tc>
        <w:tc>
          <w:tcPr>
            <w:tcW w:w="1336" w:type="dxa"/>
            <w:vAlign w:val="center"/>
          </w:tcPr>
          <w:p>
            <w:pPr>
              <w:rPr>
                <w:rFonts w:ascii="宋体" w:hAnsi="宋体"/>
                <w:color w:val="000000"/>
                <w:szCs w:val="21"/>
              </w:rPr>
            </w:pPr>
          </w:p>
        </w:tc>
        <w:tc>
          <w:tcPr>
            <w:tcW w:w="1304" w:type="dxa"/>
            <w:vAlign w:val="center"/>
          </w:tcPr>
          <w:p>
            <w:pP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5473" w:type="dxa"/>
            <w:vAlign w:val="center"/>
          </w:tcPr>
          <w:p>
            <w:pPr>
              <w:rPr>
                <w:rFonts w:ascii="宋体" w:hAnsi="宋体"/>
                <w:szCs w:val="21"/>
              </w:rPr>
            </w:pPr>
            <w:r>
              <w:rPr>
                <w:rFonts w:hint="eastAsia" w:ascii="宋体" w:hAnsi="宋体"/>
                <w:szCs w:val="21"/>
              </w:rPr>
              <w:t>未发现无效投标的其他情形的（见注1）</w:t>
            </w:r>
          </w:p>
        </w:tc>
        <w:tc>
          <w:tcPr>
            <w:tcW w:w="1418" w:type="dxa"/>
            <w:vAlign w:val="center"/>
          </w:tcPr>
          <w:p>
            <w:pPr>
              <w:rPr>
                <w:rFonts w:ascii="宋体" w:hAnsi="宋体"/>
                <w:szCs w:val="21"/>
              </w:rPr>
            </w:pPr>
          </w:p>
        </w:tc>
        <w:tc>
          <w:tcPr>
            <w:tcW w:w="1336" w:type="dxa"/>
            <w:vAlign w:val="center"/>
          </w:tcPr>
          <w:p>
            <w:pPr>
              <w:rPr>
                <w:rFonts w:ascii="宋体" w:hAnsi="宋体"/>
                <w:szCs w:val="21"/>
              </w:rPr>
            </w:pPr>
          </w:p>
        </w:tc>
        <w:tc>
          <w:tcPr>
            <w:tcW w:w="1304" w:type="dxa"/>
            <w:vAlign w:val="center"/>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5473" w:type="dxa"/>
            <w:vAlign w:val="center"/>
          </w:tcPr>
          <w:p>
            <w:pPr>
              <w:jc w:val="center"/>
              <w:rPr>
                <w:rFonts w:ascii="宋体" w:hAnsi="宋体"/>
                <w:color w:val="000000"/>
                <w:szCs w:val="21"/>
              </w:rPr>
            </w:pPr>
            <w:r>
              <w:rPr>
                <w:rFonts w:hint="eastAsia" w:ascii="宋体" w:hAnsi="宋体"/>
                <w:color w:val="000000"/>
                <w:szCs w:val="21"/>
              </w:rPr>
              <w:t>结论</w:t>
            </w:r>
          </w:p>
        </w:tc>
        <w:tc>
          <w:tcPr>
            <w:tcW w:w="1418" w:type="dxa"/>
            <w:vAlign w:val="center"/>
          </w:tcPr>
          <w:p>
            <w:pPr>
              <w:rPr>
                <w:rFonts w:ascii="宋体" w:hAnsi="宋体"/>
                <w:color w:val="000000"/>
                <w:szCs w:val="21"/>
              </w:rPr>
            </w:pPr>
          </w:p>
        </w:tc>
        <w:tc>
          <w:tcPr>
            <w:tcW w:w="1336" w:type="dxa"/>
            <w:vAlign w:val="center"/>
          </w:tcPr>
          <w:p>
            <w:pPr>
              <w:rPr>
                <w:rFonts w:ascii="宋体" w:hAnsi="宋体"/>
                <w:color w:val="000000"/>
                <w:szCs w:val="21"/>
              </w:rPr>
            </w:pPr>
          </w:p>
        </w:tc>
        <w:tc>
          <w:tcPr>
            <w:tcW w:w="1304" w:type="dxa"/>
            <w:vAlign w:val="center"/>
          </w:tcPr>
          <w:p>
            <w:pPr>
              <w:rPr>
                <w:rFonts w:ascii="宋体" w:hAnsi="宋体"/>
                <w:color w:val="000000"/>
                <w:szCs w:val="21"/>
              </w:rPr>
            </w:pPr>
          </w:p>
        </w:tc>
      </w:tr>
    </w:tbl>
    <w:p/>
    <w:p>
      <w:pPr>
        <w:spacing w:line="360" w:lineRule="auto"/>
        <w:rPr>
          <w:rFonts w:ascii="宋体" w:hAnsi="宋体" w:cs="宋体"/>
          <w:color w:val="000000"/>
          <w:sz w:val="24"/>
        </w:rPr>
      </w:pPr>
      <w:r>
        <w:rPr>
          <w:rFonts w:hint="eastAsia" w:ascii="宋体" w:hAnsi="宋体" w:cs="宋体"/>
          <w:color w:val="000000"/>
        </w:rPr>
        <w:t>注1：无效投标的其他情形</w:t>
      </w:r>
    </w:p>
    <w:p>
      <w:pPr>
        <w:spacing w:line="360" w:lineRule="auto"/>
        <w:rPr>
          <w:rFonts w:ascii="宋体" w:hAnsi="宋体"/>
          <w:color w:val="000000"/>
          <w:szCs w:val="21"/>
        </w:rPr>
      </w:pPr>
      <w:r>
        <w:rPr>
          <w:rFonts w:hint="eastAsia" w:ascii="宋体" w:hAnsi="宋体" w:cs="宋体"/>
          <w:color w:val="000000"/>
          <w:szCs w:val="21"/>
        </w:rPr>
        <w:t>（1）评标期间，投标人没有按评标委员会的要求提交经授权代表签字的澄清、说明、补正或改变了投标文件的实质性</w:t>
      </w:r>
      <w:r>
        <w:rPr>
          <w:rFonts w:hint="eastAsia" w:ascii="宋体" w:hAnsi="宋体"/>
          <w:color w:val="000000"/>
          <w:szCs w:val="21"/>
        </w:rPr>
        <w:t>内容的；</w:t>
      </w:r>
    </w:p>
    <w:p>
      <w:pPr>
        <w:spacing w:line="360" w:lineRule="auto"/>
        <w:rPr>
          <w:rFonts w:ascii="宋体" w:hAnsi="宋体"/>
          <w:color w:val="000000"/>
          <w:szCs w:val="21"/>
        </w:rPr>
      </w:pPr>
      <w:r>
        <w:rPr>
          <w:rFonts w:hint="eastAsia" w:ascii="宋体" w:hAnsi="宋体"/>
          <w:color w:val="000000"/>
          <w:szCs w:val="21"/>
        </w:rPr>
        <w:t>（2）经评标委员会认定投标文件提供虚假材料的；</w:t>
      </w:r>
    </w:p>
    <w:p>
      <w:pPr>
        <w:spacing w:line="360" w:lineRule="auto"/>
        <w:rPr>
          <w:rFonts w:ascii="宋体" w:hAnsi="宋体"/>
          <w:color w:val="000000"/>
          <w:szCs w:val="21"/>
        </w:rPr>
      </w:pPr>
      <w:r>
        <w:rPr>
          <w:rFonts w:hint="eastAsia" w:ascii="宋体" w:hAnsi="宋体"/>
          <w:color w:val="000000"/>
          <w:szCs w:val="21"/>
        </w:rPr>
        <w:t>（3）投标人以他人的名义投标、串通投标、以行贿手段谋取中标或者以其他弄虚作假方式投标的；</w:t>
      </w:r>
    </w:p>
    <w:p>
      <w:pPr>
        <w:spacing w:line="360" w:lineRule="auto"/>
        <w:rPr>
          <w:rFonts w:ascii="宋体" w:hAnsi="宋体"/>
          <w:color w:val="000000"/>
          <w:szCs w:val="21"/>
        </w:rPr>
      </w:pPr>
      <w:r>
        <w:rPr>
          <w:rFonts w:hint="eastAsia" w:ascii="宋体" w:hAnsi="宋体"/>
          <w:color w:val="000000"/>
          <w:szCs w:val="21"/>
        </w:rPr>
        <w:t>（4）投标人对采购人、采购代理机构、评标委员会及其工作人员施加影响，有碍招标公平、公正的；</w:t>
      </w:r>
    </w:p>
    <w:p>
      <w:pPr>
        <w:spacing w:line="360" w:lineRule="auto"/>
        <w:rPr>
          <w:rFonts w:ascii="宋体" w:hAnsi="宋体"/>
          <w:color w:val="000000"/>
          <w:szCs w:val="21"/>
        </w:rPr>
      </w:pPr>
      <w:r>
        <w:rPr>
          <w:rFonts w:hint="eastAsia" w:ascii="宋体" w:hAnsi="宋体"/>
          <w:color w:val="000000"/>
          <w:szCs w:val="21"/>
        </w:rPr>
        <w:t>（5）</w:t>
      </w:r>
      <w:r>
        <w:rPr>
          <w:rFonts w:ascii="宋体" w:hAnsi="宋体"/>
          <w:color w:val="000000"/>
          <w:szCs w:val="21"/>
        </w:rPr>
        <w:t>投标</w:t>
      </w:r>
      <w:r>
        <w:rPr>
          <w:rFonts w:hint="eastAsia" w:ascii="宋体" w:hAnsi="宋体"/>
          <w:color w:val="000000"/>
          <w:szCs w:val="21"/>
        </w:rPr>
        <w:t>文件</w:t>
      </w:r>
      <w:r>
        <w:rPr>
          <w:rFonts w:ascii="宋体" w:hAnsi="宋体"/>
          <w:color w:val="000000"/>
          <w:szCs w:val="21"/>
        </w:rPr>
        <w:t>附有采购人不能接受的条件；</w:t>
      </w:r>
    </w:p>
    <w:p>
      <w:pPr>
        <w:spacing w:line="360" w:lineRule="auto"/>
        <w:rPr>
          <w:rFonts w:ascii="宋体" w:hAnsi="宋体" w:cs="宋体"/>
          <w:color w:val="000000"/>
          <w:szCs w:val="21"/>
        </w:rPr>
      </w:pPr>
      <w:r>
        <w:rPr>
          <w:rFonts w:hint="eastAsia" w:ascii="宋体" w:hAnsi="宋体" w:cs="宋体"/>
          <w:color w:val="000000"/>
          <w:szCs w:val="21"/>
        </w:rPr>
        <w:t>（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360" w:lineRule="auto"/>
        <w:rPr>
          <w:rFonts w:ascii="宋体" w:hAnsi="宋体"/>
          <w:color w:val="000000"/>
          <w:szCs w:val="21"/>
        </w:rPr>
      </w:pPr>
      <w:r>
        <w:rPr>
          <w:rFonts w:hint="eastAsia" w:ascii="宋体" w:hAnsi="宋体"/>
          <w:color w:val="000000"/>
          <w:szCs w:val="21"/>
        </w:rPr>
        <w:t>（7）出现不符合相关法律、法规要求的情况的。</w:t>
      </w:r>
    </w:p>
    <w:p>
      <w:pPr>
        <w:spacing w:line="360" w:lineRule="auto"/>
        <w:rPr>
          <w:rFonts w:ascii="宋体" w:hAnsi="宋体"/>
          <w:bCs/>
          <w:color w:val="000000"/>
          <w:sz w:val="24"/>
        </w:rPr>
      </w:pPr>
    </w:p>
    <w:p>
      <w:pPr>
        <w:spacing w:line="360" w:lineRule="auto"/>
        <w:rPr>
          <w:rFonts w:ascii="宋体" w:hAnsi="宋体"/>
          <w:bCs/>
          <w:color w:val="000000"/>
          <w:sz w:val="24"/>
        </w:rPr>
      </w:pPr>
    </w:p>
    <w:p>
      <w:pPr>
        <w:spacing w:line="480" w:lineRule="auto"/>
        <w:rPr>
          <w:rFonts w:ascii="黑体" w:hAnsi="黑体" w:eastAsia="黑体"/>
          <w:color w:val="000000"/>
          <w:sz w:val="24"/>
        </w:rPr>
      </w:pPr>
    </w:p>
    <w:p>
      <w:pPr>
        <w:pStyle w:val="5"/>
        <w:spacing w:line="240" w:lineRule="auto"/>
        <w:rPr>
          <w:color w:val="000000"/>
        </w:rPr>
      </w:pPr>
      <w:bookmarkStart w:id="263" w:name="_Toc334797766"/>
      <w:bookmarkStart w:id="264" w:name="_Toc2519"/>
      <w:bookmarkStart w:id="265" w:name="_Toc12626"/>
      <w:bookmarkStart w:id="266" w:name="_Toc27952"/>
      <w:r>
        <w:rPr>
          <w:rFonts w:hint="eastAsia"/>
        </w:rPr>
        <w:t>附表</w:t>
      </w:r>
      <w:bookmarkEnd w:id="263"/>
      <w:r>
        <w:rPr>
          <w:rFonts w:hint="eastAsia"/>
        </w:rPr>
        <w:t>三</w:t>
      </w:r>
      <w:bookmarkEnd w:id="264"/>
      <w:bookmarkEnd w:id="265"/>
      <w:bookmarkEnd w:id="266"/>
      <w:r>
        <w:rPr>
          <w:rFonts w:hint="eastAsia"/>
        </w:rPr>
        <w:t xml:space="preserve">                </w:t>
      </w:r>
    </w:p>
    <w:p>
      <w:pPr>
        <w:rPr>
          <w:rFonts w:ascii="宋体" w:hAnsi="宋体" w:cs="宋体"/>
        </w:rPr>
      </w:pPr>
      <w:r>
        <w:rPr>
          <w:rFonts w:hint="eastAsia"/>
        </w:rPr>
        <w:t>评分总值最</w:t>
      </w:r>
      <w:r>
        <w:rPr>
          <w:rFonts w:hint="eastAsia" w:ascii="宋体" w:hAnsi="宋体" w:cs="宋体"/>
        </w:rPr>
        <w:t>高为100分，商务、技术及价格得分分值分配设置如下：</w:t>
      </w:r>
    </w:p>
    <w:p>
      <w:pPr>
        <w:pStyle w:val="2"/>
        <w:spacing w:line="360" w:lineRule="auto"/>
        <w:ind w:firstLine="0" w:firstLineChars="0"/>
      </w:pPr>
    </w:p>
    <w:tbl>
      <w:tblPr>
        <w:tblStyle w:val="39"/>
        <w:tblW w:w="9181" w:type="dxa"/>
        <w:jc w:val="center"/>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44"/>
        <w:gridCol w:w="2059"/>
        <w:gridCol w:w="2006"/>
        <w:gridCol w:w="1936"/>
        <w:gridCol w:w="1936"/>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244" w:type="dxa"/>
            <w:vAlign w:val="center"/>
          </w:tcPr>
          <w:p>
            <w:pPr>
              <w:spacing w:line="360" w:lineRule="auto"/>
              <w:jc w:val="center"/>
              <w:rPr>
                <w:rFonts w:ascii="宋体" w:hAnsi="宋体"/>
                <w:b/>
                <w:szCs w:val="21"/>
              </w:rPr>
            </w:pPr>
            <w:r>
              <w:rPr>
                <w:rFonts w:hint="eastAsia" w:ascii="宋体" w:hAnsi="宋体"/>
                <w:b/>
                <w:szCs w:val="21"/>
              </w:rPr>
              <w:t>评分项目</w:t>
            </w:r>
          </w:p>
        </w:tc>
        <w:tc>
          <w:tcPr>
            <w:tcW w:w="2059" w:type="dxa"/>
            <w:vAlign w:val="center"/>
          </w:tcPr>
          <w:p>
            <w:pPr>
              <w:spacing w:line="360" w:lineRule="auto"/>
              <w:jc w:val="center"/>
              <w:rPr>
                <w:rFonts w:ascii="宋体" w:hAnsi="宋体"/>
                <w:b/>
                <w:szCs w:val="21"/>
              </w:rPr>
            </w:pPr>
            <w:r>
              <w:rPr>
                <w:rFonts w:hint="eastAsia" w:ascii="宋体" w:hAnsi="宋体"/>
                <w:b/>
                <w:szCs w:val="21"/>
              </w:rPr>
              <w:t>商务评审</w:t>
            </w:r>
          </w:p>
        </w:tc>
        <w:tc>
          <w:tcPr>
            <w:tcW w:w="2006" w:type="dxa"/>
            <w:vAlign w:val="center"/>
          </w:tcPr>
          <w:p>
            <w:pPr>
              <w:spacing w:line="360" w:lineRule="auto"/>
              <w:jc w:val="center"/>
              <w:rPr>
                <w:rFonts w:ascii="宋体" w:hAnsi="宋体"/>
                <w:b/>
                <w:szCs w:val="21"/>
              </w:rPr>
            </w:pPr>
            <w:r>
              <w:rPr>
                <w:rFonts w:hint="eastAsia" w:ascii="宋体" w:hAnsi="宋体"/>
                <w:b/>
                <w:szCs w:val="21"/>
              </w:rPr>
              <w:t>技术评审</w:t>
            </w:r>
          </w:p>
        </w:tc>
        <w:tc>
          <w:tcPr>
            <w:tcW w:w="1936" w:type="dxa"/>
            <w:vAlign w:val="center"/>
          </w:tcPr>
          <w:p>
            <w:pPr>
              <w:spacing w:line="360" w:lineRule="auto"/>
              <w:jc w:val="center"/>
              <w:rPr>
                <w:rFonts w:ascii="宋体" w:hAnsi="宋体"/>
                <w:b/>
                <w:szCs w:val="21"/>
              </w:rPr>
            </w:pPr>
            <w:r>
              <w:rPr>
                <w:rFonts w:hint="eastAsia" w:ascii="宋体" w:hAnsi="宋体"/>
                <w:b/>
                <w:szCs w:val="21"/>
              </w:rPr>
              <w:t>价格评审</w:t>
            </w:r>
          </w:p>
        </w:tc>
        <w:tc>
          <w:tcPr>
            <w:tcW w:w="1936" w:type="dxa"/>
            <w:vAlign w:val="center"/>
          </w:tcPr>
          <w:p>
            <w:pPr>
              <w:spacing w:line="360" w:lineRule="auto"/>
              <w:jc w:val="center"/>
              <w:rPr>
                <w:rFonts w:ascii="宋体" w:hAnsi="宋体"/>
                <w:b/>
                <w:szCs w:val="21"/>
              </w:rPr>
            </w:pPr>
            <w:r>
              <w:rPr>
                <w:rFonts w:hint="eastAsia" w:ascii="宋体" w:hAnsi="宋体"/>
                <w:b/>
                <w:szCs w:val="21"/>
              </w:rPr>
              <w:t>总分</w:t>
            </w: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44" w:type="dxa"/>
            <w:vAlign w:val="center"/>
          </w:tcPr>
          <w:p>
            <w:pPr>
              <w:spacing w:line="360" w:lineRule="auto"/>
              <w:jc w:val="center"/>
              <w:rPr>
                <w:rFonts w:ascii="宋体" w:hAnsi="宋体"/>
                <w:bCs/>
                <w:szCs w:val="21"/>
              </w:rPr>
            </w:pPr>
            <w:r>
              <w:rPr>
                <w:rFonts w:hint="eastAsia" w:ascii="宋体" w:hAnsi="宋体"/>
                <w:bCs/>
                <w:szCs w:val="21"/>
              </w:rPr>
              <w:t>分值</w:t>
            </w:r>
          </w:p>
        </w:tc>
        <w:tc>
          <w:tcPr>
            <w:tcW w:w="2059" w:type="dxa"/>
            <w:vAlign w:val="center"/>
          </w:tcPr>
          <w:p>
            <w:pPr>
              <w:spacing w:line="360" w:lineRule="auto"/>
              <w:jc w:val="center"/>
              <w:rPr>
                <w:rFonts w:ascii="宋体" w:hAnsi="宋体"/>
                <w:bCs/>
                <w:szCs w:val="21"/>
              </w:rPr>
            </w:pPr>
            <w:r>
              <w:rPr>
                <w:rFonts w:ascii="宋体" w:hAnsi="宋体"/>
                <w:bCs/>
                <w:szCs w:val="21"/>
              </w:rPr>
              <w:t>45</w:t>
            </w:r>
          </w:p>
        </w:tc>
        <w:tc>
          <w:tcPr>
            <w:tcW w:w="2006" w:type="dxa"/>
            <w:vAlign w:val="center"/>
          </w:tcPr>
          <w:p>
            <w:pPr>
              <w:spacing w:line="360" w:lineRule="auto"/>
              <w:jc w:val="center"/>
              <w:rPr>
                <w:rFonts w:ascii="宋体" w:hAnsi="宋体"/>
                <w:bCs/>
                <w:szCs w:val="21"/>
              </w:rPr>
            </w:pPr>
            <w:r>
              <w:rPr>
                <w:rFonts w:ascii="宋体" w:hAnsi="宋体"/>
                <w:bCs/>
                <w:szCs w:val="21"/>
              </w:rPr>
              <w:t>25</w:t>
            </w:r>
          </w:p>
        </w:tc>
        <w:tc>
          <w:tcPr>
            <w:tcW w:w="1936" w:type="dxa"/>
            <w:vAlign w:val="center"/>
          </w:tcPr>
          <w:p>
            <w:pPr>
              <w:spacing w:line="360" w:lineRule="auto"/>
              <w:jc w:val="center"/>
              <w:rPr>
                <w:rFonts w:ascii="宋体" w:hAnsi="宋体"/>
                <w:bCs/>
                <w:szCs w:val="21"/>
              </w:rPr>
            </w:pPr>
            <w:r>
              <w:rPr>
                <w:rFonts w:ascii="宋体" w:hAnsi="宋体"/>
                <w:bCs/>
                <w:szCs w:val="21"/>
              </w:rPr>
              <w:t>30</w:t>
            </w:r>
          </w:p>
        </w:tc>
        <w:tc>
          <w:tcPr>
            <w:tcW w:w="1936" w:type="dxa"/>
          </w:tcPr>
          <w:p>
            <w:pPr>
              <w:spacing w:line="360" w:lineRule="auto"/>
              <w:jc w:val="center"/>
              <w:rPr>
                <w:rFonts w:ascii="宋体" w:hAnsi="宋体"/>
                <w:bCs/>
                <w:szCs w:val="21"/>
              </w:rPr>
            </w:pPr>
            <w:r>
              <w:rPr>
                <w:rFonts w:hint="eastAsia" w:ascii="宋体" w:hAnsi="宋体"/>
                <w:bCs/>
                <w:szCs w:val="21"/>
              </w:rPr>
              <w:t>100</w:t>
            </w:r>
          </w:p>
        </w:tc>
      </w:tr>
    </w:tbl>
    <w:p>
      <w:pPr>
        <w:snapToGrid w:val="0"/>
        <w:spacing w:line="360" w:lineRule="auto"/>
        <w:rPr>
          <w:rFonts w:ascii="宋体" w:hAnsi="宋体"/>
          <w:b/>
          <w:bCs/>
          <w:color w:val="000000"/>
          <w:szCs w:val="21"/>
        </w:rPr>
      </w:pPr>
    </w:p>
    <w:p>
      <w:pPr>
        <w:pStyle w:val="20"/>
        <w:spacing w:line="300" w:lineRule="auto"/>
        <w:ind w:firstLine="0"/>
        <w:jc w:val="center"/>
        <w:rPr>
          <w:rFonts w:ascii="Arial" w:hAnsi="Arial" w:eastAsia="黑体"/>
          <w:b/>
          <w:bCs/>
          <w:sz w:val="32"/>
          <w:szCs w:val="32"/>
        </w:rPr>
      </w:pPr>
      <w:r>
        <w:rPr>
          <w:rFonts w:hint="eastAsia" w:ascii="Arial" w:hAnsi="Arial" w:eastAsia="黑体"/>
          <w:b/>
          <w:bCs/>
          <w:sz w:val="32"/>
          <w:szCs w:val="32"/>
        </w:rPr>
        <w:t>商务评审表</w:t>
      </w:r>
    </w:p>
    <w:tbl>
      <w:tblPr>
        <w:tblStyle w:val="39"/>
        <w:tblW w:w="95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706"/>
        <w:gridCol w:w="1560"/>
        <w:gridCol w:w="6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74" w:type="dxa"/>
            <w:vAlign w:val="center"/>
          </w:tcPr>
          <w:p>
            <w:pPr>
              <w:spacing w:line="360" w:lineRule="auto"/>
              <w:jc w:val="center"/>
              <w:rPr>
                <w:rFonts w:ascii="宋体" w:hAnsi="宋体"/>
                <w:b/>
                <w:bCs/>
                <w:szCs w:val="21"/>
              </w:rPr>
            </w:pPr>
            <w:r>
              <w:rPr>
                <w:rFonts w:hint="eastAsia" w:ascii="宋体" w:hAnsi="宋体"/>
                <w:b/>
                <w:bCs/>
                <w:szCs w:val="21"/>
              </w:rPr>
              <w:t>序号</w:t>
            </w:r>
          </w:p>
        </w:tc>
        <w:tc>
          <w:tcPr>
            <w:tcW w:w="706" w:type="dxa"/>
            <w:vAlign w:val="center"/>
          </w:tcPr>
          <w:p>
            <w:pPr>
              <w:spacing w:line="360" w:lineRule="auto"/>
              <w:jc w:val="center"/>
              <w:rPr>
                <w:rFonts w:ascii="宋体" w:hAnsi="宋体"/>
                <w:b/>
                <w:bCs/>
                <w:szCs w:val="21"/>
              </w:rPr>
            </w:pPr>
            <w:r>
              <w:rPr>
                <w:rFonts w:hint="eastAsia" w:ascii="宋体" w:hAnsi="宋体"/>
                <w:b/>
                <w:bCs/>
                <w:szCs w:val="21"/>
              </w:rPr>
              <w:t>分值</w:t>
            </w:r>
          </w:p>
        </w:tc>
        <w:tc>
          <w:tcPr>
            <w:tcW w:w="1560" w:type="dxa"/>
            <w:vAlign w:val="center"/>
          </w:tcPr>
          <w:p>
            <w:pPr>
              <w:spacing w:line="360" w:lineRule="auto"/>
              <w:jc w:val="center"/>
              <w:rPr>
                <w:rFonts w:ascii="宋体" w:hAnsi="宋体"/>
                <w:b/>
                <w:bCs/>
                <w:szCs w:val="21"/>
              </w:rPr>
            </w:pPr>
            <w:r>
              <w:rPr>
                <w:rFonts w:hint="eastAsia" w:ascii="宋体" w:hAnsi="宋体"/>
                <w:b/>
                <w:bCs/>
                <w:szCs w:val="21"/>
              </w:rPr>
              <w:t>评审内容</w:t>
            </w:r>
          </w:p>
        </w:tc>
        <w:tc>
          <w:tcPr>
            <w:tcW w:w="6629" w:type="dxa"/>
            <w:vAlign w:val="center"/>
          </w:tcPr>
          <w:p>
            <w:pPr>
              <w:spacing w:line="360" w:lineRule="auto"/>
              <w:jc w:val="center"/>
              <w:rPr>
                <w:rFonts w:ascii="宋体" w:hAnsi="宋体"/>
                <w:b/>
                <w:bCs/>
                <w:szCs w:val="21"/>
              </w:rPr>
            </w:pPr>
            <w:r>
              <w:rPr>
                <w:rFonts w:hint="eastAsia" w:ascii="宋体" w:hAnsi="宋体"/>
                <w:b/>
                <w:bCs/>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74" w:type="dxa"/>
            <w:vAlign w:val="center"/>
          </w:tcPr>
          <w:p>
            <w:pPr>
              <w:spacing w:line="360" w:lineRule="auto"/>
              <w:jc w:val="center"/>
              <w:rPr>
                <w:rFonts w:ascii="宋体" w:hAnsi="宋体"/>
                <w:szCs w:val="21"/>
              </w:rPr>
            </w:pPr>
            <w:r>
              <w:rPr>
                <w:rFonts w:hint="eastAsia" w:ascii="宋体" w:hAnsi="宋体"/>
                <w:szCs w:val="21"/>
              </w:rPr>
              <w:t>1</w:t>
            </w:r>
          </w:p>
        </w:tc>
        <w:tc>
          <w:tcPr>
            <w:tcW w:w="706" w:type="dxa"/>
            <w:vAlign w:val="center"/>
          </w:tcPr>
          <w:p>
            <w:pPr>
              <w:spacing w:line="360" w:lineRule="auto"/>
              <w:jc w:val="center"/>
              <w:rPr>
                <w:rFonts w:ascii="宋体" w:hAnsi="宋体"/>
                <w:szCs w:val="21"/>
              </w:rPr>
            </w:pPr>
            <w:r>
              <w:rPr>
                <w:rFonts w:hint="eastAsia" w:ascii="宋体" w:hAnsi="宋体"/>
                <w:szCs w:val="21"/>
              </w:rPr>
              <w:t>11</w:t>
            </w:r>
          </w:p>
        </w:tc>
        <w:tc>
          <w:tcPr>
            <w:tcW w:w="1560" w:type="dxa"/>
            <w:vAlign w:val="center"/>
          </w:tcPr>
          <w:p>
            <w:pPr>
              <w:spacing w:line="360" w:lineRule="auto"/>
              <w:jc w:val="center"/>
              <w:rPr>
                <w:rFonts w:ascii="宋体" w:hAnsi="宋体"/>
                <w:szCs w:val="21"/>
              </w:rPr>
            </w:pPr>
            <w:r>
              <w:rPr>
                <w:rFonts w:hint="eastAsia" w:ascii="宋体" w:hAnsi="宋体"/>
                <w:szCs w:val="21"/>
              </w:rPr>
              <w:t>同类项目业绩</w:t>
            </w:r>
          </w:p>
        </w:tc>
        <w:tc>
          <w:tcPr>
            <w:tcW w:w="6629" w:type="dxa"/>
            <w:vAlign w:val="center"/>
          </w:tcPr>
          <w:p>
            <w:pPr>
              <w:spacing w:line="360" w:lineRule="auto"/>
              <w:jc w:val="left"/>
              <w:rPr>
                <w:rFonts w:ascii="宋体" w:hAnsi="宋体"/>
                <w:szCs w:val="21"/>
              </w:rPr>
            </w:pPr>
            <w:r>
              <w:rPr>
                <w:rFonts w:hint="eastAsia" w:ascii="宋体" w:hAnsi="宋体"/>
                <w:szCs w:val="21"/>
              </w:rPr>
              <w:t>投标人自2020年1月1日至今独立承接权籍调查或地籍调查类项目业绩的，每提供一个业绩得1分，本项最高得</w:t>
            </w:r>
            <w:r>
              <w:rPr>
                <w:rFonts w:ascii="宋体" w:hAnsi="宋体"/>
                <w:szCs w:val="21"/>
              </w:rPr>
              <w:t>1</w:t>
            </w:r>
            <w:r>
              <w:rPr>
                <w:rFonts w:hint="eastAsia" w:ascii="宋体" w:hAnsi="宋体"/>
                <w:szCs w:val="21"/>
              </w:rPr>
              <w:t>1分。</w:t>
            </w:r>
          </w:p>
          <w:p>
            <w:pPr>
              <w:spacing w:line="360" w:lineRule="auto"/>
              <w:jc w:val="left"/>
              <w:rPr>
                <w:rFonts w:ascii="宋体" w:hAnsi="宋体"/>
                <w:b/>
                <w:bCs/>
                <w:szCs w:val="21"/>
              </w:rPr>
            </w:pPr>
            <w:r>
              <w:rPr>
                <w:rFonts w:hint="eastAsia" w:ascii="宋体" w:hAnsi="宋体"/>
                <w:b/>
                <w:bCs/>
                <w:szCs w:val="21"/>
              </w:rPr>
              <w:t>【注：以合同签订时间为准，提供合同复印件加盖投标人公章，不提供不得分。】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74" w:type="dxa"/>
            <w:vAlign w:val="center"/>
          </w:tcPr>
          <w:p>
            <w:pPr>
              <w:spacing w:line="360" w:lineRule="auto"/>
              <w:jc w:val="center"/>
              <w:rPr>
                <w:rFonts w:ascii="宋体" w:hAnsi="宋体"/>
                <w:szCs w:val="21"/>
              </w:rPr>
            </w:pPr>
            <w:r>
              <w:rPr>
                <w:rFonts w:hint="eastAsia" w:ascii="宋体" w:hAnsi="宋体"/>
                <w:szCs w:val="21"/>
              </w:rPr>
              <w:t>2</w:t>
            </w:r>
          </w:p>
        </w:tc>
        <w:tc>
          <w:tcPr>
            <w:tcW w:w="706" w:type="dxa"/>
            <w:vAlign w:val="center"/>
          </w:tcPr>
          <w:p>
            <w:pPr>
              <w:spacing w:line="360" w:lineRule="auto"/>
              <w:jc w:val="center"/>
              <w:rPr>
                <w:rFonts w:ascii="宋体" w:hAnsi="宋体"/>
                <w:szCs w:val="21"/>
              </w:rPr>
            </w:pPr>
            <w:r>
              <w:rPr>
                <w:rFonts w:hint="eastAsia" w:ascii="宋体" w:hAnsi="宋体"/>
                <w:szCs w:val="21"/>
              </w:rPr>
              <w:t>10</w:t>
            </w:r>
          </w:p>
        </w:tc>
        <w:tc>
          <w:tcPr>
            <w:tcW w:w="1560" w:type="dxa"/>
            <w:vAlign w:val="center"/>
          </w:tcPr>
          <w:p>
            <w:pPr>
              <w:jc w:val="center"/>
              <w:rPr>
                <w:rFonts w:ascii="宋体" w:hAnsi="宋体"/>
                <w:szCs w:val="21"/>
              </w:rPr>
            </w:pPr>
            <w:r>
              <w:t>获奖情况</w:t>
            </w:r>
          </w:p>
        </w:tc>
        <w:tc>
          <w:tcPr>
            <w:tcW w:w="6629" w:type="dxa"/>
          </w:tcPr>
          <w:p>
            <w:pPr>
              <w:spacing w:line="360" w:lineRule="auto"/>
              <w:jc w:val="left"/>
              <w:rPr>
                <w:rFonts w:ascii="宋体" w:hAnsi="宋体" w:cs="宋体"/>
              </w:rPr>
            </w:pPr>
            <w:r>
              <w:rPr>
                <w:rFonts w:hint="eastAsia" w:ascii="宋体" w:hAnsi="宋体" w:cs="宋体"/>
              </w:rPr>
              <w:t>根据投标人获奖情况进行评审：</w:t>
            </w:r>
          </w:p>
          <w:p>
            <w:pPr>
              <w:spacing w:line="360" w:lineRule="auto"/>
              <w:jc w:val="left"/>
              <w:rPr>
                <w:rFonts w:ascii="宋体" w:hAnsi="宋体" w:cs="宋体"/>
              </w:rPr>
            </w:pPr>
            <w:r>
              <w:rPr>
                <w:rFonts w:hint="eastAsia" w:ascii="宋体" w:hAnsi="宋体" w:cs="宋体"/>
              </w:rPr>
              <w:t>投标人自2020年1月1日以来，每获得一个奖项得2分，本项最高得10分。</w:t>
            </w:r>
          </w:p>
          <w:p>
            <w:pPr>
              <w:spacing w:line="360" w:lineRule="auto"/>
              <w:jc w:val="left"/>
              <w:rPr>
                <w:rFonts w:ascii="宋体" w:hAnsi="宋体"/>
                <w:b/>
                <w:bCs/>
                <w:szCs w:val="21"/>
              </w:rPr>
            </w:pPr>
            <w:r>
              <w:rPr>
                <w:rFonts w:hint="eastAsia" w:ascii="宋体" w:hAnsi="宋体" w:cs="宋体"/>
                <w:b/>
                <w:bCs/>
                <w:szCs w:val="21"/>
              </w:rPr>
              <w:t>【注：须在投标文件中提供项目获奖证书，时间以证书颁发时间为准。】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74" w:type="dxa"/>
            <w:vAlign w:val="center"/>
          </w:tcPr>
          <w:p>
            <w:pPr>
              <w:spacing w:line="360" w:lineRule="auto"/>
              <w:jc w:val="center"/>
              <w:rPr>
                <w:rFonts w:ascii="宋体" w:hAnsi="宋体"/>
                <w:szCs w:val="21"/>
              </w:rPr>
            </w:pPr>
            <w:r>
              <w:rPr>
                <w:rFonts w:hint="eastAsia" w:ascii="宋体" w:hAnsi="宋体"/>
                <w:szCs w:val="21"/>
              </w:rPr>
              <w:t>3</w:t>
            </w:r>
          </w:p>
        </w:tc>
        <w:tc>
          <w:tcPr>
            <w:tcW w:w="706" w:type="dxa"/>
            <w:vAlign w:val="center"/>
          </w:tcPr>
          <w:p>
            <w:pPr>
              <w:spacing w:line="360" w:lineRule="auto"/>
              <w:jc w:val="center"/>
              <w:rPr>
                <w:rFonts w:ascii="宋体" w:hAnsi="宋体"/>
                <w:szCs w:val="21"/>
              </w:rPr>
            </w:pPr>
            <w:r>
              <w:rPr>
                <w:rFonts w:hint="eastAsia" w:ascii="宋体" w:hAnsi="宋体"/>
                <w:szCs w:val="21"/>
              </w:rPr>
              <w:t>6</w:t>
            </w:r>
          </w:p>
        </w:tc>
        <w:tc>
          <w:tcPr>
            <w:tcW w:w="1560" w:type="dxa"/>
            <w:vAlign w:val="center"/>
          </w:tcPr>
          <w:p>
            <w:pPr>
              <w:spacing w:line="360" w:lineRule="auto"/>
              <w:jc w:val="center"/>
              <w:rPr>
                <w:rFonts w:ascii="宋体" w:hAnsi="宋体"/>
                <w:szCs w:val="21"/>
              </w:rPr>
            </w:pPr>
            <w:r>
              <w:rPr>
                <w:rFonts w:hint="eastAsia" w:ascii="宋体" w:hAnsi="宋体"/>
                <w:szCs w:val="21"/>
              </w:rPr>
              <w:t>体系认证</w:t>
            </w:r>
          </w:p>
        </w:tc>
        <w:tc>
          <w:tcPr>
            <w:tcW w:w="6629" w:type="dxa"/>
            <w:vAlign w:val="center"/>
          </w:tcPr>
          <w:p>
            <w:pPr>
              <w:spacing w:line="360" w:lineRule="auto"/>
              <w:jc w:val="left"/>
              <w:rPr>
                <w:rFonts w:ascii="宋体" w:hAnsi="宋体" w:cs="宋体"/>
                <w:szCs w:val="21"/>
              </w:rPr>
            </w:pPr>
            <w:r>
              <w:rPr>
                <w:rFonts w:hint="eastAsia" w:ascii="宋体" w:hAnsi="宋体" w:cs="宋体"/>
                <w:szCs w:val="21"/>
              </w:rPr>
              <w:t>投标人具备有效的质量管理体系、环境管理体系、职业健康安全管理体系认证证书，每提供一项认证得2分，本项最高得6分。</w:t>
            </w:r>
          </w:p>
          <w:p>
            <w:pPr>
              <w:spacing w:line="360" w:lineRule="auto"/>
              <w:jc w:val="left"/>
              <w:rPr>
                <w:rFonts w:ascii="宋体" w:hAnsi="宋体"/>
                <w:b/>
                <w:bCs/>
                <w:szCs w:val="21"/>
              </w:rPr>
            </w:pPr>
            <w:r>
              <w:rPr>
                <w:rFonts w:hint="eastAsia" w:ascii="宋体" w:hAnsi="宋体" w:cs="宋体"/>
                <w:b/>
                <w:bCs/>
                <w:szCs w:val="21"/>
              </w:rPr>
              <w:t>【注：提供上述有效认证证书复印件，否则不得分。】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74" w:type="dxa"/>
            <w:vAlign w:val="center"/>
          </w:tcPr>
          <w:p>
            <w:pPr>
              <w:spacing w:line="360" w:lineRule="auto"/>
              <w:jc w:val="center"/>
              <w:rPr>
                <w:rFonts w:ascii="宋体" w:hAnsi="宋体"/>
                <w:szCs w:val="21"/>
              </w:rPr>
            </w:pPr>
            <w:r>
              <w:rPr>
                <w:rFonts w:hint="eastAsia" w:ascii="宋体" w:hAnsi="宋体"/>
                <w:szCs w:val="21"/>
              </w:rPr>
              <w:t>4</w:t>
            </w:r>
          </w:p>
        </w:tc>
        <w:tc>
          <w:tcPr>
            <w:tcW w:w="706" w:type="dxa"/>
            <w:vAlign w:val="center"/>
          </w:tcPr>
          <w:p>
            <w:pPr>
              <w:spacing w:line="360" w:lineRule="auto"/>
              <w:jc w:val="center"/>
              <w:rPr>
                <w:rFonts w:ascii="宋体" w:hAnsi="宋体"/>
                <w:szCs w:val="21"/>
              </w:rPr>
            </w:pPr>
            <w:r>
              <w:rPr>
                <w:rFonts w:hint="eastAsia" w:ascii="宋体" w:hAnsi="宋体"/>
                <w:szCs w:val="21"/>
              </w:rPr>
              <w:t>3</w:t>
            </w:r>
          </w:p>
        </w:tc>
        <w:tc>
          <w:tcPr>
            <w:tcW w:w="1560" w:type="dxa"/>
            <w:vAlign w:val="center"/>
          </w:tcPr>
          <w:p>
            <w:pPr>
              <w:spacing w:line="360" w:lineRule="auto"/>
              <w:jc w:val="center"/>
              <w:rPr>
                <w:rFonts w:ascii="宋体" w:hAnsi="宋体"/>
                <w:szCs w:val="21"/>
              </w:rPr>
            </w:pPr>
            <w:r>
              <w:rPr>
                <w:rFonts w:hint="eastAsia" w:ascii="宋体" w:hAnsi="宋体"/>
                <w:szCs w:val="21"/>
              </w:rPr>
              <w:t>服务响应便利性</w:t>
            </w:r>
          </w:p>
        </w:tc>
        <w:tc>
          <w:tcPr>
            <w:tcW w:w="6629" w:type="dxa"/>
            <w:vAlign w:val="center"/>
          </w:tcPr>
          <w:p>
            <w:pPr>
              <w:spacing w:line="360" w:lineRule="auto"/>
              <w:jc w:val="left"/>
              <w:rPr>
                <w:rFonts w:ascii="宋体" w:hAnsi="宋体"/>
                <w:szCs w:val="21"/>
              </w:rPr>
            </w:pPr>
            <w:r>
              <w:rPr>
                <w:rFonts w:hint="eastAsia" w:ascii="宋体" w:hAnsi="宋体"/>
                <w:szCs w:val="21"/>
              </w:rPr>
              <w:t>根据投标人承诺的服务响应时间进行评审：</w:t>
            </w:r>
          </w:p>
          <w:p>
            <w:pPr>
              <w:spacing w:line="360" w:lineRule="auto"/>
              <w:jc w:val="left"/>
              <w:rPr>
                <w:rFonts w:ascii="宋体" w:hAnsi="宋体"/>
                <w:szCs w:val="21"/>
              </w:rPr>
            </w:pPr>
            <w:r>
              <w:rPr>
                <w:rFonts w:hint="eastAsia" w:ascii="宋体" w:hAnsi="宋体"/>
                <w:szCs w:val="21"/>
              </w:rPr>
              <w:t>1、投标人承诺在30分钟内到达服务地点，得3分；</w:t>
            </w:r>
          </w:p>
          <w:p>
            <w:pPr>
              <w:spacing w:line="360" w:lineRule="auto"/>
              <w:jc w:val="left"/>
              <w:rPr>
                <w:rFonts w:ascii="宋体" w:hAnsi="宋体"/>
                <w:szCs w:val="21"/>
              </w:rPr>
            </w:pPr>
            <w:r>
              <w:rPr>
                <w:rFonts w:hint="eastAsia" w:ascii="宋体" w:hAnsi="宋体"/>
                <w:szCs w:val="21"/>
              </w:rPr>
              <w:t>2、投标人承诺在60分钟内到达服务地点，得2分；</w:t>
            </w:r>
          </w:p>
          <w:p>
            <w:pPr>
              <w:spacing w:line="360" w:lineRule="auto"/>
              <w:jc w:val="left"/>
              <w:rPr>
                <w:rFonts w:ascii="宋体" w:hAnsi="宋体"/>
                <w:szCs w:val="21"/>
              </w:rPr>
            </w:pPr>
            <w:r>
              <w:rPr>
                <w:rFonts w:hint="eastAsia" w:ascii="宋体" w:hAnsi="宋体"/>
                <w:szCs w:val="21"/>
              </w:rPr>
              <w:t>3、投标人承诺在超过60分钟后到达服务地点，得1分；</w:t>
            </w:r>
          </w:p>
          <w:p>
            <w:pPr>
              <w:pStyle w:val="24"/>
              <w:ind w:firstLine="0"/>
              <w:rPr>
                <w:rFonts w:hAnsi="宋体"/>
                <w:sz w:val="21"/>
                <w:szCs w:val="21"/>
              </w:rPr>
            </w:pPr>
            <w:r>
              <w:rPr>
                <w:rFonts w:hint="eastAsia" w:hAnsi="宋体"/>
                <w:sz w:val="21"/>
                <w:szCs w:val="21"/>
              </w:rPr>
              <w:t>4、无提供不得分。</w:t>
            </w:r>
          </w:p>
          <w:p>
            <w:pPr>
              <w:spacing w:line="360" w:lineRule="auto"/>
              <w:jc w:val="left"/>
              <w:rPr>
                <w:rFonts w:ascii="宋体" w:hAnsi="宋体"/>
                <w:b/>
                <w:bCs/>
                <w:szCs w:val="21"/>
              </w:rPr>
            </w:pPr>
            <w:r>
              <w:rPr>
                <w:rFonts w:hint="eastAsia" w:ascii="宋体" w:hAnsi="宋体"/>
                <w:b/>
                <w:bCs/>
                <w:szCs w:val="21"/>
              </w:rPr>
              <w:t>【注：需提供承诺函并加盖公章，格式自拟。】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74" w:type="dxa"/>
            <w:vAlign w:val="center"/>
          </w:tcPr>
          <w:p>
            <w:pPr>
              <w:spacing w:line="360" w:lineRule="auto"/>
              <w:jc w:val="center"/>
              <w:rPr>
                <w:rFonts w:ascii="宋体" w:hAnsi="宋体"/>
                <w:szCs w:val="21"/>
              </w:rPr>
            </w:pPr>
            <w:r>
              <w:rPr>
                <w:rFonts w:hint="eastAsia" w:ascii="宋体" w:hAnsi="宋体"/>
                <w:szCs w:val="21"/>
              </w:rPr>
              <w:t>5</w:t>
            </w:r>
          </w:p>
        </w:tc>
        <w:tc>
          <w:tcPr>
            <w:tcW w:w="706" w:type="dxa"/>
            <w:vAlign w:val="center"/>
          </w:tcPr>
          <w:p>
            <w:pPr>
              <w:spacing w:line="360" w:lineRule="auto"/>
              <w:jc w:val="center"/>
              <w:rPr>
                <w:rFonts w:ascii="宋体" w:hAnsi="宋体"/>
                <w:szCs w:val="21"/>
              </w:rPr>
            </w:pPr>
            <w:r>
              <w:rPr>
                <w:rFonts w:hint="eastAsia" w:ascii="宋体" w:hAnsi="宋体"/>
                <w:szCs w:val="21"/>
              </w:rPr>
              <w:t>5</w:t>
            </w:r>
          </w:p>
        </w:tc>
        <w:tc>
          <w:tcPr>
            <w:tcW w:w="1560" w:type="dxa"/>
            <w:vAlign w:val="center"/>
          </w:tcPr>
          <w:p>
            <w:pPr>
              <w:spacing w:line="360" w:lineRule="auto"/>
              <w:jc w:val="center"/>
              <w:rPr>
                <w:rFonts w:ascii="宋体" w:hAnsi="宋体"/>
                <w:szCs w:val="21"/>
              </w:rPr>
            </w:pPr>
            <w:r>
              <w:t>项目负责人能力</w:t>
            </w:r>
          </w:p>
        </w:tc>
        <w:tc>
          <w:tcPr>
            <w:tcW w:w="6629" w:type="dxa"/>
          </w:tcPr>
          <w:p>
            <w:pPr>
              <w:spacing w:line="360" w:lineRule="auto"/>
              <w:jc w:val="left"/>
            </w:pPr>
            <w:r>
              <w:t>1、项目负责人具有注册测绘师资格的得</w:t>
            </w:r>
            <w:r>
              <w:rPr>
                <w:rFonts w:hint="eastAsia"/>
              </w:rPr>
              <w:t>1</w:t>
            </w:r>
            <w:r>
              <w:t>分</w:t>
            </w:r>
            <w:r>
              <w:rPr>
                <w:rFonts w:hint="eastAsia"/>
              </w:rPr>
              <w:t>。</w:t>
            </w:r>
          </w:p>
          <w:p>
            <w:pPr>
              <w:spacing w:line="360" w:lineRule="auto"/>
              <w:jc w:val="left"/>
            </w:pPr>
            <w:r>
              <w:rPr>
                <w:rFonts w:hint="eastAsia"/>
              </w:rPr>
              <w:t>2、</w:t>
            </w:r>
            <w:r>
              <w:t>项目负责人具有测绘专业</w:t>
            </w:r>
            <w:r>
              <w:rPr>
                <w:rFonts w:hint="eastAsia"/>
              </w:rPr>
              <w:t>（中级）</w:t>
            </w:r>
            <w:r>
              <w:t>工程师职称</w:t>
            </w:r>
            <w:r>
              <w:rPr>
                <w:rFonts w:hint="eastAsia"/>
              </w:rPr>
              <w:t>的得1分；具有</w:t>
            </w:r>
            <w:r>
              <w:t>测绘专业</w:t>
            </w:r>
            <w:r>
              <w:rPr>
                <w:rFonts w:hint="eastAsia"/>
              </w:rPr>
              <w:t>高级</w:t>
            </w:r>
            <w:r>
              <w:t>工程师</w:t>
            </w:r>
            <w:r>
              <w:rPr>
                <w:rFonts w:hint="eastAsia"/>
              </w:rPr>
              <w:t>或以上</w:t>
            </w:r>
            <w:r>
              <w:t>职称</w:t>
            </w:r>
            <w:r>
              <w:rPr>
                <w:rFonts w:hint="eastAsia"/>
              </w:rPr>
              <w:t>的得2分。本小项最高得2分。</w:t>
            </w:r>
          </w:p>
          <w:p>
            <w:pPr>
              <w:spacing w:line="360" w:lineRule="auto"/>
              <w:jc w:val="left"/>
            </w:pPr>
            <w:r>
              <w:rPr>
                <w:rFonts w:hint="eastAsia"/>
              </w:rPr>
              <w:t>3</w:t>
            </w:r>
            <w:r>
              <w:t>、项目负责人</w:t>
            </w:r>
            <w:r>
              <w:rPr>
                <w:rFonts w:hint="eastAsia"/>
              </w:rPr>
              <w:t>自</w:t>
            </w:r>
            <w:r>
              <w:t>20</w:t>
            </w:r>
            <w:r>
              <w:rPr>
                <w:rFonts w:hint="eastAsia"/>
              </w:rPr>
              <w:t>20</w:t>
            </w:r>
            <w:r>
              <w:t>年1月1日以来，</w:t>
            </w:r>
            <w:r>
              <w:rPr>
                <w:rFonts w:hint="eastAsia"/>
              </w:rPr>
              <w:t>每</w:t>
            </w:r>
            <w:r>
              <w:t>获得</w:t>
            </w:r>
            <w:r>
              <w:rPr>
                <w:rFonts w:hint="eastAsia"/>
              </w:rPr>
              <w:t>一个奖项的</w:t>
            </w:r>
            <w:r>
              <w:t>，每个得</w:t>
            </w:r>
            <w:r>
              <w:rPr>
                <w:rFonts w:hint="eastAsia"/>
              </w:rPr>
              <w:t>1</w:t>
            </w:r>
            <w:r>
              <w:t>分，本项最高得</w:t>
            </w:r>
            <w:r>
              <w:rPr>
                <w:rFonts w:hint="eastAsia"/>
              </w:rPr>
              <w:t>2</w:t>
            </w:r>
            <w:r>
              <w:t>分。</w:t>
            </w:r>
          </w:p>
          <w:p>
            <w:pPr>
              <w:spacing w:line="360" w:lineRule="auto"/>
              <w:jc w:val="left"/>
              <w:rPr>
                <w:rFonts w:ascii="宋体" w:hAnsi="宋体"/>
                <w:b/>
                <w:bCs/>
                <w:szCs w:val="21"/>
              </w:rPr>
            </w:pPr>
            <w:r>
              <w:rPr>
                <w:b/>
                <w:bCs/>
              </w:rPr>
              <w:t>【注：同一项目获多项奖不可重复计分。须在投标文件中提供获奖证书，时间以获奖证书颁发时间为准。项目负责人需为投标人在职人员，属于退休返聘人员不得分。需提供以上人员的身份证、职称证和资质资格证书等复印件，以及提供社保部门出具的近三个月以内任意一个月社保缴纳证明或单位参保证明复印件。不提供、提供不全或专家无法认定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674" w:type="dxa"/>
            <w:vAlign w:val="center"/>
          </w:tcPr>
          <w:p>
            <w:pPr>
              <w:spacing w:line="360" w:lineRule="auto"/>
              <w:jc w:val="center"/>
              <w:rPr>
                <w:rFonts w:ascii="宋体" w:hAnsi="宋体"/>
                <w:szCs w:val="21"/>
              </w:rPr>
            </w:pPr>
            <w:r>
              <w:rPr>
                <w:rFonts w:hint="eastAsia" w:ascii="宋体" w:hAnsi="宋体"/>
                <w:szCs w:val="21"/>
              </w:rPr>
              <w:t>6</w:t>
            </w:r>
          </w:p>
        </w:tc>
        <w:tc>
          <w:tcPr>
            <w:tcW w:w="706" w:type="dxa"/>
            <w:vAlign w:val="center"/>
          </w:tcPr>
          <w:p>
            <w:pPr>
              <w:spacing w:line="360" w:lineRule="auto"/>
              <w:jc w:val="center"/>
              <w:rPr>
                <w:rFonts w:ascii="宋体" w:hAnsi="宋体"/>
                <w:szCs w:val="21"/>
              </w:rPr>
            </w:pPr>
            <w:r>
              <w:rPr>
                <w:rFonts w:hint="eastAsia" w:ascii="宋体" w:hAnsi="宋体"/>
                <w:szCs w:val="21"/>
              </w:rPr>
              <w:t>10</w:t>
            </w:r>
          </w:p>
        </w:tc>
        <w:tc>
          <w:tcPr>
            <w:tcW w:w="1560" w:type="dxa"/>
            <w:vAlign w:val="center"/>
          </w:tcPr>
          <w:p>
            <w:pPr>
              <w:spacing w:line="360" w:lineRule="auto"/>
              <w:jc w:val="center"/>
              <w:rPr>
                <w:rFonts w:ascii="宋体" w:hAnsi="宋体"/>
                <w:szCs w:val="21"/>
              </w:rPr>
            </w:pPr>
            <w:r>
              <w:t>服务团队（不含项目负责人）</w:t>
            </w:r>
            <w:r>
              <w:rPr>
                <w:rFonts w:hint="eastAsia"/>
              </w:rPr>
              <w:t>成员能力</w:t>
            </w:r>
          </w:p>
        </w:tc>
        <w:tc>
          <w:tcPr>
            <w:tcW w:w="6629" w:type="dxa"/>
          </w:tcPr>
          <w:p>
            <w:pPr>
              <w:spacing w:line="360" w:lineRule="auto"/>
              <w:jc w:val="left"/>
            </w:pPr>
            <w:r>
              <w:t>1、拟派的服务团队人数不足</w:t>
            </w:r>
            <w:r>
              <w:rPr>
                <w:rFonts w:hint="eastAsia"/>
              </w:rPr>
              <w:t>9</w:t>
            </w:r>
            <w:r>
              <w:t>人的，本项（项目团队成员能力项）不得分；</w:t>
            </w:r>
          </w:p>
          <w:p>
            <w:pPr>
              <w:spacing w:line="360" w:lineRule="auto"/>
              <w:jc w:val="left"/>
            </w:pPr>
            <w:r>
              <w:t>2、服务团队成员中，</w:t>
            </w:r>
            <w:r>
              <w:rPr>
                <w:rFonts w:hint="eastAsia"/>
              </w:rPr>
              <w:t>具有</w:t>
            </w:r>
            <w:r>
              <w:t>测绘专业</w:t>
            </w:r>
            <w:r>
              <w:rPr>
                <w:rFonts w:hint="eastAsia"/>
              </w:rPr>
              <w:t>高级工程师或以上职称的，每提供一人得2分；具有</w:t>
            </w:r>
            <w:r>
              <w:t>测绘专业</w:t>
            </w:r>
            <w:r>
              <w:rPr>
                <w:rFonts w:hint="eastAsia"/>
              </w:rPr>
              <w:t>（中级）工程师职称的，每提供一人得</w:t>
            </w:r>
            <w:r>
              <w:t>1</w:t>
            </w:r>
            <w:r>
              <w:rPr>
                <w:rFonts w:hint="eastAsia"/>
              </w:rPr>
              <w:t>分。</w:t>
            </w:r>
            <w:r>
              <w:t>本项最</w:t>
            </w:r>
            <w:r>
              <w:rPr>
                <w:rFonts w:hint="eastAsia"/>
              </w:rPr>
              <w:t>高</w:t>
            </w:r>
            <w:r>
              <w:t>得</w:t>
            </w:r>
            <w:r>
              <w:rPr>
                <w:rFonts w:hint="eastAsia"/>
              </w:rPr>
              <w:t>10</w:t>
            </w:r>
            <w:r>
              <w:t>分。</w:t>
            </w:r>
          </w:p>
          <w:p>
            <w:pPr>
              <w:spacing w:line="360" w:lineRule="auto"/>
              <w:jc w:val="left"/>
              <w:rPr>
                <w:rFonts w:ascii="宋体" w:hAnsi="宋体"/>
                <w:b/>
                <w:bCs/>
                <w:szCs w:val="21"/>
              </w:rPr>
            </w:pPr>
            <w:r>
              <w:rPr>
                <w:b/>
                <w:bCs/>
              </w:rPr>
              <w:t>【注：</w:t>
            </w:r>
            <w:r>
              <w:rPr>
                <w:rFonts w:hint="eastAsia"/>
                <w:b/>
                <w:bCs/>
              </w:rPr>
              <w:t>一人多证不累计得分，只按最高分</w:t>
            </w:r>
            <w:r>
              <w:rPr>
                <w:b/>
                <w:bCs/>
              </w:rPr>
              <w:t>计分。项目组成员需为投标人在职人员，属于退休返聘人员不得分；需提供</w:t>
            </w:r>
            <w:r>
              <w:rPr>
                <w:rFonts w:hint="eastAsia"/>
                <w:b/>
                <w:bCs/>
              </w:rPr>
              <w:t>项目团队成员名单汇总表，并附上</w:t>
            </w:r>
            <w:r>
              <w:rPr>
                <w:b/>
                <w:bCs/>
              </w:rPr>
              <w:t>以上人员的身份证、职称证书和资质资格证书，以及社保部门出具的近三个月以内任意一个月社保缴纳证明或单位参保证明等复印件。不提供、提供不全或专家无法认定的不得分】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9569" w:type="dxa"/>
            <w:gridSpan w:val="4"/>
            <w:vAlign w:val="center"/>
          </w:tcPr>
          <w:p>
            <w:pPr>
              <w:spacing w:line="360" w:lineRule="auto"/>
              <w:jc w:val="center"/>
              <w:rPr>
                <w:rFonts w:ascii="宋体" w:hAnsi="宋体"/>
                <w:szCs w:val="21"/>
              </w:rPr>
            </w:pPr>
            <w:r>
              <w:rPr>
                <w:rFonts w:hint="eastAsia" w:ascii="宋体" w:hAnsi="宋体"/>
                <w:szCs w:val="21"/>
              </w:rPr>
              <w:t>合计：</w:t>
            </w:r>
            <w:r>
              <w:rPr>
                <w:rFonts w:ascii="宋体" w:hAnsi="宋体"/>
                <w:szCs w:val="21"/>
              </w:rPr>
              <w:t>45</w:t>
            </w:r>
            <w:r>
              <w:rPr>
                <w:rFonts w:hint="eastAsia" w:ascii="宋体" w:hAnsi="宋体"/>
                <w:szCs w:val="21"/>
              </w:rPr>
              <w:t>分</w:t>
            </w:r>
          </w:p>
        </w:tc>
      </w:tr>
    </w:tbl>
    <w:p>
      <w:pPr>
        <w:tabs>
          <w:tab w:val="left" w:pos="1140"/>
        </w:tabs>
        <w:spacing w:line="300" w:lineRule="auto"/>
        <w:rPr>
          <w:rFonts w:ascii="宋体" w:hAnsi="宋体"/>
          <w:szCs w:val="21"/>
        </w:rPr>
      </w:pPr>
    </w:p>
    <w:p>
      <w:pPr>
        <w:pStyle w:val="20"/>
        <w:spacing w:line="300" w:lineRule="auto"/>
        <w:ind w:firstLine="0"/>
        <w:jc w:val="center"/>
        <w:rPr>
          <w:rFonts w:ascii="Arial" w:hAnsi="Arial" w:eastAsia="黑体"/>
          <w:b/>
          <w:bCs/>
          <w:sz w:val="32"/>
          <w:szCs w:val="32"/>
        </w:rPr>
      </w:pPr>
      <w:r>
        <w:rPr>
          <w:rFonts w:ascii="Arial" w:hAnsi="Arial" w:eastAsia="黑体"/>
          <w:b/>
          <w:bCs/>
          <w:sz w:val="32"/>
          <w:szCs w:val="32"/>
        </w:rPr>
        <w:br w:type="page"/>
      </w:r>
      <w:r>
        <w:rPr>
          <w:rFonts w:hint="eastAsia" w:ascii="Arial" w:hAnsi="Arial" w:eastAsia="黑体"/>
          <w:b/>
          <w:bCs/>
          <w:sz w:val="32"/>
          <w:szCs w:val="32"/>
        </w:rPr>
        <w:t>技术评审表</w:t>
      </w:r>
    </w:p>
    <w:tbl>
      <w:tblPr>
        <w:tblStyle w:val="39"/>
        <w:tblW w:w="95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704"/>
        <w:gridCol w:w="1698"/>
        <w:gridCol w:w="6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675" w:type="dxa"/>
            <w:vAlign w:val="center"/>
          </w:tcPr>
          <w:p>
            <w:pPr>
              <w:spacing w:line="360" w:lineRule="auto"/>
              <w:jc w:val="center"/>
              <w:rPr>
                <w:rFonts w:ascii="宋体" w:hAnsi="宋体"/>
                <w:b/>
                <w:bCs/>
                <w:szCs w:val="21"/>
              </w:rPr>
            </w:pPr>
            <w:r>
              <w:rPr>
                <w:rFonts w:hint="eastAsia" w:ascii="宋体" w:hAnsi="宋体"/>
                <w:b/>
                <w:bCs/>
                <w:szCs w:val="21"/>
              </w:rPr>
              <w:t>序号</w:t>
            </w:r>
          </w:p>
        </w:tc>
        <w:tc>
          <w:tcPr>
            <w:tcW w:w="704" w:type="dxa"/>
            <w:vAlign w:val="center"/>
          </w:tcPr>
          <w:p>
            <w:pPr>
              <w:spacing w:line="360" w:lineRule="auto"/>
              <w:jc w:val="center"/>
              <w:rPr>
                <w:rFonts w:ascii="宋体" w:hAnsi="宋体"/>
                <w:b/>
                <w:bCs/>
                <w:szCs w:val="21"/>
              </w:rPr>
            </w:pPr>
            <w:r>
              <w:rPr>
                <w:rFonts w:hint="eastAsia" w:ascii="宋体" w:hAnsi="宋体"/>
                <w:b/>
                <w:bCs/>
                <w:szCs w:val="21"/>
              </w:rPr>
              <w:t>分值</w:t>
            </w:r>
          </w:p>
        </w:tc>
        <w:tc>
          <w:tcPr>
            <w:tcW w:w="1698" w:type="dxa"/>
            <w:vAlign w:val="center"/>
          </w:tcPr>
          <w:p>
            <w:pPr>
              <w:spacing w:line="360" w:lineRule="auto"/>
              <w:jc w:val="center"/>
              <w:rPr>
                <w:rFonts w:ascii="宋体" w:hAnsi="宋体"/>
                <w:b/>
                <w:bCs/>
                <w:szCs w:val="21"/>
              </w:rPr>
            </w:pPr>
            <w:r>
              <w:rPr>
                <w:rFonts w:hint="eastAsia" w:ascii="宋体" w:hAnsi="宋体"/>
                <w:b/>
                <w:bCs/>
                <w:szCs w:val="21"/>
              </w:rPr>
              <w:t>评审内容</w:t>
            </w:r>
          </w:p>
        </w:tc>
        <w:tc>
          <w:tcPr>
            <w:tcW w:w="6492" w:type="dxa"/>
            <w:vAlign w:val="center"/>
          </w:tcPr>
          <w:p>
            <w:pPr>
              <w:spacing w:line="360" w:lineRule="auto"/>
              <w:jc w:val="center"/>
              <w:rPr>
                <w:rFonts w:ascii="宋体" w:hAnsi="宋体"/>
                <w:b/>
                <w:bCs/>
                <w:szCs w:val="21"/>
              </w:rPr>
            </w:pPr>
            <w:r>
              <w:rPr>
                <w:rFonts w:hint="eastAsia" w:ascii="宋体" w:hAnsi="宋体"/>
                <w:b/>
                <w:bCs/>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75" w:type="dxa"/>
            <w:vAlign w:val="center"/>
          </w:tcPr>
          <w:p>
            <w:pPr>
              <w:spacing w:line="360" w:lineRule="auto"/>
              <w:jc w:val="center"/>
              <w:rPr>
                <w:rFonts w:ascii="宋体" w:hAnsi="宋体"/>
                <w:szCs w:val="21"/>
              </w:rPr>
            </w:pPr>
            <w:r>
              <w:rPr>
                <w:rFonts w:hint="eastAsia" w:ascii="宋体" w:hAnsi="宋体"/>
                <w:szCs w:val="21"/>
              </w:rPr>
              <w:t>1</w:t>
            </w:r>
          </w:p>
        </w:tc>
        <w:tc>
          <w:tcPr>
            <w:tcW w:w="704" w:type="dxa"/>
            <w:vAlign w:val="center"/>
          </w:tcPr>
          <w:p>
            <w:pPr>
              <w:spacing w:line="360" w:lineRule="auto"/>
              <w:jc w:val="center"/>
              <w:rPr>
                <w:rFonts w:ascii="宋体" w:hAnsi="宋体"/>
                <w:szCs w:val="21"/>
              </w:rPr>
            </w:pPr>
            <w:r>
              <w:rPr>
                <w:rFonts w:hint="eastAsia" w:ascii="宋体" w:hAnsi="宋体"/>
                <w:szCs w:val="21"/>
              </w:rPr>
              <w:t>5</w:t>
            </w:r>
          </w:p>
        </w:tc>
        <w:tc>
          <w:tcPr>
            <w:tcW w:w="1698" w:type="dxa"/>
            <w:vAlign w:val="center"/>
          </w:tcPr>
          <w:p>
            <w:pPr>
              <w:spacing w:line="360" w:lineRule="auto"/>
              <w:jc w:val="center"/>
              <w:rPr>
                <w:rFonts w:ascii="宋体" w:hAnsi="宋体"/>
                <w:szCs w:val="21"/>
              </w:rPr>
            </w:pPr>
            <w:r>
              <w:rPr>
                <w:rFonts w:hint="eastAsia" w:ascii="宋体" w:hAnsi="宋体"/>
                <w:szCs w:val="21"/>
              </w:rPr>
              <w:t>对项目需求的理解及认识程度</w:t>
            </w:r>
          </w:p>
        </w:tc>
        <w:tc>
          <w:tcPr>
            <w:tcW w:w="6492" w:type="dxa"/>
            <w:vAlign w:val="center"/>
          </w:tcPr>
          <w:p>
            <w:pPr>
              <w:spacing w:line="360" w:lineRule="auto"/>
              <w:rPr>
                <w:rFonts w:ascii="宋体" w:hAnsi="宋体" w:cs="宋体"/>
                <w:kern w:val="0"/>
                <w:szCs w:val="21"/>
              </w:rPr>
            </w:pPr>
            <w:r>
              <w:rPr>
                <w:rFonts w:hint="eastAsia" w:ascii="宋体" w:hAnsi="宋体" w:cs="宋体"/>
                <w:kern w:val="0"/>
                <w:szCs w:val="21"/>
              </w:rPr>
              <w:t>根据投标人对项目基本概况、服务内容及要求的理解及认识、项目操作的熟悉情况等分析说明进行综合评审：</w:t>
            </w:r>
          </w:p>
          <w:p>
            <w:pPr>
              <w:spacing w:line="360" w:lineRule="auto"/>
              <w:rPr>
                <w:rFonts w:ascii="宋体" w:hAnsi="宋体" w:cs="宋体"/>
                <w:kern w:val="0"/>
                <w:szCs w:val="21"/>
              </w:rPr>
            </w:pPr>
            <w:r>
              <w:rPr>
                <w:rFonts w:hint="eastAsia" w:ascii="宋体" w:hAnsi="宋体" w:cs="宋体"/>
                <w:kern w:val="0"/>
                <w:szCs w:val="21"/>
              </w:rPr>
              <w:t>1、对项目的理解及认识充分、准确性强，熟悉项目流程操作，分析说明细致、完善、深刻，能体现出具有非常丰富的同类服务经验，得5分；</w:t>
            </w:r>
          </w:p>
          <w:p>
            <w:pPr>
              <w:spacing w:line="360" w:lineRule="auto"/>
              <w:rPr>
                <w:rFonts w:ascii="宋体" w:hAnsi="宋体" w:cs="宋体"/>
                <w:kern w:val="0"/>
                <w:szCs w:val="21"/>
              </w:rPr>
            </w:pPr>
            <w:r>
              <w:rPr>
                <w:rFonts w:hint="eastAsia" w:ascii="宋体" w:hAnsi="宋体" w:cs="宋体"/>
                <w:kern w:val="0"/>
                <w:szCs w:val="21"/>
              </w:rPr>
              <w:t>2、对项目具有一定的理解及认识、准确性较低，不太熟悉项目流程操作，分析说明不够细致、完善、深刻，能体现出具有一定的同类服务经验的，得3分；</w:t>
            </w:r>
          </w:p>
          <w:p>
            <w:pPr>
              <w:spacing w:line="360" w:lineRule="auto"/>
              <w:rPr>
                <w:rFonts w:ascii="宋体" w:hAnsi="宋体" w:cs="宋体"/>
                <w:kern w:val="0"/>
                <w:szCs w:val="21"/>
              </w:rPr>
            </w:pPr>
            <w:r>
              <w:rPr>
                <w:rFonts w:hint="eastAsia" w:ascii="宋体" w:hAnsi="宋体" w:cs="宋体"/>
                <w:kern w:val="0"/>
                <w:szCs w:val="21"/>
              </w:rPr>
              <w:t>3、对项目理解及认识、准确性较低，不熟悉项目流程操作，分析说明不细致、不完善、不深刻，缺乏同类服务经验的，得1分；</w:t>
            </w:r>
          </w:p>
          <w:p>
            <w:pPr>
              <w:spacing w:line="360" w:lineRule="auto"/>
              <w:rPr>
                <w:rFonts w:ascii="宋体" w:hAnsi="宋体" w:cs="宋体"/>
                <w:kern w:val="0"/>
                <w:szCs w:val="21"/>
              </w:rPr>
            </w:pPr>
            <w:r>
              <w:rPr>
                <w:rFonts w:hint="eastAsia" w:ascii="宋体" w:hAnsi="宋体" w:cs="宋体"/>
                <w:kern w:val="0"/>
                <w:szCs w:val="21"/>
              </w:rPr>
              <w:t>4、不提供或其它不得分。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75" w:type="dxa"/>
            <w:vAlign w:val="center"/>
          </w:tcPr>
          <w:p>
            <w:pPr>
              <w:spacing w:line="360" w:lineRule="auto"/>
              <w:jc w:val="center"/>
              <w:rPr>
                <w:rFonts w:ascii="宋体" w:hAnsi="宋体"/>
                <w:szCs w:val="21"/>
              </w:rPr>
            </w:pPr>
            <w:r>
              <w:rPr>
                <w:rFonts w:hint="eastAsia" w:ascii="宋体" w:hAnsi="宋体"/>
                <w:szCs w:val="21"/>
              </w:rPr>
              <w:t>2</w:t>
            </w:r>
          </w:p>
        </w:tc>
        <w:tc>
          <w:tcPr>
            <w:tcW w:w="704" w:type="dxa"/>
            <w:vAlign w:val="center"/>
          </w:tcPr>
          <w:p>
            <w:pPr>
              <w:spacing w:line="360" w:lineRule="auto"/>
              <w:jc w:val="center"/>
              <w:rPr>
                <w:rFonts w:ascii="宋体" w:hAnsi="宋体"/>
                <w:szCs w:val="21"/>
              </w:rPr>
            </w:pPr>
            <w:r>
              <w:rPr>
                <w:rFonts w:hint="eastAsia" w:ascii="宋体" w:hAnsi="宋体"/>
                <w:szCs w:val="21"/>
              </w:rPr>
              <w:t>5</w:t>
            </w:r>
          </w:p>
        </w:tc>
        <w:tc>
          <w:tcPr>
            <w:tcW w:w="1698" w:type="dxa"/>
            <w:vAlign w:val="center"/>
          </w:tcPr>
          <w:p>
            <w:pPr>
              <w:spacing w:line="360" w:lineRule="auto"/>
              <w:jc w:val="center"/>
              <w:rPr>
                <w:rFonts w:ascii="宋体" w:hAnsi="宋体"/>
                <w:szCs w:val="21"/>
              </w:rPr>
            </w:pPr>
            <w:r>
              <w:rPr>
                <w:rFonts w:hint="eastAsia"/>
              </w:rPr>
              <w:t>对</w:t>
            </w:r>
            <w:r>
              <w:t>项目关键性技术、重点难点的解决方案</w:t>
            </w:r>
          </w:p>
        </w:tc>
        <w:tc>
          <w:tcPr>
            <w:tcW w:w="6492" w:type="dxa"/>
          </w:tcPr>
          <w:p>
            <w:pPr>
              <w:spacing w:line="360" w:lineRule="auto"/>
              <w:jc w:val="left"/>
            </w:pPr>
            <w:r>
              <w:t>根据投标人对本项目的重点难点分析及提出合理化建议。理解清晰，重点难点把握准确，提出的建议合理程度进行评审：</w:t>
            </w:r>
          </w:p>
          <w:p>
            <w:pPr>
              <w:spacing w:line="360" w:lineRule="auto"/>
              <w:jc w:val="left"/>
            </w:pPr>
            <w:r>
              <w:rPr>
                <w:rFonts w:hint="eastAsia"/>
              </w:rPr>
              <w:t>1、对</w:t>
            </w:r>
            <w:r>
              <w:t>项目关键性技术、重点难点理解清晰，重难点把握准确，</w:t>
            </w:r>
            <w:r>
              <w:rPr>
                <w:rFonts w:hint="eastAsia"/>
              </w:rPr>
              <w:t>能够围绕项目，从采购人角度出发全面考虑，</w:t>
            </w:r>
            <w:r>
              <w:t>提出的解决方案可操作性强的</w:t>
            </w:r>
            <w:r>
              <w:rPr>
                <w:rFonts w:hint="eastAsia"/>
              </w:rPr>
              <w:t>，</w:t>
            </w:r>
            <w:r>
              <w:t>得</w:t>
            </w:r>
            <w:r>
              <w:rPr>
                <w:rFonts w:hint="eastAsia"/>
              </w:rPr>
              <w:t>5</w:t>
            </w:r>
            <w:r>
              <w:t>分；</w:t>
            </w:r>
          </w:p>
          <w:p>
            <w:pPr>
              <w:spacing w:line="360" w:lineRule="auto"/>
              <w:jc w:val="left"/>
            </w:pPr>
            <w:r>
              <w:rPr>
                <w:rFonts w:hint="eastAsia"/>
              </w:rPr>
              <w:t>2、对</w:t>
            </w:r>
            <w:r>
              <w:t>项目关键性技术、重点难点理解较清晰，重难点把握较准确，</w:t>
            </w:r>
            <w:r>
              <w:rPr>
                <w:rFonts w:hint="eastAsia"/>
              </w:rPr>
              <w:t>基本能围绕项目，为采购人多加考虑，</w:t>
            </w:r>
            <w:r>
              <w:t>提出的解决对策方案可行</w:t>
            </w:r>
            <w:r>
              <w:rPr>
                <w:rFonts w:hint="eastAsia"/>
              </w:rPr>
              <w:t>的，</w:t>
            </w:r>
            <w:r>
              <w:t>得</w:t>
            </w:r>
            <w:r>
              <w:rPr>
                <w:rFonts w:hint="eastAsia"/>
              </w:rPr>
              <w:t>3</w:t>
            </w:r>
            <w:r>
              <w:t>分；</w:t>
            </w:r>
          </w:p>
          <w:p>
            <w:pPr>
              <w:spacing w:line="360" w:lineRule="auto"/>
              <w:jc w:val="left"/>
            </w:pPr>
            <w:r>
              <w:rPr>
                <w:rFonts w:hint="eastAsia"/>
              </w:rPr>
              <w:t>3、对项目关键性技术、重点难点</w:t>
            </w:r>
            <w:r>
              <w:t>理解不清晰，重难点把握不准确，</w:t>
            </w:r>
            <w:r>
              <w:rPr>
                <w:rFonts w:hint="eastAsia"/>
              </w:rPr>
              <w:t>基本能从采购人角度</w:t>
            </w:r>
            <w:r>
              <w:t>提出解决对策方案，但缺乏</w:t>
            </w:r>
            <w:r>
              <w:rPr>
                <w:rFonts w:hint="eastAsia"/>
              </w:rPr>
              <w:t>一定</w:t>
            </w:r>
            <w:r>
              <w:t>可行性的</w:t>
            </w:r>
            <w:r>
              <w:rPr>
                <w:rFonts w:hint="eastAsia"/>
              </w:rPr>
              <w:t>，</w:t>
            </w:r>
            <w:r>
              <w:t>得</w:t>
            </w:r>
            <w:r>
              <w:rPr>
                <w:rFonts w:hint="eastAsia"/>
              </w:rPr>
              <w:t>1</w:t>
            </w:r>
            <w:r>
              <w:t>分；</w:t>
            </w:r>
          </w:p>
          <w:p>
            <w:pPr>
              <w:spacing w:line="360" w:lineRule="auto"/>
              <w:jc w:val="left"/>
              <w:rPr>
                <w:rFonts w:ascii="宋体" w:hAnsi="宋体" w:cs="宋体"/>
                <w:kern w:val="0"/>
                <w:szCs w:val="21"/>
              </w:rPr>
            </w:pPr>
            <w:r>
              <w:rPr>
                <w:rFonts w:hint="eastAsia"/>
              </w:rPr>
              <w:t>4、</w:t>
            </w:r>
            <w:r>
              <w:t>未提供的</w:t>
            </w:r>
            <w:r>
              <w:rPr>
                <w:rFonts w:hint="eastAsia"/>
              </w:rPr>
              <w:t>不得</w:t>
            </w:r>
            <w: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75" w:type="dxa"/>
            <w:vAlign w:val="center"/>
          </w:tcPr>
          <w:p>
            <w:pPr>
              <w:spacing w:line="360" w:lineRule="auto"/>
              <w:jc w:val="center"/>
              <w:rPr>
                <w:rFonts w:ascii="宋体" w:hAnsi="宋体"/>
                <w:szCs w:val="21"/>
              </w:rPr>
            </w:pPr>
            <w:r>
              <w:rPr>
                <w:rFonts w:hint="eastAsia" w:ascii="宋体" w:hAnsi="宋体"/>
                <w:szCs w:val="21"/>
              </w:rPr>
              <w:t>3</w:t>
            </w:r>
          </w:p>
        </w:tc>
        <w:tc>
          <w:tcPr>
            <w:tcW w:w="704" w:type="dxa"/>
            <w:vAlign w:val="center"/>
          </w:tcPr>
          <w:p>
            <w:pPr>
              <w:spacing w:line="360" w:lineRule="auto"/>
              <w:jc w:val="center"/>
              <w:rPr>
                <w:rFonts w:ascii="宋体" w:hAnsi="宋体"/>
                <w:szCs w:val="21"/>
              </w:rPr>
            </w:pPr>
            <w:r>
              <w:rPr>
                <w:rFonts w:hint="eastAsia" w:ascii="宋体" w:hAnsi="宋体" w:cs="等线"/>
                <w:szCs w:val="21"/>
              </w:rPr>
              <w:t>5</w:t>
            </w:r>
          </w:p>
        </w:tc>
        <w:tc>
          <w:tcPr>
            <w:tcW w:w="1698" w:type="dxa"/>
            <w:vAlign w:val="center"/>
          </w:tcPr>
          <w:p>
            <w:pPr>
              <w:spacing w:line="360" w:lineRule="auto"/>
              <w:jc w:val="center"/>
              <w:rPr>
                <w:rFonts w:ascii="宋体" w:hAnsi="宋体"/>
                <w:szCs w:val="21"/>
              </w:rPr>
            </w:pPr>
            <w:r>
              <w:rPr>
                <w:rFonts w:hint="eastAsia" w:ascii="宋体" w:hAnsi="宋体" w:cs="宋体"/>
                <w:bCs/>
                <w:szCs w:val="21"/>
              </w:rPr>
              <w:t>质量、进度控制保障措施和方法</w:t>
            </w:r>
          </w:p>
        </w:tc>
        <w:tc>
          <w:tcPr>
            <w:tcW w:w="6492" w:type="dxa"/>
            <w:vAlign w:val="center"/>
          </w:tcPr>
          <w:p>
            <w:pPr>
              <w:spacing w:line="360" w:lineRule="auto"/>
              <w:rPr>
                <w:rFonts w:ascii="宋体" w:hAnsi="宋体"/>
                <w:szCs w:val="21"/>
              </w:rPr>
            </w:pPr>
            <w:r>
              <w:rPr>
                <w:rFonts w:hint="eastAsia" w:ascii="宋体" w:hAnsi="宋体"/>
                <w:szCs w:val="21"/>
              </w:rPr>
              <w:t>根据投标人的质量、进度保障体系及质量、进度保障措施等内容进行评审：</w:t>
            </w:r>
          </w:p>
          <w:p>
            <w:pPr>
              <w:spacing w:line="360" w:lineRule="auto"/>
              <w:rPr>
                <w:rFonts w:ascii="宋体" w:hAnsi="宋体"/>
                <w:szCs w:val="21"/>
              </w:rPr>
            </w:pPr>
            <w:r>
              <w:rPr>
                <w:rFonts w:hint="eastAsia" w:ascii="宋体" w:hAnsi="宋体"/>
                <w:szCs w:val="21"/>
              </w:rPr>
              <w:t>1、质量、进度控制保障措施和方法全面、可行性高，操作性强，得5分；</w:t>
            </w:r>
          </w:p>
          <w:p>
            <w:pPr>
              <w:spacing w:line="360" w:lineRule="auto"/>
              <w:rPr>
                <w:rFonts w:ascii="宋体" w:hAnsi="宋体"/>
                <w:szCs w:val="21"/>
              </w:rPr>
            </w:pPr>
            <w:r>
              <w:rPr>
                <w:rFonts w:hint="eastAsia" w:ascii="宋体" w:hAnsi="宋体"/>
                <w:szCs w:val="21"/>
              </w:rPr>
              <w:t>2、质量、进度控制保障措施和方法较为全面、可行性较高、操作性较强，得3分；</w:t>
            </w:r>
          </w:p>
          <w:p>
            <w:pPr>
              <w:spacing w:line="360" w:lineRule="auto"/>
              <w:rPr>
                <w:rFonts w:ascii="宋体" w:hAnsi="宋体"/>
                <w:szCs w:val="21"/>
              </w:rPr>
            </w:pPr>
            <w:r>
              <w:rPr>
                <w:rFonts w:hint="eastAsia" w:ascii="宋体" w:hAnsi="宋体"/>
                <w:szCs w:val="21"/>
              </w:rPr>
              <w:t>3、质量、进度控制保障措施和方法基本清晰、基本可行，得1分；</w:t>
            </w:r>
          </w:p>
          <w:p>
            <w:pPr>
              <w:spacing w:line="360" w:lineRule="auto"/>
              <w:rPr>
                <w:rFonts w:ascii="宋体" w:hAnsi="宋体"/>
                <w:szCs w:val="21"/>
              </w:rPr>
            </w:pPr>
            <w:r>
              <w:rPr>
                <w:rFonts w:hint="eastAsia" w:ascii="宋体" w:hAnsi="宋体"/>
                <w:szCs w:val="21"/>
              </w:rPr>
              <w:t>4、不提供不得分。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75" w:type="dxa"/>
            <w:vAlign w:val="center"/>
          </w:tcPr>
          <w:p>
            <w:pPr>
              <w:spacing w:line="360" w:lineRule="auto"/>
              <w:jc w:val="center"/>
              <w:rPr>
                <w:rFonts w:ascii="宋体" w:hAnsi="宋体"/>
                <w:szCs w:val="21"/>
              </w:rPr>
            </w:pPr>
            <w:r>
              <w:rPr>
                <w:rFonts w:hint="eastAsia" w:ascii="宋体" w:hAnsi="宋体"/>
                <w:szCs w:val="21"/>
              </w:rPr>
              <w:t>4</w:t>
            </w:r>
          </w:p>
        </w:tc>
        <w:tc>
          <w:tcPr>
            <w:tcW w:w="704" w:type="dxa"/>
            <w:vAlign w:val="center"/>
          </w:tcPr>
          <w:p>
            <w:pPr>
              <w:spacing w:line="360" w:lineRule="auto"/>
              <w:jc w:val="center"/>
              <w:rPr>
                <w:rFonts w:ascii="宋体" w:hAnsi="宋体"/>
                <w:szCs w:val="21"/>
              </w:rPr>
            </w:pPr>
            <w:r>
              <w:rPr>
                <w:rFonts w:hint="eastAsia" w:ascii="宋体" w:hAnsi="宋体"/>
                <w:szCs w:val="21"/>
              </w:rPr>
              <w:t>5</w:t>
            </w:r>
          </w:p>
        </w:tc>
        <w:tc>
          <w:tcPr>
            <w:tcW w:w="1698" w:type="dxa"/>
            <w:vAlign w:val="center"/>
          </w:tcPr>
          <w:p>
            <w:pPr>
              <w:spacing w:line="360" w:lineRule="auto"/>
              <w:jc w:val="center"/>
              <w:rPr>
                <w:rFonts w:ascii="宋体" w:hAnsi="宋体"/>
                <w:szCs w:val="21"/>
              </w:rPr>
            </w:pPr>
            <w:r>
              <w:rPr>
                <w:rFonts w:hint="eastAsia" w:ascii="宋体" w:hAnsi="宋体" w:cs="宋体"/>
                <w:bCs/>
                <w:szCs w:val="21"/>
              </w:rPr>
              <w:t>实施方案</w:t>
            </w:r>
          </w:p>
        </w:tc>
        <w:tc>
          <w:tcPr>
            <w:tcW w:w="6492" w:type="dxa"/>
            <w:vAlign w:val="center"/>
          </w:tcPr>
          <w:p>
            <w:pPr>
              <w:snapToGrid w:val="0"/>
              <w:spacing w:line="360" w:lineRule="auto"/>
              <w:jc w:val="left"/>
              <w:rPr>
                <w:rFonts w:ascii="宋体" w:hAnsi="宋体" w:cs="宋体"/>
                <w:szCs w:val="21"/>
              </w:rPr>
            </w:pPr>
            <w:r>
              <w:rPr>
                <w:rFonts w:hint="eastAsia" w:ascii="宋体" w:hAnsi="宋体" w:cs="宋体"/>
                <w:szCs w:val="21"/>
              </w:rPr>
              <w:t>根据投标人的实施方案（包括但不限于：人员架构；服务运作流程；人员管理计划等）内容进行评审：</w:t>
            </w:r>
          </w:p>
          <w:p>
            <w:pPr>
              <w:spacing w:line="360" w:lineRule="auto"/>
              <w:jc w:val="left"/>
              <w:rPr>
                <w:rFonts w:ascii="宋体" w:hAnsi="宋体" w:cs="宋体"/>
                <w:bCs/>
                <w:szCs w:val="21"/>
              </w:rPr>
            </w:pPr>
            <w:r>
              <w:rPr>
                <w:rFonts w:hint="eastAsia" w:ascii="宋体" w:hAnsi="宋体" w:cs="宋体"/>
                <w:bCs/>
                <w:szCs w:val="21"/>
              </w:rPr>
              <w:t>1、投标人人员架构、管理健全和完善，并能在工作中切实执行，得5分；</w:t>
            </w:r>
          </w:p>
          <w:p>
            <w:pPr>
              <w:spacing w:line="360" w:lineRule="auto"/>
              <w:jc w:val="left"/>
              <w:rPr>
                <w:rFonts w:ascii="宋体" w:hAnsi="宋体" w:cs="宋体"/>
                <w:bCs/>
                <w:szCs w:val="21"/>
              </w:rPr>
            </w:pPr>
            <w:r>
              <w:rPr>
                <w:rFonts w:hint="eastAsia" w:ascii="宋体" w:hAnsi="宋体" w:cs="宋体"/>
                <w:bCs/>
                <w:szCs w:val="21"/>
              </w:rPr>
              <w:t>2、投标人人员架构、管理较合理，并能在工作中执行，得3分；</w:t>
            </w:r>
          </w:p>
          <w:p>
            <w:pPr>
              <w:spacing w:line="360" w:lineRule="auto"/>
              <w:jc w:val="left"/>
              <w:rPr>
                <w:rFonts w:ascii="宋体" w:hAnsi="宋体" w:cs="宋体"/>
                <w:bCs/>
                <w:szCs w:val="21"/>
              </w:rPr>
            </w:pPr>
            <w:r>
              <w:rPr>
                <w:rFonts w:hint="eastAsia" w:ascii="宋体" w:hAnsi="宋体" w:cs="宋体"/>
                <w:bCs/>
                <w:szCs w:val="21"/>
              </w:rPr>
              <w:t xml:space="preserve">3、投标人人员架构、管理尚可，基本满足项目需求，得1分； </w:t>
            </w:r>
          </w:p>
          <w:p>
            <w:pPr>
              <w:spacing w:line="360" w:lineRule="auto"/>
              <w:rPr>
                <w:rFonts w:ascii="宋体" w:hAnsi="宋体"/>
                <w:szCs w:val="21"/>
              </w:rPr>
            </w:pPr>
            <w:r>
              <w:rPr>
                <w:rFonts w:hint="eastAsia" w:ascii="宋体" w:hAnsi="宋体" w:cs="宋体"/>
                <w:szCs w:val="21"/>
              </w:rPr>
              <w:t>4、不提供不得分。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675" w:type="dxa"/>
            <w:vAlign w:val="center"/>
          </w:tcPr>
          <w:p>
            <w:pPr>
              <w:spacing w:line="360" w:lineRule="auto"/>
              <w:jc w:val="center"/>
              <w:rPr>
                <w:rFonts w:ascii="宋体" w:hAnsi="宋体"/>
                <w:szCs w:val="21"/>
              </w:rPr>
            </w:pPr>
            <w:r>
              <w:rPr>
                <w:rFonts w:hint="eastAsia" w:ascii="宋体" w:hAnsi="宋体"/>
                <w:szCs w:val="21"/>
              </w:rPr>
              <w:t>5</w:t>
            </w:r>
          </w:p>
        </w:tc>
        <w:tc>
          <w:tcPr>
            <w:tcW w:w="704" w:type="dxa"/>
            <w:vAlign w:val="center"/>
          </w:tcPr>
          <w:p>
            <w:pPr>
              <w:spacing w:line="360" w:lineRule="auto"/>
              <w:jc w:val="center"/>
              <w:rPr>
                <w:rFonts w:ascii="宋体" w:hAnsi="宋体"/>
                <w:szCs w:val="21"/>
              </w:rPr>
            </w:pPr>
            <w:r>
              <w:rPr>
                <w:rFonts w:hint="eastAsia" w:ascii="宋体" w:hAnsi="宋体"/>
                <w:szCs w:val="21"/>
              </w:rPr>
              <w:t>5</w:t>
            </w:r>
          </w:p>
        </w:tc>
        <w:tc>
          <w:tcPr>
            <w:tcW w:w="1698" w:type="dxa"/>
            <w:vAlign w:val="center"/>
          </w:tcPr>
          <w:p>
            <w:pPr>
              <w:spacing w:line="360" w:lineRule="auto"/>
              <w:jc w:val="center"/>
              <w:rPr>
                <w:rFonts w:ascii="宋体" w:hAnsi="宋体"/>
                <w:szCs w:val="21"/>
              </w:rPr>
            </w:pPr>
            <w:r>
              <w:rPr>
                <w:rFonts w:hint="eastAsia" w:ascii="宋体" w:hAnsi="宋体"/>
                <w:szCs w:val="21"/>
              </w:rPr>
              <w:t>应急处理方案</w:t>
            </w:r>
          </w:p>
        </w:tc>
        <w:tc>
          <w:tcPr>
            <w:tcW w:w="6492" w:type="dxa"/>
            <w:vAlign w:val="center"/>
          </w:tcPr>
          <w:p>
            <w:pPr>
              <w:pStyle w:val="2"/>
              <w:spacing w:line="360" w:lineRule="auto"/>
              <w:ind w:firstLine="0" w:firstLineChars="0"/>
            </w:pPr>
            <w:r>
              <w:rPr>
                <w:rFonts w:hint="eastAsia"/>
              </w:rPr>
              <w:t>根据投标人提供的应急处理方案（内容包括但不限于突发事件的处理措施及预案、人员调配、紧急情况的响应时间安排等）进行综合评审：</w:t>
            </w:r>
          </w:p>
          <w:p>
            <w:pPr>
              <w:pStyle w:val="2"/>
              <w:spacing w:line="360" w:lineRule="auto"/>
              <w:ind w:firstLine="0" w:firstLineChars="0"/>
            </w:pPr>
            <w:r>
              <w:rPr>
                <w:rFonts w:hint="eastAsia"/>
              </w:rPr>
              <w:t>1、应急方案具体、可行，针对性强的，能够体现出供应商的应急处理能力的，具有很强的预判性，有利于项目开展的，得5分；</w:t>
            </w:r>
          </w:p>
          <w:p>
            <w:pPr>
              <w:pStyle w:val="2"/>
              <w:spacing w:line="360" w:lineRule="auto"/>
              <w:ind w:firstLine="0" w:firstLineChars="0"/>
            </w:pPr>
            <w:r>
              <w:rPr>
                <w:rFonts w:hint="eastAsia"/>
              </w:rPr>
              <w:t>2、应急方案较具体、可行，针对性较强的，基本能展示供应商的应急处理能力，具有较强的预判性，一定程度上有利于项目开展的，得3分；</w:t>
            </w:r>
          </w:p>
          <w:p>
            <w:pPr>
              <w:pStyle w:val="2"/>
              <w:spacing w:line="360" w:lineRule="auto"/>
              <w:ind w:firstLine="0" w:firstLineChars="0"/>
            </w:pPr>
            <w:r>
              <w:rPr>
                <w:rFonts w:hint="eastAsia"/>
              </w:rPr>
              <w:t>3、应急方案不够具体、不够可行，无法直观展现供应商的应急处理能力，预判能力不足，对项目的开展助力不足的，得1分；</w:t>
            </w:r>
          </w:p>
          <w:p>
            <w:pPr>
              <w:pStyle w:val="2"/>
              <w:spacing w:line="360" w:lineRule="auto"/>
              <w:ind w:firstLine="0" w:firstLineChars="0"/>
            </w:pPr>
            <w:r>
              <w:rPr>
                <w:rFonts w:hint="eastAsia"/>
              </w:rPr>
              <w:t>4、不提供或其它不得分。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trPr>
        <w:tc>
          <w:tcPr>
            <w:tcW w:w="9569" w:type="dxa"/>
            <w:gridSpan w:val="4"/>
            <w:vAlign w:val="center"/>
          </w:tcPr>
          <w:p>
            <w:pPr>
              <w:spacing w:line="360" w:lineRule="auto"/>
              <w:jc w:val="center"/>
              <w:rPr>
                <w:rFonts w:ascii="宋体" w:hAnsi="宋体"/>
                <w:szCs w:val="21"/>
              </w:rPr>
            </w:pPr>
            <w:r>
              <w:rPr>
                <w:rFonts w:hint="eastAsia" w:ascii="宋体" w:hAnsi="宋体"/>
                <w:szCs w:val="21"/>
              </w:rPr>
              <w:t>合计：</w:t>
            </w:r>
            <w:r>
              <w:rPr>
                <w:rFonts w:ascii="宋体" w:hAnsi="宋体"/>
                <w:szCs w:val="21"/>
              </w:rPr>
              <w:t>25</w:t>
            </w:r>
            <w:r>
              <w:rPr>
                <w:rFonts w:hint="eastAsia" w:ascii="宋体" w:hAnsi="宋体"/>
                <w:szCs w:val="21"/>
              </w:rPr>
              <w:t>分</w:t>
            </w:r>
          </w:p>
        </w:tc>
      </w:tr>
    </w:tbl>
    <w:p>
      <w:pPr>
        <w:tabs>
          <w:tab w:val="left" w:pos="0"/>
        </w:tabs>
        <w:spacing w:line="360" w:lineRule="auto"/>
        <w:rPr>
          <w:rFonts w:ascii="宋体" w:hAnsi="宋体"/>
          <w:b/>
          <w:bCs/>
          <w:color w:val="000000"/>
          <w:szCs w:val="21"/>
        </w:rPr>
      </w:pPr>
      <w:r>
        <w:rPr>
          <w:rFonts w:ascii="宋体" w:hAnsi="宋体" w:cs="宋体"/>
          <w:b/>
          <w:color w:val="000000"/>
          <w:szCs w:val="21"/>
        </w:rPr>
        <w:t>备注：</w:t>
      </w:r>
      <w:r>
        <w:rPr>
          <w:rFonts w:hint="eastAsia" w:ascii="宋体" w:hAnsi="宋体"/>
          <w:b/>
          <w:bCs/>
          <w:color w:val="000000"/>
          <w:szCs w:val="21"/>
        </w:rPr>
        <w:t>投标人应提交</w:t>
      </w:r>
      <w:r>
        <w:rPr>
          <w:rFonts w:ascii="宋体" w:hAnsi="宋体"/>
          <w:b/>
          <w:bCs/>
          <w:color w:val="000000"/>
          <w:szCs w:val="21"/>
        </w:rPr>
        <w:t>与评价指标体系相关的各类有效资料。</w:t>
      </w:r>
      <w:bookmarkStart w:id="267" w:name="_Toc130695661"/>
      <w:bookmarkStart w:id="268" w:name="_Toc228645027"/>
      <w:bookmarkStart w:id="269" w:name="_Toc185747651"/>
      <w:bookmarkStart w:id="270" w:name="_Toc225566003"/>
      <w:bookmarkStart w:id="271" w:name="_Toc228899551"/>
      <w:bookmarkStart w:id="272" w:name="_Toc238282384"/>
      <w:bookmarkStart w:id="273" w:name="_Toc153615359"/>
      <w:bookmarkStart w:id="274" w:name="_Toc130697253"/>
      <w:bookmarkStart w:id="275" w:name="_Toc224435777"/>
    </w:p>
    <w:p>
      <w:pPr>
        <w:tabs>
          <w:tab w:val="left" w:pos="0"/>
        </w:tabs>
        <w:spacing w:line="360" w:lineRule="auto"/>
        <w:jc w:val="left"/>
        <w:rPr>
          <w:rFonts w:ascii="宋体" w:hAnsi="宋体"/>
          <w:b/>
          <w:bCs/>
          <w:color w:val="000000"/>
          <w:szCs w:val="21"/>
        </w:rPr>
      </w:pPr>
    </w:p>
    <w:p>
      <w:pPr>
        <w:tabs>
          <w:tab w:val="left" w:pos="0"/>
        </w:tabs>
        <w:spacing w:line="360" w:lineRule="auto"/>
        <w:jc w:val="center"/>
        <w:rPr>
          <w:rFonts w:ascii="Arial" w:hAnsi="Arial" w:eastAsia="黑体"/>
          <w:b/>
          <w:bCs/>
          <w:sz w:val="32"/>
          <w:szCs w:val="32"/>
        </w:rPr>
      </w:pPr>
      <w:r>
        <w:rPr>
          <w:rFonts w:hint="eastAsia" w:ascii="Arial" w:hAnsi="Arial" w:eastAsia="黑体"/>
          <w:b/>
          <w:bCs/>
          <w:sz w:val="32"/>
          <w:szCs w:val="32"/>
        </w:rPr>
        <w:t>价格评审表</w:t>
      </w:r>
    </w:p>
    <w:tbl>
      <w:tblPr>
        <w:tblStyle w:val="39"/>
        <w:tblW w:w="9569" w:type="dxa"/>
        <w:tblInd w:w="0" w:type="dxa"/>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69"/>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c>
          <w:tcPr>
            <w:tcW w:w="9569" w:type="dxa"/>
          </w:tcPr>
          <w:p>
            <w:pPr>
              <w:widowControl/>
              <w:tabs>
                <w:tab w:val="left" w:pos="720"/>
              </w:tabs>
              <w:spacing w:line="360" w:lineRule="auto"/>
              <w:rPr>
                <w:rFonts w:ascii="宋体" w:hAnsi="宋体"/>
                <w:szCs w:val="21"/>
              </w:rPr>
            </w:pPr>
            <w:r>
              <w:rPr>
                <w:rFonts w:hint="eastAsia" w:ascii="宋体" w:hAnsi="宋体"/>
                <w:szCs w:val="21"/>
              </w:rPr>
              <w:t>价格评分：评标委员会对入围的投标人的投标价格进行修正核实。综合评分法中的价格分统一采用低价优先法计算，即满足招标文件要求且投标价格最低的投标报价为评标基准价，其价格分为满分。其他投标人的价格分统一按照下列公式计算：</w:t>
            </w:r>
          </w:p>
          <w:p>
            <w:pPr>
              <w:widowControl/>
              <w:tabs>
                <w:tab w:val="left" w:pos="720"/>
              </w:tabs>
              <w:spacing w:line="360" w:lineRule="auto"/>
              <w:rPr>
                <w:rFonts w:ascii="Arial" w:hAnsi="Arial"/>
                <w:b/>
                <w:bCs/>
                <w:sz w:val="32"/>
                <w:szCs w:val="32"/>
              </w:rPr>
            </w:pPr>
            <w:r>
              <w:rPr>
                <w:rFonts w:hint="eastAsia" w:ascii="宋体" w:hAnsi="宋体"/>
                <w:szCs w:val="21"/>
              </w:rPr>
              <w:t>投标报价得分=（评标基准价／投标报价）×价格权重×100（精确到0.01）</w:t>
            </w:r>
          </w:p>
        </w:tc>
      </w:tr>
    </w:tbl>
    <w:p/>
    <w:bookmarkEnd w:id="267"/>
    <w:bookmarkEnd w:id="268"/>
    <w:bookmarkEnd w:id="269"/>
    <w:bookmarkEnd w:id="270"/>
    <w:bookmarkEnd w:id="271"/>
    <w:bookmarkEnd w:id="272"/>
    <w:bookmarkEnd w:id="273"/>
    <w:bookmarkEnd w:id="274"/>
    <w:bookmarkEnd w:id="275"/>
    <w:p>
      <w:bookmarkStart w:id="276" w:name="_Toc130180844"/>
      <w:bookmarkStart w:id="277" w:name="_Toc130180925"/>
      <w:bookmarkStart w:id="278" w:name="_Toc130180739"/>
      <w:bookmarkStart w:id="279" w:name="_Toc334797767"/>
      <w:bookmarkStart w:id="280" w:name="_Toc238282340"/>
      <w:r>
        <w:rPr>
          <w:rFonts w:hint="eastAsia"/>
        </w:rPr>
        <w:br w:type="page"/>
      </w:r>
      <w:bookmarkStart w:id="281" w:name="_Toc14619"/>
      <w:bookmarkStart w:id="282" w:name="_Toc22981"/>
      <w:bookmarkStart w:id="283" w:name="_Toc30787"/>
      <w:bookmarkStart w:id="284" w:name="_Toc32152"/>
      <w:bookmarkStart w:id="285" w:name="_Toc15420"/>
    </w:p>
    <w:p>
      <w:pPr>
        <w:pStyle w:val="4"/>
        <w:keepLines w:val="0"/>
        <w:spacing w:before="0" w:after="0" w:line="360" w:lineRule="auto"/>
        <w:ind w:right="-441" w:rightChars="-210"/>
        <w:jc w:val="center"/>
        <w:rPr>
          <w:bCs w:val="0"/>
          <w:sz w:val="32"/>
          <w:szCs w:val="32"/>
        </w:rPr>
      </w:pPr>
      <w:r>
        <w:rPr>
          <w:rFonts w:hint="eastAsia"/>
          <w:bCs w:val="0"/>
          <w:sz w:val="32"/>
          <w:szCs w:val="32"/>
        </w:rPr>
        <w:t>第五章</w:t>
      </w:r>
      <w:r>
        <w:rPr>
          <w:bCs w:val="0"/>
          <w:sz w:val="32"/>
          <w:szCs w:val="32"/>
        </w:rPr>
        <w:t xml:space="preserve">  </w:t>
      </w:r>
      <w:r>
        <w:rPr>
          <w:rFonts w:hint="eastAsia"/>
          <w:bCs w:val="0"/>
          <w:sz w:val="32"/>
          <w:szCs w:val="32"/>
        </w:rPr>
        <w:t>投标文件格式</w:t>
      </w:r>
      <w:bookmarkEnd w:id="276"/>
      <w:bookmarkEnd w:id="277"/>
      <w:bookmarkEnd w:id="278"/>
      <w:bookmarkEnd w:id="279"/>
      <w:bookmarkEnd w:id="280"/>
      <w:bookmarkEnd w:id="281"/>
      <w:bookmarkEnd w:id="282"/>
      <w:bookmarkEnd w:id="283"/>
      <w:bookmarkEnd w:id="284"/>
      <w:bookmarkEnd w:id="285"/>
      <w:bookmarkStart w:id="286" w:name="_Toc130139098"/>
    </w:p>
    <w:tbl>
      <w:tblPr>
        <w:tblStyle w:val="39"/>
        <w:tblW w:w="9565" w:type="dxa"/>
        <w:tblInd w:w="0" w:type="dxa"/>
        <w:tblLayout w:type="fixed"/>
        <w:tblCellMar>
          <w:top w:w="0" w:type="dxa"/>
          <w:left w:w="108" w:type="dxa"/>
          <w:bottom w:w="0" w:type="dxa"/>
          <w:right w:w="108" w:type="dxa"/>
        </w:tblCellMar>
      </w:tblPr>
      <w:tblGrid>
        <w:gridCol w:w="880"/>
        <w:gridCol w:w="6820"/>
        <w:gridCol w:w="718"/>
        <w:gridCol w:w="720"/>
        <w:gridCol w:w="416"/>
        <w:gridCol w:w="11"/>
      </w:tblGrid>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b/>
                <w:bCs/>
                <w:color w:val="000000"/>
                <w:kern w:val="0"/>
                <w:szCs w:val="21"/>
              </w:rPr>
              <w:t>序号</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r>
              <w:rPr>
                <w:rFonts w:hint="eastAsia" w:ascii="宋体" w:hAnsi="宋体" w:cs="宋体"/>
                <w:b/>
                <w:bCs/>
                <w:color w:val="000000"/>
                <w:kern w:val="0"/>
                <w:szCs w:val="21"/>
              </w:rPr>
              <w:t>内      容</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r>
              <w:rPr>
                <w:rFonts w:hint="eastAsia" w:ascii="宋体" w:hAnsi="宋体" w:cs="宋体"/>
                <w:b/>
                <w:bCs/>
                <w:color w:val="000000"/>
                <w:kern w:val="0"/>
                <w:szCs w:val="21"/>
              </w:rPr>
              <w:t>是否提交</w:t>
            </w: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r>
              <w:rPr>
                <w:rFonts w:hint="eastAsia" w:ascii="宋体" w:hAnsi="宋体" w:cs="宋体"/>
                <w:b/>
                <w:bCs/>
                <w:color w:val="000000"/>
                <w:kern w:val="0"/>
                <w:szCs w:val="21"/>
              </w:rPr>
              <w:t>页码范围</w:t>
            </w:r>
          </w:p>
        </w:tc>
        <w:tc>
          <w:tcPr>
            <w:tcW w:w="427" w:type="dxa"/>
            <w:gridSpan w:val="2"/>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r>
              <w:rPr>
                <w:rFonts w:hint="eastAsia" w:ascii="宋体" w:hAnsi="宋体" w:cs="宋体"/>
                <w:b/>
                <w:bCs/>
                <w:color w:val="000000"/>
                <w:kern w:val="0"/>
                <w:szCs w:val="21"/>
              </w:rPr>
              <w:t>备注</w:t>
            </w:r>
          </w:p>
        </w:tc>
      </w:tr>
      <w:tr>
        <w:tblPrEx>
          <w:tblCellMar>
            <w:top w:w="0" w:type="dxa"/>
            <w:left w:w="108" w:type="dxa"/>
            <w:bottom w:w="0" w:type="dxa"/>
            <w:right w:w="108" w:type="dxa"/>
          </w:tblCellMar>
        </w:tblPrEx>
        <w:trPr>
          <w:trHeight w:val="7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b/>
                <w:bCs/>
                <w:color w:val="000000"/>
                <w:kern w:val="0"/>
                <w:szCs w:val="21"/>
              </w:rPr>
              <w:t>一</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b/>
                <w:bCs/>
                <w:color w:val="000000"/>
                <w:kern w:val="0"/>
                <w:szCs w:val="21"/>
              </w:rPr>
              <w:t>投标报价文件</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trHeight w:val="7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1.1</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color w:val="000000"/>
                <w:kern w:val="0"/>
                <w:szCs w:val="21"/>
              </w:rPr>
              <w:t>投标函（格式1）</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trHeight w:val="7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1.2</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开标一览表（格式2）</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trHeight w:val="7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1</w:t>
            </w:r>
            <w:r>
              <w:rPr>
                <w:rFonts w:ascii="宋体" w:hAnsi="宋体" w:cs="宋体"/>
                <w:color w:val="000000"/>
                <w:kern w:val="0"/>
                <w:szCs w:val="21"/>
              </w:rPr>
              <w:t>.3</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报价明细表（格式3）</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101"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b/>
                <w:bCs/>
                <w:color w:val="000000"/>
                <w:kern w:val="0"/>
                <w:szCs w:val="21"/>
              </w:rPr>
              <w:t>二</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b/>
                <w:bCs/>
                <w:color w:val="000000"/>
                <w:kern w:val="0"/>
                <w:szCs w:val="21"/>
              </w:rPr>
              <w:t>资格审查文件</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119"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2.1</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资格声明函（格式</w:t>
            </w:r>
            <w:r>
              <w:rPr>
                <w:rFonts w:ascii="宋体" w:hAnsi="宋体" w:cs="宋体"/>
                <w:color w:val="000000"/>
                <w:kern w:val="0"/>
                <w:szCs w:val="21"/>
              </w:rPr>
              <w:t>4</w:t>
            </w:r>
            <w:r>
              <w:rPr>
                <w:rFonts w:hint="eastAsia" w:ascii="宋体" w:hAnsi="宋体" w:cs="宋体"/>
                <w:color w:val="000000"/>
                <w:kern w:val="0"/>
                <w:szCs w:val="21"/>
              </w:rPr>
              <w:t>）</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1404"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2.2</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Arial"/>
                <w:szCs w:val="21"/>
              </w:rPr>
              <w:t>具有独立承担民事责任的能力：在中华人民共和国境内注册的法人或其他组织或自然人，投标时提交有效的营业执照（或事业法人登记证或身份证等相关证明）副本复印件。分支机构投标的，须提供总公司和分公司营业执照副本复印件，总公司出具给分支机构的授权书。</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518"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2.3</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Arial"/>
                <w:szCs w:val="21"/>
              </w:rPr>
            </w:pPr>
            <w:r>
              <w:rPr>
                <w:rFonts w:hint="eastAsia" w:ascii="宋体" w:hAnsi="宋体" w:cs="Arial"/>
                <w:szCs w:val="21"/>
              </w:rPr>
              <w:t>有依法缴纳税收和社会保障资金的良好记录：提供《资格声明函》。</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568"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2.4</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Arial"/>
                <w:szCs w:val="21"/>
              </w:rPr>
            </w:pPr>
            <w:r>
              <w:rPr>
                <w:rFonts w:hint="eastAsia" w:ascii="宋体" w:hAnsi="宋体" w:cs="Arial"/>
                <w:szCs w:val="21"/>
              </w:rPr>
              <w:t>具有良好的商业信誉和健全的财务会计制度：提供《资格声明函》。</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548"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2</w:t>
            </w:r>
            <w:r>
              <w:rPr>
                <w:rFonts w:ascii="宋体" w:hAnsi="宋体" w:cs="宋体"/>
                <w:kern w:val="0"/>
                <w:szCs w:val="21"/>
              </w:rPr>
              <w:t>.5</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Arial"/>
                <w:szCs w:val="21"/>
              </w:rPr>
            </w:pPr>
            <w:r>
              <w:rPr>
                <w:rFonts w:hint="eastAsia" w:ascii="宋体" w:hAnsi="宋体" w:cs="Arial"/>
                <w:szCs w:val="21"/>
              </w:rPr>
              <w:t>履行合同所必需的设备和专业技术能力：提供《资格声明函》。</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1404"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2</w:t>
            </w:r>
            <w:r>
              <w:rPr>
                <w:rFonts w:ascii="宋体" w:hAnsi="宋体" w:cs="宋体"/>
                <w:kern w:val="0"/>
                <w:szCs w:val="21"/>
              </w:rPr>
              <w:t>.6</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Arial"/>
                <w:szCs w:val="21"/>
              </w:rPr>
            </w:pPr>
            <w:r>
              <w:rPr>
                <w:rFonts w:hint="eastAsia" w:ascii="宋体" w:hAnsi="宋体" w:cs="Arial"/>
                <w:szCs w:val="21"/>
              </w:rPr>
              <w:t>参加采购活动前3年内，在经营活动中没有重大违法记录：提供《资格声明函》。</w:t>
            </w:r>
            <w:r>
              <w:rPr>
                <w:rFonts w:hint="eastAsia"/>
                <w:color w:val="333333"/>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506"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2</w:t>
            </w:r>
            <w:r>
              <w:rPr>
                <w:rFonts w:ascii="宋体" w:hAnsi="宋体" w:cs="宋体"/>
                <w:kern w:val="0"/>
                <w:szCs w:val="21"/>
              </w:rPr>
              <w:t>.7</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Arial"/>
                <w:szCs w:val="21"/>
              </w:rPr>
            </w:pPr>
            <w:r>
              <w:rPr>
                <w:rFonts w:hint="eastAsia" w:ascii="宋体" w:hAnsi="宋体" w:cs="Arial"/>
                <w:szCs w:val="21"/>
              </w:rPr>
              <w:t>符合法律、行政法规规定的其他条件：提供《资格声明函》。</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1404"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2</w:t>
            </w:r>
            <w:r>
              <w:rPr>
                <w:rFonts w:ascii="宋体" w:hAnsi="宋体" w:cs="宋体"/>
                <w:kern w:val="0"/>
                <w:szCs w:val="21"/>
              </w:rPr>
              <w:t>.8</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Arial"/>
                <w:szCs w:val="21"/>
              </w:rPr>
            </w:pPr>
            <w:r>
              <w:rPr>
                <w:rFonts w:hint="eastAsia" w:ascii="宋体" w:hAnsi="宋体" w:cs="Arial"/>
                <w:szCs w:val="21"/>
              </w:rPr>
              <w:t>单位负责人为同一人或者存在直接控股、管理关系的不同供应商，不得同时参加本采购项目响应。为本项目提供整体设计、规范编制或者项目管理、监理、检测等服务的供应商，不得再参与本项目响应。提供《资格声明函》。</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7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2.</w:t>
            </w:r>
            <w:r>
              <w:rPr>
                <w:rFonts w:ascii="宋体" w:hAnsi="宋体" w:cs="宋体"/>
                <w:color w:val="000000"/>
                <w:kern w:val="0"/>
                <w:szCs w:val="21"/>
              </w:rPr>
              <w:t>9</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Arial"/>
                <w:szCs w:val="21"/>
              </w:rPr>
              <w:t>未列入“信用中国”网站中“记录失信被执行人或税收违法黑名单或政府采购严重违法失信行为”的记录名单；不处于“中国政府采购网”中“政府采购严重违法失信行为信息记录”的禁止参加政府采购活动期间。</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7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2</w:t>
            </w:r>
            <w:r>
              <w:rPr>
                <w:rFonts w:ascii="宋体" w:hAnsi="宋体" w:cs="宋体"/>
                <w:color w:val="000000"/>
                <w:kern w:val="0"/>
                <w:szCs w:val="21"/>
              </w:rPr>
              <w:t>.10</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Arial"/>
                <w:szCs w:val="21"/>
              </w:rPr>
            </w:pPr>
            <w:r>
              <w:rPr>
                <w:rFonts w:hint="eastAsia" w:ascii="宋体" w:hAnsi="宋体" w:cs="Arial"/>
                <w:szCs w:val="21"/>
              </w:rPr>
              <w:t>供应商须具备有效期内测绘行政主管部门颁发的乙级或以上测绘资质（专业类别须同时包含界线与不动产测绘、工程测量）。（提供证书复印件并加盖公章）</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7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2.</w:t>
            </w:r>
            <w:r>
              <w:rPr>
                <w:rFonts w:ascii="宋体" w:hAnsi="宋体" w:cs="宋体"/>
                <w:color w:val="000000"/>
                <w:kern w:val="0"/>
                <w:szCs w:val="21"/>
              </w:rPr>
              <w:t>11</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szCs w:val="21"/>
              </w:rPr>
              <w:t>获取采购文件的收据或发票复印件</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70"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2.</w:t>
            </w:r>
            <w:r>
              <w:rPr>
                <w:rFonts w:ascii="宋体" w:hAnsi="宋体" w:cs="宋体"/>
                <w:color w:val="000000"/>
                <w:kern w:val="0"/>
                <w:szCs w:val="21"/>
              </w:rPr>
              <w:t>12</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cs="宋体"/>
                <w:szCs w:val="21"/>
              </w:rPr>
            </w:pPr>
            <w:r>
              <w:rPr>
                <w:rFonts w:hint="eastAsia" w:ascii="宋体" w:hAnsi="宋体" w:cs="宋体"/>
                <w:color w:val="000000"/>
                <w:kern w:val="0"/>
                <w:szCs w:val="21"/>
              </w:rPr>
              <w:t>其他资格证明文件</w:t>
            </w:r>
            <w:r>
              <w:rPr>
                <w:rFonts w:hint="eastAsia" w:ascii="宋体" w:hAnsi="宋体" w:cs="宋体"/>
                <w:b/>
                <w:bCs/>
                <w:color w:val="000000"/>
                <w:kern w:val="0"/>
                <w:szCs w:val="21"/>
              </w:rPr>
              <w:t>（详见投标邀请-供应商资格要求）</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91"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b/>
                <w:bCs/>
                <w:color w:val="000000"/>
                <w:kern w:val="0"/>
                <w:szCs w:val="21"/>
              </w:rPr>
              <w:t>三</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bCs/>
                <w:szCs w:val="21"/>
              </w:rPr>
            </w:pPr>
            <w:r>
              <w:rPr>
                <w:rFonts w:hint="eastAsia" w:ascii="宋体" w:hAnsi="宋体" w:cs="宋体"/>
                <w:b/>
                <w:bCs/>
                <w:color w:val="000000"/>
                <w:kern w:val="0"/>
                <w:szCs w:val="21"/>
              </w:rPr>
              <w:t>符合性审查文件</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91"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3.1</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color w:val="000000"/>
                <w:kern w:val="0"/>
                <w:szCs w:val="21"/>
              </w:rPr>
              <w:t>法定代表人（负责人）证明及授权书（格式</w:t>
            </w:r>
            <w:r>
              <w:rPr>
                <w:rFonts w:ascii="宋体" w:hAnsi="宋体" w:cs="宋体"/>
                <w:color w:val="000000"/>
                <w:kern w:val="0"/>
                <w:szCs w:val="21"/>
              </w:rPr>
              <w:t>5</w:t>
            </w:r>
            <w:r>
              <w:rPr>
                <w:rFonts w:hint="eastAsia" w:ascii="宋体" w:hAnsi="宋体" w:cs="宋体"/>
                <w:color w:val="000000"/>
                <w:kern w:val="0"/>
                <w:szCs w:val="21"/>
              </w:rPr>
              <w:t>）</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gridAfter w:val="1"/>
          <w:wAfter w:w="11" w:type="dxa"/>
          <w:trHeight w:val="91"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3.2</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szCs w:val="21"/>
              </w:rPr>
              <w:t>实质性条款响应一览表（格式</w:t>
            </w:r>
            <w:r>
              <w:rPr>
                <w:rFonts w:ascii="宋体" w:hAnsi="宋体" w:cs="宋体"/>
                <w:szCs w:val="21"/>
              </w:rPr>
              <w:t>6</w:t>
            </w:r>
            <w:r>
              <w:rPr>
                <w:rFonts w:hint="eastAsia" w:ascii="宋体" w:hAnsi="宋体" w:cs="宋体"/>
                <w:szCs w:val="21"/>
              </w:rPr>
              <w:t>）</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1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trHeight w:val="285"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b/>
                <w:bCs/>
                <w:color w:val="000000"/>
                <w:kern w:val="0"/>
                <w:szCs w:val="21"/>
              </w:rPr>
              <w:t>四</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b/>
                <w:bCs/>
                <w:color w:val="000000"/>
                <w:kern w:val="0"/>
                <w:szCs w:val="21"/>
              </w:rPr>
            </w:pPr>
            <w:r>
              <w:rPr>
                <w:rFonts w:hint="eastAsia" w:ascii="宋体" w:hAnsi="宋体" w:cs="宋体"/>
                <w:b/>
                <w:bCs/>
                <w:color w:val="000000"/>
                <w:kern w:val="0"/>
                <w:szCs w:val="21"/>
              </w:rPr>
              <w:t>商务文件目录表</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trHeight w:val="161"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4.1</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商务评审索引表（格式</w:t>
            </w:r>
            <w:r>
              <w:rPr>
                <w:rFonts w:ascii="宋体" w:hAnsi="宋体" w:cs="宋体"/>
                <w:color w:val="000000"/>
                <w:kern w:val="0"/>
                <w:szCs w:val="21"/>
              </w:rPr>
              <w:t>7</w:t>
            </w:r>
            <w:r>
              <w:rPr>
                <w:rFonts w:hint="eastAsia" w:ascii="宋体" w:hAnsi="宋体" w:cs="宋体"/>
                <w:color w:val="000000"/>
                <w:kern w:val="0"/>
                <w:szCs w:val="21"/>
              </w:rPr>
              <w:t>）</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jc w:val="center"/>
              <w:rPr>
                <w:rFonts w:ascii="宋体" w:hAnsi="宋体" w:cs="宋体"/>
                <w:b/>
                <w:bCs/>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b/>
                <w:bCs/>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Cs w:val="21"/>
              </w:rPr>
            </w:pPr>
          </w:p>
        </w:tc>
      </w:tr>
      <w:tr>
        <w:tblPrEx>
          <w:tblCellMar>
            <w:top w:w="0" w:type="dxa"/>
            <w:left w:w="108" w:type="dxa"/>
            <w:bottom w:w="0" w:type="dxa"/>
            <w:right w:w="108" w:type="dxa"/>
          </w:tblCellMar>
        </w:tblPrEx>
        <w:trPr>
          <w:trHeight w:val="191" w:hRule="atLeast"/>
        </w:trPr>
        <w:tc>
          <w:tcPr>
            <w:tcW w:w="880" w:type="dxa"/>
            <w:tcBorders>
              <w:top w:val="nil"/>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4.2</w:t>
            </w:r>
          </w:p>
        </w:tc>
        <w:tc>
          <w:tcPr>
            <w:tcW w:w="6820" w:type="dxa"/>
            <w:tcBorders>
              <w:top w:val="nil"/>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同意采购文件条款说明（格式</w:t>
            </w:r>
            <w:r>
              <w:rPr>
                <w:rFonts w:ascii="宋体" w:hAnsi="宋体" w:cs="宋体"/>
                <w:color w:val="000000"/>
                <w:kern w:val="0"/>
                <w:szCs w:val="21"/>
              </w:rPr>
              <w:t>8</w:t>
            </w:r>
            <w:r>
              <w:rPr>
                <w:rFonts w:hint="eastAsia" w:ascii="宋体" w:hAnsi="宋体" w:cs="宋体"/>
                <w:color w:val="000000"/>
                <w:kern w:val="0"/>
                <w:szCs w:val="21"/>
              </w:rPr>
              <w:t>）</w:t>
            </w:r>
          </w:p>
        </w:tc>
        <w:tc>
          <w:tcPr>
            <w:tcW w:w="718"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155" w:hRule="atLeast"/>
        </w:trPr>
        <w:tc>
          <w:tcPr>
            <w:tcW w:w="880" w:type="dxa"/>
            <w:tcBorders>
              <w:top w:val="nil"/>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kern w:val="0"/>
                <w:szCs w:val="21"/>
              </w:rPr>
              <w:t>4.3</w:t>
            </w:r>
          </w:p>
        </w:tc>
        <w:tc>
          <w:tcPr>
            <w:tcW w:w="6820" w:type="dxa"/>
            <w:tcBorders>
              <w:top w:val="nil"/>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投标人简介（格式自定）</w:t>
            </w:r>
          </w:p>
        </w:tc>
        <w:tc>
          <w:tcPr>
            <w:tcW w:w="718"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174" w:hRule="atLeast"/>
        </w:trPr>
        <w:tc>
          <w:tcPr>
            <w:tcW w:w="880" w:type="dxa"/>
            <w:tcBorders>
              <w:top w:val="nil"/>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4.4</w:t>
            </w:r>
          </w:p>
        </w:tc>
        <w:tc>
          <w:tcPr>
            <w:tcW w:w="6820" w:type="dxa"/>
            <w:tcBorders>
              <w:top w:val="nil"/>
              <w:left w:val="nil"/>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同类项目业绩情况一览表（格式</w:t>
            </w:r>
            <w:r>
              <w:rPr>
                <w:rFonts w:ascii="宋体" w:hAnsi="宋体" w:cs="宋体"/>
                <w:color w:val="000000"/>
                <w:kern w:val="0"/>
                <w:szCs w:val="21"/>
              </w:rPr>
              <w:t>9</w:t>
            </w:r>
            <w:r>
              <w:rPr>
                <w:rFonts w:hint="eastAsia" w:ascii="宋体" w:hAnsi="宋体" w:cs="宋体"/>
                <w:color w:val="000000"/>
                <w:kern w:val="0"/>
                <w:szCs w:val="21"/>
              </w:rPr>
              <w:t>）</w:t>
            </w:r>
          </w:p>
        </w:tc>
        <w:tc>
          <w:tcPr>
            <w:tcW w:w="718"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205" w:hRule="atLeast"/>
        </w:trPr>
        <w:tc>
          <w:tcPr>
            <w:tcW w:w="880" w:type="dxa"/>
            <w:tcBorders>
              <w:top w:val="nil"/>
              <w:left w:val="single" w:color="auto" w:sz="4" w:space="0"/>
              <w:bottom w:val="single" w:color="auto" w:sz="4" w:space="0"/>
              <w:right w:val="single" w:color="auto" w:sz="4" w:space="0"/>
            </w:tcBorders>
            <w:vAlign w:val="center"/>
          </w:tcPr>
          <w:p>
            <w:pPr>
              <w:widowControl/>
              <w:spacing w:line="360" w:lineRule="auto"/>
              <w:rPr>
                <w:rFonts w:ascii="宋体" w:hAnsi="宋体" w:cs="宋体"/>
                <w:color w:val="000000"/>
                <w:kern w:val="0"/>
                <w:szCs w:val="21"/>
              </w:rPr>
            </w:pPr>
            <w:r>
              <w:rPr>
                <w:rFonts w:hint="eastAsia" w:ascii="宋体" w:hAnsi="宋体" w:cs="宋体"/>
                <w:color w:val="000000"/>
                <w:kern w:val="0"/>
                <w:szCs w:val="21"/>
              </w:rPr>
              <w:t>4.5</w:t>
            </w:r>
          </w:p>
        </w:tc>
        <w:tc>
          <w:tcPr>
            <w:tcW w:w="6820" w:type="dxa"/>
            <w:tcBorders>
              <w:top w:val="nil"/>
              <w:left w:val="nil"/>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color w:val="000000"/>
                <w:kern w:val="0"/>
                <w:szCs w:val="21"/>
              </w:rPr>
              <w:t>拟派本项目负责人及主要人员情况表（格式1</w:t>
            </w:r>
            <w:r>
              <w:rPr>
                <w:rFonts w:ascii="宋体" w:hAnsi="宋体" w:cs="宋体"/>
                <w:color w:val="000000"/>
                <w:kern w:val="0"/>
                <w:szCs w:val="21"/>
              </w:rPr>
              <w:t>0</w:t>
            </w:r>
            <w:r>
              <w:rPr>
                <w:rFonts w:hint="eastAsia" w:ascii="宋体" w:hAnsi="宋体" w:cs="宋体"/>
                <w:color w:val="000000"/>
                <w:kern w:val="0"/>
                <w:szCs w:val="21"/>
              </w:rPr>
              <w:t>）</w:t>
            </w:r>
          </w:p>
        </w:tc>
        <w:tc>
          <w:tcPr>
            <w:tcW w:w="718"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113" w:hRule="atLeast"/>
        </w:trPr>
        <w:tc>
          <w:tcPr>
            <w:tcW w:w="880" w:type="dxa"/>
            <w:tcBorders>
              <w:top w:val="nil"/>
              <w:left w:val="single" w:color="auto" w:sz="4" w:space="0"/>
              <w:bottom w:val="single" w:color="auto" w:sz="4" w:space="0"/>
              <w:right w:val="single" w:color="auto" w:sz="4" w:space="0"/>
            </w:tcBorders>
            <w:vAlign w:val="center"/>
          </w:tcPr>
          <w:p>
            <w:pPr>
              <w:spacing w:line="360" w:lineRule="auto"/>
              <w:rPr>
                <w:rFonts w:ascii="宋体" w:hAnsi="宋体" w:cs="宋体"/>
                <w:color w:val="000000"/>
                <w:kern w:val="0"/>
                <w:szCs w:val="21"/>
              </w:rPr>
            </w:pPr>
            <w:r>
              <w:rPr>
                <w:rFonts w:hint="eastAsia" w:ascii="宋体" w:hAnsi="宋体" w:cs="宋体"/>
                <w:color w:val="000000"/>
                <w:kern w:val="0"/>
                <w:szCs w:val="21"/>
              </w:rPr>
              <w:t>4.6</w:t>
            </w:r>
          </w:p>
        </w:tc>
        <w:tc>
          <w:tcPr>
            <w:tcW w:w="6820" w:type="dxa"/>
            <w:tcBorders>
              <w:top w:val="nil"/>
              <w:left w:val="nil"/>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kern w:val="0"/>
                <w:szCs w:val="21"/>
              </w:rPr>
              <w:t>合同条款响应表（格式1</w:t>
            </w:r>
            <w:r>
              <w:rPr>
                <w:rFonts w:ascii="宋体" w:hAnsi="宋体" w:cs="宋体"/>
                <w:kern w:val="0"/>
                <w:szCs w:val="21"/>
              </w:rPr>
              <w:t>1</w:t>
            </w:r>
            <w:r>
              <w:rPr>
                <w:rFonts w:hint="eastAsia" w:ascii="宋体" w:hAnsi="宋体" w:cs="宋体"/>
                <w:kern w:val="0"/>
                <w:szCs w:val="21"/>
              </w:rPr>
              <w:t>）</w:t>
            </w:r>
          </w:p>
        </w:tc>
        <w:tc>
          <w:tcPr>
            <w:tcW w:w="718"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146"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000000"/>
                <w:kern w:val="0"/>
                <w:szCs w:val="21"/>
              </w:rPr>
            </w:pPr>
            <w:r>
              <w:rPr>
                <w:rFonts w:hint="eastAsia" w:ascii="宋体" w:hAnsi="宋体" w:cs="宋体"/>
                <w:color w:val="000000"/>
                <w:kern w:val="0"/>
                <w:szCs w:val="21"/>
              </w:rPr>
              <w:t>4.7</w:t>
            </w:r>
          </w:p>
        </w:tc>
        <w:tc>
          <w:tcPr>
            <w:tcW w:w="6820" w:type="dxa"/>
            <w:tcBorders>
              <w:top w:val="nil"/>
              <w:left w:val="nil"/>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kern w:val="0"/>
                <w:szCs w:val="21"/>
              </w:rPr>
              <w:t>缴交招标服务费承诺书（格式1</w:t>
            </w:r>
            <w:r>
              <w:rPr>
                <w:rFonts w:ascii="宋体" w:hAnsi="宋体" w:cs="宋体"/>
                <w:kern w:val="0"/>
                <w:szCs w:val="21"/>
              </w:rPr>
              <w:t>2</w:t>
            </w:r>
            <w:r>
              <w:rPr>
                <w:rFonts w:hint="eastAsia" w:ascii="宋体" w:hAnsi="宋体" w:cs="宋体"/>
                <w:kern w:val="0"/>
                <w:szCs w:val="21"/>
              </w:rPr>
              <w:t>）</w:t>
            </w:r>
          </w:p>
        </w:tc>
        <w:tc>
          <w:tcPr>
            <w:tcW w:w="718"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163"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000000"/>
                <w:kern w:val="0"/>
                <w:szCs w:val="21"/>
              </w:rPr>
            </w:pPr>
            <w:r>
              <w:rPr>
                <w:rFonts w:hint="eastAsia" w:ascii="宋体" w:hAnsi="宋体" w:cs="宋体"/>
                <w:color w:val="000000"/>
                <w:kern w:val="0"/>
                <w:szCs w:val="21"/>
              </w:rPr>
              <w:t>4.8</w:t>
            </w:r>
          </w:p>
        </w:tc>
        <w:tc>
          <w:tcPr>
            <w:tcW w:w="6820" w:type="dxa"/>
            <w:tcBorders>
              <w:top w:val="nil"/>
              <w:left w:val="nil"/>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kern w:val="0"/>
                <w:szCs w:val="21"/>
              </w:rPr>
              <w:t>投标人认为需要提交的其他资料</w:t>
            </w:r>
          </w:p>
        </w:tc>
        <w:tc>
          <w:tcPr>
            <w:tcW w:w="718"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nil"/>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85"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b/>
                <w:bCs/>
                <w:kern w:val="0"/>
                <w:szCs w:val="21"/>
              </w:rPr>
              <w:t>五</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b/>
                <w:bCs/>
                <w:kern w:val="0"/>
                <w:szCs w:val="21"/>
              </w:rPr>
              <w:t>技术方案文件目录表</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299"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kern w:val="0"/>
                <w:szCs w:val="21"/>
              </w:rPr>
              <w:t>5.1</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szCs w:val="21"/>
              </w:rPr>
            </w:pPr>
            <w:r>
              <w:rPr>
                <w:rFonts w:hint="eastAsia" w:ascii="宋体" w:hAnsi="宋体" w:cs="宋体"/>
                <w:szCs w:val="21"/>
              </w:rPr>
              <w:t>技术评审索引表（格式1</w:t>
            </w:r>
            <w:r>
              <w:rPr>
                <w:rFonts w:ascii="宋体" w:hAnsi="宋体" w:cs="宋体"/>
                <w:szCs w:val="21"/>
              </w:rPr>
              <w:t>3</w:t>
            </w:r>
            <w:r>
              <w:rPr>
                <w:rFonts w:hint="eastAsia" w:ascii="宋体" w:hAnsi="宋体" w:cs="宋体"/>
                <w:szCs w:val="21"/>
              </w:rPr>
              <w:t>）</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299"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kern w:val="0"/>
                <w:szCs w:val="21"/>
              </w:rPr>
              <w:t>5.2</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szCs w:val="21"/>
              </w:rPr>
            </w:pPr>
            <w:r>
              <w:rPr>
                <w:rFonts w:hint="eastAsia" w:ascii="宋体" w:hAnsi="宋体" w:cs="宋体"/>
                <w:szCs w:val="21"/>
              </w:rPr>
              <w:t>投标技术方案</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111"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kern w:val="0"/>
                <w:szCs w:val="21"/>
              </w:rPr>
              <w:t>5.3</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szCs w:val="21"/>
              </w:rPr>
            </w:pPr>
            <w:r>
              <w:rPr>
                <w:rFonts w:hint="eastAsia" w:ascii="宋体" w:hAnsi="宋体" w:cs="宋体"/>
                <w:szCs w:val="21"/>
              </w:rPr>
              <w:t>与采购人需求差异表（格式1</w:t>
            </w:r>
            <w:r>
              <w:rPr>
                <w:rFonts w:ascii="宋体" w:hAnsi="宋体" w:cs="宋体"/>
                <w:szCs w:val="21"/>
              </w:rPr>
              <w:t>4</w:t>
            </w:r>
            <w:r>
              <w:rPr>
                <w:rFonts w:hint="eastAsia" w:ascii="宋体" w:hAnsi="宋体" w:cs="宋体"/>
                <w:szCs w:val="21"/>
              </w:rPr>
              <w:t>）</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r>
        <w:tblPrEx>
          <w:tblCellMar>
            <w:top w:w="0" w:type="dxa"/>
            <w:left w:w="108" w:type="dxa"/>
            <w:bottom w:w="0" w:type="dxa"/>
            <w:right w:w="108" w:type="dxa"/>
          </w:tblCellMar>
        </w:tblPrEx>
        <w:trPr>
          <w:trHeight w:val="111" w:hRule="atLeast"/>
        </w:trPr>
        <w:tc>
          <w:tcPr>
            <w:tcW w:w="880"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kern w:val="0"/>
                <w:szCs w:val="21"/>
              </w:rPr>
            </w:pPr>
            <w:r>
              <w:rPr>
                <w:rFonts w:hint="eastAsia" w:ascii="宋体" w:hAnsi="宋体" w:cs="宋体"/>
                <w:kern w:val="0"/>
                <w:szCs w:val="21"/>
              </w:rPr>
              <w:t>5.4</w:t>
            </w:r>
          </w:p>
        </w:tc>
        <w:tc>
          <w:tcPr>
            <w:tcW w:w="6820" w:type="dxa"/>
            <w:tcBorders>
              <w:top w:val="single" w:color="auto" w:sz="4" w:space="0"/>
              <w:left w:val="nil"/>
              <w:bottom w:val="single" w:color="auto" w:sz="4" w:space="0"/>
              <w:right w:val="single" w:color="auto" w:sz="4" w:space="0"/>
            </w:tcBorders>
            <w:vAlign w:val="center"/>
          </w:tcPr>
          <w:p>
            <w:pPr>
              <w:widowControl/>
              <w:spacing w:line="360" w:lineRule="auto"/>
              <w:rPr>
                <w:rFonts w:ascii="宋体" w:hAnsi="宋体" w:cs="宋体"/>
                <w:szCs w:val="21"/>
              </w:rPr>
            </w:pPr>
            <w:r>
              <w:rPr>
                <w:rFonts w:hint="eastAsia" w:ascii="宋体" w:hAnsi="宋体" w:cs="宋体"/>
                <w:szCs w:val="21"/>
              </w:rPr>
              <w:t>投标人认为需要提交的其他资料</w:t>
            </w:r>
          </w:p>
        </w:tc>
        <w:tc>
          <w:tcPr>
            <w:tcW w:w="718"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720" w:type="dxa"/>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c>
          <w:tcPr>
            <w:tcW w:w="427" w:type="dxa"/>
            <w:gridSpan w:val="2"/>
            <w:tcBorders>
              <w:top w:val="single" w:color="auto" w:sz="4" w:space="0"/>
              <w:left w:val="nil"/>
              <w:bottom w:val="single" w:color="auto" w:sz="4" w:space="0"/>
              <w:right w:val="single" w:color="auto" w:sz="4" w:space="0"/>
            </w:tcBorders>
            <w:vAlign w:val="bottom"/>
          </w:tcPr>
          <w:p>
            <w:pPr>
              <w:widowControl/>
              <w:spacing w:line="360" w:lineRule="auto"/>
              <w:rPr>
                <w:rFonts w:ascii="宋体" w:hAnsi="宋体" w:cs="宋体"/>
                <w:color w:val="000000"/>
                <w:kern w:val="0"/>
                <w:szCs w:val="21"/>
              </w:rPr>
            </w:pPr>
          </w:p>
        </w:tc>
      </w:tr>
    </w:tbl>
    <w:p>
      <w:pPr>
        <w:pStyle w:val="24"/>
        <w:ind w:firstLine="422" w:firstLineChars="200"/>
        <w:rPr>
          <w:rFonts w:hAnsi="宋体" w:cs="宋体"/>
          <w:color w:val="000000"/>
          <w:kern w:val="0"/>
          <w:sz w:val="21"/>
          <w:szCs w:val="21"/>
        </w:rPr>
      </w:pPr>
      <w:r>
        <w:rPr>
          <w:rFonts w:hint="eastAsia" w:hAnsi="宋体"/>
          <w:b/>
          <w:bCs/>
          <w:color w:val="000000"/>
          <w:sz w:val="21"/>
          <w:szCs w:val="21"/>
        </w:rPr>
        <w:t>注：</w:t>
      </w:r>
      <w:r>
        <w:rPr>
          <w:rFonts w:hint="eastAsia" w:hAnsi="宋体" w:cs="宋体"/>
          <w:color w:val="000000"/>
          <w:kern w:val="0"/>
          <w:sz w:val="21"/>
          <w:szCs w:val="21"/>
        </w:rPr>
        <w:t>（1）上述文件如为复印件的，必须加盖投标人公章；</w:t>
      </w:r>
    </w:p>
    <w:p>
      <w:pPr>
        <w:pStyle w:val="24"/>
        <w:ind w:firstLine="420" w:firstLineChars="200"/>
        <w:rPr>
          <w:rFonts w:hAnsi="宋体" w:cs="宋体"/>
          <w:color w:val="000000"/>
          <w:kern w:val="0"/>
          <w:sz w:val="21"/>
          <w:szCs w:val="21"/>
        </w:rPr>
      </w:pPr>
      <w:r>
        <w:rPr>
          <w:rFonts w:hint="eastAsia" w:hAnsi="宋体" w:cs="宋体"/>
          <w:color w:val="000000"/>
          <w:kern w:val="0"/>
          <w:sz w:val="21"/>
          <w:szCs w:val="21"/>
        </w:rPr>
        <w:t>（2）投标人应自行承担所提供上述资料任何错漏而导致的一切后果。</w:t>
      </w:r>
    </w:p>
    <w:p>
      <w:pPr>
        <w:pStyle w:val="24"/>
        <w:ind w:firstLine="420" w:firstLineChars="200"/>
        <w:rPr>
          <w:rFonts w:hAnsi="宋体" w:cs="宋体"/>
          <w:color w:val="000000"/>
          <w:kern w:val="0"/>
          <w:sz w:val="21"/>
          <w:szCs w:val="21"/>
        </w:rPr>
      </w:pPr>
      <w:r>
        <w:rPr>
          <w:rFonts w:hint="eastAsia" w:hAnsi="宋体" w:cs="宋体"/>
          <w:color w:val="000000"/>
          <w:kern w:val="0"/>
          <w:sz w:val="21"/>
          <w:szCs w:val="21"/>
        </w:rPr>
        <w:t>（3）</w:t>
      </w:r>
      <w:bookmarkStart w:id="287" w:name="baidusnap3"/>
      <w:bookmarkEnd w:id="287"/>
      <w:r>
        <w:rPr>
          <w:rFonts w:hint="eastAsia" w:hAnsi="宋体" w:cs="宋体"/>
          <w:color w:val="000000"/>
          <w:kern w:val="0"/>
          <w:sz w:val="21"/>
          <w:szCs w:val="21"/>
        </w:rPr>
        <w:t>如上述文件可通过互联网或者相关信息系统查询的信息，请供应商协助提供复印件的同时提供查询网址，</w:t>
      </w:r>
      <w:r>
        <w:rPr>
          <w:rFonts w:hint="eastAsia" w:hAnsi="宋体" w:cs="宋体"/>
          <w:color w:val="000000"/>
          <w:kern w:val="0"/>
          <w:sz w:val="21"/>
          <w:szCs w:val="21"/>
          <w:highlight w:val="white"/>
        </w:rPr>
        <w:t>最终结果以查询为准</w:t>
      </w:r>
      <w:r>
        <w:rPr>
          <w:rFonts w:hint="eastAsia" w:hAnsi="宋体" w:cs="宋体"/>
          <w:color w:val="000000"/>
          <w:kern w:val="0"/>
          <w:sz w:val="21"/>
          <w:szCs w:val="21"/>
        </w:rPr>
        <w:t>；</w:t>
      </w:r>
    </w:p>
    <w:p>
      <w:pPr>
        <w:pStyle w:val="24"/>
        <w:ind w:firstLine="420" w:firstLineChars="200"/>
        <w:rPr>
          <w:rFonts w:hAnsi="宋体" w:cs="宋体"/>
          <w:color w:val="000000"/>
          <w:kern w:val="0"/>
          <w:sz w:val="21"/>
          <w:szCs w:val="21"/>
        </w:rPr>
      </w:pPr>
      <w:r>
        <w:rPr>
          <w:rFonts w:hint="eastAsia" w:hAnsi="宋体" w:cs="宋体"/>
          <w:color w:val="000000"/>
          <w:kern w:val="0"/>
          <w:sz w:val="21"/>
          <w:szCs w:val="21"/>
        </w:rPr>
        <w:t>（4）投标人请按照上述顺序编好页码。</w:t>
      </w:r>
    </w:p>
    <w:p>
      <w:pPr>
        <w:spacing w:before="120" w:beforeLines="50" w:after="48" w:afterLines="20"/>
        <w:jc w:val="center"/>
        <w:rPr>
          <w:rFonts w:ascii="宋体" w:hAnsi="宋体"/>
          <w:b/>
          <w:sz w:val="24"/>
        </w:rPr>
      </w:pPr>
      <w:r>
        <w:rPr>
          <w:rFonts w:hint="eastAsia" w:ascii="宋体" w:hAnsi="宋体"/>
          <w:b/>
          <w:sz w:val="24"/>
        </w:rPr>
        <w:t>唱标信封（唱标信封必须另单独封装）</w:t>
      </w:r>
    </w:p>
    <w:tbl>
      <w:tblPr>
        <w:tblStyle w:val="39"/>
        <w:tblW w:w="95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7667"/>
        <w:gridCol w:w="1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777" w:type="dxa"/>
            <w:vAlign w:val="center"/>
          </w:tcPr>
          <w:p>
            <w:pPr>
              <w:spacing w:line="360" w:lineRule="auto"/>
              <w:jc w:val="center"/>
              <w:rPr>
                <w:rFonts w:ascii="宋体" w:hAnsi="宋体" w:cs="宋体"/>
                <w:color w:val="000000"/>
                <w:szCs w:val="21"/>
              </w:rPr>
            </w:pPr>
            <w:r>
              <w:rPr>
                <w:rFonts w:hint="eastAsia" w:ascii="宋体" w:hAnsi="宋体" w:cs="宋体"/>
                <w:b/>
                <w:color w:val="000000"/>
                <w:szCs w:val="21"/>
              </w:rPr>
              <w:t>序号</w:t>
            </w:r>
          </w:p>
        </w:tc>
        <w:tc>
          <w:tcPr>
            <w:tcW w:w="7667" w:type="dxa"/>
            <w:vAlign w:val="center"/>
          </w:tcPr>
          <w:p>
            <w:pPr>
              <w:spacing w:before="120" w:beforeLines="50" w:after="120" w:afterLines="50" w:line="360" w:lineRule="auto"/>
              <w:jc w:val="center"/>
              <w:rPr>
                <w:rFonts w:ascii="宋体" w:hAnsi="宋体" w:cs="宋体"/>
                <w:b/>
                <w:color w:val="000000"/>
                <w:szCs w:val="21"/>
              </w:rPr>
            </w:pPr>
            <w:r>
              <w:rPr>
                <w:rFonts w:hint="eastAsia" w:ascii="宋体" w:hAnsi="宋体" w:cs="宋体"/>
                <w:b/>
                <w:color w:val="000000"/>
                <w:szCs w:val="21"/>
              </w:rPr>
              <w:t>文 件 名 称</w:t>
            </w:r>
          </w:p>
        </w:tc>
        <w:tc>
          <w:tcPr>
            <w:tcW w:w="1121" w:type="dxa"/>
            <w:vAlign w:val="center"/>
          </w:tcPr>
          <w:p>
            <w:pPr>
              <w:spacing w:before="120" w:beforeLines="50" w:after="120" w:afterLines="50" w:line="360" w:lineRule="auto"/>
              <w:jc w:val="center"/>
              <w:rPr>
                <w:rFonts w:ascii="宋体" w:hAnsi="宋体" w:cs="宋体"/>
                <w:b/>
                <w:color w:val="000000"/>
                <w:szCs w:val="21"/>
              </w:rPr>
            </w:pPr>
            <w:r>
              <w:rPr>
                <w:rFonts w:hint="eastAsia" w:ascii="宋体" w:hAnsi="宋体" w:cs="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777" w:type="dxa"/>
            <w:vAlign w:val="center"/>
          </w:tcPr>
          <w:p>
            <w:pPr>
              <w:spacing w:before="24" w:beforeLines="10" w:after="24" w:afterLines="10" w:line="360" w:lineRule="auto"/>
              <w:jc w:val="center"/>
              <w:rPr>
                <w:rFonts w:ascii="宋体" w:hAnsi="宋体" w:cs="宋体"/>
                <w:color w:val="000000"/>
                <w:szCs w:val="21"/>
              </w:rPr>
            </w:pPr>
            <w:r>
              <w:rPr>
                <w:rFonts w:hint="eastAsia" w:ascii="宋体" w:hAnsi="宋体" w:cs="宋体"/>
                <w:color w:val="000000"/>
                <w:szCs w:val="21"/>
              </w:rPr>
              <w:t>1</w:t>
            </w:r>
          </w:p>
        </w:tc>
        <w:tc>
          <w:tcPr>
            <w:tcW w:w="7667" w:type="dxa"/>
            <w:vAlign w:val="center"/>
          </w:tcPr>
          <w:p>
            <w:pPr>
              <w:spacing w:line="360" w:lineRule="auto"/>
              <w:rPr>
                <w:rFonts w:ascii="宋体" w:hAnsi="宋体" w:cs="宋体"/>
                <w:color w:val="000000"/>
                <w:szCs w:val="21"/>
              </w:rPr>
            </w:pPr>
            <w:r>
              <w:rPr>
                <w:rFonts w:hint="eastAsia" w:ascii="宋体" w:hAnsi="宋体" w:cs="宋体"/>
                <w:szCs w:val="21"/>
              </w:rPr>
              <w:t>《投标函》（从投标文件正本中复印并加盖公章）</w:t>
            </w:r>
            <w:r>
              <w:rPr>
                <w:rFonts w:hint="eastAsia" w:ascii="宋体" w:hAnsi="宋体" w:cs="宋体"/>
                <w:color w:val="000000"/>
                <w:szCs w:val="21"/>
              </w:rPr>
              <w:t>；</w:t>
            </w:r>
          </w:p>
        </w:tc>
        <w:tc>
          <w:tcPr>
            <w:tcW w:w="1121"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777" w:type="dxa"/>
            <w:vAlign w:val="center"/>
          </w:tcPr>
          <w:p>
            <w:pPr>
              <w:spacing w:before="24" w:beforeLines="10" w:after="24" w:afterLines="10" w:line="360" w:lineRule="auto"/>
              <w:jc w:val="center"/>
              <w:rPr>
                <w:rFonts w:ascii="宋体" w:hAnsi="宋体" w:cs="宋体"/>
                <w:color w:val="000000"/>
                <w:szCs w:val="21"/>
              </w:rPr>
            </w:pPr>
            <w:r>
              <w:rPr>
                <w:rFonts w:hint="eastAsia" w:ascii="宋体" w:hAnsi="宋体" w:cs="宋体"/>
                <w:color w:val="000000"/>
                <w:szCs w:val="21"/>
              </w:rPr>
              <w:t>2</w:t>
            </w:r>
          </w:p>
        </w:tc>
        <w:tc>
          <w:tcPr>
            <w:tcW w:w="7667" w:type="dxa"/>
            <w:vAlign w:val="center"/>
          </w:tcPr>
          <w:p>
            <w:pPr>
              <w:spacing w:line="360" w:lineRule="auto"/>
              <w:rPr>
                <w:rFonts w:ascii="宋体" w:hAnsi="宋体" w:cs="宋体"/>
                <w:color w:val="000000"/>
                <w:szCs w:val="21"/>
              </w:rPr>
            </w:pPr>
            <w:r>
              <w:rPr>
                <w:rFonts w:hint="eastAsia" w:ascii="宋体" w:hAnsi="宋体" w:cs="宋体"/>
                <w:szCs w:val="21"/>
              </w:rPr>
              <w:t>《开标一览表》（从投标文件正本中复印并加盖公章）</w:t>
            </w:r>
            <w:r>
              <w:rPr>
                <w:rFonts w:hint="eastAsia" w:ascii="宋体" w:hAnsi="宋体" w:cs="宋体"/>
                <w:color w:val="000000"/>
                <w:szCs w:val="21"/>
              </w:rPr>
              <w:t>；</w:t>
            </w:r>
          </w:p>
        </w:tc>
        <w:tc>
          <w:tcPr>
            <w:tcW w:w="1121"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77" w:type="dxa"/>
            <w:vAlign w:val="center"/>
          </w:tcPr>
          <w:p>
            <w:pPr>
              <w:spacing w:line="360" w:lineRule="auto"/>
              <w:jc w:val="center"/>
              <w:rPr>
                <w:rFonts w:ascii="宋体" w:hAnsi="宋体" w:cs="宋体"/>
                <w:szCs w:val="21"/>
              </w:rPr>
            </w:pPr>
            <w:r>
              <w:rPr>
                <w:rFonts w:hint="eastAsia" w:ascii="宋体" w:hAnsi="宋体" w:cs="宋体"/>
                <w:szCs w:val="21"/>
              </w:rPr>
              <w:t>3</w:t>
            </w:r>
          </w:p>
        </w:tc>
        <w:tc>
          <w:tcPr>
            <w:tcW w:w="7667" w:type="dxa"/>
            <w:vAlign w:val="center"/>
          </w:tcPr>
          <w:p>
            <w:pPr>
              <w:spacing w:line="360" w:lineRule="auto"/>
              <w:rPr>
                <w:rFonts w:ascii="宋体" w:hAnsi="宋体" w:cs="宋体"/>
                <w:szCs w:val="21"/>
              </w:rPr>
            </w:pPr>
            <w:r>
              <w:rPr>
                <w:rFonts w:hint="eastAsia" w:ascii="宋体" w:hAnsi="宋体" w:cs="宋体"/>
                <w:szCs w:val="21"/>
              </w:rPr>
              <w:t>《报价明细表》（如有）</w:t>
            </w:r>
            <w:r>
              <w:rPr>
                <w:rFonts w:hint="eastAsia" w:ascii="宋体" w:hAnsi="宋体"/>
                <w:szCs w:val="21"/>
              </w:rPr>
              <w:t>（须同时提供纸质版和电子版。纸质版：</w:t>
            </w:r>
            <w:r>
              <w:rPr>
                <w:rFonts w:hint="eastAsia" w:ascii="宋体" w:hAnsi="宋体" w:cs="宋体"/>
                <w:szCs w:val="21"/>
              </w:rPr>
              <w:t>从投标文件正本中复印并加盖公章</w:t>
            </w:r>
            <w:r>
              <w:rPr>
                <w:rFonts w:hint="eastAsia" w:ascii="宋体" w:hAnsi="宋体"/>
                <w:szCs w:val="21"/>
              </w:rPr>
              <w:t>；电子版：WORD或EXCEL格式</w:t>
            </w:r>
            <w:r>
              <w:rPr>
                <w:rFonts w:hint="eastAsia" w:ascii="宋体" w:hAnsi="宋体" w:cs="宋体"/>
                <w:szCs w:val="21"/>
              </w:rPr>
              <w:t>）；</w:t>
            </w:r>
          </w:p>
        </w:tc>
        <w:tc>
          <w:tcPr>
            <w:tcW w:w="1121" w:type="dxa"/>
            <w:vAlign w:val="center"/>
          </w:tcPr>
          <w:p>
            <w:pPr>
              <w:spacing w:line="360" w:lineRule="auto"/>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77" w:type="dxa"/>
            <w:vAlign w:val="center"/>
          </w:tcPr>
          <w:p>
            <w:pPr>
              <w:spacing w:before="24" w:beforeLines="10" w:after="24" w:afterLines="10" w:line="360" w:lineRule="auto"/>
              <w:jc w:val="center"/>
              <w:rPr>
                <w:rFonts w:ascii="宋体" w:hAnsi="宋体" w:cs="宋体"/>
                <w:color w:val="000000"/>
                <w:szCs w:val="21"/>
              </w:rPr>
            </w:pPr>
            <w:r>
              <w:rPr>
                <w:rFonts w:hint="eastAsia" w:ascii="宋体" w:hAnsi="宋体" w:cs="宋体"/>
                <w:color w:val="000000"/>
                <w:szCs w:val="21"/>
              </w:rPr>
              <w:t>4</w:t>
            </w:r>
          </w:p>
        </w:tc>
        <w:tc>
          <w:tcPr>
            <w:tcW w:w="7667" w:type="dxa"/>
            <w:vAlign w:val="center"/>
          </w:tcPr>
          <w:p>
            <w:pPr>
              <w:spacing w:line="360" w:lineRule="auto"/>
              <w:rPr>
                <w:rFonts w:ascii="宋体" w:hAnsi="宋体" w:cs="宋体"/>
                <w:szCs w:val="21"/>
              </w:rPr>
            </w:pPr>
            <w:r>
              <w:rPr>
                <w:rFonts w:hint="eastAsia" w:ascii="宋体" w:hAnsi="宋体" w:cs="宋体"/>
                <w:szCs w:val="21"/>
              </w:rPr>
              <w:t>法定代表人（负责人）证明及授权书（原件）；</w:t>
            </w:r>
          </w:p>
        </w:tc>
        <w:tc>
          <w:tcPr>
            <w:tcW w:w="1121"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77" w:type="dxa"/>
            <w:vAlign w:val="center"/>
          </w:tcPr>
          <w:p>
            <w:pPr>
              <w:spacing w:before="24" w:beforeLines="10" w:after="24" w:afterLines="10" w:line="360" w:lineRule="auto"/>
              <w:jc w:val="center"/>
              <w:rPr>
                <w:rFonts w:ascii="宋体" w:hAnsi="宋体" w:cs="宋体"/>
                <w:color w:val="000000"/>
                <w:szCs w:val="21"/>
              </w:rPr>
            </w:pPr>
            <w:r>
              <w:rPr>
                <w:rFonts w:hint="eastAsia" w:ascii="宋体" w:hAnsi="宋体" w:cs="宋体"/>
                <w:color w:val="000000"/>
                <w:szCs w:val="21"/>
              </w:rPr>
              <w:t>5</w:t>
            </w:r>
          </w:p>
        </w:tc>
        <w:tc>
          <w:tcPr>
            <w:tcW w:w="7667" w:type="dxa"/>
            <w:vAlign w:val="center"/>
          </w:tcPr>
          <w:p>
            <w:pPr>
              <w:spacing w:line="360" w:lineRule="auto"/>
              <w:rPr>
                <w:rFonts w:ascii="宋体" w:hAnsi="宋体" w:cs="宋体"/>
                <w:szCs w:val="21"/>
              </w:rPr>
            </w:pPr>
            <w:r>
              <w:rPr>
                <w:rFonts w:hint="eastAsia" w:ascii="宋体" w:hAnsi="宋体"/>
                <w:szCs w:val="21"/>
              </w:rPr>
              <w:t>完整投标文件电子文档一份，另附《</w:t>
            </w:r>
            <w:r>
              <w:rPr>
                <w:rFonts w:hint="eastAsia"/>
              </w:rPr>
              <w:t>报价明细表》电子文档一份，</w:t>
            </w:r>
            <w:r>
              <w:rPr>
                <w:rFonts w:hint="eastAsia" w:ascii="宋体" w:hAnsi="宋体" w:cs="宋体"/>
                <w:szCs w:val="21"/>
              </w:rPr>
              <w:t>电子文件要求光盘或U盘介质，WORD或EXCEL格式，不留密码，无病毒，不压缩，内容应与投标人打印产生的纸质投标文件内容一致，如有不同，以纸质投标文件为准。</w:t>
            </w:r>
          </w:p>
        </w:tc>
        <w:tc>
          <w:tcPr>
            <w:tcW w:w="1121" w:type="dxa"/>
            <w:vAlign w:val="center"/>
          </w:tcPr>
          <w:p>
            <w:pPr>
              <w:spacing w:line="360" w:lineRule="auto"/>
              <w:jc w:val="center"/>
              <w:rPr>
                <w:rFonts w:ascii="宋体" w:hAnsi="宋体" w:cs="宋体"/>
                <w:color w:val="000000"/>
                <w:szCs w:val="21"/>
              </w:rPr>
            </w:pPr>
          </w:p>
        </w:tc>
      </w:tr>
    </w:tbl>
    <w:p>
      <w:pPr>
        <w:pStyle w:val="24"/>
        <w:ind w:firstLine="0"/>
        <w:rPr>
          <w:rFonts w:hAnsi="宋体"/>
          <w:bCs/>
        </w:rPr>
      </w:pPr>
    </w:p>
    <w:p>
      <w:pPr>
        <w:pStyle w:val="24"/>
        <w:ind w:firstLine="420" w:firstLineChars="200"/>
        <w:rPr>
          <w:rFonts w:hAnsi="宋体" w:cs="宋体"/>
          <w:color w:val="000000"/>
          <w:kern w:val="0"/>
          <w:sz w:val="21"/>
          <w:szCs w:val="21"/>
        </w:rPr>
      </w:pPr>
    </w:p>
    <w:p>
      <w:pPr>
        <w:pStyle w:val="24"/>
        <w:ind w:firstLine="420" w:firstLineChars="200"/>
        <w:rPr>
          <w:rFonts w:hAnsi="宋体" w:cs="宋体"/>
          <w:color w:val="000000"/>
          <w:kern w:val="0"/>
          <w:sz w:val="21"/>
          <w:szCs w:val="21"/>
        </w:rPr>
      </w:pPr>
    </w:p>
    <w:p>
      <w:pPr>
        <w:pStyle w:val="24"/>
        <w:ind w:firstLine="420" w:firstLineChars="200"/>
        <w:rPr>
          <w:rFonts w:hAnsi="宋体" w:cs="宋体"/>
          <w:color w:val="000000"/>
          <w:kern w:val="0"/>
          <w:sz w:val="21"/>
          <w:szCs w:val="21"/>
        </w:rPr>
      </w:pPr>
    </w:p>
    <w:p>
      <w:pPr>
        <w:pStyle w:val="24"/>
        <w:ind w:firstLine="420" w:firstLineChars="200"/>
        <w:rPr>
          <w:rFonts w:hAnsi="宋体" w:cs="宋体"/>
          <w:color w:val="000000"/>
          <w:kern w:val="0"/>
          <w:sz w:val="21"/>
          <w:szCs w:val="21"/>
        </w:rPr>
      </w:pPr>
    </w:p>
    <w:p>
      <w:pPr>
        <w:pStyle w:val="24"/>
        <w:ind w:firstLine="420" w:firstLineChars="200"/>
        <w:rPr>
          <w:rFonts w:hAnsi="宋体" w:cs="宋体"/>
          <w:color w:val="000000"/>
          <w:kern w:val="0"/>
          <w:sz w:val="21"/>
          <w:szCs w:val="21"/>
        </w:rPr>
      </w:pPr>
    </w:p>
    <w:p>
      <w:pPr>
        <w:pStyle w:val="24"/>
        <w:ind w:firstLine="0"/>
        <w:rPr>
          <w:rFonts w:hAnsi="宋体" w:cs="宋体"/>
          <w:color w:val="000000"/>
          <w:kern w:val="0"/>
          <w:sz w:val="21"/>
          <w:szCs w:val="21"/>
        </w:rPr>
      </w:pPr>
    </w:p>
    <w:p>
      <w:pPr>
        <w:pStyle w:val="24"/>
        <w:ind w:firstLine="420" w:firstLineChars="200"/>
        <w:rPr>
          <w:rFonts w:hAnsi="宋体" w:cs="宋体"/>
          <w:color w:val="000000"/>
          <w:kern w:val="0"/>
          <w:sz w:val="21"/>
          <w:szCs w:val="21"/>
        </w:rPr>
      </w:pPr>
    </w:p>
    <w:p>
      <w:pPr>
        <w:pStyle w:val="24"/>
        <w:ind w:firstLine="0"/>
        <w:rPr>
          <w:rFonts w:hAnsi="宋体" w:cs="宋体"/>
          <w:color w:val="000000"/>
          <w:kern w:val="0"/>
          <w:sz w:val="21"/>
          <w:szCs w:val="21"/>
        </w:rPr>
        <w:sectPr>
          <w:type w:val="continuous"/>
          <w:pgSz w:w="11905" w:h="16838"/>
          <w:pgMar w:top="1191" w:right="1361" w:bottom="1191" w:left="1191" w:header="624" w:footer="794" w:gutter="0"/>
          <w:cols w:space="720" w:num="1"/>
          <w:docGrid w:linePitch="285" w:charSpace="0"/>
        </w:sectPr>
      </w:pPr>
      <w:r>
        <w:rPr>
          <w:rFonts w:hAnsi="宋体" w:cs="宋体"/>
          <w:color w:val="000000"/>
          <w:kern w:val="0"/>
          <w:sz w:val="21"/>
          <w:szCs w:val="21"/>
        </w:rPr>
        <w:br w:type="page"/>
      </w:r>
    </w:p>
    <w:p>
      <w:pPr>
        <w:pStyle w:val="5"/>
        <w:spacing w:line="300" w:lineRule="auto"/>
      </w:pPr>
      <w:bookmarkStart w:id="288" w:name="_Toc20051"/>
      <w:bookmarkStart w:id="289" w:name="_Toc8516"/>
      <w:bookmarkStart w:id="290" w:name="_Toc334797768"/>
      <w:bookmarkStart w:id="291" w:name="_Toc9543"/>
      <w:r>
        <w:rPr>
          <w:rFonts w:hint="eastAsia"/>
        </w:rPr>
        <w:t>格式1                    投标函</w:t>
      </w:r>
      <w:bookmarkEnd w:id="288"/>
      <w:bookmarkEnd w:id="289"/>
      <w:bookmarkEnd w:id="290"/>
      <w:bookmarkEnd w:id="291"/>
    </w:p>
    <w:p>
      <w:pPr>
        <w:spacing w:line="360" w:lineRule="auto"/>
        <w:rPr>
          <w:rFonts w:ascii="宋体" w:hAnsi="宋体"/>
          <w:b/>
          <w:sz w:val="24"/>
        </w:rPr>
      </w:pPr>
      <w:r>
        <w:rPr>
          <w:rFonts w:hint="eastAsia" w:ascii="宋体" w:hAnsi="宋体"/>
          <w:sz w:val="24"/>
        </w:rPr>
        <w:t>致：</w:t>
      </w:r>
      <w:r>
        <w:rPr>
          <w:rFonts w:hint="eastAsia" w:ascii="宋体" w:hAnsi="宋体"/>
          <w:b/>
          <w:sz w:val="24"/>
        </w:rPr>
        <w:t>广州群生招标代理有限公司</w:t>
      </w:r>
    </w:p>
    <w:p>
      <w:pPr>
        <w:spacing w:line="360" w:lineRule="auto"/>
        <w:ind w:firstLine="412" w:firstLineChars="200"/>
        <w:jc w:val="left"/>
        <w:rPr>
          <w:rFonts w:ascii="宋体" w:hAnsi="宋体" w:cs="宋体"/>
        </w:rPr>
      </w:pPr>
      <w:r>
        <w:rPr>
          <w:rFonts w:hint="eastAsia" w:ascii="宋体" w:hAnsi="宋体" w:cs="宋体"/>
          <w:spacing w:val="-2"/>
        </w:rPr>
        <w:t>你方组织的</w:t>
      </w:r>
      <w:r>
        <w:rPr>
          <w:rFonts w:hint="eastAsia" w:ascii="宋体" w:hAnsi="宋体" w:cs="宋体"/>
          <w:spacing w:val="-2"/>
          <w:u w:val="single"/>
          <w:shd w:val="clear" w:color="FFFFFF" w:fill="D9D9D9"/>
        </w:rPr>
        <w:t>（项目名称）</w:t>
      </w:r>
      <w:r>
        <w:rPr>
          <w:rFonts w:hint="eastAsia" w:ascii="宋体" w:hAnsi="宋体" w:cs="宋体"/>
          <w:spacing w:val="-2"/>
        </w:rPr>
        <w:t xml:space="preserve">项目的招标[采购项目编号为： </w:t>
      </w:r>
      <w:r>
        <w:rPr>
          <w:rFonts w:ascii="宋体" w:hAnsi="宋体" w:cs="宋体"/>
          <w:spacing w:val="-2"/>
        </w:rPr>
        <w:t xml:space="preserve">        </w:t>
      </w:r>
      <w:r>
        <w:rPr>
          <w:rFonts w:hint="eastAsia" w:ascii="宋体" w:hAnsi="宋体" w:cs="宋体"/>
          <w:spacing w:val="-2"/>
        </w:rPr>
        <w:t>]，我方愿</w:t>
      </w:r>
      <w:r>
        <w:rPr>
          <w:rFonts w:hint="eastAsia" w:ascii="宋体" w:hAnsi="宋体" w:cs="宋体"/>
          <w:spacing w:val="-1"/>
        </w:rPr>
        <w:t>参与投标。</w:t>
      </w:r>
    </w:p>
    <w:p>
      <w:pPr>
        <w:spacing w:line="360" w:lineRule="auto"/>
        <w:ind w:firstLine="424" w:firstLineChars="200"/>
        <w:jc w:val="left"/>
        <w:rPr>
          <w:rFonts w:ascii="宋体" w:hAnsi="宋体" w:cs="宋体"/>
        </w:rPr>
      </w:pPr>
      <w:r>
        <w:rPr>
          <w:rFonts w:hint="eastAsia" w:ascii="宋体" w:hAnsi="宋体" w:cs="宋体"/>
          <w:spacing w:val="1"/>
        </w:rPr>
        <w:t>我方确认收到贵方提供的</w:t>
      </w:r>
      <w:r>
        <w:rPr>
          <w:rFonts w:hint="eastAsia" w:ascii="宋体" w:hAnsi="宋体" w:cs="宋体"/>
          <w:spacing w:val="-2"/>
          <w:u w:val="single"/>
          <w:shd w:val="clear" w:color="FFFFFF" w:fill="D9D9D9"/>
        </w:rPr>
        <w:t>（项目名称）</w:t>
      </w:r>
      <w:r>
        <w:rPr>
          <w:rFonts w:hint="eastAsia" w:ascii="宋体" w:hAnsi="宋体" w:cs="宋体"/>
          <w:spacing w:val="1"/>
        </w:rPr>
        <w:t>项目的招标文件的全部内容。</w:t>
      </w:r>
    </w:p>
    <w:p>
      <w:pPr>
        <w:spacing w:line="360" w:lineRule="auto"/>
        <w:ind w:firstLine="420" w:firstLineChars="200"/>
        <w:jc w:val="left"/>
        <w:rPr>
          <w:rFonts w:ascii="宋体" w:hAnsi="宋体" w:cs="宋体"/>
        </w:rPr>
      </w:pPr>
      <w:r>
        <w:rPr>
          <w:rFonts w:hint="eastAsia" w:ascii="宋体" w:hAnsi="宋体" w:cs="宋体"/>
        </w:rPr>
        <w:t>我方在参与投标前已详细研究了招标文件的所有内容，包括澄清、修改文件（如果有）和所有已提供的参考资料以及有关</w:t>
      </w:r>
      <w:r>
        <w:rPr>
          <w:rFonts w:hint="eastAsia" w:ascii="宋体" w:hAnsi="宋体" w:cs="宋体"/>
          <w:spacing w:val="1"/>
        </w:rPr>
        <w:t>附件，我方完全明白并认为此招标文件没有倾向性，也不存在排斥潜在投标人的内容，我方同意招标文件的相关条款，放弃对招标文件提出误解和质疑的一切权力。</w:t>
      </w:r>
    </w:p>
    <w:p>
      <w:pPr>
        <w:spacing w:line="360" w:lineRule="auto"/>
        <w:ind w:firstLine="428" w:firstLineChars="200"/>
        <w:jc w:val="left"/>
        <w:rPr>
          <w:rFonts w:ascii="宋体" w:hAnsi="宋体" w:cs="宋体"/>
        </w:rPr>
      </w:pPr>
      <w:r>
        <w:rPr>
          <w:rFonts w:hint="eastAsia" w:ascii="宋体" w:hAnsi="宋体" w:cs="宋体"/>
          <w:spacing w:val="2"/>
          <w:position w:val="2"/>
          <w:u w:val="single"/>
        </w:rPr>
        <w:t>（投标人名称）</w:t>
      </w:r>
      <w:r>
        <w:rPr>
          <w:rFonts w:hint="eastAsia" w:ascii="宋体" w:hAnsi="宋体" w:cs="宋体"/>
          <w:spacing w:val="2"/>
          <w:position w:val="2"/>
        </w:rPr>
        <w:t>作为投标人正式授权</w:t>
      </w:r>
      <w:r>
        <w:rPr>
          <w:rFonts w:hint="eastAsia" w:ascii="宋体" w:hAnsi="宋体" w:cs="宋体"/>
          <w:spacing w:val="2"/>
          <w:position w:val="2"/>
          <w:u w:val="single"/>
        </w:rPr>
        <w:t>（授权代表全名，职务）</w:t>
      </w:r>
      <w:r>
        <w:rPr>
          <w:rFonts w:hint="eastAsia" w:ascii="宋体" w:hAnsi="宋体" w:cs="宋体"/>
          <w:spacing w:val="2"/>
          <w:position w:val="2"/>
        </w:rPr>
        <w:t>代表我方全权处理有关本投标的一切事宜。</w:t>
      </w:r>
    </w:p>
    <w:p>
      <w:pPr>
        <w:spacing w:line="360" w:lineRule="auto"/>
        <w:ind w:firstLine="424" w:firstLineChars="200"/>
        <w:jc w:val="left"/>
        <w:rPr>
          <w:rFonts w:ascii="宋体" w:hAnsi="宋体" w:cs="宋体"/>
        </w:rPr>
      </w:pPr>
      <w:r>
        <w:rPr>
          <w:rFonts w:hint="eastAsia" w:ascii="宋体" w:hAnsi="宋体" w:cs="宋体"/>
          <w:spacing w:val="1"/>
        </w:rPr>
        <w:t>我方已完全明白招标文件的所有条款要求，并申明如下：</w:t>
      </w:r>
    </w:p>
    <w:p>
      <w:pPr>
        <w:spacing w:line="360" w:lineRule="auto"/>
        <w:ind w:firstLine="416" w:firstLineChars="200"/>
        <w:jc w:val="left"/>
        <w:rPr>
          <w:rFonts w:ascii="宋体" w:hAnsi="宋体" w:cs="宋体"/>
          <w:spacing w:val="-1"/>
        </w:rPr>
      </w:pPr>
      <w:r>
        <w:rPr>
          <w:rFonts w:hint="eastAsia" w:ascii="宋体" w:hAnsi="宋体" w:cs="宋体"/>
          <w:spacing w:val="-1"/>
        </w:rPr>
        <w:t>（一）按招标文件提供的全部货物与相关服务的投标总价详见《开标一览表》。</w:t>
      </w:r>
    </w:p>
    <w:p>
      <w:pPr>
        <w:spacing w:line="360" w:lineRule="auto"/>
        <w:ind w:firstLine="416" w:firstLineChars="200"/>
        <w:jc w:val="left"/>
        <w:rPr>
          <w:rFonts w:ascii="宋体" w:hAnsi="宋体" w:cs="宋体"/>
        </w:rPr>
      </w:pPr>
      <w:r>
        <w:rPr>
          <w:rFonts w:hint="eastAsia" w:ascii="宋体" w:hAnsi="宋体" w:cs="宋体"/>
          <w:spacing w:val="-1"/>
        </w:rPr>
        <w:t>（二）本投标文件的有效期为投标截止时间起90天。如中标，有效期将延至合同终止日为止。在此提交的资格证明文件</w:t>
      </w:r>
      <w:r>
        <w:rPr>
          <w:rFonts w:hint="eastAsia" w:ascii="宋体" w:hAnsi="宋体" w:cs="宋体"/>
          <w:spacing w:val="1"/>
        </w:rPr>
        <w:t>均至投标截止日有效，如有在投标有效期内失效的，我方承诺在中标后补齐一切手续，保证所有资格证明文件能在签订采购合同时直至采购合同终止日有效。</w:t>
      </w:r>
    </w:p>
    <w:p>
      <w:pPr>
        <w:spacing w:line="360" w:lineRule="auto"/>
        <w:ind w:firstLine="420" w:firstLineChars="200"/>
        <w:jc w:val="left"/>
        <w:rPr>
          <w:rFonts w:ascii="宋体" w:hAnsi="宋体" w:cs="宋体"/>
        </w:rPr>
      </w:pPr>
      <w:r>
        <w:rPr>
          <w:rFonts w:hint="eastAsia" w:ascii="宋体" w:hAnsi="宋体" w:cs="宋体"/>
        </w:rPr>
        <w:t>（三）我方明白并同意，在规定的开标日之后，投标有效期之内撤回投标或中标后不按规定与采购人签订合同或不提交履约保证金，则贵方将不予退还投标保证金。</w:t>
      </w:r>
    </w:p>
    <w:p>
      <w:pPr>
        <w:spacing w:line="360" w:lineRule="auto"/>
        <w:ind w:firstLine="420" w:firstLineChars="200"/>
        <w:jc w:val="left"/>
        <w:rPr>
          <w:rFonts w:ascii="宋体" w:hAnsi="宋体" w:cs="宋体"/>
        </w:rPr>
      </w:pPr>
      <w:r>
        <w:rPr>
          <w:rFonts w:hint="eastAsia" w:ascii="宋体" w:hAnsi="宋体" w:cs="宋体"/>
        </w:rPr>
        <w:t>（四）我方愿意向贵方提供任何与本项报价有关的数据、情况和技术资料。若贵方需要，我方愿意提供我方作出的一切承诺的证明材料。</w:t>
      </w:r>
    </w:p>
    <w:p>
      <w:pPr>
        <w:spacing w:line="360" w:lineRule="auto"/>
        <w:ind w:firstLine="412" w:firstLineChars="200"/>
        <w:jc w:val="left"/>
        <w:rPr>
          <w:rFonts w:ascii="宋体" w:hAnsi="宋体" w:cs="宋体"/>
        </w:rPr>
      </w:pPr>
      <w:r>
        <w:rPr>
          <w:rFonts w:hint="eastAsia" w:ascii="宋体" w:hAnsi="宋体" w:cs="宋体"/>
          <w:spacing w:val="-2"/>
        </w:rPr>
        <w:t>（五）我方理解贵方不一定接受最低投标价或任何贵方可能收到的投标。</w:t>
      </w:r>
    </w:p>
    <w:p>
      <w:pPr>
        <w:spacing w:line="360" w:lineRule="auto"/>
        <w:ind w:firstLine="420" w:firstLineChars="200"/>
        <w:jc w:val="left"/>
        <w:rPr>
          <w:rFonts w:ascii="宋体" w:hAnsi="宋体" w:cs="宋体"/>
        </w:rPr>
      </w:pPr>
      <w:r>
        <w:rPr>
          <w:rFonts w:hint="eastAsia" w:ascii="宋体" w:hAnsi="宋体" w:cs="宋体"/>
        </w:rPr>
        <w:t>（六）我方如果中标，将保证履行招标文件及其澄清、修改文件（如果有）中的全部责任和义务，按质、按量、</w:t>
      </w:r>
      <w:r>
        <w:rPr>
          <w:rFonts w:hint="eastAsia" w:ascii="宋体" w:hAnsi="宋体" w:cs="宋体"/>
          <w:spacing w:val="-2"/>
        </w:rPr>
        <w:t>按期完成</w:t>
      </w:r>
      <w:r>
        <w:rPr>
          <w:rFonts w:hint="eastAsia" w:ascii="宋体" w:hAnsi="宋体" w:cs="宋体"/>
          <w:spacing w:val="-10"/>
        </w:rPr>
        <w:t>《采购需求》及《合同书》中的全部任务。</w:t>
      </w:r>
    </w:p>
    <w:p>
      <w:pPr>
        <w:spacing w:line="360" w:lineRule="auto"/>
        <w:ind w:firstLine="420" w:firstLineChars="200"/>
        <w:jc w:val="left"/>
        <w:rPr>
          <w:rFonts w:ascii="宋体" w:hAnsi="宋体" w:cs="宋体"/>
        </w:rPr>
      </w:pPr>
      <w:r>
        <w:rPr>
          <w:rFonts w:hint="eastAsia" w:ascii="宋体" w:hAnsi="宋体" w:cs="宋体"/>
        </w:rPr>
        <w:t>（七）我方作为法律、财务和运作上独立于采购人、采购代理机构的投标人，在此保证所提交的所有文件和全部说明是真实的和正确的。</w:t>
      </w:r>
    </w:p>
    <w:p>
      <w:pPr>
        <w:spacing w:line="360" w:lineRule="auto"/>
        <w:ind w:firstLine="420" w:firstLineChars="200"/>
        <w:jc w:val="left"/>
        <w:rPr>
          <w:rFonts w:ascii="宋体" w:hAnsi="宋体" w:cs="宋体"/>
        </w:rPr>
      </w:pPr>
      <w:r>
        <w:rPr>
          <w:rFonts w:hint="eastAsia" w:ascii="宋体" w:hAnsi="宋体" w:cs="宋体"/>
        </w:rPr>
        <w:t>（八）我方投标报价已包含应向知识产权所有权人支付的所有相关税费，并保证采购人在中国使用我方提供的货物时，如</w:t>
      </w:r>
      <w:r>
        <w:rPr>
          <w:rFonts w:hint="eastAsia" w:ascii="宋体" w:hAnsi="宋体" w:cs="宋体"/>
          <w:spacing w:val="1"/>
        </w:rPr>
        <w:t>有第三方提出侵犯其知识产权主张的，责任由我方承担。</w:t>
      </w:r>
    </w:p>
    <w:p>
      <w:pPr>
        <w:spacing w:line="360" w:lineRule="auto"/>
        <w:ind w:firstLine="420" w:firstLineChars="200"/>
        <w:jc w:val="left"/>
        <w:rPr>
          <w:rFonts w:ascii="宋体" w:hAnsi="宋体" w:cs="宋体"/>
        </w:rPr>
      </w:pPr>
      <w:r>
        <w:rPr>
          <w:rFonts w:hint="eastAsia" w:ascii="宋体" w:hAnsi="宋体" w:cs="宋体"/>
        </w:rPr>
        <w:t>（九）我方接受采购人委托向贵方支付代理服务费，项目总报价已包含代理服务费，如果被确定为中标供应商，承诺向贵</w:t>
      </w:r>
      <w:r>
        <w:rPr>
          <w:rFonts w:hint="eastAsia" w:ascii="宋体" w:hAnsi="宋体" w:cs="宋体"/>
          <w:spacing w:val="1"/>
        </w:rPr>
        <w:t>方足额支付。（若采购人支付代理服务费，则此条不适用）</w:t>
      </w:r>
    </w:p>
    <w:p>
      <w:pPr>
        <w:spacing w:line="360" w:lineRule="auto"/>
        <w:ind w:firstLine="416" w:firstLineChars="200"/>
        <w:jc w:val="left"/>
        <w:rPr>
          <w:rFonts w:ascii="宋体" w:hAnsi="宋体" w:cs="宋体"/>
        </w:rPr>
      </w:pPr>
      <w:r>
        <w:rPr>
          <w:rFonts w:hint="eastAsia" w:ascii="宋体" w:hAnsi="宋体" w:cs="宋体"/>
          <w:spacing w:val="-1"/>
        </w:rPr>
        <w:t>（十）我方与其他投标人不存在单位负责人为同一人或者存在直接控股、管理关系。</w:t>
      </w:r>
    </w:p>
    <w:p>
      <w:pPr>
        <w:spacing w:line="360" w:lineRule="auto"/>
        <w:ind w:firstLine="424" w:firstLineChars="200"/>
        <w:jc w:val="left"/>
        <w:rPr>
          <w:rFonts w:ascii="宋体" w:hAnsi="宋体" w:cs="宋体"/>
        </w:rPr>
      </w:pPr>
      <w:r>
        <w:rPr>
          <w:rFonts w:hint="eastAsia" w:ascii="宋体" w:hAnsi="宋体" w:cs="宋体"/>
          <w:spacing w:val="1"/>
        </w:rPr>
        <w:t>（十一）我方承诺未为本项目提供整体设计、规范编制或者项目管理、监理、检测等服务。</w:t>
      </w:r>
    </w:p>
    <w:p>
      <w:pPr>
        <w:spacing w:line="360" w:lineRule="auto"/>
        <w:ind w:firstLine="408" w:firstLineChars="200"/>
        <w:jc w:val="left"/>
        <w:rPr>
          <w:rFonts w:ascii="宋体" w:hAnsi="宋体" w:cs="宋体"/>
        </w:rPr>
      </w:pPr>
      <w:r>
        <w:rPr>
          <w:rFonts w:hint="eastAsia" w:ascii="宋体" w:hAnsi="宋体" w:cs="宋体"/>
          <w:spacing w:val="-3"/>
        </w:rPr>
        <w:t>（十二）我方未被列入法院失信被执行人名单中。</w:t>
      </w:r>
    </w:p>
    <w:p>
      <w:pPr>
        <w:spacing w:line="360" w:lineRule="auto"/>
        <w:ind w:firstLine="404" w:firstLineChars="200"/>
        <w:jc w:val="left"/>
        <w:rPr>
          <w:rFonts w:ascii="宋体" w:hAnsi="宋体" w:cs="宋体"/>
        </w:rPr>
      </w:pPr>
      <w:r>
        <w:rPr>
          <w:rFonts w:hint="eastAsia" w:ascii="宋体" w:hAnsi="宋体" w:cs="宋体"/>
          <w:spacing w:val="-4"/>
        </w:rPr>
        <w:t>（十三）我方具备《中华人民共和国政府采购法》第二十二条规定的条件，承诺如下：</w:t>
      </w:r>
    </w:p>
    <w:p>
      <w:pPr>
        <w:spacing w:line="360" w:lineRule="auto"/>
        <w:ind w:firstLine="424" w:firstLineChars="200"/>
        <w:jc w:val="left"/>
        <w:rPr>
          <w:rFonts w:ascii="宋体" w:hAnsi="宋体" w:cs="宋体"/>
        </w:rPr>
      </w:pPr>
      <w:r>
        <w:rPr>
          <w:rFonts w:hint="eastAsia" w:ascii="宋体" w:hAnsi="宋体" w:cs="宋体"/>
          <w:spacing w:val="1"/>
        </w:rPr>
        <w:t>（1）我方参加本项目采购活动前3年内在经营活动中没有以下违法记录，或因违法经营被禁止参加采购活动的</w:t>
      </w:r>
      <w:r>
        <w:rPr>
          <w:rFonts w:hint="eastAsia" w:ascii="宋体" w:hAnsi="宋体" w:cs="宋体"/>
          <w:spacing w:val="-2"/>
        </w:rPr>
        <w:t>期限已届满：因违法经营受到刑事处罚或者责令停产停业、吊销许可证或者执照、较大数额罚款等行政处罚。</w:t>
      </w:r>
    </w:p>
    <w:p>
      <w:pPr>
        <w:spacing w:line="360" w:lineRule="auto"/>
        <w:ind w:firstLine="424" w:firstLineChars="200"/>
        <w:jc w:val="left"/>
        <w:rPr>
          <w:rFonts w:ascii="宋体" w:hAnsi="宋体" w:cs="宋体"/>
        </w:rPr>
      </w:pPr>
      <w:r>
        <w:rPr>
          <w:rFonts w:hint="eastAsia" w:ascii="宋体" w:hAnsi="宋体" w:cs="宋体"/>
          <w:spacing w:val="1"/>
        </w:rPr>
        <w:t>（2）我方符合法律、行政法规规定的其他条件。</w:t>
      </w:r>
    </w:p>
    <w:p>
      <w:pPr>
        <w:spacing w:line="360" w:lineRule="auto"/>
        <w:ind w:firstLine="424" w:firstLineChars="200"/>
        <w:jc w:val="left"/>
        <w:rPr>
          <w:rFonts w:ascii="宋体" w:hAnsi="宋体" w:cs="宋体"/>
        </w:rPr>
      </w:pPr>
      <w:r>
        <w:rPr>
          <w:rFonts w:hint="eastAsia" w:ascii="宋体" w:hAnsi="宋体" w:cs="宋体"/>
          <w:spacing w:val="1"/>
        </w:rPr>
        <w:t>以上内容如有虚假或与事实不符的，评标委员会可将我方做无效投标处理，我方愿意承担相应的法律责任。</w:t>
      </w:r>
    </w:p>
    <w:p>
      <w:pPr>
        <w:spacing w:line="360" w:lineRule="auto"/>
        <w:ind w:firstLine="412" w:firstLineChars="200"/>
        <w:jc w:val="left"/>
        <w:rPr>
          <w:rFonts w:ascii="宋体" w:hAnsi="宋体" w:cs="宋体"/>
        </w:rPr>
      </w:pPr>
      <w:r>
        <w:rPr>
          <w:rFonts w:hint="eastAsia" w:ascii="宋体" w:hAnsi="宋体" w:cs="宋体"/>
          <w:spacing w:val="-2"/>
          <w:position w:val="14"/>
        </w:rPr>
        <w:t>（十四）我方对在本函及投标文件中所作的所有承诺承担法律责任。</w:t>
      </w:r>
    </w:p>
    <w:p>
      <w:pPr>
        <w:spacing w:line="360" w:lineRule="auto"/>
        <w:ind w:firstLine="408" w:firstLineChars="200"/>
        <w:jc w:val="left"/>
        <w:rPr>
          <w:rFonts w:ascii="宋体" w:hAnsi="宋体" w:cs="宋体"/>
        </w:rPr>
      </w:pPr>
      <w:r>
        <w:rPr>
          <w:rFonts w:hint="eastAsia" w:ascii="宋体" w:hAnsi="宋体" w:cs="宋体"/>
          <w:spacing w:val="-3"/>
        </w:rPr>
        <w:t>（十五）所有与本招标有关的函件请发往下列地址：</w:t>
      </w:r>
    </w:p>
    <w:p>
      <w:pPr>
        <w:spacing w:line="360" w:lineRule="auto"/>
        <w:jc w:val="left"/>
        <w:rPr>
          <w:rFonts w:ascii="宋体" w:hAnsi="宋体" w:cs="宋体"/>
        </w:rPr>
      </w:pPr>
      <w:r>
        <w:rPr>
          <w:rFonts w:hint="eastAsia" w:ascii="宋体" w:hAnsi="宋体" w:cs="宋体"/>
          <w:spacing w:val="-6"/>
          <w:position w:val="13"/>
        </w:rPr>
        <w:t>地址：__________________邮政编码：__________________</w:t>
      </w:r>
    </w:p>
    <w:p>
      <w:pPr>
        <w:spacing w:line="360" w:lineRule="auto"/>
        <w:jc w:val="left"/>
        <w:rPr>
          <w:rFonts w:ascii="宋体" w:hAnsi="宋体" w:cs="宋体"/>
        </w:rPr>
      </w:pPr>
      <w:r>
        <w:rPr>
          <w:rFonts w:hint="eastAsia" w:ascii="宋体" w:hAnsi="宋体" w:cs="宋体"/>
          <w:spacing w:val="-7"/>
        </w:rPr>
        <w:t>电话：__________________</w:t>
      </w:r>
    </w:p>
    <w:p>
      <w:pPr>
        <w:spacing w:line="360" w:lineRule="auto"/>
        <w:jc w:val="left"/>
        <w:rPr>
          <w:rFonts w:ascii="宋体" w:hAnsi="宋体" w:cs="宋体"/>
        </w:rPr>
      </w:pPr>
      <w:r>
        <w:rPr>
          <w:rFonts w:hint="eastAsia" w:ascii="宋体" w:hAnsi="宋体" w:cs="宋体"/>
          <w:spacing w:val="-6"/>
        </w:rPr>
        <w:t>传真：__________________</w:t>
      </w:r>
    </w:p>
    <w:p>
      <w:pPr>
        <w:spacing w:line="360" w:lineRule="auto"/>
        <w:jc w:val="left"/>
        <w:rPr>
          <w:rFonts w:ascii="宋体" w:hAnsi="宋体" w:cs="宋体"/>
        </w:rPr>
      </w:pPr>
      <w:r>
        <w:rPr>
          <w:rFonts w:hint="eastAsia" w:ascii="宋体" w:hAnsi="宋体" w:cs="宋体"/>
          <w:spacing w:val="-6"/>
        </w:rPr>
        <w:t>代表姓名：__________________职务：__________________</w:t>
      </w:r>
    </w:p>
    <w:p>
      <w:pPr>
        <w:spacing w:line="360" w:lineRule="auto"/>
        <w:jc w:val="right"/>
        <w:rPr>
          <w:rFonts w:ascii="宋体" w:hAnsi="宋体" w:cs="宋体"/>
          <w:spacing w:val="-4"/>
        </w:rPr>
      </w:pPr>
    </w:p>
    <w:p>
      <w:pPr>
        <w:spacing w:line="360" w:lineRule="auto"/>
        <w:jc w:val="right"/>
        <w:rPr>
          <w:rFonts w:ascii="宋体" w:hAnsi="宋体" w:cs="宋体"/>
          <w:spacing w:val="-4"/>
        </w:rPr>
      </w:pPr>
    </w:p>
    <w:p>
      <w:pPr>
        <w:spacing w:line="360" w:lineRule="auto"/>
        <w:jc w:val="right"/>
        <w:rPr>
          <w:rFonts w:ascii="宋体" w:hAnsi="宋体" w:cs="宋体"/>
          <w:spacing w:val="-4"/>
        </w:rPr>
      </w:pPr>
      <w:r>
        <w:rPr>
          <w:rFonts w:hint="eastAsia" w:ascii="宋体" w:hAnsi="宋体" w:cs="宋体"/>
          <w:spacing w:val="-4"/>
        </w:rPr>
        <w:t xml:space="preserve">投标人法定代表人（或法定代表人授权代表）签字或盖章： </w:t>
      </w:r>
      <w:r>
        <w:rPr>
          <w:rFonts w:ascii="宋体" w:hAnsi="宋体" w:cs="宋体"/>
          <w:spacing w:val="-4"/>
        </w:rPr>
        <w:t xml:space="preserve">      </w:t>
      </w:r>
    </w:p>
    <w:p>
      <w:pPr>
        <w:spacing w:line="360" w:lineRule="auto"/>
        <w:jc w:val="right"/>
        <w:rPr>
          <w:rFonts w:ascii="宋体" w:hAnsi="宋体" w:cs="宋体"/>
          <w:spacing w:val="2"/>
        </w:rPr>
      </w:pPr>
      <w:r>
        <w:rPr>
          <w:rFonts w:hint="eastAsia" w:ascii="宋体" w:hAnsi="宋体" w:cs="宋体"/>
          <w:spacing w:val="2"/>
        </w:rPr>
        <w:t>投标人名称（盖章</w:t>
      </w:r>
      <w:r>
        <w:rPr>
          <w:rFonts w:hint="eastAsia" w:ascii="宋体" w:hAnsi="宋体" w:cs="宋体"/>
          <w:spacing w:val="-64"/>
        </w:rPr>
        <w:t>）：</w:t>
      </w:r>
    </w:p>
    <w:p>
      <w:pPr>
        <w:tabs>
          <w:tab w:val="left" w:pos="3600"/>
        </w:tabs>
        <w:spacing w:line="360" w:lineRule="auto"/>
        <w:ind w:firstLine="6634" w:firstLineChars="3100"/>
        <w:rPr>
          <w:rFonts w:ascii="宋体" w:hAnsi="宋体"/>
          <w:bCs/>
          <w:szCs w:val="21"/>
        </w:rPr>
      </w:pPr>
      <w:r>
        <w:rPr>
          <w:rFonts w:hint="eastAsia" w:ascii="宋体" w:hAnsi="宋体" w:cs="宋体"/>
          <w:spacing w:val="2"/>
          <w:szCs w:val="21"/>
        </w:rPr>
        <w:t xml:space="preserve">日期： </w:t>
      </w:r>
      <w:r>
        <w:rPr>
          <w:rFonts w:ascii="宋体" w:hAnsi="宋体" w:cs="宋体"/>
          <w:spacing w:val="2"/>
          <w:szCs w:val="21"/>
        </w:rPr>
        <w:t xml:space="preserve">  </w:t>
      </w:r>
      <w:r>
        <w:rPr>
          <w:rFonts w:hint="eastAsia" w:ascii="宋体" w:hAnsi="宋体" w:cs="宋体"/>
          <w:spacing w:val="2"/>
          <w:szCs w:val="21"/>
        </w:rPr>
        <w:t xml:space="preserve">年 </w:t>
      </w:r>
      <w:r>
        <w:rPr>
          <w:rFonts w:ascii="宋体" w:hAnsi="宋体" w:cs="宋体"/>
          <w:spacing w:val="2"/>
          <w:szCs w:val="21"/>
        </w:rPr>
        <w:t xml:space="preserve">  </w:t>
      </w:r>
      <w:r>
        <w:rPr>
          <w:rFonts w:hint="eastAsia" w:ascii="宋体" w:hAnsi="宋体" w:cs="宋体"/>
          <w:spacing w:val="2"/>
          <w:szCs w:val="21"/>
        </w:rPr>
        <w:t xml:space="preserve">月 </w:t>
      </w:r>
      <w:r>
        <w:rPr>
          <w:rFonts w:ascii="宋体" w:hAnsi="宋体" w:cs="宋体"/>
          <w:spacing w:val="2"/>
          <w:szCs w:val="21"/>
        </w:rPr>
        <w:t xml:space="preserve">  </w:t>
      </w:r>
      <w:r>
        <w:rPr>
          <w:rFonts w:hint="eastAsia" w:ascii="宋体" w:hAnsi="宋体" w:cs="宋体"/>
          <w:spacing w:val="2"/>
          <w:szCs w:val="21"/>
        </w:rPr>
        <w:t>日</w:t>
      </w:r>
    </w:p>
    <w:p>
      <w:pPr>
        <w:spacing w:before="120" w:after="120" w:line="300" w:lineRule="auto"/>
        <w:rPr>
          <w:rFonts w:ascii="宋体" w:hAnsi="宋体"/>
          <w:bCs/>
          <w:szCs w:val="21"/>
        </w:rPr>
      </w:pPr>
    </w:p>
    <w:p>
      <w:pPr>
        <w:spacing w:before="120" w:after="120"/>
        <w:rPr>
          <w:rFonts w:ascii="宋体" w:hAnsi="宋体"/>
          <w:bCs/>
          <w:szCs w:val="21"/>
        </w:rPr>
      </w:pPr>
      <w:bookmarkStart w:id="292" w:name="_Toc28923"/>
      <w:bookmarkStart w:id="293" w:name="_Toc234432974"/>
      <w:bookmarkStart w:id="294" w:name="_Toc19989"/>
      <w:bookmarkStart w:id="295" w:name="_Toc334797769"/>
      <w:bookmarkStart w:id="296" w:name="_Toc22397"/>
    </w:p>
    <w:p>
      <w:pPr>
        <w:pStyle w:val="5"/>
        <w:spacing w:line="360" w:lineRule="auto"/>
      </w:pPr>
      <w:r>
        <w:br w:type="page"/>
      </w:r>
      <w:r>
        <w:rPr>
          <w:rFonts w:hint="eastAsia"/>
        </w:rPr>
        <w:t>格式2                开标一览表</w:t>
      </w:r>
      <w:bookmarkEnd w:id="292"/>
      <w:bookmarkEnd w:id="293"/>
      <w:bookmarkEnd w:id="294"/>
      <w:bookmarkEnd w:id="295"/>
      <w:bookmarkEnd w:id="296"/>
    </w:p>
    <w:p>
      <w:pPr>
        <w:spacing w:line="360" w:lineRule="auto"/>
        <w:rPr>
          <w:rFonts w:ascii="Arial Unicode MS" w:hAnsi="Arial Unicode MS" w:eastAsia="Arial Unicode MS" w:cs="Arial Unicode MS"/>
          <w:bCs/>
          <w:szCs w:val="21"/>
        </w:rPr>
      </w:pPr>
      <w:r>
        <w:rPr>
          <w:rFonts w:hint="eastAsia" w:ascii="宋体" w:hAnsi="宋体" w:cs="Tahoma"/>
          <w:szCs w:val="21"/>
        </w:rPr>
        <w:t>项目名称</w:t>
      </w:r>
      <w:r>
        <w:rPr>
          <w:rFonts w:hint="eastAsia" w:ascii="宋体" w:hAnsi="宋体" w:cs="Tahoma"/>
          <w:kern w:val="28"/>
          <w:szCs w:val="21"/>
        </w:rPr>
        <w:t xml:space="preserve">：                                   </w:t>
      </w:r>
      <w:r>
        <w:rPr>
          <w:rFonts w:ascii="宋体" w:hAnsi="宋体" w:cs="Tahoma"/>
          <w:szCs w:val="21"/>
        </w:rPr>
        <w:t>项目编号：</w:t>
      </w:r>
      <w:r>
        <w:rPr>
          <w:rFonts w:hint="eastAsia" w:ascii="宋体" w:hAnsi="宋体"/>
          <w:szCs w:val="21"/>
        </w:rPr>
        <w:t xml:space="preserve"> </w:t>
      </w:r>
      <w:r>
        <w:rPr>
          <w:rFonts w:hint="eastAsia" w:ascii="Arial Unicode MS" w:hAnsi="Arial Unicode MS" w:eastAsia="Arial Unicode MS" w:cs="Arial Unicode MS"/>
          <w:bCs/>
          <w:szCs w:val="21"/>
        </w:rPr>
        <w:t xml:space="preserve">             </w:t>
      </w:r>
      <w:r>
        <w:rPr>
          <w:rFonts w:hint="eastAsia" w:ascii="宋体" w:hAnsi="宋体"/>
          <w:bCs/>
          <w:szCs w:val="21"/>
        </w:rPr>
        <w:t xml:space="preserve">  </w:t>
      </w:r>
    </w:p>
    <w:tbl>
      <w:tblPr>
        <w:tblStyle w:val="39"/>
        <w:tblW w:w="95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1950"/>
        <w:gridCol w:w="4784"/>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745" w:type="dxa"/>
            <w:vAlign w:val="center"/>
          </w:tcPr>
          <w:p>
            <w:pPr>
              <w:spacing w:line="360" w:lineRule="auto"/>
              <w:jc w:val="center"/>
              <w:rPr>
                <w:rFonts w:ascii="宋体" w:hAnsi="宋体"/>
                <w:b/>
                <w:bCs/>
                <w:szCs w:val="21"/>
              </w:rPr>
            </w:pPr>
            <w:r>
              <w:rPr>
                <w:rFonts w:hint="eastAsia" w:ascii="宋体" w:hAnsi="宋体"/>
                <w:b/>
                <w:bCs/>
                <w:szCs w:val="21"/>
              </w:rPr>
              <w:t>投标单位名称</w:t>
            </w:r>
          </w:p>
        </w:tc>
        <w:tc>
          <w:tcPr>
            <w:tcW w:w="1950" w:type="dxa"/>
            <w:vAlign w:val="center"/>
          </w:tcPr>
          <w:p>
            <w:pPr>
              <w:spacing w:line="360" w:lineRule="auto"/>
              <w:jc w:val="center"/>
              <w:rPr>
                <w:rFonts w:ascii="宋体" w:hAnsi="宋体"/>
                <w:b/>
                <w:bCs/>
                <w:szCs w:val="21"/>
              </w:rPr>
            </w:pPr>
            <w:r>
              <w:rPr>
                <w:rFonts w:hint="eastAsia" w:ascii="宋体" w:hAnsi="宋体"/>
                <w:b/>
                <w:bCs/>
                <w:szCs w:val="21"/>
              </w:rPr>
              <w:t>投标总价           （人民币/元）</w:t>
            </w:r>
          </w:p>
        </w:tc>
        <w:tc>
          <w:tcPr>
            <w:tcW w:w="4784" w:type="dxa"/>
            <w:vAlign w:val="center"/>
          </w:tcPr>
          <w:p>
            <w:pPr>
              <w:spacing w:line="360" w:lineRule="auto"/>
              <w:jc w:val="center"/>
              <w:rPr>
                <w:rFonts w:ascii="宋体" w:hAnsi="宋体"/>
                <w:b/>
                <w:bCs/>
                <w:szCs w:val="21"/>
              </w:rPr>
            </w:pPr>
            <w:r>
              <w:rPr>
                <w:rFonts w:hint="eastAsia" w:ascii="宋体" w:hAnsi="宋体"/>
                <w:b/>
                <w:bCs/>
                <w:szCs w:val="21"/>
              </w:rPr>
              <w:t>项目交付时间</w:t>
            </w:r>
          </w:p>
        </w:tc>
        <w:tc>
          <w:tcPr>
            <w:tcW w:w="1086" w:type="dxa"/>
            <w:vAlign w:val="center"/>
          </w:tcPr>
          <w:p>
            <w:pPr>
              <w:spacing w:line="360" w:lineRule="auto"/>
              <w:jc w:val="center"/>
              <w:rPr>
                <w:rFonts w:ascii="宋体" w:hAnsi="宋体"/>
                <w:b/>
                <w:bCs/>
                <w:szCs w:val="21"/>
              </w:rPr>
            </w:pPr>
            <w:r>
              <w:rPr>
                <w:rFonts w:hint="eastAsia" w:ascii="宋体" w:hAnsi="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trPr>
        <w:tc>
          <w:tcPr>
            <w:tcW w:w="1745" w:type="dxa"/>
            <w:vAlign w:val="center"/>
          </w:tcPr>
          <w:p>
            <w:pPr>
              <w:spacing w:line="360" w:lineRule="auto"/>
              <w:jc w:val="center"/>
              <w:rPr>
                <w:rFonts w:ascii="宋体" w:hAnsi="宋体"/>
                <w:szCs w:val="21"/>
              </w:rPr>
            </w:pPr>
          </w:p>
        </w:tc>
        <w:tc>
          <w:tcPr>
            <w:tcW w:w="1950" w:type="dxa"/>
            <w:vAlign w:val="center"/>
          </w:tcPr>
          <w:p>
            <w:pPr>
              <w:spacing w:line="360" w:lineRule="auto"/>
              <w:jc w:val="center"/>
              <w:rPr>
                <w:rFonts w:ascii="宋体" w:hAnsi="宋体"/>
                <w:szCs w:val="21"/>
              </w:rPr>
            </w:pPr>
          </w:p>
        </w:tc>
        <w:tc>
          <w:tcPr>
            <w:tcW w:w="4784" w:type="dxa"/>
            <w:vAlign w:val="center"/>
          </w:tcPr>
          <w:p>
            <w:pPr>
              <w:spacing w:line="360" w:lineRule="auto"/>
              <w:jc w:val="center"/>
              <w:rPr>
                <w:rFonts w:ascii="宋体" w:hAnsi="宋体"/>
                <w:szCs w:val="21"/>
              </w:rPr>
            </w:pPr>
            <w:r>
              <w:rPr>
                <w:rFonts w:hint="eastAsia" w:ascii="宋体" w:hAnsi="宋体"/>
                <w:szCs w:val="21"/>
              </w:rPr>
              <w:t>自合同签订并生效后30个工作日内出具7处地籍调查表，中标人需在不动产登记部门出具审核意见后20个工作日内出具不动产权籍调查报告。</w:t>
            </w:r>
          </w:p>
        </w:tc>
        <w:tc>
          <w:tcPr>
            <w:tcW w:w="1086" w:type="dxa"/>
            <w:vAlign w:val="center"/>
          </w:tcPr>
          <w:p>
            <w:pPr>
              <w:spacing w:line="360" w:lineRule="auto"/>
              <w:jc w:val="center"/>
              <w:rPr>
                <w:rFonts w:ascii="宋体" w:hAnsi="宋体"/>
                <w:szCs w:val="21"/>
              </w:rPr>
            </w:pPr>
          </w:p>
        </w:tc>
      </w:tr>
    </w:tbl>
    <w:p>
      <w:pPr>
        <w:snapToGrid w:val="0"/>
        <w:spacing w:line="360" w:lineRule="auto"/>
        <w:ind w:firstLine="422" w:firstLineChars="200"/>
        <w:rPr>
          <w:rFonts w:ascii="宋体" w:hAnsi="宋体"/>
          <w:b/>
          <w:szCs w:val="21"/>
        </w:rPr>
      </w:pPr>
      <w:r>
        <w:rPr>
          <w:rFonts w:hint="eastAsia" w:ascii="宋体" w:hAnsi="宋体"/>
          <w:b/>
          <w:szCs w:val="21"/>
        </w:rPr>
        <w:t>注：1.投标人应按“采购人需求”的要求，根据实际情况进行报价。本表内的投标总价为最终报价，投标文件内不得含有任何对本报价进行修改的其他说明，否则将被视为无效投标；</w:t>
      </w:r>
    </w:p>
    <w:p>
      <w:pPr>
        <w:snapToGrid w:val="0"/>
        <w:spacing w:line="360" w:lineRule="auto"/>
        <w:ind w:firstLine="422" w:firstLineChars="200"/>
        <w:rPr>
          <w:rFonts w:ascii="宋体" w:hAnsi="宋体"/>
          <w:b/>
          <w:szCs w:val="21"/>
        </w:rPr>
      </w:pPr>
      <w:r>
        <w:rPr>
          <w:rFonts w:hint="eastAsia" w:ascii="宋体" w:hAnsi="宋体"/>
          <w:b/>
          <w:szCs w:val="21"/>
        </w:rPr>
        <w:t>2.投标总价包括了中标人完成本项目所需的一切内容而发生的所有直接费用、间接费用、其他费用、税金等全部费用和中标人要求获得的利润以及应由中标人承担的义务、责任和风险所发生的一切费用；</w:t>
      </w:r>
    </w:p>
    <w:p>
      <w:pPr>
        <w:snapToGrid w:val="0"/>
        <w:spacing w:line="360" w:lineRule="auto"/>
        <w:ind w:firstLine="422" w:firstLineChars="200"/>
        <w:rPr>
          <w:rFonts w:ascii="宋体" w:hAnsi="宋体"/>
          <w:b/>
          <w:bCs/>
          <w:szCs w:val="21"/>
        </w:rPr>
      </w:pPr>
      <w:r>
        <w:rPr>
          <w:rFonts w:hint="eastAsia" w:ascii="宋体" w:hAnsi="宋体"/>
          <w:b/>
          <w:bCs/>
          <w:szCs w:val="21"/>
        </w:rPr>
        <w:t>3.本投标总价为固定不变价；</w:t>
      </w:r>
    </w:p>
    <w:p>
      <w:pPr>
        <w:spacing w:line="360" w:lineRule="auto"/>
        <w:ind w:firstLine="422" w:firstLineChars="200"/>
        <w:rPr>
          <w:rFonts w:ascii="宋体" w:hAnsi="宋体"/>
          <w:b/>
          <w:szCs w:val="21"/>
        </w:rPr>
      </w:pPr>
      <w:r>
        <w:rPr>
          <w:rFonts w:hint="eastAsia" w:ascii="宋体" w:hAnsi="宋体"/>
          <w:b/>
          <w:szCs w:val="21"/>
        </w:rPr>
        <w:t>4.报价以人民币元为单位，保留小数点后两位；</w:t>
      </w:r>
    </w:p>
    <w:p>
      <w:pPr>
        <w:spacing w:line="360" w:lineRule="auto"/>
        <w:ind w:firstLine="422" w:firstLineChars="200"/>
        <w:rPr>
          <w:rFonts w:ascii="宋体" w:hAnsi="宋体"/>
          <w:b/>
          <w:szCs w:val="21"/>
        </w:rPr>
      </w:pPr>
      <w:r>
        <w:rPr>
          <w:rFonts w:hint="eastAsia" w:ascii="宋体" w:hAnsi="宋体"/>
          <w:b/>
          <w:szCs w:val="21"/>
        </w:rPr>
        <w:t>5.本表格须附在正副的投标文件中，并另封装一份在“唱标信封”内。</w:t>
      </w:r>
    </w:p>
    <w:p>
      <w:pPr>
        <w:spacing w:line="360" w:lineRule="auto"/>
        <w:ind w:firstLine="6957" w:firstLineChars="3300"/>
        <w:rPr>
          <w:rFonts w:ascii="宋体" w:hAnsi="宋体"/>
          <w:b/>
          <w:color w:val="FF0000"/>
          <w:szCs w:val="21"/>
        </w:rPr>
      </w:pPr>
    </w:p>
    <w:p>
      <w:pPr>
        <w:spacing w:line="360" w:lineRule="auto"/>
        <w:ind w:firstLine="6957" w:firstLineChars="3300"/>
        <w:rPr>
          <w:rFonts w:ascii="宋体" w:hAnsi="宋体"/>
          <w:b/>
          <w:color w:val="FF0000"/>
          <w:szCs w:val="21"/>
        </w:rPr>
      </w:pPr>
    </w:p>
    <w:p>
      <w:pPr>
        <w:spacing w:line="360" w:lineRule="auto"/>
        <w:ind w:firstLine="6930" w:firstLineChars="3300"/>
        <w:rPr>
          <w:rFonts w:ascii="宋体" w:hAnsi="宋体"/>
          <w:bCs/>
          <w:szCs w:val="21"/>
        </w:rPr>
      </w:pPr>
      <w:r>
        <w:rPr>
          <w:rFonts w:hint="eastAsia" w:ascii="宋体" w:hAnsi="宋体"/>
          <w:bCs/>
          <w:szCs w:val="21"/>
        </w:rPr>
        <w:t>（投标人加盖公章）</w:t>
      </w:r>
    </w:p>
    <w:p>
      <w:pPr>
        <w:tabs>
          <w:tab w:val="left" w:pos="3600"/>
        </w:tabs>
        <w:spacing w:line="360" w:lineRule="auto"/>
        <w:ind w:firstLine="6510" w:firstLineChars="3100"/>
        <w:rPr>
          <w:rFonts w:ascii="宋体" w:hAnsi="宋体"/>
          <w:bCs/>
          <w:szCs w:val="21"/>
        </w:rPr>
      </w:pPr>
      <w:r>
        <w:rPr>
          <w:rFonts w:hint="eastAsia" w:ascii="宋体" w:hAnsi="宋体"/>
          <w:bCs/>
          <w:szCs w:val="21"/>
        </w:rPr>
        <w:t>日    期：     年   月   日</w:t>
      </w:r>
    </w:p>
    <w:p>
      <w:pPr>
        <w:pStyle w:val="5"/>
      </w:pPr>
      <w:bookmarkStart w:id="297" w:name="_Toc25971"/>
      <w:bookmarkStart w:id="298" w:name="_Toc13792"/>
      <w:bookmarkStart w:id="299" w:name="_Toc14865"/>
      <w:bookmarkStart w:id="300" w:name="_Toc334797770"/>
      <w:bookmarkStart w:id="301" w:name="_Toc245819135"/>
      <w:bookmarkStart w:id="302" w:name="_Toc17545"/>
      <w:bookmarkStart w:id="303" w:name="_Toc12571"/>
      <w:bookmarkStart w:id="304" w:name="_Toc10406"/>
      <w:bookmarkStart w:id="305" w:name="_Toc334797772"/>
      <w:r>
        <w:rPr>
          <w:rFonts w:hint="eastAsia"/>
        </w:rPr>
        <w:t>格式3             报价明细表（含税费）</w:t>
      </w:r>
      <w:bookmarkEnd w:id="297"/>
      <w:bookmarkEnd w:id="298"/>
      <w:bookmarkEnd w:id="299"/>
      <w:bookmarkEnd w:id="300"/>
    </w:p>
    <w:p>
      <w:pPr>
        <w:spacing w:line="360" w:lineRule="auto"/>
        <w:rPr>
          <w:rFonts w:ascii="宋体" w:hAnsi="宋体" w:cs="Tahoma"/>
          <w:b/>
          <w:bCs/>
          <w:sz w:val="24"/>
          <w:u w:val="single"/>
        </w:rPr>
      </w:pPr>
      <w:r>
        <w:rPr>
          <w:rFonts w:hint="eastAsia" w:ascii="宋体" w:hAnsi="宋体" w:cs="Tahoma"/>
          <w:b/>
          <w:bCs/>
          <w:i/>
          <w:iCs/>
          <w:sz w:val="24"/>
          <w:u w:val="single"/>
        </w:rPr>
        <w:t>本表将有可能在中标公告中公开，请投标人仔细填写</w:t>
      </w:r>
    </w:p>
    <w:p>
      <w:pPr>
        <w:spacing w:line="360" w:lineRule="auto"/>
        <w:rPr>
          <w:rFonts w:ascii="Arial Unicode MS" w:hAnsi="Arial Unicode MS" w:eastAsia="Arial Unicode MS" w:cs="Arial Unicode MS"/>
          <w:bCs/>
          <w:szCs w:val="21"/>
        </w:rPr>
      </w:pPr>
      <w:r>
        <w:rPr>
          <w:rFonts w:hint="eastAsia" w:ascii="宋体" w:hAnsi="宋体" w:cs="Tahoma"/>
          <w:szCs w:val="21"/>
        </w:rPr>
        <w:t>项目名称</w:t>
      </w:r>
      <w:r>
        <w:rPr>
          <w:rFonts w:hint="eastAsia" w:ascii="宋体" w:hAnsi="宋体" w:cs="Tahoma"/>
          <w:kern w:val="28"/>
          <w:szCs w:val="21"/>
        </w:rPr>
        <w:t xml:space="preserve">：                  </w:t>
      </w:r>
      <w:r>
        <w:rPr>
          <w:rFonts w:ascii="宋体" w:hAnsi="宋体" w:cs="Tahoma"/>
          <w:szCs w:val="21"/>
        </w:rPr>
        <w:t>项目编号：</w:t>
      </w:r>
      <w:r>
        <w:rPr>
          <w:rFonts w:hint="eastAsia" w:ascii="Arial Unicode MS" w:hAnsi="Arial Unicode MS" w:eastAsia="Arial Unicode MS" w:cs="Arial Unicode MS"/>
          <w:bCs/>
          <w:szCs w:val="21"/>
        </w:rPr>
        <w:t xml:space="preserve">           </w:t>
      </w:r>
      <w:r>
        <w:rPr>
          <w:rFonts w:hint="eastAsia" w:ascii="宋体" w:hAnsi="宋体"/>
          <w:bCs/>
          <w:color w:val="FF0000"/>
          <w:szCs w:val="21"/>
        </w:rPr>
        <w:t xml:space="preserve"> </w:t>
      </w:r>
      <w:r>
        <w:rPr>
          <w:rFonts w:ascii="宋体" w:hAnsi="宋体"/>
          <w:bCs/>
          <w:color w:val="FF0000"/>
          <w:szCs w:val="21"/>
        </w:rPr>
        <w:t xml:space="preserve">                   </w:t>
      </w:r>
      <w:r>
        <w:rPr>
          <w:rFonts w:hint="eastAsia" w:ascii="宋体" w:hAnsi="宋体"/>
          <w:szCs w:val="21"/>
        </w:rPr>
        <w:t>[货币单位：人民币元]</w:t>
      </w:r>
    </w:p>
    <w:tbl>
      <w:tblPr>
        <w:tblStyle w:val="39"/>
        <w:tblW w:w="9409" w:type="dxa"/>
        <w:tblInd w:w="0" w:type="dxa"/>
        <w:tblLayout w:type="fixed"/>
        <w:tblCellMar>
          <w:top w:w="0" w:type="dxa"/>
          <w:left w:w="30" w:type="dxa"/>
          <w:bottom w:w="0" w:type="dxa"/>
          <w:right w:w="30" w:type="dxa"/>
        </w:tblCellMar>
      </w:tblPr>
      <w:tblGrid>
        <w:gridCol w:w="768"/>
        <w:gridCol w:w="3648"/>
        <w:gridCol w:w="1536"/>
        <w:gridCol w:w="1920"/>
        <w:gridCol w:w="1537"/>
      </w:tblGrid>
      <w:tr>
        <w:tblPrEx>
          <w:tblCellMar>
            <w:top w:w="0" w:type="dxa"/>
            <w:left w:w="30" w:type="dxa"/>
            <w:bottom w:w="0" w:type="dxa"/>
            <w:right w:w="30" w:type="dxa"/>
          </w:tblCellMar>
        </w:tblPrEx>
        <w:trPr>
          <w:cantSplit/>
          <w:trHeight w:val="530" w:hRule="atLeast"/>
        </w:trPr>
        <w:tc>
          <w:tcPr>
            <w:tcW w:w="768" w:type="dxa"/>
            <w:tcBorders>
              <w:top w:val="single" w:color="auto" w:sz="4" w:space="0"/>
              <w:left w:val="single" w:color="auto" w:sz="4" w:space="0"/>
              <w:bottom w:val="single" w:color="auto" w:sz="4"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序号</w:t>
            </w:r>
          </w:p>
        </w:tc>
        <w:tc>
          <w:tcPr>
            <w:tcW w:w="3648" w:type="dxa"/>
            <w:tcBorders>
              <w:top w:val="single" w:color="auto" w:sz="4" w:space="0"/>
              <w:left w:val="single" w:color="auto" w:sz="6" w:space="0"/>
              <w:bottom w:val="single" w:color="auto" w:sz="4"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报价内容</w:t>
            </w:r>
          </w:p>
        </w:tc>
        <w:tc>
          <w:tcPr>
            <w:tcW w:w="1536" w:type="dxa"/>
            <w:tcBorders>
              <w:top w:val="single" w:color="auto" w:sz="4" w:space="0"/>
              <w:left w:val="single" w:color="auto" w:sz="6" w:space="0"/>
              <w:bottom w:val="single" w:color="auto" w:sz="4"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单价</w:t>
            </w:r>
          </w:p>
        </w:tc>
        <w:tc>
          <w:tcPr>
            <w:tcW w:w="1920" w:type="dxa"/>
            <w:tcBorders>
              <w:top w:val="single" w:color="auto" w:sz="4" w:space="0"/>
              <w:left w:val="single" w:color="auto" w:sz="4" w:space="0"/>
              <w:bottom w:val="single" w:color="auto" w:sz="4"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总价</w:t>
            </w:r>
          </w:p>
        </w:tc>
        <w:tc>
          <w:tcPr>
            <w:tcW w:w="1537" w:type="dxa"/>
            <w:tcBorders>
              <w:top w:val="single" w:color="auto" w:sz="4" w:space="0"/>
              <w:left w:val="single" w:color="auto" w:sz="6" w:space="0"/>
              <w:bottom w:val="single" w:color="auto" w:sz="4"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备注</w:t>
            </w:r>
          </w:p>
        </w:tc>
      </w:tr>
      <w:tr>
        <w:tblPrEx>
          <w:tblCellMar>
            <w:top w:w="0" w:type="dxa"/>
            <w:left w:w="30" w:type="dxa"/>
            <w:bottom w:w="0" w:type="dxa"/>
            <w:right w:w="30" w:type="dxa"/>
          </w:tblCellMar>
        </w:tblPrEx>
        <w:trPr>
          <w:cantSplit/>
          <w:trHeight w:val="398" w:hRule="atLeast"/>
        </w:trPr>
        <w:tc>
          <w:tcPr>
            <w:tcW w:w="768"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1</w:t>
            </w:r>
          </w:p>
        </w:tc>
        <w:tc>
          <w:tcPr>
            <w:tcW w:w="3648" w:type="dxa"/>
            <w:tcBorders>
              <w:top w:val="single" w:color="auto" w:sz="4" w:space="0"/>
              <w:left w:val="single" w:color="auto" w:sz="6" w:space="0"/>
              <w:bottom w:val="single" w:color="auto" w:sz="6" w:space="0"/>
              <w:right w:val="single" w:color="auto" w:sz="6" w:space="0"/>
            </w:tcBorders>
          </w:tcPr>
          <w:p>
            <w:pPr>
              <w:spacing w:line="360" w:lineRule="auto"/>
              <w:ind w:right="84" w:rightChars="40"/>
              <w:jc w:val="center"/>
              <w:rPr>
                <w:rFonts w:ascii="宋体" w:hAnsi="宋体"/>
                <w:szCs w:val="21"/>
              </w:rPr>
            </w:pPr>
          </w:p>
        </w:tc>
        <w:tc>
          <w:tcPr>
            <w:tcW w:w="1536" w:type="dxa"/>
            <w:tcBorders>
              <w:top w:val="single" w:color="auto" w:sz="4" w:space="0"/>
              <w:left w:val="single" w:color="auto" w:sz="6" w:space="0"/>
              <w:bottom w:val="single" w:color="auto" w:sz="6"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p>
        </w:tc>
        <w:tc>
          <w:tcPr>
            <w:tcW w:w="1920" w:type="dxa"/>
            <w:tcBorders>
              <w:top w:val="single" w:color="auto" w:sz="4" w:space="0"/>
              <w:left w:val="single" w:color="auto" w:sz="4" w:space="0"/>
              <w:bottom w:val="single" w:color="auto" w:sz="6"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p>
        </w:tc>
        <w:tc>
          <w:tcPr>
            <w:tcW w:w="1537" w:type="dxa"/>
            <w:tcBorders>
              <w:top w:val="single" w:color="auto" w:sz="4" w:space="0"/>
              <w:left w:val="single" w:color="auto" w:sz="6" w:space="0"/>
              <w:bottom w:val="single" w:color="auto" w:sz="6"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p>
        </w:tc>
      </w:tr>
      <w:tr>
        <w:tblPrEx>
          <w:tblCellMar>
            <w:top w:w="0" w:type="dxa"/>
            <w:left w:w="30" w:type="dxa"/>
            <w:bottom w:w="0" w:type="dxa"/>
            <w:right w:w="30" w:type="dxa"/>
          </w:tblCellMar>
        </w:tblPrEx>
        <w:trPr>
          <w:cantSplit/>
          <w:trHeight w:val="90" w:hRule="atLeast"/>
        </w:trPr>
        <w:tc>
          <w:tcPr>
            <w:tcW w:w="768"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2</w:t>
            </w:r>
          </w:p>
        </w:tc>
        <w:tc>
          <w:tcPr>
            <w:tcW w:w="3648" w:type="dxa"/>
            <w:tcBorders>
              <w:top w:val="single" w:color="auto" w:sz="6" w:space="0"/>
              <w:left w:val="single" w:color="auto" w:sz="6" w:space="0"/>
              <w:bottom w:val="single" w:color="auto" w:sz="6" w:space="0"/>
              <w:right w:val="single" w:color="auto" w:sz="6" w:space="0"/>
            </w:tcBorders>
          </w:tcPr>
          <w:p>
            <w:pPr>
              <w:spacing w:line="360" w:lineRule="auto"/>
              <w:ind w:right="84" w:rightChars="40"/>
              <w:jc w:val="center"/>
              <w:rPr>
                <w:rFonts w:ascii="宋体" w:hAnsi="宋体"/>
                <w:szCs w:val="21"/>
              </w:rPr>
            </w:pPr>
          </w:p>
        </w:tc>
        <w:tc>
          <w:tcPr>
            <w:tcW w:w="1536"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p>
        </w:tc>
        <w:tc>
          <w:tcPr>
            <w:tcW w:w="1920"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p>
        </w:tc>
        <w:tc>
          <w:tcPr>
            <w:tcW w:w="1537"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p>
        </w:tc>
      </w:tr>
      <w:tr>
        <w:tblPrEx>
          <w:tblCellMar>
            <w:top w:w="0" w:type="dxa"/>
            <w:left w:w="30" w:type="dxa"/>
            <w:bottom w:w="0" w:type="dxa"/>
            <w:right w:w="30" w:type="dxa"/>
          </w:tblCellMar>
        </w:tblPrEx>
        <w:trPr>
          <w:cantSplit/>
          <w:trHeight w:val="318" w:hRule="atLeast"/>
        </w:trPr>
        <w:tc>
          <w:tcPr>
            <w:tcW w:w="768"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w:t>
            </w:r>
          </w:p>
        </w:tc>
        <w:tc>
          <w:tcPr>
            <w:tcW w:w="3648" w:type="dxa"/>
            <w:tcBorders>
              <w:top w:val="single" w:color="auto" w:sz="6" w:space="0"/>
              <w:left w:val="single" w:color="auto" w:sz="6" w:space="0"/>
              <w:bottom w:val="single" w:color="auto" w:sz="6" w:space="0"/>
              <w:right w:val="single" w:color="auto" w:sz="6" w:space="0"/>
            </w:tcBorders>
            <w:vAlign w:val="center"/>
          </w:tcPr>
          <w:p>
            <w:pPr>
              <w:spacing w:line="360" w:lineRule="auto"/>
              <w:ind w:right="84" w:rightChars="40"/>
              <w:jc w:val="center"/>
              <w:rPr>
                <w:rFonts w:ascii="宋体" w:hAnsi="宋体"/>
                <w:szCs w:val="21"/>
              </w:rPr>
            </w:pPr>
          </w:p>
        </w:tc>
        <w:tc>
          <w:tcPr>
            <w:tcW w:w="1536"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p>
        </w:tc>
        <w:tc>
          <w:tcPr>
            <w:tcW w:w="1920"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p>
        </w:tc>
        <w:tc>
          <w:tcPr>
            <w:tcW w:w="1537"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p>
        </w:tc>
      </w:tr>
      <w:tr>
        <w:tblPrEx>
          <w:tblCellMar>
            <w:top w:w="0" w:type="dxa"/>
            <w:left w:w="30" w:type="dxa"/>
            <w:bottom w:w="0" w:type="dxa"/>
            <w:right w:w="30" w:type="dxa"/>
          </w:tblCellMar>
        </w:tblPrEx>
        <w:trPr>
          <w:cantSplit/>
          <w:trHeight w:val="318" w:hRule="atLeast"/>
        </w:trPr>
        <w:tc>
          <w:tcPr>
            <w:tcW w:w="768"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r>
              <w:rPr>
                <w:rFonts w:hint="eastAsia" w:ascii="宋体" w:hAnsi="宋体"/>
                <w:szCs w:val="21"/>
              </w:rPr>
              <w:t>合计</w:t>
            </w:r>
          </w:p>
        </w:tc>
        <w:tc>
          <w:tcPr>
            <w:tcW w:w="3648" w:type="dxa"/>
            <w:tcBorders>
              <w:top w:val="single" w:color="auto" w:sz="6" w:space="0"/>
              <w:left w:val="single" w:color="auto" w:sz="6" w:space="0"/>
              <w:bottom w:val="single" w:color="auto" w:sz="6" w:space="0"/>
              <w:right w:val="single" w:color="auto" w:sz="6" w:space="0"/>
            </w:tcBorders>
            <w:vAlign w:val="center"/>
          </w:tcPr>
          <w:p>
            <w:pPr>
              <w:spacing w:line="360" w:lineRule="auto"/>
              <w:ind w:right="84" w:rightChars="40"/>
              <w:jc w:val="center"/>
              <w:rPr>
                <w:rFonts w:ascii="宋体" w:hAnsi="宋体"/>
                <w:szCs w:val="21"/>
              </w:rPr>
            </w:pPr>
          </w:p>
        </w:tc>
        <w:tc>
          <w:tcPr>
            <w:tcW w:w="1536"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p>
        </w:tc>
        <w:tc>
          <w:tcPr>
            <w:tcW w:w="1920" w:type="dxa"/>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pacing w:line="360" w:lineRule="auto"/>
              <w:ind w:right="84" w:rightChars="40"/>
              <w:jc w:val="center"/>
              <w:rPr>
                <w:rFonts w:ascii="宋体" w:hAnsi="宋体"/>
                <w:szCs w:val="21"/>
              </w:rPr>
            </w:pPr>
          </w:p>
        </w:tc>
        <w:tc>
          <w:tcPr>
            <w:tcW w:w="1537" w:type="dxa"/>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pacing w:line="360" w:lineRule="auto"/>
              <w:ind w:right="84" w:rightChars="40"/>
              <w:jc w:val="center"/>
              <w:rPr>
                <w:rFonts w:ascii="宋体" w:hAnsi="宋体"/>
                <w:szCs w:val="21"/>
              </w:rPr>
            </w:pPr>
          </w:p>
        </w:tc>
      </w:tr>
    </w:tbl>
    <w:p>
      <w:pPr>
        <w:spacing w:line="360" w:lineRule="auto"/>
        <w:ind w:firstLine="422" w:firstLineChars="200"/>
        <w:jc w:val="left"/>
        <w:rPr>
          <w:rFonts w:ascii="宋体" w:hAnsi="宋体"/>
          <w:b/>
          <w:szCs w:val="21"/>
        </w:rPr>
      </w:pPr>
      <w:r>
        <w:rPr>
          <w:rFonts w:hint="eastAsia" w:ascii="宋体" w:hAnsi="宋体"/>
          <w:b/>
          <w:szCs w:val="21"/>
        </w:rPr>
        <w:t>注：1.此表为《开标一览表》的服务总报价明细表，如有缺项、漏项，视为投标报价中已包含相关费用，采购人无须另外支付任何费用。</w:t>
      </w:r>
    </w:p>
    <w:p>
      <w:pPr>
        <w:spacing w:line="360" w:lineRule="auto"/>
        <w:ind w:firstLine="422" w:firstLineChars="200"/>
        <w:jc w:val="left"/>
        <w:rPr>
          <w:rFonts w:ascii="宋体" w:hAnsi="宋体"/>
          <w:b/>
          <w:szCs w:val="21"/>
        </w:rPr>
      </w:pPr>
      <w:r>
        <w:rPr>
          <w:rFonts w:hint="eastAsia" w:ascii="宋体" w:hAnsi="宋体"/>
          <w:b/>
          <w:szCs w:val="21"/>
        </w:rPr>
        <w:t>2.该表格式仅作参考，投标人的详细报价表格式可自定。</w:t>
      </w:r>
    </w:p>
    <w:p>
      <w:pPr>
        <w:spacing w:line="360" w:lineRule="auto"/>
        <w:ind w:firstLine="422" w:firstLineChars="200"/>
        <w:jc w:val="left"/>
      </w:pPr>
      <w:r>
        <w:rPr>
          <w:rFonts w:hint="eastAsia" w:ascii="宋体" w:hAnsi="宋体"/>
          <w:b/>
          <w:szCs w:val="21"/>
        </w:rPr>
        <w:t>3.本表格须附在正副的投标文件中，并另封装一份在“唱标信封”内。</w:t>
      </w:r>
    </w:p>
    <w:p>
      <w:pPr>
        <w:spacing w:line="360" w:lineRule="auto"/>
        <w:ind w:firstLine="6930" w:firstLineChars="3300"/>
        <w:rPr>
          <w:rFonts w:ascii="宋体" w:hAnsi="宋体"/>
          <w:bCs/>
          <w:szCs w:val="21"/>
        </w:rPr>
      </w:pPr>
      <w:r>
        <w:rPr>
          <w:rFonts w:hint="eastAsia" w:ascii="宋体" w:hAnsi="宋体"/>
          <w:bCs/>
          <w:szCs w:val="21"/>
        </w:rPr>
        <w:t>（投标人加盖公章）</w:t>
      </w:r>
    </w:p>
    <w:p>
      <w:pPr>
        <w:pStyle w:val="28"/>
        <w:rPr>
          <w:szCs w:val="21"/>
        </w:rPr>
      </w:pPr>
      <w:r>
        <w:rPr>
          <w:rFonts w:hint="eastAsia"/>
          <w:bCs/>
          <w:szCs w:val="21"/>
        </w:rPr>
        <w:t>日    期：   年   月   日</w:t>
      </w:r>
    </w:p>
    <w:p>
      <w:pPr>
        <w:pStyle w:val="5"/>
        <w:spacing w:line="415" w:lineRule="auto"/>
        <w:rPr>
          <w:sz w:val="24"/>
        </w:rPr>
      </w:pPr>
      <w:r>
        <w:rPr>
          <w:rFonts w:hint="eastAsia"/>
        </w:rPr>
        <w:t>格式</w:t>
      </w:r>
      <w:bookmarkEnd w:id="301"/>
      <w:bookmarkStart w:id="306" w:name="_Toc245819136"/>
      <w:r>
        <w:t>4</w:t>
      </w:r>
      <w:r>
        <w:rPr>
          <w:rFonts w:hint="eastAsia"/>
        </w:rPr>
        <w:t xml:space="preserve">                资格声明函</w:t>
      </w:r>
      <w:bookmarkEnd w:id="302"/>
      <w:bookmarkEnd w:id="303"/>
      <w:bookmarkEnd w:id="304"/>
      <w:bookmarkEnd w:id="305"/>
      <w:bookmarkEnd w:id="306"/>
    </w:p>
    <w:p>
      <w:pPr>
        <w:spacing w:line="300" w:lineRule="auto"/>
        <w:rPr>
          <w:rFonts w:ascii="宋体" w:hAnsi="宋体"/>
          <w:b/>
          <w:sz w:val="24"/>
        </w:rPr>
      </w:pPr>
      <w:r>
        <w:rPr>
          <w:rFonts w:hint="eastAsia" w:ascii="宋体" w:hAnsi="宋体"/>
          <w:b/>
          <w:sz w:val="24"/>
        </w:rPr>
        <w:t>广州群生招标代理有限公司：</w:t>
      </w:r>
    </w:p>
    <w:p>
      <w:pPr>
        <w:spacing w:line="300" w:lineRule="auto"/>
        <w:ind w:firstLine="420" w:firstLineChars="200"/>
        <w:rPr>
          <w:rFonts w:ascii="宋体" w:hAnsi="宋体"/>
          <w:szCs w:val="21"/>
        </w:rPr>
      </w:pPr>
      <w:r>
        <w:rPr>
          <w:rFonts w:hint="eastAsia" w:ascii="宋体" w:hAnsi="宋体"/>
          <w:szCs w:val="21"/>
        </w:rPr>
        <w:t>我方愿响应你方项目名称：           （ 项目编号：             ）的投标。投标邀请，参与投标，提供采购人需求中规定的全部内容，并按招标文件要求提交所附资格文件且声明和保证如下：</w:t>
      </w:r>
    </w:p>
    <w:p>
      <w:pPr>
        <w:widowControl/>
        <w:numPr>
          <w:ilvl w:val="0"/>
          <w:numId w:val="15"/>
        </w:numPr>
        <w:tabs>
          <w:tab w:val="left" w:pos="960"/>
        </w:tabs>
        <w:spacing w:line="360" w:lineRule="auto"/>
        <w:jc w:val="left"/>
        <w:rPr>
          <w:rFonts w:ascii="宋体" w:hAnsi="宋体"/>
          <w:szCs w:val="21"/>
        </w:rPr>
      </w:pPr>
      <w:r>
        <w:rPr>
          <w:rFonts w:hint="eastAsia" w:ascii="宋体" w:hAnsi="宋体"/>
          <w:szCs w:val="21"/>
        </w:rPr>
        <w:t>我方为本次报价所提交的所有证明我方提供货物和服务合格和我方资格的文件是真实的和正确的，并愿为其真实性和正确性承担法律责任；核验我方提供相关复印件与原件不一致的，或我方无法在规定时间内提供原件的，采购人或采购代理机构有权取消我方报价或成交资格；提供给采购人的货物及服务与报价承诺一致。</w:t>
      </w:r>
    </w:p>
    <w:p>
      <w:pPr>
        <w:widowControl/>
        <w:numPr>
          <w:ilvl w:val="0"/>
          <w:numId w:val="15"/>
        </w:numPr>
        <w:tabs>
          <w:tab w:val="left" w:pos="960"/>
        </w:tabs>
        <w:spacing w:line="360" w:lineRule="auto"/>
        <w:jc w:val="left"/>
        <w:rPr>
          <w:rFonts w:ascii="宋体" w:hAnsi="宋体"/>
          <w:szCs w:val="21"/>
        </w:rPr>
      </w:pPr>
      <w:r>
        <w:rPr>
          <w:rFonts w:hint="eastAsia" w:ascii="宋体" w:hAnsi="宋体"/>
          <w:szCs w:val="21"/>
        </w:rPr>
        <w:t>我方在参与本次报价时，符合</w:t>
      </w:r>
      <w:r>
        <w:rPr>
          <w:rFonts w:hint="eastAsia"/>
          <w:szCs w:val="21"/>
        </w:rPr>
        <w:t>供应商资格条件要求及其他法律法规规定的其他条件。</w:t>
      </w:r>
    </w:p>
    <w:p>
      <w:pPr>
        <w:widowControl/>
        <w:numPr>
          <w:ilvl w:val="0"/>
          <w:numId w:val="15"/>
        </w:numPr>
        <w:tabs>
          <w:tab w:val="left" w:pos="960"/>
        </w:tabs>
        <w:spacing w:line="360" w:lineRule="auto"/>
        <w:jc w:val="left"/>
        <w:rPr>
          <w:rFonts w:ascii="宋体" w:hAnsi="宋体"/>
          <w:szCs w:val="21"/>
        </w:rPr>
      </w:pPr>
      <w:r>
        <w:rPr>
          <w:rFonts w:hint="eastAsia"/>
          <w:szCs w:val="21"/>
        </w:rPr>
        <w:t>我方</w:t>
      </w:r>
      <w:r>
        <w:rPr>
          <w:rFonts w:hint="eastAsia" w:ascii="宋体" w:hAnsi="宋体" w:cs="Arial"/>
          <w:szCs w:val="21"/>
        </w:rPr>
        <w:t>具有良好的商业信誉和健全的财务会计制度。</w:t>
      </w:r>
    </w:p>
    <w:p>
      <w:pPr>
        <w:widowControl/>
        <w:numPr>
          <w:ilvl w:val="0"/>
          <w:numId w:val="15"/>
        </w:numPr>
        <w:tabs>
          <w:tab w:val="left" w:pos="960"/>
        </w:tabs>
        <w:spacing w:line="360" w:lineRule="auto"/>
        <w:jc w:val="left"/>
        <w:rPr>
          <w:rFonts w:ascii="宋体" w:hAnsi="宋体"/>
          <w:szCs w:val="21"/>
        </w:rPr>
      </w:pPr>
      <w:r>
        <w:rPr>
          <w:rFonts w:hint="eastAsia"/>
          <w:szCs w:val="21"/>
        </w:rPr>
        <w:t>我方</w:t>
      </w:r>
      <w:r>
        <w:rPr>
          <w:rFonts w:hint="eastAsia" w:ascii="宋体" w:hAnsi="宋体" w:cs="Arial"/>
          <w:szCs w:val="21"/>
        </w:rPr>
        <w:t>具有依法缴纳税收和社会保障资金的良好记录。</w:t>
      </w:r>
    </w:p>
    <w:p>
      <w:pPr>
        <w:widowControl/>
        <w:numPr>
          <w:ilvl w:val="0"/>
          <w:numId w:val="15"/>
        </w:numPr>
        <w:tabs>
          <w:tab w:val="left" w:pos="960"/>
        </w:tabs>
        <w:spacing w:line="360" w:lineRule="auto"/>
        <w:jc w:val="left"/>
        <w:rPr>
          <w:rFonts w:ascii="宋体" w:hAnsi="宋体"/>
          <w:szCs w:val="21"/>
        </w:rPr>
      </w:pPr>
      <w:r>
        <w:rPr>
          <w:rFonts w:hint="eastAsia" w:ascii="宋体" w:hAnsi="宋体"/>
          <w:szCs w:val="21"/>
        </w:rPr>
        <w:t>我方具有履行合同所必须的设备和专业技术能力。</w:t>
      </w:r>
    </w:p>
    <w:p>
      <w:pPr>
        <w:widowControl/>
        <w:numPr>
          <w:ilvl w:val="0"/>
          <w:numId w:val="15"/>
        </w:numPr>
        <w:tabs>
          <w:tab w:val="left" w:pos="960"/>
        </w:tabs>
        <w:spacing w:line="360" w:lineRule="auto"/>
        <w:jc w:val="left"/>
        <w:rPr>
          <w:rFonts w:ascii="宋体" w:hAnsi="宋体"/>
          <w:szCs w:val="21"/>
        </w:rPr>
      </w:pPr>
      <w:r>
        <w:rPr>
          <w:rFonts w:hint="eastAsia" w:ascii="宋体" w:hAnsi="宋体"/>
          <w:szCs w:val="21"/>
        </w:rPr>
        <w:t>我方在参加本次采购活动前</w:t>
      </w:r>
      <w:r>
        <w:rPr>
          <w:rFonts w:hint="eastAsia" w:ascii="宋体" w:hAnsi="宋体"/>
          <w:szCs w:val="21"/>
          <w:u w:val="single"/>
        </w:rPr>
        <w:t>三</w:t>
      </w:r>
      <w:r>
        <w:rPr>
          <w:rFonts w:hint="eastAsia" w:ascii="宋体" w:hAnsi="宋体"/>
          <w:szCs w:val="21"/>
        </w:rPr>
        <w:t>年内在经营活动中没有重大违法记录。</w:t>
      </w:r>
    </w:p>
    <w:p>
      <w:pPr>
        <w:widowControl/>
        <w:numPr>
          <w:ilvl w:val="0"/>
          <w:numId w:val="15"/>
        </w:numPr>
        <w:tabs>
          <w:tab w:val="left" w:pos="960"/>
        </w:tabs>
        <w:spacing w:line="360" w:lineRule="auto"/>
        <w:jc w:val="left"/>
        <w:rPr>
          <w:rFonts w:ascii="宋体" w:hAnsi="宋体" w:cs="Arial"/>
          <w:szCs w:val="21"/>
        </w:rPr>
      </w:pPr>
      <w:r>
        <w:rPr>
          <w:rFonts w:hint="eastAsia" w:ascii="宋体" w:hAnsi="宋体"/>
          <w:szCs w:val="21"/>
        </w:rPr>
        <w:t>我方</w:t>
      </w:r>
      <w:r>
        <w:rPr>
          <w:rFonts w:hint="eastAsia" w:ascii="宋体" w:hAnsi="宋体" w:cs="Arial"/>
          <w:szCs w:val="21"/>
        </w:rPr>
        <w:t>符合法律、行政法规规定的其他条件，不存在以下不得参加本项目响应的情形之一：</w:t>
      </w:r>
    </w:p>
    <w:p>
      <w:pPr>
        <w:pStyle w:val="19"/>
        <w:spacing w:line="360" w:lineRule="auto"/>
        <w:ind w:left="839"/>
        <w:rPr>
          <w:rFonts w:ascii="宋体" w:hAnsi="宋体"/>
          <w:sz w:val="21"/>
          <w:szCs w:val="21"/>
        </w:rPr>
      </w:pPr>
      <w:r>
        <w:rPr>
          <w:rFonts w:hint="eastAsia" w:ascii="宋体" w:hAnsi="宋体"/>
          <w:sz w:val="21"/>
          <w:szCs w:val="21"/>
        </w:rPr>
        <w:t>1）不同供应商的单位负责人为同一人或者存在直接控股、管理关系；</w:t>
      </w:r>
    </w:p>
    <w:p>
      <w:pPr>
        <w:pStyle w:val="19"/>
        <w:spacing w:line="360" w:lineRule="auto"/>
        <w:ind w:left="839"/>
        <w:rPr>
          <w:rFonts w:ascii="宋体" w:hAnsi="宋体"/>
          <w:sz w:val="21"/>
          <w:szCs w:val="21"/>
        </w:rPr>
      </w:pPr>
      <w:r>
        <w:rPr>
          <w:rFonts w:hint="eastAsia" w:ascii="宋体" w:hAnsi="宋体"/>
          <w:sz w:val="21"/>
          <w:szCs w:val="21"/>
        </w:rPr>
        <w:t>2）供应商为采购项目提供整体设计、规范编制或者项目管理、监理、检测等服务。</w:t>
      </w:r>
    </w:p>
    <w:p>
      <w:pPr>
        <w:widowControl/>
        <w:numPr>
          <w:ilvl w:val="0"/>
          <w:numId w:val="15"/>
        </w:numPr>
        <w:tabs>
          <w:tab w:val="left" w:pos="960"/>
        </w:tabs>
        <w:spacing w:line="360" w:lineRule="auto"/>
        <w:jc w:val="left"/>
        <w:rPr>
          <w:rFonts w:ascii="宋体" w:hAnsi="宋体"/>
          <w:szCs w:val="21"/>
        </w:rPr>
      </w:pPr>
      <w:r>
        <w:rPr>
          <w:rFonts w:hint="eastAsia" w:ascii="宋体" w:hAnsi="宋体"/>
          <w:szCs w:val="21"/>
        </w:rPr>
        <w:t>我方承诺，我司员工均符合公安部印发《公安机关人民警察配偶、子女及其配偶经商办企业禁业清单（试行）》的相关规定。</w:t>
      </w:r>
    </w:p>
    <w:p>
      <w:pPr>
        <w:widowControl/>
        <w:numPr>
          <w:ilvl w:val="0"/>
          <w:numId w:val="15"/>
        </w:numPr>
        <w:tabs>
          <w:tab w:val="left" w:pos="960"/>
        </w:tabs>
        <w:spacing w:line="360" w:lineRule="auto"/>
        <w:jc w:val="left"/>
        <w:rPr>
          <w:rFonts w:ascii="宋体" w:hAnsi="宋体"/>
          <w:szCs w:val="21"/>
        </w:rPr>
      </w:pPr>
      <w:r>
        <w:rPr>
          <w:rFonts w:hint="eastAsia" w:ascii="宋体" w:hAnsi="宋体"/>
          <w:szCs w:val="21"/>
        </w:rPr>
        <w:t>我方如成交，除不可抗力原因外，将在规定时间内与采购人签订合同。</w:t>
      </w:r>
    </w:p>
    <w:p>
      <w:pPr>
        <w:widowControl/>
        <w:spacing w:line="300" w:lineRule="auto"/>
        <w:ind w:firstLine="420" w:firstLineChars="200"/>
        <w:jc w:val="left"/>
        <w:rPr>
          <w:rFonts w:ascii="宋体" w:hAnsi="宋体"/>
          <w:szCs w:val="21"/>
        </w:rPr>
      </w:pPr>
      <w:r>
        <w:rPr>
          <w:rFonts w:hint="eastAsia" w:ascii="宋体" w:hAnsi="宋体"/>
          <w:szCs w:val="21"/>
        </w:rPr>
        <w:t>如有违反上述声明之情形或我方声明与事实不符，我方对被取消中标资格无异议，同时，我方无条件接受相关部门以提供虚假材料谋取中标处理。</w:t>
      </w:r>
    </w:p>
    <w:p>
      <w:pPr>
        <w:spacing w:line="360" w:lineRule="auto"/>
        <w:ind w:firstLine="6930" w:firstLineChars="3300"/>
        <w:rPr>
          <w:rFonts w:ascii="宋体" w:hAnsi="宋体"/>
          <w:bCs/>
          <w:szCs w:val="21"/>
        </w:rPr>
      </w:pPr>
      <w:r>
        <w:rPr>
          <w:rFonts w:hint="eastAsia" w:ascii="宋体" w:hAnsi="宋体"/>
          <w:bCs/>
          <w:szCs w:val="21"/>
        </w:rPr>
        <w:t>（投标人加盖公章）</w:t>
      </w:r>
    </w:p>
    <w:p>
      <w:pPr>
        <w:tabs>
          <w:tab w:val="left" w:pos="4500"/>
        </w:tabs>
        <w:spacing w:line="300" w:lineRule="auto"/>
        <w:ind w:firstLine="6300" w:firstLineChars="3000"/>
        <w:rPr>
          <w:rFonts w:ascii="宋体" w:hAnsi="宋体"/>
          <w:bCs/>
          <w:szCs w:val="21"/>
        </w:rPr>
      </w:pPr>
      <w:r>
        <w:rPr>
          <w:rFonts w:hint="eastAsia" w:ascii="宋体" w:hAnsi="宋体"/>
          <w:bCs/>
          <w:szCs w:val="21"/>
        </w:rPr>
        <w:t>日    期：     年   月   日</w:t>
      </w:r>
    </w:p>
    <w:p>
      <w:pPr>
        <w:pStyle w:val="2"/>
      </w:pPr>
    </w:p>
    <w:p>
      <w:pPr>
        <w:pStyle w:val="2"/>
      </w:pPr>
    </w:p>
    <w:p>
      <w:pPr>
        <w:pStyle w:val="5"/>
        <w:rPr>
          <w:b w:val="0"/>
          <w:bCs w:val="0"/>
          <w:color w:val="000000"/>
        </w:rPr>
      </w:pPr>
      <w:bookmarkStart w:id="307" w:name="_Toc334797771"/>
      <w:bookmarkStart w:id="308" w:name="_Toc601"/>
      <w:bookmarkStart w:id="309" w:name="_Toc30583"/>
      <w:bookmarkStart w:id="310" w:name="_Toc1220"/>
      <w:r>
        <w:rPr>
          <w:rFonts w:hint="eastAsia" w:ascii="黑体"/>
        </w:rPr>
        <w:t>格式</w:t>
      </w:r>
      <w:r>
        <w:rPr>
          <w:rFonts w:ascii="黑体"/>
        </w:rPr>
        <w:t>5</w:t>
      </w:r>
      <w:r>
        <w:rPr>
          <w:rFonts w:hint="eastAsia" w:ascii="黑体"/>
        </w:rPr>
        <w:t xml:space="preserve">      </w:t>
      </w:r>
      <w:bookmarkStart w:id="311" w:name="_Toc223939104"/>
      <w:r>
        <w:rPr>
          <w:rFonts w:hint="eastAsia" w:ascii="黑体"/>
        </w:rPr>
        <w:t xml:space="preserve">        </w:t>
      </w:r>
      <w:bookmarkEnd w:id="307"/>
      <w:bookmarkEnd w:id="311"/>
      <w:r>
        <w:rPr>
          <w:rFonts w:hint="eastAsia" w:ascii="黑体"/>
        </w:rPr>
        <w:t xml:space="preserve"> </w:t>
      </w:r>
      <w:r>
        <w:rPr>
          <w:rFonts w:hint="eastAsia"/>
        </w:rPr>
        <w:t>法定代表人（负责人）证明及授权书</w:t>
      </w:r>
      <w:bookmarkEnd w:id="308"/>
      <w:bookmarkEnd w:id="309"/>
      <w:bookmarkEnd w:id="310"/>
    </w:p>
    <w:p>
      <w:pPr>
        <w:pStyle w:val="24"/>
        <w:spacing w:line="300" w:lineRule="auto"/>
        <w:rPr>
          <w:rFonts w:hAnsi="宋体"/>
          <w:b/>
          <w:color w:val="000000"/>
          <w:sz w:val="21"/>
          <w:szCs w:val="21"/>
        </w:rPr>
      </w:pPr>
      <w:r>
        <w:rPr>
          <w:rFonts w:hint="eastAsia" w:hAnsi="宋体"/>
          <w:b/>
          <w:color w:val="000000"/>
          <w:sz w:val="21"/>
          <w:szCs w:val="21"/>
        </w:rPr>
        <w:t>致：广州群生招标代理有限公司</w:t>
      </w:r>
      <w:r>
        <w:rPr>
          <w:rFonts w:hAnsi="宋体"/>
          <w:color w:val="000000"/>
          <w:sz w:val="21"/>
          <w:szCs w:val="21"/>
        </w:rPr>
        <w:tab/>
      </w:r>
    </w:p>
    <w:p>
      <w:pPr>
        <w:pStyle w:val="24"/>
        <w:spacing w:line="300" w:lineRule="auto"/>
        <w:ind w:firstLine="420" w:firstLineChars="200"/>
        <w:rPr>
          <w:rFonts w:hAnsi="宋体"/>
          <w:color w:val="000000"/>
          <w:sz w:val="21"/>
          <w:szCs w:val="21"/>
        </w:rPr>
      </w:pPr>
      <w:r>
        <w:rPr>
          <w:rFonts w:hint="eastAsia" w:hAnsi="宋体"/>
          <w:color w:val="000000"/>
          <w:sz w:val="21"/>
          <w:szCs w:val="21"/>
        </w:rPr>
        <w:t>本授权证明：</w:t>
      </w:r>
      <w:r>
        <w:rPr>
          <w:rFonts w:hint="eastAsia" w:hAnsi="宋体"/>
          <w:i/>
          <w:color w:val="000000"/>
          <w:sz w:val="21"/>
          <w:szCs w:val="21"/>
          <w:u w:val="single"/>
        </w:rPr>
        <w:t>（法定代表人（负责人）姓名）</w:t>
      </w:r>
      <w:r>
        <w:rPr>
          <w:rFonts w:hint="eastAsia" w:hAnsi="宋体"/>
          <w:color w:val="000000"/>
          <w:sz w:val="21"/>
          <w:szCs w:val="21"/>
        </w:rPr>
        <w:t>是</w:t>
      </w:r>
      <w:r>
        <w:rPr>
          <w:rFonts w:hint="eastAsia" w:hAnsi="宋体"/>
          <w:i/>
          <w:color w:val="000000"/>
          <w:sz w:val="21"/>
          <w:szCs w:val="21"/>
          <w:u w:val="single"/>
        </w:rPr>
        <w:t>（投标人名称）</w:t>
      </w:r>
      <w:r>
        <w:rPr>
          <w:rFonts w:hint="eastAsia" w:hAnsi="宋体"/>
          <w:color w:val="000000"/>
          <w:sz w:val="21"/>
          <w:szCs w:val="21"/>
        </w:rPr>
        <w:t>的法定代表人（负责人），在此授权</w:t>
      </w:r>
      <w:r>
        <w:rPr>
          <w:rFonts w:hint="eastAsia" w:hAnsi="宋体"/>
          <w:i/>
          <w:color w:val="000000"/>
          <w:sz w:val="21"/>
          <w:szCs w:val="21"/>
          <w:u w:val="single"/>
        </w:rPr>
        <w:t>（被授权人姓名）</w:t>
      </w:r>
      <w:r>
        <w:rPr>
          <w:rFonts w:hint="eastAsia" w:hAnsi="宋体"/>
          <w:color w:val="000000"/>
          <w:sz w:val="21"/>
          <w:szCs w:val="21"/>
        </w:rPr>
        <w:t>作为我公司的全权代理人，在</w:t>
      </w:r>
      <w:r>
        <w:rPr>
          <w:rFonts w:hint="eastAsia" w:hAnsi="宋体"/>
          <w:i/>
          <w:color w:val="000000"/>
          <w:sz w:val="21"/>
          <w:szCs w:val="21"/>
          <w:u w:val="single"/>
        </w:rPr>
        <w:t>（项目名称：）（项目编号：       ）</w:t>
      </w:r>
      <w:r>
        <w:rPr>
          <w:rFonts w:hint="eastAsia" w:hAnsi="宋体"/>
          <w:color w:val="000000"/>
          <w:sz w:val="21"/>
          <w:szCs w:val="21"/>
        </w:rPr>
        <w:t>的投标过程中，以我公司的名义处理一切与之有关的事务。</w:t>
      </w:r>
    </w:p>
    <w:p>
      <w:pPr>
        <w:spacing w:line="300" w:lineRule="auto"/>
        <w:ind w:firstLine="420" w:firstLineChars="200"/>
        <w:rPr>
          <w:rFonts w:ascii="宋体" w:hAnsi="宋体"/>
          <w:color w:val="00000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p>
      <w:pPr>
        <w:pStyle w:val="24"/>
        <w:spacing w:line="300" w:lineRule="auto"/>
        <w:jc w:val="center"/>
        <w:rPr>
          <w:rFonts w:hAnsi="宋体"/>
          <w:b/>
          <w:color w:val="000000"/>
          <w:sz w:val="21"/>
          <w:szCs w:val="21"/>
        </w:rPr>
      </w:pPr>
      <w:r>
        <w:rPr>
          <w:rFonts w:hint="eastAsia" w:hAnsi="宋体"/>
          <w:b/>
          <w:color w:val="000000"/>
          <w:sz w:val="21"/>
          <w:szCs w:val="21"/>
        </w:rPr>
        <w:t>法定代表人（负责人）</w:t>
      </w:r>
    </w:p>
    <w:p>
      <w:pPr>
        <w:spacing w:line="300" w:lineRule="auto"/>
        <w:ind w:firstLine="422" w:firstLineChars="200"/>
        <w:jc w:val="center"/>
        <w:rPr>
          <w:rFonts w:ascii="宋体" w:hAnsi="宋体"/>
          <w:color w:val="000000"/>
          <w:szCs w:val="21"/>
        </w:rPr>
      </w:pPr>
      <w:r>
        <w:rPr>
          <w:rFonts w:hint="eastAsia" w:hAnsi="宋体"/>
          <w:b/>
          <w:color w:val="000000"/>
          <w:szCs w:val="21"/>
        </w:rPr>
        <w:t>居民身份证正反面复印件粘贴处</w:t>
      </w:r>
    </w:p>
    <w:p>
      <w:pPr>
        <w:spacing w:line="300" w:lineRule="auto"/>
        <w:rPr>
          <w:rFonts w:ascii="宋体" w:hAnsi="宋体"/>
          <w:color w:val="000000"/>
          <w:szCs w:val="21"/>
        </w:rPr>
      </w:pPr>
    </w:p>
    <w:p>
      <w:pPr>
        <w:pStyle w:val="24"/>
        <w:spacing w:line="300" w:lineRule="auto"/>
        <w:jc w:val="center"/>
        <w:rPr>
          <w:rFonts w:hAnsi="宋体"/>
          <w:b/>
          <w:color w:val="000000"/>
          <w:sz w:val="21"/>
          <w:szCs w:val="21"/>
        </w:rPr>
      </w:pPr>
      <w:r>
        <w:rPr>
          <w:rFonts w:hint="eastAsia" w:hAnsi="宋体"/>
          <w:b/>
          <w:color w:val="000000"/>
          <w:sz w:val="21"/>
          <w:szCs w:val="21"/>
        </w:rPr>
        <w:t>被授权人（投标人授权代表）</w:t>
      </w:r>
    </w:p>
    <w:p>
      <w:pPr>
        <w:spacing w:line="300" w:lineRule="auto"/>
        <w:ind w:firstLine="422" w:firstLineChars="200"/>
        <w:jc w:val="center"/>
        <w:rPr>
          <w:rFonts w:ascii="宋体" w:hAnsi="宋体"/>
          <w:color w:val="000000"/>
          <w:szCs w:val="21"/>
        </w:rPr>
      </w:pPr>
      <w:r>
        <w:rPr>
          <w:rFonts w:hint="eastAsia" w:hAnsi="宋体"/>
          <w:b/>
          <w:color w:val="000000"/>
          <w:szCs w:val="21"/>
        </w:rPr>
        <w:t>居民身份证正反面复印件粘贴处</w:t>
      </w:r>
    </w:p>
    <w:p>
      <w:pPr>
        <w:spacing w:line="300" w:lineRule="auto"/>
        <w:ind w:firstLine="105" w:firstLineChars="50"/>
        <w:rPr>
          <w:rFonts w:ascii="宋体" w:hAnsi="宋体"/>
          <w:color w:val="000000"/>
          <w:szCs w:val="21"/>
        </w:rPr>
      </w:pPr>
    </w:p>
    <w:p>
      <w:pPr>
        <w:spacing w:line="300" w:lineRule="auto"/>
        <w:ind w:firstLine="105" w:firstLineChars="50"/>
        <w:rPr>
          <w:rFonts w:ascii="宋体" w:hAnsi="宋体"/>
          <w:color w:val="000000"/>
          <w:szCs w:val="21"/>
        </w:rPr>
      </w:pPr>
    </w:p>
    <w:p>
      <w:pPr>
        <w:spacing w:line="300" w:lineRule="auto"/>
        <w:ind w:firstLine="105" w:firstLineChars="50"/>
        <w:rPr>
          <w:rFonts w:ascii="宋体" w:hAnsi="宋体"/>
          <w:color w:val="000000"/>
          <w:szCs w:val="21"/>
        </w:rPr>
      </w:pPr>
    </w:p>
    <w:p>
      <w:pPr>
        <w:spacing w:line="300" w:lineRule="auto"/>
        <w:rPr>
          <w:rFonts w:ascii="宋体" w:hAnsi="宋体"/>
          <w:color w:val="000000"/>
          <w:szCs w:val="21"/>
        </w:rPr>
      </w:pPr>
      <w:r>
        <w:rPr>
          <w:rFonts w:hint="eastAsia" w:ascii="宋体" w:hAnsi="宋体"/>
          <w:color w:val="000000"/>
          <w:szCs w:val="21"/>
        </w:rPr>
        <w:t xml:space="preserve">投标人全称（加盖公章）：                     </w:t>
      </w:r>
    </w:p>
    <w:p>
      <w:pPr>
        <w:rPr>
          <w:rFonts w:ascii="宋体" w:hAnsi="宋体"/>
          <w:color w:val="000000"/>
          <w:szCs w:val="21"/>
        </w:rPr>
      </w:pPr>
    </w:p>
    <w:p>
      <w:pPr>
        <w:rPr>
          <w:rFonts w:ascii="宋体" w:hAnsi="宋体"/>
          <w:color w:val="000000"/>
          <w:szCs w:val="21"/>
        </w:rPr>
      </w:pPr>
      <w:r>
        <w:rPr>
          <w:rFonts w:hint="eastAsia" w:ascii="宋体" w:hAnsi="宋体"/>
          <w:color w:val="000000"/>
          <w:szCs w:val="21"/>
        </w:rPr>
        <w:t>法定代表人（签字或签章）：                   被授权人（投标人授权代表）（签字）：</w:t>
      </w:r>
    </w:p>
    <w:p>
      <w:pPr>
        <w:spacing w:line="300" w:lineRule="auto"/>
        <w:rPr>
          <w:rFonts w:ascii="宋体" w:hAnsi="宋体"/>
          <w:color w:val="000000"/>
          <w:szCs w:val="21"/>
        </w:rPr>
      </w:pPr>
    </w:p>
    <w:p>
      <w:pPr>
        <w:pStyle w:val="5"/>
        <w:rPr>
          <w:rFonts w:ascii="黑体"/>
        </w:rPr>
      </w:pPr>
      <w:bookmarkStart w:id="312" w:name="_Toc334797782"/>
      <w:bookmarkStart w:id="313" w:name="_Toc26101"/>
      <w:bookmarkStart w:id="314" w:name="_Toc4542"/>
      <w:bookmarkStart w:id="315" w:name="_Toc21237"/>
      <w:r>
        <w:rPr>
          <w:rFonts w:hint="eastAsia"/>
        </w:rPr>
        <w:t>格式</w:t>
      </w:r>
      <w:r>
        <w:t>6</w:t>
      </w:r>
      <w:r>
        <w:rPr>
          <w:rFonts w:hint="eastAsia"/>
        </w:rPr>
        <w:t xml:space="preserve">               实质性条款响应一览表</w:t>
      </w:r>
      <w:bookmarkEnd w:id="312"/>
      <w:bookmarkEnd w:id="313"/>
      <w:bookmarkEnd w:id="314"/>
      <w:bookmarkEnd w:id="315"/>
    </w:p>
    <w:p>
      <w:pPr>
        <w:spacing w:line="360" w:lineRule="auto"/>
        <w:rPr>
          <w:rFonts w:ascii="Arial Unicode MS" w:hAnsi="Arial Unicode MS" w:eastAsia="Arial Unicode MS" w:cs="Arial Unicode MS"/>
          <w:bCs/>
          <w:szCs w:val="21"/>
        </w:rPr>
      </w:pPr>
      <w:r>
        <w:rPr>
          <w:rFonts w:hint="eastAsia" w:ascii="宋体" w:hAnsi="宋体" w:cs="Tahoma"/>
          <w:szCs w:val="21"/>
        </w:rPr>
        <w:t>项目名称</w:t>
      </w:r>
      <w:r>
        <w:rPr>
          <w:rFonts w:hint="eastAsia" w:ascii="宋体" w:hAnsi="宋体" w:cs="Tahoma"/>
          <w:kern w:val="28"/>
          <w:szCs w:val="21"/>
        </w:rPr>
        <w:t xml:space="preserve">：                                </w:t>
      </w:r>
      <w:r>
        <w:rPr>
          <w:rFonts w:ascii="宋体" w:hAnsi="宋体" w:cs="Tahoma"/>
          <w:szCs w:val="21"/>
        </w:rPr>
        <w:t>项目编号：</w:t>
      </w:r>
      <w:r>
        <w:rPr>
          <w:rFonts w:hint="eastAsia" w:ascii="宋体" w:hAnsi="宋体"/>
          <w:szCs w:val="21"/>
        </w:rPr>
        <w:t xml:space="preserve"> </w:t>
      </w:r>
      <w:r>
        <w:rPr>
          <w:rFonts w:hint="eastAsia" w:ascii="Arial Unicode MS" w:hAnsi="Arial Unicode MS" w:eastAsia="Arial Unicode MS" w:cs="Arial Unicode MS"/>
          <w:bCs/>
          <w:szCs w:val="21"/>
        </w:rPr>
        <w:t xml:space="preserve">  </w:t>
      </w:r>
      <w:r>
        <w:rPr>
          <w:rFonts w:hint="eastAsia" w:ascii="宋体" w:hAnsi="宋体"/>
          <w:bCs/>
          <w:szCs w:val="21"/>
        </w:rPr>
        <w:t xml:space="preserve">            </w:t>
      </w:r>
    </w:p>
    <w:tbl>
      <w:tblPr>
        <w:tblStyle w:val="39"/>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4732"/>
        <w:gridCol w:w="1368"/>
        <w:gridCol w:w="1344"/>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74" w:type="dxa"/>
            <w:vAlign w:val="center"/>
          </w:tcPr>
          <w:p>
            <w:pPr>
              <w:spacing w:before="240" w:line="240" w:lineRule="exact"/>
              <w:ind w:left="902" w:hanging="902"/>
              <w:jc w:val="center"/>
              <w:rPr>
                <w:rFonts w:ascii="宋体" w:hAnsi="宋体"/>
                <w:szCs w:val="21"/>
              </w:rPr>
            </w:pPr>
            <w:r>
              <w:rPr>
                <w:rFonts w:hint="eastAsia" w:ascii="宋体" w:hAnsi="宋体"/>
                <w:szCs w:val="21"/>
              </w:rPr>
              <w:t>序号</w:t>
            </w:r>
          </w:p>
        </w:tc>
        <w:tc>
          <w:tcPr>
            <w:tcW w:w="4732" w:type="dxa"/>
            <w:tcBorders>
              <w:left w:val="single" w:color="000000" w:sz="4" w:space="0"/>
            </w:tcBorders>
            <w:vAlign w:val="center"/>
          </w:tcPr>
          <w:p>
            <w:pPr>
              <w:spacing w:before="240" w:line="240" w:lineRule="exact"/>
              <w:ind w:left="902" w:hanging="902"/>
              <w:jc w:val="center"/>
              <w:rPr>
                <w:rFonts w:ascii="宋体" w:hAnsi="宋体"/>
                <w:szCs w:val="21"/>
              </w:rPr>
            </w:pPr>
            <w:r>
              <w:rPr>
                <w:rFonts w:hint="eastAsia" w:ascii="宋体" w:hAnsi="宋体"/>
                <w:szCs w:val="21"/>
              </w:rPr>
              <w:t>带“★”号响应内容</w:t>
            </w:r>
          </w:p>
        </w:tc>
        <w:tc>
          <w:tcPr>
            <w:tcW w:w="1368" w:type="dxa"/>
            <w:vAlign w:val="center"/>
          </w:tcPr>
          <w:p>
            <w:pPr>
              <w:spacing w:before="240" w:line="240" w:lineRule="exact"/>
              <w:ind w:left="902" w:hanging="902"/>
              <w:jc w:val="center"/>
              <w:rPr>
                <w:rFonts w:ascii="宋体" w:hAnsi="宋体"/>
                <w:szCs w:val="21"/>
              </w:rPr>
            </w:pPr>
            <w:r>
              <w:rPr>
                <w:rFonts w:hint="eastAsia" w:ascii="宋体" w:hAnsi="宋体"/>
                <w:szCs w:val="21"/>
              </w:rPr>
              <w:t>是否响应</w:t>
            </w:r>
          </w:p>
        </w:tc>
        <w:tc>
          <w:tcPr>
            <w:tcW w:w="1344" w:type="dxa"/>
            <w:vAlign w:val="center"/>
          </w:tcPr>
          <w:p>
            <w:pPr>
              <w:spacing w:before="240" w:line="240" w:lineRule="exact"/>
              <w:ind w:left="902" w:hanging="902"/>
              <w:jc w:val="center"/>
              <w:rPr>
                <w:rFonts w:ascii="宋体" w:hAnsi="宋体"/>
                <w:szCs w:val="21"/>
              </w:rPr>
            </w:pPr>
            <w:r>
              <w:rPr>
                <w:rFonts w:hint="eastAsia" w:ascii="宋体" w:hAnsi="宋体"/>
                <w:szCs w:val="21"/>
              </w:rPr>
              <w:t>偏离说明</w:t>
            </w:r>
          </w:p>
        </w:tc>
        <w:tc>
          <w:tcPr>
            <w:tcW w:w="1344" w:type="dxa"/>
            <w:vAlign w:val="center"/>
          </w:tcPr>
          <w:p>
            <w:pPr>
              <w:spacing w:before="240" w:line="240" w:lineRule="exact"/>
              <w:ind w:left="902" w:hanging="902"/>
              <w:jc w:val="center"/>
              <w:rPr>
                <w:rFonts w:ascii="宋体" w:hAnsi="宋体"/>
                <w:szCs w:val="21"/>
              </w:rPr>
            </w:pPr>
            <w:r>
              <w:rPr>
                <w:rFonts w:hint="eastAsia" w:ascii="宋体" w:hAnsi="宋体"/>
                <w:szCs w:val="21"/>
              </w:rPr>
              <w:t>响应页码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774" w:type="dxa"/>
            <w:vAlign w:val="center"/>
          </w:tcPr>
          <w:p>
            <w:pPr>
              <w:spacing w:before="240" w:line="240" w:lineRule="exact"/>
              <w:ind w:left="902" w:hanging="902"/>
              <w:jc w:val="center"/>
              <w:rPr>
                <w:rFonts w:ascii="宋体" w:hAnsi="宋体"/>
                <w:szCs w:val="21"/>
              </w:rPr>
            </w:pPr>
            <w:r>
              <w:rPr>
                <w:rFonts w:hint="eastAsia" w:ascii="宋体" w:hAnsi="宋体"/>
                <w:szCs w:val="21"/>
              </w:rPr>
              <w:t>1</w:t>
            </w:r>
          </w:p>
        </w:tc>
        <w:tc>
          <w:tcPr>
            <w:tcW w:w="4732" w:type="dxa"/>
            <w:tcBorders>
              <w:left w:val="single" w:color="000000" w:sz="4" w:space="0"/>
            </w:tcBorders>
            <w:vAlign w:val="center"/>
          </w:tcPr>
          <w:p>
            <w:pPr>
              <w:spacing w:line="240" w:lineRule="exact"/>
              <w:rPr>
                <w:rFonts w:ascii="宋体" w:hAnsi="宋体"/>
                <w:b/>
                <w:bCs/>
                <w:szCs w:val="21"/>
                <w:u w:val="single"/>
              </w:rPr>
            </w:pPr>
          </w:p>
        </w:tc>
        <w:tc>
          <w:tcPr>
            <w:tcW w:w="1368" w:type="dxa"/>
            <w:vAlign w:val="center"/>
          </w:tcPr>
          <w:p>
            <w:pPr>
              <w:spacing w:before="240" w:line="240" w:lineRule="exact"/>
              <w:ind w:left="902" w:hanging="902"/>
              <w:rPr>
                <w:rFonts w:ascii="宋体" w:hAnsi="宋体"/>
                <w:szCs w:val="21"/>
              </w:rPr>
            </w:pPr>
          </w:p>
        </w:tc>
        <w:tc>
          <w:tcPr>
            <w:tcW w:w="1344" w:type="dxa"/>
            <w:vAlign w:val="center"/>
          </w:tcPr>
          <w:p>
            <w:pPr>
              <w:spacing w:before="240" w:line="240" w:lineRule="exact"/>
              <w:ind w:left="902" w:hanging="902"/>
              <w:rPr>
                <w:rFonts w:ascii="宋体" w:hAnsi="宋体"/>
                <w:szCs w:val="21"/>
              </w:rPr>
            </w:pPr>
          </w:p>
        </w:tc>
        <w:tc>
          <w:tcPr>
            <w:tcW w:w="1344" w:type="dxa"/>
            <w:vAlign w:val="center"/>
          </w:tcPr>
          <w:p>
            <w:pPr>
              <w:spacing w:before="240" w:line="240" w:lineRule="exact"/>
              <w:ind w:left="902" w:hanging="902"/>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774" w:type="dxa"/>
            <w:vAlign w:val="center"/>
          </w:tcPr>
          <w:p>
            <w:pPr>
              <w:spacing w:before="240" w:line="240" w:lineRule="exact"/>
              <w:ind w:left="902" w:hanging="902"/>
              <w:jc w:val="center"/>
              <w:rPr>
                <w:rFonts w:ascii="宋体" w:hAnsi="宋体"/>
                <w:szCs w:val="21"/>
              </w:rPr>
            </w:pPr>
            <w:r>
              <w:rPr>
                <w:rFonts w:hint="eastAsia" w:ascii="宋体" w:hAnsi="宋体"/>
                <w:szCs w:val="21"/>
              </w:rPr>
              <w:t>2</w:t>
            </w:r>
          </w:p>
        </w:tc>
        <w:tc>
          <w:tcPr>
            <w:tcW w:w="4732" w:type="dxa"/>
            <w:tcBorders>
              <w:left w:val="single" w:color="000000" w:sz="4" w:space="0"/>
            </w:tcBorders>
            <w:vAlign w:val="center"/>
          </w:tcPr>
          <w:p>
            <w:pPr>
              <w:spacing w:line="240" w:lineRule="exact"/>
              <w:rPr>
                <w:szCs w:val="21"/>
              </w:rPr>
            </w:pPr>
          </w:p>
        </w:tc>
        <w:tc>
          <w:tcPr>
            <w:tcW w:w="1368" w:type="dxa"/>
            <w:vAlign w:val="center"/>
          </w:tcPr>
          <w:p>
            <w:pPr>
              <w:spacing w:before="240" w:line="240" w:lineRule="exact"/>
              <w:ind w:left="902" w:hanging="902"/>
              <w:rPr>
                <w:rFonts w:ascii="宋体" w:hAnsi="宋体"/>
                <w:szCs w:val="21"/>
              </w:rPr>
            </w:pPr>
          </w:p>
        </w:tc>
        <w:tc>
          <w:tcPr>
            <w:tcW w:w="1344" w:type="dxa"/>
            <w:vAlign w:val="center"/>
          </w:tcPr>
          <w:p>
            <w:pPr>
              <w:spacing w:before="240" w:line="240" w:lineRule="exact"/>
              <w:ind w:left="902" w:hanging="902"/>
              <w:rPr>
                <w:rFonts w:ascii="宋体" w:hAnsi="宋体"/>
                <w:szCs w:val="21"/>
              </w:rPr>
            </w:pPr>
          </w:p>
        </w:tc>
        <w:tc>
          <w:tcPr>
            <w:tcW w:w="1344" w:type="dxa"/>
            <w:vAlign w:val="center"/>
          </w:tcPr>
          <w:p>
            <w:pPr>
              <w:spacing w:before="240" w:line="240" w:lineRule="exact"/>
              <w:ind w:left="902" w:hanging="902"/>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774" w:type="dxa"/>
            <w:vAlign w:val="center"/>
          </w:tcPr>
          <w:p>
            <w:pPr>
              <w:spacing w:before="240" w:line="240" w:lineRule="exact"/>
              <w:ind w:left="902" w:hanging="902"/>
              <w:jc w:val="center"/>
              <w:rPr>
                <w:rFonts w:ascii="宋体" w:hAnsi="宋体"/>
                <w:szCs w:val="21"/>
              </w:rPr>
            </w:pPr>
            <w:r>
              <w:rPr>
                <w:rFonts w:hint="eastAsia" w:ascii="宋体" w:hAnsi="宋体"/>
                <w:szCs w:val="21"/>
              </w:rPr>
              <w:t>3</w:t>
            </w:r>
          </w:p>
        </w:tc>
        <w:tc>
          <w:tcPr>
            <w:tcW w:w="4732" w:type="dxa"/>
            <w:tcBorders>
              <w:left w:val="single" w:color="000000" w:sz="4" w:space="0"/>
            </w:tcBorders>
            <w:vAlign w:val="center"/>
          </w:tcPr>
          <w:p>
            <w:pPr>
              <w:spacing w:line="240" w:lineRule="exact"/>
              <w:rPr>
                <w:szCs w:val="21"/>
              </w:rPr>
            </w:pPr>
          </w:p>
        </w:tc>
        <w:tc>
          <w:tcPr>
            <w:tcW w:w="1368" w:type="dxa"/>
            <w:vAlign w:val="center"/>
          </w:tcPr>
          <w:p>
            <w:pPr>
              <w:spacing w:before="240" w:line="240" w:lineRule="exact"/>
              <w:ind w:left="902" w:hanging="902"/>
              <w:rPr>
                <w:rFonts w:ascii="宋体" w:hAnsi="宋体"/>
                <w:szCs w:val="21"/>
              </w:rPr>
            </w:pPr>
          </w:p>
        </w:tc>
        <w:tc>
          <w:tcPr>
            <w:tcW w:w="1344" w:type="dxa"/>
            <w:vAlign w:val="center"/>
          </w:tcPr>
          <w:p>
            <w:pPr>
              <w:spacing w:before="240" w:line="240" w:lineRule="exact"/>
              <w:ind w:left="902" w:hanging="902"/>
              <w:rPr>
                <w:rFonts w:ascii="宋体" w:hAnsi="宋体"/>
                <w:szCs w:val="21"/>
              </w:rPr>
            </w:pPr>
          </w:p>
        </w:tc>
        <w:tc>
          <w:tcPr>
            <w:tcW w:w="1344" w:type="dxa"/>
            <w:vAlign w:val="center"/>
          </w:tcPr>
          <w:p>
            <w:pPr>
              <w:spacing w:before="240" w:line="240" w:lineRule="exact"/>
              <w:ind w:left="902" w:hanging="902"/>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74" w:type="dxa"/>
          </w:tcPr>
          <w:p>
            <w:pPr>
              <w:spacing w:before="240" w:line="240" w:lineRule="exact"/>
              <w:jc w:val="center"/>
              <w:rPr>
                <w:rFonts w:ascii="宋体" w:hAnsi="宋体"/>
                <w:szCs w:val="21"/>
              </w:rPr>
            </w:pPr>
            <w:r>
              <w:rPr>
                <w:rFonts w:ascii="宋体" w:hAnsi="宋体"/>
                <w:szCs w:val="21"/>
              </w:rPr>
              <w:t>4</w:t>
            </w:r>
          </w:p>
        </w:tc>
        <w:tc>
          <w:tcPr>
            <w:tcW w:w="4732" w:type="dxa"/>
            <w:tcBorders>
              <w:left w:val="single" w:color="000000" w:sz="4" w:space="0"/>
            </w:tcBorders>
            <w:vAlign w:val="center"/>
          </w:tcPr>
          <w:p>
            <w:pPr>
              <w:spacing w:line="240" w:lineRule="exact"/>
              <w:rPr>
                <w:szCs w:val="21"/>
              </w:rPr>
            </w:pPr>
          </w:p>
        </w:tc>
        <w:tc>
          <w:tcPr>
            <w:tcW w:w="1368" w:type="dxa"/>
            <w:vAlign w:val="center"/>
          </w:tcPr>
          <w:p>
            <w:pPr>
              <w:spacing w:before="240" w:line="240" w:lineRule="exact"/>
              <w:ind w:left="902" w:hanging="902"/>
              <w:rPr>
                <w:rFonts w:ascii="宋体" w:hAnsi="宋体"/>
                <w:szCs w:val="21"/>
              </w:rPr>
            </w:pPr>
          </w:p>
        </w:tc>
        <w:tc>
          <w:tcPr>
            <w:tcW w:w="1344" w:type="dxa"/>
            <w:vAlign w:val="center"/>
          </w:tcPr>
          <w:p>
            <w:pPr>
              <w:spacing w:before="240" w:line="240" w:lineRule="exact"/>
              <w:ind w:left="902" w:hanging="902"/>
              <w:rPr>
                <w:rFonts w:ascii="宋体" w:hAnsi="宋体"/>
                <w:szCs w:val="21"/>
              </w:rPr>
            </w:pPr>
          </w:p>
        </w:tc>
        <w:tc>
          <w:tcPr>
            <w:tcW w:w="1344" w:type="dxa"/>
            <w:vAlign w:val="center"/>
          </w:tcPr>
          <w:p>
            <w:pPr>
              <w:spacing w:before="240" w:line="240" w:lineRule="exact"/>
              <w:ind w:left="902" w:hanging="902"/>
              <w:rPr>
                <w:rFonts w:ascii="宋体" w:hAnsi="宋体"/>
                <w:szCs w:val="21"/>
              </w:rPr>
            </w:pPr>
          </w:p>
        </w:tc>
      </w:tr>
    </w:tbl>
    <w:p>
      <w:pPr>
        <w:spacing w:line="300" w:lineRule="auto"/>
        <w:rPr>
          <w:rFonts w:ascii="宋体" w:hAnsi="宋体"/>
          <w:b/>
          <w:bCs/>
          <w:szCs w:val="21"/>
        </w:rPr>
      </w:pPr>
      <w:r>
        <w:rPr>
          <w:rFonts w:hint="eastAsia" w:ascii="宋体" w:hAnsi="宋体"/>
          <w:b/>
          <w:bCs/>
          <w:szCs w:val="21"/>
        </w:rPr>
        <w:t>说明：1、投标人对应招标文件的 “★”号条款逐条应答并按要求填写上表。</w:t>
      </w:r>
    </w:p>
    <w:p>
      <w:pPr>
        <w:spacing w:line="300" w:lineRule="auto"/>
        <w:ind w:left="923" w:leftChars="292" w:hanging="310" w:hangingChars="147"/>
        <w:rPr>
          <w:rFonts w:ascii="宋体" w:hAnsi="宋体"/>
          <w:b/>
          <w:bCs/>
          <w:szCs w:val="21"/>
        </w:rPr>
      </w:pPr>
      <w:r>
        <w:rPr>
          <w:rFonts w:hint="eastAsia" w:ascii="宋体" w:hAnsi="宋体"/>
          <w:b/>
          <w:bCs/>
          <w:szCs w:val="21"/>
        </w:rPr>
        <w:t>2、对完全响应的条目在上表相应列中标注“○”。对有偏离的条目在上表相应列中标注“×”，并简述偏离内容。</w:t>
      </w:r>
    </w:p>
    <w:p>
      <w:pPr>
        <w:spacing w:line="300" w:lineRule="auto"/>
        <w:ind w:left="923" w:leftChars="292" w:hanging="310" w:hangingChars="147"/>
        <w:rPr>
          <w:rFonts w:ascii="宋体" w:hAnsi="宋体"/>
          <w:b/>
          <w:bCs/>
          <w:szCs w:val="21"/>
        </w:rPr>
      </w:pPr>
      <w:r>
        <w:rPr>
          <w:rFonts w:hint="eastAsia" w:ascii="宋体" w:hAnsi="宋体"/>
          <w:b/>
          <w:bCs/>
          <w:szCs w:val="21"/>
        </w:rPr>
        <w:t>3、本表“是否响应”、“偏离说明”、“响应页码”不填写内容的视为完全响应。</w:t>
      </w:r>
    </w:p>
    <w:p>
      <w:pPr>
        <w:spacing w:line="360" w:lineRule="auto"/>
        <w:ind w:firstLine="6930" w:firstLineChars="3300"/>
        <w:rPr>
          <w:rFonts w:ascii="宋体" w:hAnsi="宋体"/>
          <w:bCs/>
          <w:szCs w:val="21"/>
        </w:rPr>
      </w:pPr>
      <w:r>
        <w:rPr>
          <w:rFonts w:hint="eastAsia" w:ascii="宋体" w:hAnsi="宋体"/>
          <w:bCs/>
          <w:szCs w:val="21"/>
        </w:rPr>
        <w:t>（投标人加盖公章）</w:t>
      </w:r>
    </w:p>
    <w:p>
      <w:pPr>
        <w:tabs>
          <w:tab w:val="left" w:pos="4500"/>
        </w:tabs>
        <w:spacing w:line="300" w:lineRule="auto"/>
        <w:ind w:firstLine="6090" w:firstLineChars="2900"/>
        <w:rPr>
          <w:rFonts w:ascii="宋体" w:hAnsi="宋体"/>
          <w:bCs/>
          <w:color w:val="000000"/>
          <w:szCs w:val="21"/>
        </w:rPr>
      </w:pPr>
      <w:r>
        <w:rPr>
          <w:rFonts w:hint="eastAsia" w:ascii="宋体" w:hAnsi="宋体"/>
          <w:bCs/>
          <w:szCs w:val="21"/>
        </w:rPr>
        <w:t>日    期：     年   月   日</w:t>
      </w:r>
    </w:p>
    <w:p>
      <w:pPr>
        <w:pStyle w:val="5"/>
        <w:spacing w:line="240" w:lineRule="auto"/>
      </w:pPr>
      <w:bookmarkStart w:id="316" w:name="_Toc8330"/>
      <w:bookmarkStart w:id="317" w:name="_Toc2940"/>
      <w:bookmarkStart w:id="318" w:name="_Toc2593"/>
      <w:r>
        <w:rPr>
          <w:rFonts w:hint="eastAsia"/>
        </w:rPr>
        <w:t>格式</w:t>
      </w:r>
      <w:r>
        <w:t>7</w:t>
      </w:r>
      <w:r>
        <w:rPr>
          <w:rFonts w:hint="eastAsia"/>
        </w:rPr>
        <w:t xml:space="preserve">                 商务评审索引表</w:t>
      </w:r>
      <w:bookmarkEnd w:id="316"/>
      <w:bookmarkEnd w:id="317"/>
      <w:bookmarkEnd w:id="318"/>
    </w:p>
    <w:tbl>
      <w:tblPr>
        <w:tblStyle w:val="39"/>
        <w:tblW w:w="95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3811"/>
        <w:gridCol w:w="2572"/>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089" w:type="dxa"/>
            <w:vAlign w:val="center"/>
          </w:tcPr>
          <w:p>
            <w:pPr>
              <w:spacing w:line="360" w:lineRule="auto"/>
              <w:jc w:val="center"/>
              <w:rPr>
                <w:rFonts w:ascii="宋体" w:hAnsi="宋体"/>
                <w:szCs w:val="21"/>
              </w:rPr>
            </w:pPr>
            <w:r>
              <w:rPr>
                <w:rFonts w:hint="eastAsia" w:ascii="宋体" w:hAnsi="宋体"/>
                <w:szCs w:val="21"/>
              </w:rPr>
              <w:t>序号</w:t>
            </w:r>
          </w:p>
        </w:tc>
        <w:tc>
          <w:tcPr>
            <w:tcW w:w="3811" w:type="dxa"/>
            <w:vAlign w:val="center"/>
          </w:tcPr>
          <w:p>
            <w:pPr>
              <w:spacing w:line="360" w:lineRule="auto"/>
              <w:jc w:val="center"/>
              <w:rPr>
                <w:rFonts w:ascii="宋体" w:hAnsi="宋体"/>
                <w:szCs w:val="21"/>
              </w:rPr>
            </w:pPr>
            <w:r>
              <w:rPr>
                <w:rFonts w:hint="eastAsia" w:ascii="宋体" w:hAnsi="宋体"/>
                <w:szCs w:val="21"/>
              </w:rPr>
              <w:t>评审内容</w:t>
            </w:r>
          </w:p>
          <w:p>
            <w:pPr>
              <w:spacing w:line="360" w:lineRule="auto"/>
              <w:jc w:val="center"/>
              <w:rPr>
                <w:rFonts w:ascii="宋体" w:hAnsi="宋体"/>
                <w:szCs w:val="21"/>
              </w:rPr>
            </w:pPr>
            <w:r>
              <w:rPr>
                <w:rFonts w:hint="eastAsia" w:ascii="宋体" w:hAnsi="宋体"/>
                <w:szCs w:val="21"/>
              </w:rPr>
              <w:t>（注：此部分可直接引用招标文件第四章评标办法中《商务评审表》相应内容）</w:t>
            </w:r>
          </w:p>
        </w:tc>
        <w:tc>
          <w:tcPr>
            <w:tcW w:w="2572" w:type="dxa"/>
            <w:vAlign w:val="center"/>
          </w:tcPr>
          <w:p>
            <w:pPr>
              <w:spacing w:line="360" w:lineRule="auto"/>
              <w:jc w:val="center"/>
              <w:rPr>
                <w:rFonts w:ascii="宋体" w:hAnsi="宋体"/>
                <w:szCs w:val="21"/>
              </w:rPr>
            </w:pPr>
            <w:r>
              <w:rPr>
                <w:rFonts w:hint="eastAsia" w:ascii="宋体" w:hAnsi="宋体"/>
                <w:szCs w:val="21"/>
              </w:rPr>
              <w:t>投标响应情况</w:t>
            </w:r>
          </w:p>
        </w:tc>
        <w:tc>
          <w:tcPr>
            <w:tcW w:w="2093" w:type="dxa"/>
            <w:vAlign w:val="center"/>
          </w:tcPr>
          <w:p>
            <w:pPr>
              <w:spacing w:line="360" w:lineRule="auto"/>
              <w:jc w:val="center"/>
              <w:rPr>
                <w:rFonts w:ascii="宋体" w:hAnsi="宋体"/>
                <w:szCs w:val="21"/>
              </w:rPr>
            </w:pPr>
            <w:r>
              <w:rPr>
                <w:rFonts w:hint="eastAsia" w:ascii="宋体" w:hAnsi="宋体"/>
                <w:szCs w:val="21"/>
              </w:rPr>
              <w:t>投标文件响应内容对应页码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089" w:type="dxa"/>
            <w:vAlign w:val="center"/>
          </w:tcPr>
          <w:p>
            <w:pPr>
              <w:spacing w:line="360" w:lineRule="auto"/>
              <w:jc w:val="center"/>
              <w:rPr>
                <w:rFonts w:ascii="宋体" w:hAnsi="宋体"/>
                <w:szCs w:val="21"/>
              </w:rPr>
            </w:pPr>
            <w:r>
              <w:rPr>
                <w:rFonts w:hint="eastAsia" w:ascii="宋体" w:hAnsi="宋体"/>
                <w:szCs w:val="21"/>
              </w:rPr>
              <w:t>1</w:t>
            </w:r>
          </w:p>
        </w:tc>
        <w:tc>
          <w:tcPr>
            <w:tcW w:w="3811" w:type="dxa"/>
            <w:vAlign w:val="center"/>
          </w:tcPr>
          <w:p>
            <w:pPr>
              <w:spacing w:line="360" w:lineRule="auto"/>
              <w:jc w:val="center"/>
              <w:rPr>
                <w:rFonts w:ascii="宋体" w:hAnsi="宋体"/>
                <w:szCs w:val="21"/>
              </w:rPr>
            </w:pPr>
          </w:p>
        </w:tc>
        <w:tc>
          <w:tcPr>
            <w:tcW w:w="2572" w:type="dxa"/>
            <w:vAlign w:val="center"/>
          </w:tcPr>
          <w:p>
            <w:pPr>
              <w:spacing w:line="360" w:lineRule="auto"/>
              <w:jc w:val="center"/>
              <w:rPr>
                <w:rFonts w:ascii="宋体" w:hAnsi="宋体"/>
                <w:szCs w:val="21"/>
              </w:rPr>
            </w:pPr>
          </w:p>
        </w:tc>
        <w:tc>
          <w:tcPr>
            <w:tcW w:w="2093" w:type="dxa"/>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 w:hRule="atLeast"/>
        </w:trPr>
        <w:tc>
          <w:tcPr>
            <w:tcW w:w="1089" w:type="dxa"/>
            <w:vAlign w:val="center"/>
          </w:tcPr>
          <w:p>
            <w:pPr>
              <w:spacing w:line="360" w:lineRule="auto"/>
              <w:jc w:val="center"/>
              <w:rPr>
                <w:rFonts w:ascii="宋体" w:hAnsi="宋体"/>
                <w:szCs w:val="21"/>
              </w:rPr>
            </w:pPr>
            <w:r>
              <w:rPr>
                <w:rFonts w:hint="eastAsia" w:ascii="宋体" w:hAnsi="宋体"/>
                <w:szCs w:val="21"/>
              </w:rPr>
              <w:t>2</w:t>
            </w:r>
          </w:p>
        </w:tc>
        <w:tc>
          <w:tcPr>
            <w:tcW w:w="3811" w:type="dxa"/>
            <w:vAlign w:val="center"/>
          </w:tcPr>
          <w:p>
            <w:pPr>
              <w:spacing w:line="360" w:lineRule="auto"/>
              <w:jc w:val="center"/>
              <w:rPr>
                <w:rFonts w:ascii="宋体" w:hAnsi="宋体"/>
                <w:szCs w:val="21"/>
              </w:rPr>
            </w:pPr>
          </w:p>
        </w:tc>
        <w:tc>
          <w:tcPr>
            <w:tcW w:w="2572" w:type="dxa"/>
            <w:vAlign w:val="center"/>
          </w:tcPr>
          <w:p>
            <w:pPr>
              <w:spacing w:line="360" w:lineRule="auto"/>
              <w:jc w:val="center"/>
              <w:rPr>
                <w:rFonts w:ascii="宋体" w:hAnsi="宋体"/>
                <w:szCs w:val="21"/>
              </w:rPr>
            </w:pPr>
          </w:p>
        </w:tc>
        <w:tc>
          <w:tcPr>
            <w:tcW w:w="2093" w:type="dxa"/>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089" w:type="dxa"/>
            <w:vAlign w:val="center"/>
          </w:tcPr>
          <w:p>
            <w:pPr>
              <w:spacing w:line="360" w:lineRule="auto"/>
              <w:jc w:val="center"/>
              <w:rPr>
                <w:rFonts w:ascii="宋体" w:hAnsi="宋体"/>
                <w:szCs w:val="21"/>
              </w:rPr>
            </w:pPr>
            <w:r>
              <w:rPr>
                <w:rFonts w:ascii="宋体" w:hAnsi="宋体"/>
                <w:szCs w:val="21"/>
              </w:rPr>
              <w:t>…</w:t>
            </w:r>
          </w:p>
        </w:tc>
        <w:tc>
          <w:tcPr>
            <w:tcW w:w="3811" w:type="dxa"/>
            <w:vAlign w:val="center"/>
          </w:tcPr>
          <w:p>
            <w:pPr>
              <w:spacing w:line="360" w:lineRule="auto"/>
              <w:jc w:val="center"/>
              <w:rPr>
                <w:rFonts w:ascii="宋体" w:hAnsi="宋体"/>
                <w:szCs w:val="21"/>
              </w:rPr>
            </w:pPr>
          </w:p>
        </w:tc>
        <w:tc>
          <w:tcPr>
            <w:tcW w:w="2572" w:type="dxa"/>
            <w:vAlign w:val="center"/>
          </w:tcPr>
          <w:p>
            <w:pPr>
              <w:spacing w:line="360" w:lineRule="auto"/>
              <w:jc w:val="center"/>
              <w:rPr>
                <w:rFonts w:ascii="宋体" w:hAnsi="宋体"/>
                <w:szCs w:val="21"/>
              </w:rPr>
            </w:pPr>
          </w:p>
        </w:tc>
        <w:tc>
          <w:tcPr>
            <w:tcW w:w="2093" w:type="dxa"/>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1089" w:type="dxa"/>
            <w:vAlign w:val="center"/>
          </w:tcPr>
          <w:p>
            <w:pPr>
              <w:spacing w:line="360" w:lineRule="auto"/>
              <w:jc w:val="center"/>
              <w:rPr>
                <w:rFonts w:ascii="宋体" w:hAnsi="宋体"/>
                <w:szCs w:val="21"/>
              </w:rPr>
            </w:pPr>
            <w:bookmarkStart w:id="319" w:name="_Toc27514"/>
            <w:bookmarkStart w:id="320" w:name="_Toc334797773"/>
            <w:bookmarkStart w:id="321" w:name="_Toc9618"/>
            <w:bookmarkStart w:id="322" w:name="_Toc16704"/>
            <w:bookmarkStart w:id="323" w:name="_Toc334797774"/>
          </w:p>
        </w:tc>
        <w:tc>
          <w:tcPr>
            <w:tcW w:w="3811" w:type="dxa"/>
            <w:vAlign w:val="center"/>
          </w:tcPr>
          <w:p>
            <w:pPr>
              <w:spacing w:line="360" w:lineRule="auto"/>
              <w:jc w:val="center"/>
              <w:rPr>
                <w:rFonts w:ascii="宋体" w:hAnsi="宋体"/>
                <w:szCs w:val="21"/>
              </w:rPr>
            </w:pPr>
          </w:p>
        </w:tc>
        <w:tc>
          <w:tcPr>
            <w:tcW w:w="2572" w:type="dxa"/>
            <w:vAlign w:val="center"/>
          </w:tcPr>
          <w:p>
            <w:pPr>
              <w:spacing w:line="360" w:lineRule="auto"/>
              <w:jc w:val="center"/>
              <w:rPr>
                <w:rFonts w:ascii="宋体" w:hAnsi="宋体"/>
                <w:szCs w:val="21"/>
              </w:rPr>
            </w:pPr>
          </w:p>
        </w:tc>
        <w:tc>
          <w:tcPr>
            <w:tcW w:w="2093" w:type="dxa"/>
            <w:vAlign w:val="center"/>
          </w:tcPr>
          <w:p>
            <w:pPr>
              <w:spacing w:line="360" w:lineRule="auto"/>
              <w:jc w:val="center"/>
              <w:rPr>
                <w:rFonts w:ascii="宋体" w:hAnsi="宋体"/>
                <w:szCs w:val="21"/>
              </w:rPr>
            </w:pPr>
          </w:p>
        </w:tc>
      </w:tr>
    </w:tbl>
    <w:p>
      <w:pPr>
        <w:tabs>
          <w:tab w:val="left" w:pos="4500"/>
        </w:tabs>
        <w:spacing w:line="300" w:lineRule="auto"/>
      </w:pPr>
    </w:p>
    <w:p>
      <w:pPr>
        <w:pStyle w:val="5"/>
      </w:pPr>
      <w:r>
        <w:rPr>
          <w:rFonts w:hint="eastAsia"/>
        </w:rPr>
        <w:t>格式</w:t>
      </w:r>
      <w:r>
        <w:t>8</w:t>
      </w:r>
      <w:r>
        <w:rPr>
          <w:rFonts w:hint="eastAsia"/>
        </w:rPr>
        <w:t xml:space="preserve">             </w:t>
      </w:r>
      <w:r>
        <w:t>同意</w:t>
      </w:r>
      <w:r>
        <w:rPr>
          <w:rFonts w:hint="eastAsia"/>
        </w:rPr>
        <w:t>招标</w:t>
      </w:r>
      <w:r>
        <w:t>文件条款说明</w:t>
      </w:r>
      <w:bookmarkEnd w:id="319"/>
      <w:bookmarkEnd w:id="320"/>
      <w:bookmarkEnd w:id="321"/>
      <w:bookmarkEnd w:id="322"/>
    </w:p>
    <w:p>
      <w:pPr>
        <w:widowControl/>
        <w:spacing w:line="480" w:lineRule="auto"/>
        <w:rPr>
          <w:rFonts w:ascii="Arial" w:hAnsi="Arial" w:cs="Arial"/>
          <w:color w:val="000000"/>
          <w:szCs w:val="21"/>
        </w:rPr>
      </w:pPr>
      <w:r>
        <w:rPr>
          <w:rFonts w:ascii="宋体" w:hAnsi="宋体" w:cs="宋体"/>
          <w:color w:val="000000"/>
          <w:kern w:val="0"/>
          <w:szCs w:val="21"/>
        </w:rPr>
        <w:t>致：</w:t>
      </w:r>
      <w:r>
        <w:rPr>
          <w:rFonts w:hint="eastAsia" w:ascii="宋体" w:hAnsi="宋体" w:cs="宋体"/>
          <w:color w:val="000000"/>
          <w:kern w:val="0"/>
          <w:szCs w:val="21"/>
        </w:rPr>
        <w:t>广州群生招标代理有限公司</w:t>
      </w:r>
    </w:p>
    <w:p>
      <w:pPr>
        <w:spacing w:line="480" w:lineRule="auto"/>
        <w:ind w:firstLine="478" w:firstLineChars="228"/>
        <w:rPr>
          <w:rFonts w:ascii="Arial" w:hAnsi="Arial" w:cs="Arial"/>
          <w:color w:val="000000"/>
          <w:szCs w:val="21"/>
        </w:rPr>
      </w:pPr>
      <w:r>
        <w:rPr>
          <w:rFonts w:ascii="宋体" w:hAnsi="宋体" w:cs="宋体"/>
          <w:color w:val="000000"/>
          <w:kern w:val="0"/>
          <w:szCs w:val="21"/>
        </w:rPr>
        <w:t>为响应你方组织的</w:t>
      </w:r>
      <w:r>
        <w:rPr>
          <w:rFonts w:hint="eastAsia" w:ascii="宋体" w:hAnsi="宋体" w:cs="宋体"/>
          <w:color w:val="000000"/>
          <w:kern w:val="0"/>
          <w:szCs w:val="21"/>
        </w:rPr>
        <w:t>项目名称：</w:t>
      </w:r>
      <w:r>
        <w:rPr>
          <w:rFonts w:ascii="宋体" w:hAnsi="宋体" w:cs="宋体"/>
          <w:color w:val="000000"/>
          <w:kern w:val="0"/>
          <w:szCs w:val="21"/>
          <w:u w:val="single"/>
        </w:rPr>
        <w:t xml:space="preserve">                   </w:t>
      </w:r>
      <w:r>
        <w:rPr>
          <w:rFonts w:ascii="宋体" w:hAnsi="宋体" w:cs="宋体"/>
          <w:color w:val="000000"/>
          <w:kern w:val="0"/>
          <w:szCs w:val="21"/>
        </w:rPr>
        <w:t>（项目编号：</w:t>
      </w:r>
      <w:r>
        <w:rPr>
          <w:rFonts w:ascii="宋体" w:hAnsi="宋体" w:cs="宋体"/>
          <w:color w:val="000000"/>
          <w:kern w:val="0"/>
          <w:szCs w:val="21"/>
          <w:u w:val="single"/>
        </w:rPr>
        <w:t xml:space="preserve">                      </w:t>
      </w:r>
      <w:r>
        <w:rPr>
          <w:rFonts w:hint="eastAsia" w:ascii="宋体" w:hAnsi="宋体" w:cs="宋体"/>
          <w:color w:val="000000"/>
          <w:kern w:val="0"/>
          <w:szCs w:val="21"/>
          <w:u w:val="single"/>
        </w:rPr>
        <w:t>）</w:t>
      </w:r>
      <w:r>
        <w:rPr>
          <w:rFonts w:hint="eastAsia" w:ascii="宋体" w:hAnsi="宋体" w:cs="宋体"/>
          <w:color w:val="000000"/>
          <w:kern w:val="0"/>
          <w:szCs w:val="21"/>
        </w:rPr>
        <w:t>，</w:t>
      </w:r>
      <w:r>
        <w:rPr>
          <w:rFonts w:ascii="宋体" w:hAnsi="宋体" w:cs="宋体"/>
          <w:color w:val="000000"/>
          <w:kern w:val="0"/>
          <w:szCs w:val="21"/>
        </w:rPr>
        <w:t>我方在参与投标前已详细研究了招标文件的所有内容，包括修改文件（如果有的话）和所有已提供的参考资料以及有关附件，我方完全明白并认为此招标文件没有倾向性，也没有存在排斥潜在投标人的内容，我方并同意招标文件的相关条款。</w:t>
      </w:r>
    </w:p>
    <w:p>
      <w:pPr>
        <w:spacing w:line="480" w:lineRule="auto"/>
        <w:ind w:firstLine="478" w:firstLineChars="228"/>
        <w:rPr>
          <w:rFonts w:ascii="宋体" w:hAnsi="宋体" w:cs="宋体"/>
          <w:color w:val="000000"/>
          <w:kern w:val="0"/>
          <w:szCs w:val="21"/>
        </w:rPr>
      </w:pPr>
      <w:r>
        <w:rPr>
          <w:rFonts w:ascii="宋体" w:hAnsi="宋体" w:cs="宋体"/>
          <w:color w:val="000000"/>
          <w:kern w:val="0"/>
          <w:szCs w:val="21"/>
        </w:rPr>
        <w:t>特此声明。</w:t>
      </w:r>
    </w:p>
    <w:p>
      <w:pPr>
        <w:spacing w:line="360" w:lineRule="auto"/>
        <w:ind w:firstLine="6930" w:firstLineChars="3300"/>
        <w:rPr>
          <w:rFonts w:ascii="宋体" w:hAnsi="宋体"/>
          <w:bCs/>
          <w:szCs w:val="21"/>
        </w:rPr>
      </w:pPr>
      <w:r>
        <w:rPr>
          <w:rFonts w:hint="eastAsia" w:ascii="宋体" w:hAnsi="宋体"/>
          <w:bCs/>
          <w:szCs w:val="21"/>
        </w:rPr>
        <w:t>（投标人加盖公章）</w:t>
      </w:r>
    </w:p>
    <w:p>
      <w:pPr>
        <w:spacing w:line="480" w:lineRule="auto"/>
        <w:ind w:firstLine="6510" w:firstLineChars="3100"/>
        <w:rPr>
          <w:rFonts w:ascii="宋体" w:hAnsi="宋体"/>
          <w:szCs w:val="21"/>
        </w:rPr>
      </w:pPr>
      <w:r>
        <w:rPr>
          <w:rFonts w:hint="eastAsia" w:ascii="宋体" w:hAnsi="宋体"/>
          <w:bCs/>
          <w:szCs w:val="21"/>
        </w:rPr>
        <w:t>日    期：     年   月   日</w:t>
      </w:r>
    </w:p>
    <w:p>
      <w:pPr>
        <w:pStyle w:val="5"/>
        <w:rPr>
          <w:rFonts w:ascii="黑体"/>
        </w:rPr>
      </w:pPr>
      <w:bookmarkStart w:id="324" w:name="_Toc24124"/>
      <w:bookmarkStart w:id="325" w:name="_Toc11929"/>
      <w:bookmarkStart w:id="326" w:name="_Toc11180"/>
      <w:r>
        <w:rPr>
          <w:rFonts w:hint="eastAsia" w:ascii="黑体"/>
        </w:rPr>
        <w:t>格式</w:t>
      </w:r>
      <w:r>
        <w:rPr>
          <w:rFonts w:ascii="黑体"/>
        </w:rPr>
        <w:t>9</w:t>
      </w:r>
      <w:r>
        <w:rPr>
          <w:rFonts w:hint="eastAsia" w:ascii="黑体"/>
        </w:rPr>
        <w:t xml:space="preserve"> </w:t>
      </w:r>
      <w:r>
        <w:rPr>
          <w:rFonts w:hint="eastAsia"/>
        </w:rPr>
        <w:t xml:space="preserve">       </w:t>
      </w:r>
      <w:r>
        <w:rPr>
          <w:rFonts w:hint="eastAsia" w:ascii="黑体"/>
        </w:rPr>
        <w:t xml:space="preserve">    同类项目业绩情况一览表</w:t>
      </w:r>
      <w:bookmarkEnd w:id="323"/>
      <w:bookmarkEnd w:id="324"/>
      <w:bookmarkEnd w:id="325"/>
      <w:bookmarkEnd w:id="326"/>
    </w:p>
    <w:p>
      <w:pPr>
        <w:spacing w:line="360" w:lineRule="auto"/>
        <w:rPr>
          <w:rFonts w:ascii="Arial Unicode MS" w:hAnsi="Arial Unicode MS" w:eastAsia="Arial Unicode MS" w:cs="Arial Unicode MS"/>
          <w:bCs/>
          <w:szCs w:val="21"/>
        </w:rPr>
      </w:pPr>
      <w:r>
        <w:rPr>
          <w:rFonts w:hint="eastAsia" w:ascii="宋体" w:hAnsi="宋体" w:cs="Tahoma"/>
          <w:szCs w:val="21"/>
        </w:rPr>
        <w:t>项目名称</w:t>
      </w:r>
      <w:r>
        <w:rPr>
          <w:rFonts w:hint="eastAsia" w:ascii="宋体" w:hAnsi="宋体" w:cs="Tahoma"/>
          <w:kern w:val="28"/>
          <w:szCs w:val="21"/>
        </w:rPr>
        <w:t xml:space="preserve">：                                                    </w:t>
      </w:r>
      <w:r>
        <w:rPr>
          <w:rFonts w:ascii="宋体" w:hAnsi="宋体" w:cs="Tahoma"/>
          <w:szCs w:val="21"/>
        </w:rPr>
        <w:t>项目编号：</w:t>
      </w:r>
      <w:r>
        <w:rPr>
          <w:rFonts w:hint="eastAsia" w:ascii="宋体" w:hAnsi="宋体" w:cs="Tahoma"/>
          <w:szCs w:val="21"/>
        </w:rPr>
        <w:t xml:space="preserve">                      </w:t>
      </w:r>
    </w:p>
    <w:tbl>
      <w:tblPr>
        <w:tblStyle w:val="39"/>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1366"/>
        <w:gridCol w:w="1368"/>
        <w:gridCol w:w="1638"/>
        <w:gridCol w:w="1543"/>
        <w:gridCol w:w="1363"/>
        <w:gridCol w:w="1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40" w:type="dxa"/>
            <w:vAlign w:val="center"/>
          </w:tcPr>
          <w:p>
            <w:pPr>
              <w:spacing w:line="360" w:lineRule="auto"/>
              <w:jc w:val="center"/>
              <w:rPr>
                <w:szCs w:val="21"/>
              </w:rPr>
            </w:pPr>
            <w:r>
              <w:rPr>
                <w:rFonts w:hint="eastAsia"/>
                <w:szCs w:val="21"/>
              </w:rPr>
              <w:t>序号</w:t>
            </w:r>
          </w:p>
        </w:tc>
        <w:tc>
          <w:tcPr>
            <w:tcW w:w="1366" w:type="dxa"/>
            <w:vAlign w:val="center"/>
          </w:tcPr>
          <w:p>
            <w:pPr>
              <w:spacing w:line="360" w:lineRule="auto"/>
              <w:jc w:val="center"/>
              <w:rPr>
                <w:szCs w:val="21"/>
              </w:rPr>
            </w:pPr>
            <w:r>
              <w:rPr>
                <w:rFonts w:hint="eastAsia"/>
                <w:szCs w:val="21"/>
              </w:rPr>
              <w:t>甲方名称</w:t>
            </w:r>
          </w:p>
        </w:tc>
        <w:tc>
          <w:tcPr>
            <w:tcW w:w="1368" w:type="dxa"/>
            <w:vAlign w:val="center"/>
          </w:tcPr>
          <w:p>
            <w:pPr>
              <w:spacing w:line="360" w:lineRule="auto"/>
              <w:jc w:val="center"/>
              <w:rPr>
                <w:szCs w:val="21"/>
              </w:rPr>
            </w:pPr>
            <w:r>
              <w:rPr>
                <w:rFonts w:hint="eastAsia"/>
                <w:szCs w:val="21"/>
              </w:rPr>
              <w:t>项目名称</w:t>
            </w:r>
          </w:p>
        </w:tc>
        <w:tc>
          <w:tcPr>
            <w:tcW w:w="1638" w:type="dxa"/>
            <w:vAlign w:val="center"/>
          </w:tcPr>
          <w:p>
            <w:pPr>
              <w:spacing w:line="360" w:lineRule="auto"/>
              <w:jc w:val="center"/>
              <w:rPr>
                <w:szCs w:val="21"/>
              </w:rPr>
            </w:pPr>
            <w:r>
              <w:rPr>
                <w:rFonts w:hint="eastAsia"/>
                <w:szCs w:val="21"/>
              </w:rPr>
              <w:t>合同总价</w:t>
            </w:r>
          </w:p>
          <w:p>
            <w:pPr>
              <w:spacing w:line="360" w:lineRule="auto"/>
              <w:jc w:val="center"/>
              <w:rPr>
                <w:szCs w:val="21"/>
              </w:rPr>
            </w:pPr>
            <w:r>
              <w:rPr>
                <w:rFonts w:hint="eastAsia"/>
                <w:szCs w:val="21"/>
              </w:rPr>
              <w:t>（单位/万元）</w:t>
            </w:r>
          </w:p>
        </w:tc>
        <w:tc>
          <w:tcPr>
            <w:tcW w:w="1543" w:type="dxa"/>
            <w:vAlign w:val="center"/>
          </w:tcPr>
          <w:p>
            <w:pPr>
              <w:spacing w:line="360" w:lineRule="auto"/>
              <w:jc w:val="center"/>
              <w:rPr>
                <w:szCs w:val="21"/>
              </w:rPr>
            </w:pPr>
            <w:r>
              <w:rPr>
                <w:rFonts w:hint="eastAsia"/>
                <w:szCs w:val="21"/>
              </w:rPr>
              <w:t>签约时间</w:t>
            </w:r>
          </w:p>
        </w:tc>
        <w:tc>
          <w:tcPr>
            <w:tcW w:w="1363" w:type="dxa"/>
            <w:vAlign w:val="center"/>
          </w:tcPr>
          <w:p>
            <w:pPr>
              <w:spacing w:line="360" w:lineRule="auto"/>
              <w:jc w:val="center"/>
              <w:rPr>
                <w:szCs w:val="21"/>
              </w:rPr>
            </w:pPr>
            <w:r>
              <w:rPr>
                <w:rFonts w:hint="eastAsia"/>
                <w:szCs w:val="21"/>
              </w:rPr>
              <w:t>履行完成时间</w:t>
            </w:r>
          </w:p>
        </w:tc>
        <w:tc>
          <w:tcPr>
            <w:tcW w:w="1345" w:type="dxa"/>
            <w:vAlign w:val="center"/>
          </w:tcPr>
          <w:p>
            <w:pPr>
              <w:spacing w:line="360" w:lineRule="auto"/>
              <w:jc w:val="center"/>
              <w:rPr>
                <w:szCs w:val="21"/>
              </w:rPr>
            </w:pPr>
            <w:r>
              <w:rPr>
                <w:rFonts w:hint="eastAsia"/>
                <w:szCs w:val="21"/>
              </w:rPr>
              <w:t>甲方联系人及电话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dxa"/>
            <w:vAlign w:val="center"/>
          </w:tcPr>
          <w:p>
            <w:pPr>
              <w:spacing w:line="360" w:lineRule="auto"/>
              <w:jc w:val="center"/>
              <w:rPr>
                <w:szCs w:val="21"/>
              </w:rPr>
            </w:pPr>
          </w:p>
        </w:tc>
        <w:tc>
          <w:tcPr>
            <w:tcW w:w="1366" w:type="dxa"/>
            <w:vAlign w:val="center"/>
          </w:tcPr>
          <w:p>
            <w:pPr>
              <w:spacing w:line="360" w:lineRule="auto"/>
              <w:jc w:val="center"/>
              <w:rPr>
                <w:szCs w:val="21"/>
              </w:rPr>
            </w:pPr>
          </w:p>
        </w:tc>
        <w:tc>
          <w:tcPr>
            <w:tcW w:w="1368" w:type="dxa"/>
          </w:tcPr>
          <w:p>
            <w:pPr>
              <w:spacing w:line="360" w:lineRule="auto"/>
              <w:jc w:val="center"/>
              <w:rPr>
                <w:szCs w:val="21"/>
              </w:rPr>
            </w:pPr>
          </w:p>
        </w:tc>
        <w:tc>
          <w:tcPr>
            <w:tcW w:w="1638" w:type="dxa"/>
            <w:vAlign w:val="center"/>
          </w:tcPr>
          <w:p>
            <w:pPr>
              <w:spacing w:line="360" w:lineRule="auto"/>
              <w:jc w:val="center"/>
              <w:rPr>
                <w:szCs w:val="21"/>
              </w:rPr>
            </w:pPr>
          </w:p>
        </w:tc>
        <w:tc>
          <w:tcPr>
            <w:tcW w:w="1543" w:type="dxa"/>
            <w:vAlign w:val="center"/>
          </w:tcPr>
          <w:p>
            <w:pPr>
              <w:spacing w:line="360" w:lineRule="auto"/>
              <w:jc w:val="center"/>
              <w:rPr>
                <w:szCs w:val="21"/>
              </w:rPr>
            </w:pPr>
          </w:p>
        </w:tc>
        <w:tc>
          <w:tcPr>
            <w:tcW w:w="1363" w:type="dxa"/>
            <w:vAlign w:val="center"/>
          </w:tcPr>
          <w:p>
            <w:pPr>
              <w:spacing w:line="360" w:lineRule="auto"/>
              <w:jc w:val="center"/>
              <w:rPr>
                <w:szCs w:val="21"/>
              </w:rPr>
            </w:pPr>
          </w:p>
        </w:tc>
        <w:tc>
          <w:tcPr>
            <w:tcW w:w="1345" w:type="dxa"/>
            <w:vAlign w:val="center"/>
          </w:tcPr>
          <w:p>
            <w:pPr>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dxa"/>
            <w:vAlign w:val="center"/>
          </w:tcPr>
          <w:p>
            <w:pPr>
              <w:spacing w:line="360" w:lineRule="auto"/>
              <w:jc w:val="center"/>
              <w:rPr>
                <w:szCs w:val="21"/>
              </w:rPr>
            </w:pPr>
          </w:p>
        </w:tc>
        <w:tc>
          <w:tcPr>
            <w:tcW w:w="1366" w:type="dxa"/>
            <w:vAlign w:val="center"/>
          </w:tcPr>
          <w:p>
            <w:pPr>
              <w:spacing w:line="360" w:lineRule="auto"/>
              <w:jc w:val="center"/>
              <w:rPr>
                <w:szCs w:val="21"/>
              </w:rPr>
            </w:pPr>
          </w:p>
        </w:tc>
        <w:tc>
          <w:tcPr>
            <w:tcW w:w="1368" w:type="dxa"/>
          </w:tcPr>
          <w:p>
            <w:pPr>
              <w:spacing w:line="360" w:lineRule="auto"/>
              <w:jc w:val="center"/>
              <w:rPr>
                <w:szCs w:val="21"/>
              </w:rPr>
            </w:pPr>
          </w:p>
        </w:tc>
        <w:tc>
          <w:tcPr>
            <w:tcW w:w="1638" w:type="dxa"/>
            <w:vAlign w:val="center"/>
          </w:tcPr>
          <w:p>
            <w:pPr>
              <w:spacing w:line="360" w:lineRule="auto"/>
              <w:jc w:val="center"/>
              <w:rPr>
                <w:szCs w:val="21"/>
              </w:rPr>
            </w:pPr>
          </w:p>
        </w:tc>
        <w:tc>
          <w:tcPr>
            <w:tcW w:w="1543" w:type="dxa"/>
            <w:vAlign w:val="center"/>
          </w:tcPr>
          <w:p>
            <w:pPr>
              <w:spacing w:line="360" w:lineRule="auto"/>
              <w:jc w:val="center"/>
              <w:rPr>
                <w:szCs w:val="21"/>
              </w:rPr>
            </w:pPr>
          </w:p>
        </w:tc>
        <w:tc>
          <w:tcPr>
            <w:tcW w:w="1363" w:type="dxa"/>
            <w:vAlign w:val="center"/>
          </w:tcPr>
          <w:p>
            <w:pPr>
              <w:spacing w:line="360" w:lineRule="auto"/>
              <w:jc w:val="center"/>
              <w:rPr>
                <w:szCs w:val="21"/>
              </w:rPr>
            </w:pPr>
          </w:p>
        </w:tc>
        <w:tc>
          <w:tcPr>
            <w:tcW w:w="1345" w:type="dxa"/>
            <w:vAlign w:val="center"/>
          </w:tcPr>
          <w:p>
            <w:pPr>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dxa"/>
            <w:vAlign w:val="center"/>
          </w:tcPr>
          <w:p>
            <w:pPr>
              <w:spacing w:line="360" w:lineRule="auto"/>
              <w:jc w:val="center"/>
              <w:rPr>
                <w:szCs w:val="21"/>
              </w:rPr>
            </w:pPr>
          </w:p>
        </w:tc>
        <w:tc>
          <w:tcPr>
            <w:tcW w:w="1366" w:type="dxa"/>
            <w:vAlign w:val="center"/>
          </w:tcPr>
          <w:p>
            <w:pPr>
              <w:spacing w:line="360" w:lineRule="auto"/>
              <w:jc w:val="center"/>
              <w:rPr>
                <w:szCs w:val="21"/>
              </w:rPr>
            </w:pPr>
          </w:p>
        </w:tc>
        <w:tc>
          <w:tcPr>
            <w:tcW w:w="1368" w:type="dxa"/>
          </w:tcPr>
          <w:p>
            <w:pPr>
              <w:spacing w:line="360" w:lineRule="auto"/>
              <w:jc w:val="center"/>
              <w:rPr>
                <w:szCs w:val="21"/>
              </w:rPr>
            </w:pPr>
          </w:p>
        </w:tc>
        <w:tc>
          <w:tcPr>
            <w:tcW w:w="1638" w:type="dxa"/>
            <w:vAlign w:val="center"/>
          </w:tcPr>
          <w:p>
            <w:pPr>
              <w:spacing w:line="360" w:lineRule="auto"/>
              <w:jc w:val="center"/>
              <w:rPr>
                <w:szCs w:val="21"/>
              </w:rPr>
            </w:pPr>
          </w:p>
        </w:tc>
        <w:tc>
          <w:tcPr>
            <w:tcW w:w="1543" w:type="dxa"/>
            <w:vAlign w:val="center"/>
          </w:tcPr>
          <w:p>
            <w:pPr>
              <w:spacing w:line="360" w:lineRule="auto"/>
              <w:jc w:val="center"/>
              <w:rPr>
                <w:szCs w:val="21"/>
              </w:rPr>
            </w:pPr>
          </w:p>
        </w:tc>
        <w:tc>
          <w:tcPr>
            <w:tcW w:w="1363" w:type="dxa"/>
            <w:vAlign w:val="center"/>
          </w:tcPr>
          <w:p>
            <w:pPr>
              <w:spacing w:line="360" w:lineRule="auto"/>
              <w:jc w:val="center"/>
              <w:rPr>
                <w:szCs w:val="21"/>
              </w:rPr>
            </w:pPr>
          </w:p>
        </w:tc>
        <w:tc>
          <w:tcPr>
            <w:tcW w:w="1345" w:type="dxa"/>
            <w:vAlign w:val="center"/>
          </w:tcPr>
          <w:p>
            <w:pPr>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dxa"/>
            <w:vAlign w:val="center"/>
          </w:tcPr>
          <w:p>
            <w:pPr>
              <w:spacing w:line="360" w:lineRule="auto"/>
              <w:jc w:val="center"/>
              <w:rPr>
                <w:szCs w:val="21"/>
              </w:rPr>
            </w:pPr>
          </w:p>
        </w:tc>
        <w:tc>
          <w:tcPr>
            <w:tcW w:w="1366" w:type="dxa"/>
            <w:vAlign w:val="center"/>
          </w:tcPr>
          <w:p>
            <w:pPr>
              <w:spacing w:line="360" w:lineRule="auto"/>
              <w:jc w:val="center"/>
              <w:rPr>
                <w:szCs w:val="21"/>
              </w:rPr>
            </w:pPr>
          </w:p>
        </w:tc>
        <w:tc>
          <w:tcPr>
            <w:tcW w:w="1368" w:type="dxa"/>
          </w:tcPr>
          <w:p>
            <w:pPr>
              <w:spacing w:line="360" w:lineRule="auto"/>
              <w:jc w:val="center"/>
              <w:rPr>
                <w:szCs w:val="21"/>
              </w:rPr>
            </w:pPr>
          </w:p>
        </w:tc>
        <w:tc>
          <w:tcPr>
            <w:tcW w:w="1638" w:type="dxa"/>
            <w:vAlign w:val="center"/>
          </w:tcPr>
          <w:p>
            <w:pPr>
              <w:spacing w:line="360" w:lineRule="auto"/>
              <w:jc w:val="center"/>
              <w:rPr>
                <w:szCs w:val="21"/>
              </w:rPr>
            </w:pPr>
          </w:p>
        </w:tc>
        <w:tc>
          <w:tcPr>
            <w:tcW w:w="1543" w:type="dxa"/>
            <w:vAlign w:val="center"/>
          </w:tcPr>
          <w:p>
            <w:pPr>
              <w:spacing w:line="360" w:lineRule="auto"/>
              <w:jc w:val="center"/>
              <w:rPr>
                <w:szCs w:val="21"/>
              </w:rPr>
            </w:pPr>
          </w:p>
        </w:tc>
        <w:tc>
          <w:tcPr>
            <w:tcW w:w="1363" w:type="dxa"/>
            <w:vAlign w:val="center"/>
          </w:tcPr>
          <w:p>
            <w:pPr>
              <w:spacing w:line="360" w:lineRule="auto"/>
              <w:jc w:val="center"/>
              <w:rPr>
                <w:szCs w:val="21"/>
              </w:rPr>
            </w:pPr>
          </w:p>
        </w:tc>
        <w:tc>
          <w:tcPr>
            <w:tcW w:w="1345" w:type="dxa"/>
            <w:vAlign w:val="center"/>
          </w:tcPr>
          <w:p>
            <w:pPr>
              <w:spacing w:line="36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 w:type="dxa"/>
            <w:vAlign w:val="center"/>
          </w:tcPr>
          <w:p>
            <w:pPr>
              <w:spacing w:line="360" w:lineRule="auto"/>
              <w:jc w:val="center"/>
              <w:rPr>
                <w:szCs w:val="21"/>
              </w:rPr>
            </w:pPr>
          </w:p>
        </w:tc>
        <w:tc>
          <w:tcPr>
            <w:tcW w:w="1366" w:type="dxa"/>
            <w:vAlign w:val="center"/>
          </w:tcPr>
          <w:p>
            <w:pPr>
              <w:spacing w:line="360" w:lineRule="auto"/>
              <w:jc w:val="center"/>
              <w:rPr>
                <w:szCs w:val="21"/>
              </w:rPr>
            </w:pPr>
          </w:p>
        </w:tc>
        <w:tc>
          <w:tcPr>
            <w:tcW w:w="1368" w:type="dxa"/>
          </w:tcPr>
          <w:p>
            <w:pPr>
              <w:spacing w:line="360" w:lineRule="auto"/>
              <w:jc w:val="center"/>
              <w:rPr>
                <w:szCs w:val="21"/>
              </w:rPr>
            </w:pPr>
          </w:p>
        </w:tc>
        <w:tc>
          <w:tcPr>
            <w:tcW w:w="1638" w:type="dxa"/>
            <w:vAlign w:val="center"/>
          </w:tcPr>
          <w:p>
            <w:pPr>
              <w:spacing w:line="360" w:lineRule="auto"/>
              <w:jc w:val="center"/>
              <w:rPr>
                <w:szCs w:val="21"/>
              </w:rPr>
            </w:pPr>
          </w:p>
        </w:tc>
        <w:tc>
          <w:tcPr>
            <w:tcW w:w="1543" w:type="dxa"/>
            <w:vAlign w:val="center"/>
          </w:tcPr>
          <w:p>
            <w:pPr>
              <w:spacing w:line="360" w:lineRule="auto"/>
              <w:jc w:val="center"/>
              <w:rPr>
                <w:szCs w:val="21"/>
              </w:rPr>
            </w:pPr>
          </w:p>
        </w:tc>
        <w:tc>
          <w:tcPr>
            <w:tcW w:w="1363" w:type="dxa"/>
            <w:vAlign w:val="center"/>
          </w:tcPr>
          <w:p>
            <w:pPr>
              <w:spacing w:line="360" w:lineRule="auto"/>
              <w:jc w:val="center"/>
              <w:rPr>
                <w:szCs w:val="21"/>
              </w:rPr>
            </w:pPr>
          </w:p>
        </w:tc>
        <w:tc>
          <w:tcPr>
            <w:tcW w:w="1345" w:type="dxa"/>
            <w:vAlign w:val="center"/>
          </w:tcPr>
          <w:p>
            <w:pPr>
              <w:spacing w:line="360" w:lineRule="auto"/>
              <w:jc w:val="center"/>
              <w:rPr>
                <w:szCs w:val="21"/>
              </w:rPr>
            </w:pPr>
          </w:p>
        </w:tc>
      </w:tr>
    </w:tbl>
    <w:p>
      <w:pPr>
        <w:rPr>
          <w:rFonts w:ascii="宋体" w:hAnsi="宋体"/>
          <w:b/>
          <w:szCs w:val="21"/>
        </w:rPr>
      </w:pPr>
      <w:r>
        <w:rPr>
          <w:rFonts w:hint="eastAsia" w:ascii="宋体" w:hAnsi="宋体"/>
          <w:b/>
          <w:szCs w:val="21"/>
        </w:rPr>
        <w:t>注：请附上同类业绩评价证明资料，评审细则另有要求的，按评审细则提供。</w:t>
      </w:r>
    </w:p>
    <w:p>
      <w:pPr>
        <w:spacing w:line="360" w:lineRule="auto"/>
        <w:ind w:firstLine="6930" w:firstLineChars="3300"/>
        <w:rPr>
          <w:rFonts w:ascii="宋体" w:hAnsi="宋体"/>
          <w:bCs/>
          <w:szCs w:val="21"/>
        </w:rPr>
      </w:pPr>
      <w:r>
        <w:rPr>
          <w:rFonts w:hint="eastAsia" w:ascii="宋体" w:hAnsi="宋体"/>
          <w:bCs/>
          <w:szCs w:val="21"/>
        </w:rPr>
        <w:t>（投标人加盖公章）</w:t>
      </w:r>
    </w:p>
    <w:p>
      <w:pPr>
        <w:pStyle w:val="24"/>
        <w:spacing w:line="240" w:lineRule="auto"/>
        <w:ind w:firstLine="6000" w:firstLineChars="2500"/>
        <w:rPr>
          <w:rFonts w:hAnsi="宋体"/>
          <w:bCs/>
          <w:szCs w:val="21"/>
        </w:rPr>
      </w:pPr>
      <w:r>
        <w:rPr>
          <w:rFonts w:hint="eastAsia" w:hAnsi="宋体"/>
          <w:bCs/>
          <w:szCs w:val="21"/>
        </w:rPr>
        <w:t>日    期：     年   月   日</w:t>
      </w:r>
      <w:bookmarkStart w:id="327" w:name="_Toc23593"/>
      <w:bookmarkStart w:id="328" w:name="_Toc3316"/>
      <w:bookmarkStart w:id="329" w:name="_Toc27049"/>
      <w:bookmarkStart w:id="330" w:name="_Toc334797776"/>
      <w:bookmarkStart w:id="331" w:name="_Toc7084"/>
      <w:bookmarkStart w:id="332" w:name="_Toc228899514"/>
      <w:bookmarkStart w:id="333" w:name="_Toc224435734"/>
      <w:bookmarkStart w:id="334" w:name="_Toc245819142"/>
      <w:bookmarkStart w:id="335" w:name="_Toc225565960"/>
      <w:bookmarkStart w:id="336" w:name="_Toc228644985"/>
      <w:bookmarkStart w:id="337" w:name="_Toc42951056"/>
      <w:bookmarkStart w:id="338" w:name="_Toc238282344"/>
      <w:bookmarkStart w:id="339" w:name="_Toc223939114"/>
    </w:p>
    <w:p>
      <w:pPr>
        <w:pStyle w:val="24"/>
        <w:spacing w:line="240" w:lineRule="auto"/>
        <w:ind w:firstLine="0"/>
        <w:rPr>
          <w:rFonts w:hAnsi="宋体"/>
          <w:bCs/>
          <w:szCs w:val="21"/>
        </w:rPr>
      </w:pPr>
    </w:p>
    <w:p>
      <w:pPr>
        <w:pStyle w:val="5"/>
        <w:spacing w:before="20" w:after="20" w:line="480" w:lineRule="auto"/>
      </w:pPr>
      <w:r>
        <w:rPr>
          <w:rFonts w:hint="eastAsia" w:ascii="黑体"/>
        </w:rPr>
        <w:t>格式1</w:t>
      </w:r>
      <w:r>
        <w:rPr>
          <w:rFonts w:ascii="黑体"/>
        </w:rPr>
        <w:t>0</w:t>
      </w:r>
      <w:r>
        <w:rPr>
          <w:rFonts w:hint="eastAsia" w:ascii="黑体"/>
        </w:rPr>
        <w:t xml:space="preserve">  </w:t>
      </w:r>
      <w:r>
        <w:rPr>
          <w:rFonts w:hint="eastAsia"/>
        </w:rPr>
        <w:t xml:space="preserve">       拟派本项目负责人及主要人员情况表</w:t>
      </w:r>
      <w:bookmarkEnd w:id="327"/>
      <w:r>
        <w:rPr>
          <w:rFonts w:hint="eastAsia"/>
        </w:rPr>
        <w:t xml:space="preserve"> </w:t>
      </w:r>
    </w:p>
    <w:p>
      <w:pPr>
        <w:spacing w:line="300" w:lineRule="auto"/>
        <w:rPr>
          <w:rFonts w:ascii="宋体" w:hAnsi="宋体"/>
          <w:szCs w:val="21"/>
        </w:rPr>
      </w:pPr>
      <w:r>
        <w:rPr>
          <w:rFonts w:hint="eastAsia" w:ascii="宋体" w:hAnsi="宋体"/>
          <w:szCs w:val="21"/>
        </w:rPr>
        <w:t xml:space="preserve">项目名称：                                         </w:t>
      </w:r>
      <w:r>
        <w:rPr>
          <w:rFonts w:ascii="宋体" w:hAnsi="宋体"/>
          <w:szCs w:val="21"/>
        </w:rPr>
        <w:t>项目编号：</w:t>
      </w:r>
      <w:r>
        <w:rPr>
          <w:rFonts w:hint="eastAsia" w:ascii="宋体" w:hAnsi="宋体"/>
          <w:szCs w:val="21"/>
        </w:rPr>
        <w:t xml:space="preserve">         </w:t>
      </w:r>
    </w:p>
    <w:tbl>
      <w:tblPr>
        <w:tblStyle w:val="39"/>
        <w:tblW w:w="95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67"/>
        <w:gridCol w:w="10"/>
        <w:gridCol w:w="1139"/>
        <w:gridCol w:w="232"/>
        <w:gridCol w:w="919"/>
        <w:gridCol w:w="494"/>
        <w:gridCol w:w="656"/>
        <w:gridCol w:w="1152"/>
        <w:gridCol w:w="1175"/>
        <w:gridCol w:w="739"/>
        <w:gridCol w:w="526"/>
        <w:gridCol w:w="1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569" w:type="dxa"/>
            <w:gridSpan w:val="13"/>
            <w:vAlign w:val="center"/>
          </w:tcPr>
          <w:p>
            <w:pPr>
              <w:spacing w:line="300" w:lineRule="auto"/>
              <w:jc w:val="center"/>
              <w:rPr>
                <w:rFonts w:ascii="宋体" w:hAnsi="宋体"/>
                <w:szCs w:val="21"/>
              </w:rPr>
            </w:pPr>
            <w:r>
              <w:rPr>
                <w:rFonts w:hint="eastAsia" w:ascii="宋体" w:hAnsi="宋体"/>
                <w:szCs w:val="21"/>
              </w:rPr>
              <w:t>拟派本项目负责人情况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159" w:type="dxa"/>
            <w:gridSpan w:val="3"/>
            <w:vAlign w:val="center"/>
          </w:tcPr>
          <w:p>
            <w:pPr>
              <w:spacing w:line="300" w:lineRule="auto"/>
              <w:jc w:val="center"/>
              <w:rPr>
                <w:rFonts w:ascii="宋体" w:hAnsi="宋体"/>
                <w:szCs w:val="21"/>
              </w:rPr>
            </w:pPr>
            <w:r>
              <w:rPr>
                <w:rFonts w:hint="eastAsia" w:ascii="宋体" w:hAnsi="宋体"/>
                <w:szCs w:val="21"/>
              </w:rPr>
              <w:t>姓名</w:t>
            </w:r>
          </w:p>
        </w:tc>
        <w:tc>
          <w:tcPr>
            <w:tcW w:w="1371" w:type="dxa"/>
            <w:gridSpan w:val="2"/>
            <w:vAlign w:val="center"/>
          </w:tcPr>
          <w:p>
            <w:pPr>
              <w:spacing w:line="300" w:lineRule="auto"/>
              <w:jc w:val="center"/>
              <w:rPr>
                <w:rFonts w:ascii="宋体" w:hAnsi="宋体"/>
                <w:szCs w:val="21"/>
              </w:rPr>
            </w:pPr>
          </w:p>
        </w:tc>
        <w:tc>
          <w:tcPr>
            <w:tcW w:w="1413" w:type="dxa"/>
            <w:gridSpan w:val="2"/>
            <w:vAlign w:val="center"/>
          </w:tcPr>
          <w:p>
            <w:pPr>
              <w:spacing w:line="300" w:lineRule="auto"/>
              <w:jc w:val="center"/>
              <w:rPr>
                <w:rFonts w:ascii="宋体" w:hAnsi="宋体"/>
                <w:szCs w:val="21"/>
              </w:rPr>
            </w:pPr>
            <w:r>
              <w:rPr>
                <w:rFonts w:hint="eastAsia" w:ascii="宋体" w:hAnsi="宋体"/>
                <w:szCs w:val="21"/>
              </w:rPr>
              <w:t>性别</w:t>
            </w:r>
          </w:p>
        </w:tc>
        <w:tc>
          <w:tcPr>
            <w:tcW w:w="1808" w:type="dxa"/>
            <w:gridSpan w:val="2"/>
            <w:vAlign w:val="center"/>
          </w:tcPr>
          <w:p>
            <w:pPr>
              <w:spacing w:line="300" w:lineRule="auto"/>
              <w:jc w:val="center"/>
              <w:rPr>
                <w:rFonts w:ascii="宋体" w:hAnsi="宋体"/>
                <w:szCs w:val="21"/>
              </w:rPr>
            </w:pPr>
          </w:p>
        </w:tc>
        <w:tc>
          <w:tcPr>
            <w:tcW w:w="1914" w:type="dxa"/>
            <w:gridSpan w:val="2"/>
            <w:vAlign w:val="center"/>
          </w:tcPr>
          <w:p>
            <w:pPr>
              <w:spacing w:line="300" w:lineRule="auto"/>
              <w:jc w:val="center"/>
              <w:rPr>
                <w:rFonts w:ascii="宋体" w:hAnsi="宋体"/>
                <w:szCs w:val="21"/>
              </w:rPr>
            </w:pPr>
            <w:r>
              <w:rPr>
                <w:rFonts w:hint="eastAsia" w:ascii="宋体" w:hAnsi="宋体"/>
                <w:szCs w:val="21"/>
              </w:rPr>
              <w:t>年龄</w:t>
            </w:r>
          </w:p>
        </w:tc>
        <w:tc>
          <w:tcPr>
            <w:tcW w:w="1904" w:type="dxa"/>
            <w:gridSpan w:val="2"/>
            <w:vAlign w:val="center"/>
          </w:tcPr>
          <w:p>
            <w:pPr>
              <w:spacing w:line="30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159" w:type="dxa"/>
            <w:gridSpan w:val="3"/>
            <w:vAlign w:val="center"/>
          </w:tcPr>
          <w:p>
            <w:pPr>
              <w:spacing w:line="300" w:lineRule="auto"/>
              <w:jc w:val="center"/>
              <w:rPr>
                <w:rFonts w:ascii="宋体" w:hAnsi="宋体"/>
                <w:szCs w:val="21"/>
              </w:rPr>
            </w:pPr>
            <w:r>
              <w:rPr>
                <w:rFonts w:hint="eastAsia" w:ascii="宋体" w:hAnsi="宋体"/>
                <w:szCs w:val="21"/>
              </w:rPr>
              <w:t>职务</w:t>
            </w:r>
          </w:p>
        </w:tc>
        <w:tc>
          <w:tcPr>
            <w:tcW w:w="1371" w:type="dxa"/>
            <w:gridSpan w:val="2"/>
            <w:vAlign w:val="center"/>
          </w:tcPr>
          <w:p>
            <w:pPr>
              <w:spacing w:line="300" w:lineRule="auto"/>
              <w:jc w:val="center"/>
              <w:rPr>
                <w:rFonts w:ascii="宋体" w:hAnsi="宋体"/>
                <w:szCs w:val="21"/>
              </w:rPr>
            </w:pPr>
          </w:p>
        </w:tc>
        <w:tc>
          <w:tcPr>
            <w:tcW w:w="1413" w:type="dxa"/>
            <w:gridSpan w:val="2"/>
            <w:vAlign w:val="center"/>
          </w:tcPr>
          <w:p>
            <w:pPr>
              <w:spacing w:line="300" w:lineRule="auto"/>
              <w:jc w:val="center"/>
              <w:rPr>
                <w:rFonts w:ascii="宋体" w:hAnsi="宋体"/>
                <w:szCs w:val="21"/>
              </w:rPr>
            </w:pPr>
            <w:r>
              <w:rPr>
                <w:rFonts w:hint="eastAsia" w:ascii="宋体" w:hAnsi="宋体"/>
                <w:szCs w:val="21"/>
              </w:rPr>
              <w:t>职称</w:t>
            </w:r>
          </w:p>
        </w:tc>
        <w:tc>
          <w:tcPr>
            <w:tcW w:w="1808" w:type="dxa"/>
            <w:gridSpan w:val="2"/>
            <w:vAlign w:val="center"/>
          </w:tcPr>
          <w:p>
            <w:pPr>
              <w:spacing w:line="300" w:lineRule="auto"/>
              <w:jc w:val="center"/>
              <w:rPr>
                <w:rFonts w:ascii="宋体" w:hAnsi="宋体"/>
                <w:szCs w:val="21"/>
              </w:rPr>
            </w:pPr>
          </w:p>
        </w:tc>
        <w:tc>
          <w:tcPr>
            <w:tcW w:w="1914" w:type="dxa"/>
            <w:gridSpan w:val="2"/>
            <w:vAlign w:val="center"/>
          </w:tcPr>
          <w:p>
            <w:pPr>
              <w:spacing w:line="300" w:lineRule="auto"/>
              <w:jc w:val="center"/>
              <w:rPr>
                <w:rFonts w:ascii="宋体" w:hAnsi="宋体"/>
                <w:szCs w:val="21"/>
              </w:rPr>
            </w:pPr>
            <w:r>
              <w:rPr>
                <w:rFonts w:hint="eastAsia" w:ascii="宋体" w:hAnsi="宋体"/>
                <w:szCs w:val="21"/>
              </w:rPr>
              <w:t>学历</w:t>
            </w:r>
          </w:p>
        </w:tc>
        <w:tc>
          <w:tcPr>
            <w:tcW w:w="1904" w:type="dxa"/>
            <w:gridSpan w:val="2"/>
            <w:vAlign w:val="center"/>
          </w:tcPr>
          <w:p>
            <w:pPr>
              <w:spacing w:line="30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2530" w:type="dxa"/>
            <w:gridSpan w:val="5"/>
            <w:vAlign w:val="center"/>
          </w:tcPr>
          <w:p>
            <w:pPr>
              <w:spacing w:line="300" w:lineRule="auto"/>
              <w:jc w:val="center"/>
              <w:rPr>
                <w:rFonts w:ascii="宋体" w:hAnsi="宋体"/>
                <w:szCs w:val="21"/>
              </w:rPr>
            </w:pPr>
            <w:r>
              <w:rPr>
                <w:rFonts w:hint="eastAsia" w:ascii="宋体" w:hAnsi="宋体"/>
                <w:szCs w:val="21"/>
              </w:rPr>
              <w:t>从事同类项目年限</w:t>
            </w:r>
          </w:p>
        </w:tc>
        <w:tc>
          <w:tcPr>
            <w:tcW w:w="1413" w:type="dxa"/>
            <w:gridSpan w:val="2"/>
            <w:vAlign w:val="center"/>
          </w:tcPr>
          <w:p>
            <w:pPr>
              <w:spacing w:line="300" w:lineRule="auto"/>
              <w:jc w:val="center"/>
              <w:rPr>
                <w:rFonts w:ascii="宋体" w:hAnsi="宋体"/>
                <w:szCs w:val="21"/>
              </w:rPr>
            </w:pPr>
          </w:p>
        </w:tc>
        <w:tc>
          <w:tcPr>
            <w:tcW w:w="1808" w:type="dxa"/>
            <w:gridSpan w:val="2"/>
            <w:vAlign w:val="center"/>
          </w:tcPr>
          <w:p>
            <w:pPr>
              <w:spacing w:line="300" w:lineRule="auto"/>
              <w:jc w:val="center"/>
              <w:rPr>
                <w:rFonts w:ascii="宋体" w:hAnsi="宋体"/>
                <w:szCs w:val="21"/>
              </w:rPr>
            </w:pPr>
            <w:r>
              <w:rPr>
                <w:rFonts w:hint="eastAsia" w:ascii="宋体" w:hAnsi="宋体"/>
                <w:szCs w:val="21"/>
              </w:rPr>
              <w:t>具有职称、执业或技能证书</w:t>
            </w:r>
          </w:p>
        </w:tc>
        <w:tc>
          <w:tcPr>
            <w:tcW w:w="3818" w:type="dxa"/>
            <w:gridSpan w:val="4"/>
            <w:vAlign w:val="center"/>
          </w:tcPr>
          <w:p>
            <w:pPr>
              <w:spacing w:line="30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9569" w:type="dxa"/>
            <w:gridSpan w:val="13"/>
            <w:vAlign w:val="center"/>
          </w:tcPr>
          <w:p>
            <w:pPr>
              <w:spacing w:line="300" w:lineRule="auto"/>
              <w:jc w:val="center"/>
              <w:rPr>
                <w:rFonts w:ascii="宋体" w:hAnsi="宋体"/>
                <w:szCs w:val="21"/>
              </w:rPr>
            </w:pPr>
            <w:r>
              <w:rPr>
                <w:rFonts w:hint="eastAsia" w:ascii="宋体" w:hAnsi="宋体"/>
                <w:szCs w:val="21"/>
              </w:rPr>
              <w:t>已完成的部分同类项目情况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149" w:type="dxa"/>
            <w:gridSpan w:val="2"/>
            <w:vAlign w:val="center"/>
          </w:tcPr>
          <w:p>
            <w:pPr>
              <w:spacing w:line="300" w:lineRule="auto"/>
              <w:jc w:val="center"/>
              <w:rPr>
                <w:rFonts w:ascii="宋体" w:hAnsi="宋体"/>
                <w:szCs w:val="21"/>
              </w:rPr>
            </w:pPr>
            <w:r>
              <w:rPr>
                <w:rFonts w:hint="eastAsia" w:ascii="宋体" w:hAnsi="宋体"/>
                <w:szCs w:val="21"/>
              </w:rPr>
              <w:t>甲方单位</w:t>
            </w:r>
          </w:p>
        </w:tc>
        <w:tc>
          <w:tcPr>
            <w:tcW w:w="4602" w:type="dxa"/>
            <w:gridSpan w:val="7"/>
            <w:vAlign w:val="center"/>
          </w:tcPr>
          <w:p>
            <w:pPr>
              <w:spacing w:line="300" w:lineRule="auto"/>
              <w:jc w:val="center"/>
              <w:rPr>
                <w:rFonts w:ascii="宋体" w:hAnsi="宋体"/>
                <w:szCs w:val="21"/>
              </w:rPr>
            </w:pPr>
            <w:r>
              <w:rPr>
                <w:rFonts w:ascii="宋体" w:hAnsi="宋体"/>
                <w:szCs w:val="21"/>
              </w:rPr>
              <w:t>项目名称</w:t>
            </w:r>
          </w:p>
        </w:tc>
        <w:tc>
          <w:tcPr>
            <w:tcW w:w="3818" w:type="dxa"/>
            <w:gridSpan w:val="4"/>
            <w:vAlign w:val="center"/>
          </w:tcPr>
          <w:p>
            <w:pPr>
              <w:jc w:val="left"/>
              <w:rPr>
                <w:rFonts w:ascii="宋体" w:hAnsi="宋体"/>
                <w:szCs w:val="21"/>
              </w:rPr>
            </w:pPr>
            <w:r>
              <w:rPr>
                <w:rFonts w:hint="eastAsia" w:ascii="宋体" w:hAnsi="宋体"/>
                <w:szCs w:val="21"/>
              </w:rPr>
              <w:t>项目完成时间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trPr>
        <w:tc>
          <w:tcPr>
            <w:tcW w:w="1149" w:type="dxa"/>
            <w:gridSpan w:val="2"/>
            <w:vAlign w:val="center"/>
          </w:tcPr>
          <w:p>
            <w:pPr>
              <w:spacing w:line="300" w:lineRule="auto"/>
              <w:jc w:val="center"/>
              <w:rPr>
                <w:rFonts w:ascii="宋体" w:hAnsi="宋体"/>
                <w:szCs w:val="21"/>
              </w:rPr>
            </w:pPr>
            <w:r>
              <w:rPr>
                <w:rFonts w:ascii="宋体" w:hAnsi="宋体"/>
                <w:szCs w:val="21"/>
              </w:rPr>
              <w:t>…</w:t>
            </w:r>
          </w:p>
        </w:tc>
        <w:tc>
          <w:tcPr>
            <w:tcW w:w="4602" w:type="dxa"/>
            <w:gridSpan w:val="7"/>
            <w:vAlign w:val="center"/>
          </w:tcPr>
          <w:p>
            <w:pPr>
              <w:spacing w:line="300" w:lineRule="auto"/>
              <w:jc w:val="center"/>
              <w:rPr>
                <w:rFonts w:ascii="宋体" w:hAnsi="宋体"/>
                <w:szCs w:val="21"/>
              </w:rPr>
            </w:pPr>
            <w:r>
              <w:rPr>
                <w:rFonts w:ascii="宋体" w:hAnsi="宋体"/>
                <w:szCs w:val="21"/>
              </w:rPr>
              <w:t>…</w:t>
            </w:r>
          </w:p>
        </w:tc>
        <w:tc>
          <w:tcPr>
            <w:tcW w:w="3818" w:type="dxa"/>
            <w:gridSpan w:val="4"/>
            <w:vAlign w:val="center"/>
          </w:tcPr>
          <w:p>
            <w:pPr>
              <w:spacing w:line="30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569" w:type="dxa"/>
            <w:gridSpan w:val="13"/>
            <w:vAlign w:val="center"/>
          </w:tcPr>
          <w:p>
            <w:pPr>
              <w:spacing w:line="300" w:lineRule="auto"/>
              <w:jc w:val="center"/>
              <w:rPr>
                <w:rFonts w:ascii="宋体" w:hAnsi="宋体"/>
                <w:szCs w:val="21"/>
              </w:rPr>
            </w:pPr>
            <w:r>
              <w:rPr>
                <w:rFonts w:hint="eastAsia" w:ascii="宋体" w:hAnsi="宋体"/>
                <w:szCs w:val="21"/>
              </w:rPr>
              <w:t>拟参与本项目</w:t>
            </w:r>
            <w:r>
              <w:rPr>
                <w:rFonts w:hint="eastAsia" w:ascii="宋体" w:hAnsi="宋体"/>
                <w:kern w:val="0"/>
                <w:szCs w:val="21"/>
              </w:rPr>
              <w:t>主要技术及服务人员</w:t>
            </w:r>
            <w:r>
              <w:rPr>
                <w:rFonts w:hint="eastAsia" w:ascii="宋体" w:hAnsi="宋体"/>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082" w:type="dxa"/>
            <w:vAlign w:val="center"/>
          </w:tcPr>
          <w:p>
            <w:pPr>
              <w:spacing w:line="300" w:lineRule="auto"/>
              <w:jc w:val="center"/>
              <w:rPr>
                <w:rFonts w:ascii="宋体" w:hAnsi="宋体"/>
                <w:szCs w:val="21"/>
              </w:rPr>
            </w:pPr>
            <w:r>
              <w:rPr>
                <w:rFonts w:hint="eastAsia" w:ascii="宋体" w:hAnsi="宋体"/>
                <w:szCs w:val="21"/>
              </w:rPr>
              <w:t>姓名</w:t>
            </w:r>
          </w:p>
        </w:tc>
        <w:tc>
          <w:tcPr>
            <w:tcW w:w="1216" w:type="dxa"/>
            <w:gridSpan w:val="3"/>
            <w:vAlign w:val="center"/>
          </w:tcPr>
          <w:p>
            <w:pPr>
              <w:spacing w:line="300" w:lineRule="auto"/>
              <w:jc w:val="center"/>
              <w:rPr>
                <w:rFonts w:ascii="宋体" w:hAnsi="宋体"/>
                <w:szCs w:val="21"/>
              </w:rPr>
            </w:pPr>
            <w:r>
              <w:rPr>
                <w:rFonts w:hint="eastAsia" w:ascii="宋体" w:hAnsi="宋体"/>
                <w:szCs w:val="21"/>
              </w:rPr>
              <w:t>性别</w:t>
            </w:r>
          </w:p>
        </w:tc>
        <w:tc>
          <w:tcPr>
            <w:tcW w:w="1151" w:type="dxa"/>
            <w:gridSpan w:val="2"/>
            <w:vAlign w:val="center"/>
          </w:tcPr>
          <w:p>
            <w:pPr>
              <w:spacing w:line="300" w:lineRule="auto"/>
              <w:jc w:val="center"/>
              <w:rPr>
                <w:rFonts w:ascii="宋体" w:hAnsi="宋体"/>
                <w:szCs w:val="21"/>
              </w:rPr>
            </w:pPr>
            <w:r>
              <w:rPr>
                <w:rFonts w:hint="eastAsia" w:ascii="宋体" w:hAnsi="宋体"/>
                <w:szCs w:val="21"/>
              </w:rPr>
              <w:t>年龄</w:t>
            </w:r>
          </w:p>
        </w:tc>
        <w:tc>
          <w:tcPr>
            <w:tcW w:w="1150" w:type="dxa"/>
            <w:gridSpan w:val="2"/>
            <w:vAlign w:val="center"/>
          </w:tcPr>
          <w:p>
            <w:pPr>
              <w:spacing w:line="300" w:lineRule="auto"/>
              <w:jc w:val="center"/>
              <w:rPr>
                <w:rFonts w:ascii="宋体" w:hAnsi="宋体"/>
                <w:szCs w:val="21"/>
              </w:rPr>
            </w:pPr>
            <w:r>
              <w:rPr>
                <w:rFonts w:hint="eastAsia" w:ascii="宋体" w:hAnsi="宋体"/>
                <w:szCs w:val="21"/>
              </w:rPr>
              <w:t>职称</w:t>
            </w:r>
          </w:p>
        </w:tc>
        <w:tc>
          <w:tcPr>
            <w:tcW w:w="1152" w:type="dxa"/>
            <w:vAlign w:val="center"/>
          </w:tcPr>
          <w:p>
            <w:pPr>
              <w:spacing w:line="300" w:lineRule="auto"/>
              <w:jc w:val="center"/>
              <w:rPr>
                <w:rFonts w:ascii="宋体" w:hAnsi="宋体"/>
                <w:szCs w:val="21"/>
              </w:rPr>
            </w:pPr>
            <w:r>
              <w:rPr>
                <w:rFonts w:hint="eastAsia" w:ascii="宋体" w:hAnsi="宋体"/>
                <w:szCs w:val="21"/>
              </w:rPr>
              <w:t>专业</w:t>
            </w:r>
          </w:p>
        </w:tc>
        <w:tc>
          <w:tcPr>
            <w:tcW w:w="1175" w:type="dxa"/>
            <w:vAlign w:val="center"/>
          </w:tcPr>
          <w:p>
            <w:pPr>
              <w:spacing w:line="300" w:lineRule="auto"/>
              <w:jc w:val="center"/>
              <w:rPr>
                <w:rFonts w:ascii="宋体" w:hAnsi="宋体"/>
                <w:szCs w:val="21"/>
              </w:rPr>
            </w:pPr>
            <w:r>
              <w:rPr>
                <w:rFonts w:hint="eastAsia" w:ascii="宋体" w:hAnsi="宋体"/>
                <w:szCs w:val="21"/>
              </w:rPr>
              <w:t>学历</w:t>
            </w:r>
          </w:p>
        </w:tc>
        <w:tc>
          <w:tcPr>
            <w:tcW w:w="1265" w:type="dxa"/>
            <w:gridSpan w:val="2"/>
            <w:vAlign w:val="center"/>
          </w:tcPr>
          <w:p>
            <w:pPr>
              <w:spacing w:line="300" w:lineRule="auto"/>
              <w:jc w:val="center"/>
              <w:rPr>
                <w:rFonts w:ascii="宋体" w:hAnsi="宋体"/>
                <w:szCs w:val="21"/>
              </w:rPr>
            </w:pPr>
            <w:r>
              <w:rPr>
                <w:rFonts w:hint="eastAsia" w:ascii="宋体" w:hAnsi="宋体"/>
                <w:szCs w:val="21"/>
              </w:rPr>
              <w:t>经验年限</w:t>
            </w:r>
          </w:p>
        </w:tc>
        <w:tc>
          <w:tcPr>
            <w:tcW w:w="1378" w:type="dxa"/>
            <w:vAlign w:val="center"/>
          </w:tcPr>
          <w:p>
            <w:pPr>
              <w:spacing w:line="300" w:lineRule="auto"/>
              <w:jc w:val="center"/>
              <w:rPr>
                <w:rFonts w:ascii="宋体" w:hAnsi="宋体"/>
                <w:szCs w:val="21"/>
              </w:rPr>
            </w:pPr>
            <w:r>
              <w:rPr>
                <w:rFonts w:hint="eastAsia" w:ascii="宋体" w:hAnsi="宋体"/>
                <w:szCs w:val="21"/>
              </w:rPr>
              <w:t>具有职称、执业或技能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082" w:type="dxa"/>
            <w:vAlign w:val="center"/>
          </w:tcPr>
          <w:p>
            <w:pPr>
              <w:spacing w:line="300" w:lineRule="auto"/>
              <w:jc w:val="center"/>
              <w:rPr>
                <w:rFonts w:ascii="宋体" w:hAnsi="宋体"/>
                <w:szCs w:val="21"/>
              </w:rPr>
            </w:pPr>
            <w:r>
              <w:rPr>
                <w:rFonts w:ascii="宋体" w:hAnsi="宋体"/>
                <w:szCs w:val="21"/>
              </w:rPr>
              <w:t>…</w:t>
            </w:r>
          </w:p>
        </w:tc>
        <w:tc>
          <w:tcPr>
            <w:tcW w:w="1216" w:type="dxa"/>
            <w:gridSpan w:val="3"/>
            <w:vAlign w:val="center"/>
          </w:tcPr>
          <w:p>
            <w:pPr>
              <w:spacing w:line="300" w:lineRule="auto"/>
              <w:jc w:val="center"/>
              <w:rPr>
                <w:rFonts w:ascii="宋体" w:hAnsi="宋体"/>
                <w:szCs w:val="21"/>
              </w:rPr>
            </w:pPr>
            <w:r>
              <w:rPr>
                <w:rFonts w:ascii="宋体" w:hAnsi="宋体"/>
                <w:szCs w:val="21"/>
              </w:rPr>
              <w:t>…</w:t>
            </w:r>
          </w:p>
        </w:tc>
        <w:tc>
          <w:tcPr>
            <w:tcW w:w="1151" w:type="dxa"/>
            <w:gridSpan w:val="2"/>
            <w:vAlign w:val="center"/>
          </w:tcPr>
          <w:p>
            <w:pPr>
              <w:spacing w:line="300" w:lineRule="auto"/>
              <w:jc w:val="center"/>
              <w:rPr>
                <w:rFonts w:ascii="宋体" w:hAnsi="宋体"/>
                <w:szCs w:val="21"/>
              </w:rPr>
            </w:pPr>
            <w:r>
              <w:rPr>
                <w:rFonts w:ascii="宋体" w:hAnsi="宋体"/>
                <w:szCs w:val="21"/>
              </w:rPr>
              <w:t>…</w:t>
            </w:r>
          </w:p>
        </w:tc>
        <w:tc>
          <w:tcPr>
            <w:tcW w:w="1150" w:type="dxa"/>
            <w:gridSpan w:val="2"/>
            <w:vAlign w:val="center"/>
          </w:tcPr>
          <w:p>
            <w:pPr>
              <w:spacing w:line="300" w:lineRule="auto"/>
              <w:jc w:val="center"/>
              <w:rPr>
                <w:rFonts w:ascii="宋体" w:hAnsi="宋体"/>
                <w:szCs w:val="21"/>
              </w:rPr>
            </w:pPr>
            <w:r>
              <w:rPr>
                <w:rFonts w:ascii="宋体" w:hAnsi="宋体"/>
                <w:szCs w:val="21"/>
              </w:rPr>
              <w:t>…</w:t>
            </w:r>
          </w:p>
        </w:tc>
        <w:tc>
          <w:tcPr>
            <w:tcW w:w="1152" w:type="dxa"/>
            <w:vAlign w:val="center"/>
          </w:tcPr>
          <w:p>
            <w:pPr>
              <w:spacing w:line="300" w:lineRule="auto"/>
              <w:jc w:val="center"/>
              <w:rPr>
                <w:rFonts w:ascii="宋体" w:hAnsi="宋体"/>
                <w:szCs w:val="21"/>
              </w:rPr>
            </w:pPr>
            <w:r>
              <w:rPr>
                <w:rFonts w:ascii="宋体" w:hAnsi="宋体"/>
                <w:szCs w:val="21"/>
              </w:rPr>
              <w:t>…</w:t>
            </w:r>
          </w:p>
        </w:tc>
        <w:tc>
          <w:tcPr>
            <w:tcW w:w="1175" w:type="dxa"/>
            <w:vAlign w:val="center"/>
          </w:tcPr>
          <w:p>
            <w:pPr>
              <w:spacing w:line="300" w:lineRule="auto"/>
              <w:jc w:val="center"/>
              <w:rPr>
                <w:rFonts w:ascii="宋体" w:hAnsi="宋体"/>
                <w:szCs w:val="21"/>
              </w:rPr>
            </w:pPr>
            <w:r>
              <w:rPr>
                <w:rFonts w:ascii="宋体" w:hAnsi="宋体"/>
                <w:szCs w:val="21"/>
              </w:rPr>
              <w:t>…</w:t>
            </w:r>
          </w:p>
        </w:tc>
        <w:tc>
          <w:tcPr>
            <w:tcW w:w="1265" w:type="dxa"/>
            <w:gridSpan w:val="2"/>
            <w:vAlign w:val="center"/>
          </w:tcPr>
          <w:p>
            <w:pPr>
              <w:spacing w:line="300" w:lineRule="auto"/>
              <w:jc w:val="center"/>
              <w:rPr>
                <w:rFonts w:ascii="宋体" w:hAnsi="宋体"/>
                <w:szCs w:val="21"/>
              </w:rPr>
            </w:pPr>
            <w:r>
              <w:rPr>
                <w:rFonts w:ascii="宋体" w:hAnsi="宋体"/>
                <w:szCs w:val="21"/>
              </w:rPr>
              <w:t>…</w:t>
            </w:r>
          </w:p>
        </w:tc>
        <w:tc>
          <w:tcPr>
            <w:tcW w:w="1378" w:type="dxa"/>
            <w:vAlign w:val="center"/>
          </w:tcPr>
          <w:p>
            <w:pPr>
              <w:spacing w:line="300" w:lineRule="auto"/>
              <w:jc w:val="center"/>
              <w:rPr>
                <w:rFonts w:ascii="宋体" w:hAnsi="宋体"/>
                <w:szCs w:val="21"/>
              </w:rPr>
            </w:pPr>
            <w:r>
              <w:rPr>
                <w:rFonts w:ascii="宋体" w:hAnsi="宋体"/>
                <w:szCs w:val="21"/>
              </w:rPr>
              <w:t>…</w:t>
            </w:r>
          </w:p>
        </w:tc>
      </w:tr>
    </w:tbl>
    <w:p>
      <w:pPr>
        <w:spacing w:line="300" w:lineRule="auto"/>
        <w:rPr>
          <w:rFonts w:ascii="宋体" w:hAnsi="宋体"/>
          <w:b/>
          <w:color w:val="000000"/>
          <w:szCs w:val="21"/>
        </w:rPr>
      </w:pPr>
      <w:r>
        <w:rPr>
          <w:rFonts w:hint="eastAsia" w:ascii="宋体" w:hAnsi="宋体"/>
          <w:b/>
          <w:color w:val="000000"/>
          <w:szCs w:val="21"/>
        </w:rPr>
        <w:t>注：1.在合同执行期间，中标供应商派出项目负责人和专业专职的主要技术及服务人员，应在上表中列明；</w:t>
      </w:r>
    </w:p>
    <w:p>
      <w:pPr>
        <w:spacing w:line="300" w:lineRule="auto"/>
        <w:rPr>
          <w:rFonts w:ascii="宋体" w:hAnsi="宋体"/>
          <w:bCs/>
          <w:color w:val="000000"/>
          <w:szCs w:val="21"/>
        </w:rPr>
      </w:pPr>
      <w:r>
        <w:rPr>
          <w:rFonts w:hint="eastAsia" w:ascii="宋体" w:hAnsi="宋体"/>
          <w:b/>
          <w:color w:val="000000"/>
          <w:szCs w:val="21"/>
        </w:rPr>
        <w:t>2.如评审细则有要求，按评审细则提供相关证明材料作为附件；</w:t>
      </w:r>
    </w:p>
    <w:p>
      <w:pPr>
        <w:spacing w:line="360" w:lineRule="auto"/>
        <w:ind w:firstLine="6930" w:firstLineChars="3300"/>
        <w:rPr>
          <w:rFonts w:ascii="宋体" w:hAnsi="宋体"/>
          <w:bCs/>
          <w:szCs w:val="21"/>
        </w:rPr>
      </w:pPr>
      <w:r>
        <w:rPr>
          <w:rFonts w:hint="eastAsia" w:ascii="宋体" w:hAnsi="宋体"/>
          <w:bCs/>
          <w:szCs w:val="21"/>
        </w:rPr>
        <w:t>（投标人加盖公章）</w:t>
      </w:r>
    </w:p>
    <w:p>
      <w:pPr>
        <w:spacing w:line="300" w:lineRule="auto"/>
        <w:ind w:firstLine="6510" w:firstLineChars="3100"/>
        <w:rPr>
          <w:rFonts w:ascii="宋体" w:hAnsi="宋体"/>
          <w:bCs/>
          <w:sz w:val="24"/>
        </w:rPr>
      </w:pPr>
      <w:r>
        <w:rPr>
          <w:rFonts w:hint="eastAsia" w:ascii="宋体" w:hAnsi="宋体"/>
          <w:bCs/>
          <w:szCs w:val="21"/>
        </w:rPr>
        <w:t>日    期：     年   月   日</w:t>
      </w:r>
    </w:p>
    <w:bookmarkEnd w:id="328"/>
    <w:bookmarkEnd w:id="329"/>
    <w:bookmarkEnd w:id="330"/>
    <w:bookmarkEnd w:id="331"/>
    <w:p>
      <w:pPr>
        <w:pStyle w:val="5"/>
        <w:rPr>
          <w:rFonts w:ascii="黑体"/>
        </w:rPr>
      </w:pPr>
      <w:bookmarkStart w:id="340" w:name="_Toc334797777"/>
      <w:bookmarkStart w:id="341" w:name="_Toc2198"/>
      <w:bookmarkStart w:id="342" w:name="_Toc13542"/>
      <w:bookmarkStart w:id="343" w:name="_Toc11599"/>
      <w:r>
        <w:rPr>
          <w:rFonts w:hint="eastAsia" w:ascii="黑体"/>
        </w:rPr>
        <w:t>格式1</w:t>
      </w:r>
      <w:r>
        <w:rPr>
          <w:rFonts w:ascii="黑体"/>
        </w:rPr>
        <w:t>1</w:t>
      </w:r>
      <w:r>
        <w:rPr>
          <w:rFonts w:hint="eastAsia" w:ascii="黑体"/>
        </w:rPr>
        <w:t xml:space="preserve">                合同条款响应表</w:t>
      </w:r>
      <w:bookmarkEnd w:id="332"/>
      <w:bookmarkEnd w:id="333"/>
      <w:bookmarkEnd w:id="334"/>
      <w:bookmarkEnd w:id="335"/>
      <w:bookmarkEnd w:id="336"/>
      <w:bookmarkEnd w:id="337"/>
      <w:bookmarkEnd w:id="338"/>
      <w:bookmarkEnd w:id="339"/>
      <w:bookmarkEnd w:id="340"/>
      <w:bookmarkEnd w:id="341"/>
      <w:bookmarkEnd w:id="342"/>
      <w:bookmarkEnd w:id="343"/>
      <w:r>
        <w:rPr>
          <w:rFonts w:hint="eastAsia" w:ascii="黑体"/>
        </w:rPr>
        <w:t xml:space="preserve">  </w:t>
      </w:r>
    </w:p>
    <w:p>
      <w:pPr>
        <w:rPr>
          <w:rFonts w:ascii="宋体"/>
          <w:szCs w:val="21"/>
        </w:rPr>
      </w:pPr>
      <w:r>
        <w:rPr>
          <w:rFonts w:hint="eastAsia" w:ascii="宋体"/>
          <w:szCs w:val="21"/>
        </w:rPr>
        <w:t>项目名称</w:t>
      </w:r>
      <w:r>
        <w:rPr>
          <w:rFonts w:hint="eastAsia" w:ascii="宋体"/>
          <w:kern w:val="28"/>
          <w:szCs w:val="21"/>
        </w:rPr>
        <w:t xml:space="preserve">：                                                </w:t>
      </w:r>
      <w:r>
        <w:rPr>
          <w:rFonts w:ascii="宋体"/>
          <w:szCs w:val="21"/>
        </w:rPr>
        <w:t>项目编号：</w:t>
      </w:r>
    </w:p>
    <w:tbl>
      <w:tblPr>
        <w:tblStyle w:val="39"/>
        <w:tblW w:w="95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3763"/>
        <w:gridCol w:w="2392"/>
        <w:gridCol w:w="2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018" w:type="dxa"/>
            <w:vMerge w:val="restart"/>
            <w:vAlign w:val="center"/>
          </w:tcPr>
          <w:p>
            <w:pPr>
              <w:pStyle w:val="24"/>
              <w:spacing w:line="240" w:lineRule="auto"/>
              <w:ind w:firstLine="0"/>
              <w:jc w:val="center"/>
              <w:rPr>
                <w:rFonts w:hAnsi="宋体"/>
                <w:sz w:val="21"/>
                <w:szCs w:val="21"/>
              </w:rPr>
            </w:pPr>
            <w:r>
              <w:rPr>
                <w:rFonts w:hint="eastAsia" w:hAnsi="宋体"/>
                <w:color w:val="000000"/>
                <w:sz w:val="21"/>
                <w:szCs w:val="21"/>
              </w:rPr>
              <w:t>序号</w:t>
            </w:r>
          </w:p>
        </w:tc>
        <w:tc>
          <w:tcPr>
            <w:tcW w:w="3763" w:type="dxa"/>
          </w:tcPr>
          <w:p>
            <w:pPr>
              <w:pStyle w:val="24"/>
              <w:spacing w:line="240" w:lineRule="auto"/>
              <w:ind w:firstLine="0"/>
              <w:jc w:val="center"/>
              <w:rPr>
                <w:rFonts w:hAnsi="宋体"/>
                <w:color w:val="000000"/>
                <w:sz w:val="21"/>
                <w:szCs w:val="21"/>
              </w:rPr>
            </w:pPr>
            <w:r>
              <w:rPr>
                <w:rFonts w:hint="eastAsia" w:hAnsi="宋体"/>
                <w:color w:val="000000"/>
                <w:sz w:val="21"/>
                <w:szCs w:val="21"/>
              </w:rPr>
              <w:t>招标文件合同要求</w:t>
            </w:r>
          </w:p>
        </w:tc>
        <w:tc>
          <w:tcPr>
            <w:tcW w:w="4784" w:type="dxa"/>
            <w:gridSpan w:val="2"/>
          </w:tcPr>
          <w:p>
            <w:pPr>
              <w:pStyle w:val="24"/>
              <w:spacing w:line="240" w:lineRule="auto"/>
              <w:ind w:firstLine="0"/>
              <w:jc w:val="center"/>
              <w:rPr>
                <w:rFonts w:hAnsi="宋体"/>
                <w:color w:val="000000"/>
                <w:sz w:val="21"/>
                <w:szCs w:val="21"/>
              </w:rPr>
            </w:pPr>
            <w:r>
              <w:rPr>
                <w:rFonts w:hint="eastAsia" w:hAnsi="宋体"/>
                <w:color w:val="000000"/>
                <w:sz w:val="21"/>
                <w:szCs w:val="21"/>
              </w:rPr>
              <w:t>投标文件内容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1018" w:type="dxa"/>
            <w:vMerge w:val="continue"/>
          </w:tcPr>
          <w:p>
            <w:pPr>
              <w:pStyle w:val="24"/>
              <w:spacing w:line="240" w:lineRule="auto"/>
              <w:ind w:firstLine="0"/>
              <w:rPr>
                <w:rFonts w:hAnsi="宋体"/>
                <w:sz w:val="21"/>
                <w:szCs w:val="21"/>
              </w:rPr>
            </w:pPr>
          </w:p>
        </w:tc>
        <w:tc>
          <w:tcPr>
            <w:tcW w:w="3763" w:type="dxa"/>
            <w:vAlign w:val="center"/>
          </w:tcPr>
          <w:p>
            <w:pPr>
              <w:pStyle w:val="24"/>
              <w:spacing w:line="240" w:lineRule="auto"/>
              <w:ind w:firstLine="0"/>
              <w:jc w:val="center"/>
              <w:rPr>
                <w:rFonts w:hAnsi="宋体"/>
                <w:color w:val="000000"/>
                <w:sz w:val="21"/>
                <w:szCs w:val="21"/>
              </w:rPr>
            </w:pPr>
            <w:r>
              <w:rPr>
                <w:rFonts w:hint="eastAsia" w:hAnsi="宋体"/>
                <w:color w:val="000000"/>
                <w:sz w:val="21"/>
                <w:szCs w:val="21"/>
              </w:rPr>
              <w:t>简要内容</w:t>
            </w:r>
          </w:p>
        </w:tc>
        <w:tc>
          <w:tcPr>
            <w:tcW w:w="2392" w:type="dxa"/>
          </w:tcPr>
          <w:p>
            <w:pPr>
              <w:pStyle w:val="24"/>
              <w:spacing w:line="240" w:lineRule="auto"/>
              <w:ind w:firstLine="0"/>
              <w:jc w:val="center"/>
              <w:rPr>
                <w:rFonts w:hAnsi="宋体"/>
                <w:color w:val="000000"/>
                <w:sz w:val="21"/>
                <w:szCs w:val="21"/>
              </w:rPr>
            </w:pPr>
            <w:r>
              <w:rPr>
                <w:rFonts w:hint="eastAsia" w:hAnsi="宋体"/>
                <w:color w:val="000000"/>
                <w:sz w:val="21"/>
                <w:szCs w:val="21"/>
              </w:rPr>
              <w:t>是否响应</w:t>
            </w:r>
          </w:p>
        </w:tc>
        <w:tc>
          <w:tcPr>
            <w:tcW w:w="2392" w:type="dxa"/>
          </w:tcPr>
          <w:p>
            <w:pPr>
              <w:pStyle w:val="24"/>
              <w:spacing w:line="240" w:lineRule="auto"/>
              <w:ind w:firstLine="420" w:firstLineChars="200"/>
              <w:jc w:val="center"/>
              <w:rPr>
                <w:rFonts w:hAnsi="宋体"/>
                <w:color w:val="000000"/>
                <w:sz w:val="21"/>
                <w:szCs w:val="21"/>
              </w:rPr>
            </w:pPr>
            <w:r>
              <w:rPr>
                <w:rFonts w:hint="eastAsia" w:hAnsi="宋体"/>
                <w:color w:val="000000"/>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vAlign w:val="center"/>
          </w:tcPr>
          <w:p>
            <w:pPr>
              <w:pStyle w:val="24"/>
              <w:spacing w:line="240" w:lineRule="auto"/>
              <w:ind w:firstLine="0"/>
              <w:jc w:val="center"/>
              <w:rPr>
                <w:rFonts w:hAnsi="宋体"/>
                <w:sz w:val="21"/>
                <w:szCs w:val="21"/>
              </w:rPr>
            </w:pPr>
            <w:r>
              <w:rPr>
                <w:rFonts w:hint="eastAsia" w:hAnsi="宋体"/>
                <w:sz w:val="21"/>
                <w:szCs w:val="21"/>
              </w:rPr>
              <w:t>1</w:t>
            </w:r>
          </w:p>
        </w:tc>
        <w:tc>
          <w:tcPr>
            <w:tcW w:w="3763" w:type="dxa"/>
            <w:vAlign w:val="center"/>
          </w:tcPr>
          <w:p>
            <w:pPr>
              <w:pStyle w:val="24"/>
              <w:spacing w:line="240" w:lineRule="auto"/>
              <w:ind w:firstLine="0"/>
              <w:rPr>
                <w:rFonts w:hAnsi="宋体"/>
                <w:sz w:val="21"/>
                <w:szCs w:val="21"/>
              </w:rPr>
            </w:pPr>
          </w:p>
        </w:tc>
        <w:tc>
          <w:tcPr>
            <w:tcW w:w="2392" w:type="dxa"/>
          </w:tcPr>
          <w:p>
            <w:pPr>
              <w:pStyle w:val="24"/>
              <w:spacing w:line="240" w:lineRule="auto"/>
              <w:ind w:firstLine="0"/>
              <w:rPr>
                <w:rFonts w:hAnsi="宋体"/>
                <w:sz w:val="21"/>
                <w:szCs w:val="21"/>
              </w:rPr>
            </w:pPr>
          </w:p>
        </w:tc>
        <w:tc>
          <w:tcPr>
            <w:tcW w:w="2392" w:type="dxa"/>
          </w:tcPr>
          <w:p>
            <w:pPr>
              <w:pStyle w:val="24"/>
              <w:spacing w:line="240" w:lineRule="auto"/>
              <w:ind w:firstLine="0"/>
              <w:rPr>
                <w:rFonts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vAlign w:val="center"/>
          </w:tcPr>
          <w:p>
            <w:pPr>
              <w:pStyle w:val="24"/>
              <w:spacing w:line="240" w:lineRule="auto"/>
              <w:ind w:firstLine="0"/>
              <w:jc w:val="center"/>
              <w:rPr>
                <w:rFonts w:hAnsi="宋体"/>
                <w:sz w:val="21"/>
                <w:szCs w:val="21"/>
              </w:rPr>
            </w:pPr>
            <w:r>
              <w:rPr>
                <w:rFonts w:hint="eastAsia" w:hAnsi="宋体"/>
                <w:sz w:val="21"/>
                <w:szCs w:val="21"/>
              </w:rPr>
              <w:t>2</w:t>
            </w:r>
          </w:p>
        </w:tc>
        <w:tc>
          <w:tcPr>
            <w:tcW w:w="3763" w:type="dxa"/>
            <w:vAlign w:val="center"/>
          </w:tcPr>
          <w:p>
            <w:pPr>
              <w:pStyle w:val="24"/>
              <w:spacing w:line="240" w:lineRule="auto"/>
              <w:ind w:firstLine="0"/>
              <w:rPr>
                <w:rFonts w:hAnsi="宋体"/>
                <w:sz w:val="21"/>
                <w:szCs w:val="21"/>
              </w:rPr>
            </w:pPr>
          </w:p>
        </w:tc>
        <w:tc>
          <w:tcPr>
            <w:tcW w:w="2392" w:type="dxa"/>
          </w:tcPr>
          <w:p>
            <w:pPr>
              <w:pStyle w:val="24"/>
              <w:spacing w:line="240" w:lineRule="auto"/>
              <w:ind w:firstLine="0"/>
              <w:rPr>
                <w:rFonts w:hAnsi="宋体"/>
                <w:sz w:val="21"/>
                <w:szCs w:val="21"/>
              </w:rPr>
            </w:pPr>
          </w:p>
        </w:tc>
        <w:tc>
          <w:tcPr>
            <w:tcW w:w="2392" w:type="dxa"/>
          </w:tcPr>
          <w:p>
            <w:pPr>
              <w:pStyle w:val="24"/>
              <w:spacing w:line="240" w:lineRule="auto"/>
              <w:ind w:firstLine="0"/>
              <w:rPr>
                <w:rFonts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vAlign w:val="center"/>
          </w:tcPr>
          <w:p>
            <w:pPr>
              <w:pStyle w:val="24"/>
              <w:spacing w:line="240" w:lineRule="auto"/>
              <w:ind w:firstLine="0"/>
              <w:jc w:val="center"/>
              <w:rPr>
                <w:rFonts w:hAnsi="宋体"/>
                <w:sz w:val="21"/>
                <w:szCs w:val="21"/>
              </w:rPr>
            </w:pPr>
            <w:r>
              <w:rPr>
                <w:rFonts w:hAnsi="宋体"/>
                <w:sz w:val="21"/>
                <w:szCs w:val="21"/>
              </w:rPr>
              <w:t>……</w:t>
            </w:r>
          </w:p>
        </w:tc>
        <w:tc>
          <w:tcPr>
            <w:tcW w:w="3763" w:type="dxa"/>
            <w:vAlign w:val="center"/>
          </w:tcPr>
          <w:p>
            <w:pPr>
              <w:pStyle w:val="24"/>
              <w:spacing w:line="240" w:lineRule="auto"/>
              <w:ind w:firstLine="0"/>
              <w:rPr>
                <w:rFonts w:hAnsi="宋体"/>
                <w:sz w:val="21"/>
                <w:szCs w:val="21"/>
              </w:rPr>
            </w:pPr>
          </w:p>
        </w:tc>
        <w:tc>
          <w:tcPr>
            <w:tcW w:w="2392" w:type="dxa"/>
          </w:tcPr>
          <w:p>
            <w:pPr>
              <w:pStyle w:val="24"/>
              <w:spacing w:line="240" w:lineRule="auto"/>
              <w:ind w:firstLine="0"/>
              <w:rPr>
                <w:rFonts w:hAnsi="宋体"/>
                <w:sz w:val="21"/>
                <w:szCs w:val="21"/>
              </w:rPr>
            </w:pPr>
          </w:p>
        </w:tc>
        <w:tc>
          <w:tcPr>
            <w:tcW w:w="2392" w:type="dxa"/>
          </w:tcPr>
          <w:p>
            <w:pPr>
              <w:pStyle w:val="24"/>
              <w:spacing w:line="240" w:lineRule="auto"/>
              <w:ind w:firstLine="0"/>
              <w:rPr>
                <w:rFonts w:hAnsi="宋体"/>
                <w:sz w:val="21"/>
                <w:szCs w:val="21"/>
              </w:rPr>
            </w:pPr>
          </w:p>
        </w:tc>
      </w:tr>
    </w:tbl>
    <w:p>
      <w:pPr>
        <w:spacing w:line="360" w:lineRule="auto"/>
        <w:ind w:left="719" w:hanging="719" w:hangingChars="341"/>
        <w:rPr>
          <w:rFonts w:ascii="宋体" w:hAnsi="宋体"/>
          <w:b/>
          <w:szCs w:val="21"/>
        </w:rPr>
      </w:pPr>
      <w:r>
        <w:rPr>
          <w:rFonts w:hint="eastAsia" w:ascii="宋体" w:hAnsi="宋体"/>
          <w:b/>
          <w:szCs w:val="21"/>
        </w:rPr>
        <w:t>注： 1.投标人应对照招标文件第三章合同条款所列内容逐条对应填写，完全满足的在“是否响应”栏中填“响应”；有差异的则在“差异说明”栏中列出差异的具体内容。</w:t>
      </w:r>
    </w:p>
    <w:p>
      <w:pPr>
        <w:pStyle w:val="24"/>
        <w:ind w:firstLine="517" w:firstLineChars="245"/>
        <w:rPr>
          <w:rFonts w:hAnsi="宋体"/>
          <w:b/>
          <w:sz w:val="21"/>
          <w:szCs w:val="21"/>
        </w:rPr>
      </w:pPr>
      <w:r>
        <w:rPr>
          <w:rFonts w:hint="eastAsia" w:hAnsi="宋体"/>
          <w:b/>
          <w:sz w:val="21"/>
          <w:szCs w:val="21"/>
        </w:rPr>
        <w:t>2.除“差异说明”栏所列的内容以外，其余按《合同书》格式中的条款执行。</w:t>
      </w:r>
    </w:p>
    <w:p>
      <w:pPr>
        <w:spacing w:line="360" w:lineRule="auto"/>
        <w:ind w:firstLine="6930" w:firstLineChars="3300"/>
        <w:rPr>
          <w:rFonts w:ascii="宋体" w:hAnsi="宋体"/>
          <w:bCs/>
          <w:szCs w:val="21"/>
        </w:rPr>
      </w:pPr>
      <w:r>
        <w:rPr>
          <w:rFonts w:hint="eastAsia" w:ascii="宋体" w:hAnsi="宋体"/>
          <w:bCs/>
          <w:szCs w:val="21"/>
        </w:rPr>
        <w:t>（投标人加盖公章）</w:t>
      </w:r>
    </w:p>
    <w:p>
      <w:pPr>
        <w:spacing w:line="360" w:lineRule="auto"/>
        <w:ind w:firstLine="6300" w:firstLineChars="3000"/>
        <w:rPr>
          <w:rFonts w:ascii="宋体" w:hAnsi="宋体"/>
          <w:bCs/>
          <w:color w:val="000000"/>
          <w:szCs w:val="21"/>
        </w:rPr>
      </w:pPr>
      <w:r>
        <w:rPr>
          <w:rFonts w:hint="eastAsia" w:ascii="宋体" w:hAnsi="宋体"/>
          <w:bCs/>
          <w:szCs w:val="21"/>
        </w:rPr>
        <w:t>日    期：     年   月   日</w:t>
      </w:r>
    </w:p>
    <w:p>
      <w:bookmarkStart w:id="344" w:name="_Toc334797778"/>
      <w:bookmarkStart w:id="345" w:name="_Toc14657"/>
      <w:bookmarkStart w:id="346" w:name="_Toc4450"/>
      <w:bookmarkStart w:id="347" w:name="_Toc996"/>
    </w:p>
    <w:p>
      <w:pPr>
        <w:pStyle w:val="5"/>
        <w:spacing w:line="240" w:lineRule="auto"/>
        <w:rPr>
          <w:b w:val="0"/>
          <w:bCs w:val="0"/>
        </w:rPr>
      </w:pPr>
      <w:r>
        <w:rPr>
          <w:rFonts w:hint="eastAsia" w:ascii="黑体"/>
        </w:rPr>
        <w:t>格式1</w:t>
      </w:r>
      <w:r>
        <w:rPr>
          <w:rFonts w:ascii="黑体"/>
        </w:rPr>
        <w:t>2</w:t>
      </w:r>
      <w:r>
        <w:rPr>
          <w:rFonts w:hint="eastAsia" w:ascii="黑体"/>
        </w:rPr>
        <w:t xml:space="preserve">  </w:t>
      </w:r>
      <w:r>
        <w:rPr>
          <w:rFonts w:hint="eastAsia"/>
        </w:rPr>
        <w:t xml:space="preserve">           缴交招标服务费承诺书</w:t>
      </w:r>
      <w:bookmarkEnd w:id="344"/>
      <w:bookmarkEnd w:id="345"/>
      <w:bookmarkEnd w:id="346"/>
      <w:bookmarkEnd w:id="347"/>
      <w:r>
        <w:rPr>
          <w:rFonts w:hint="eastAsia"/>
        </w:rPr>
        <w:t xml:space="preserve"> </w:t>
      </w:r>
    </w:p>
    <w:p>
      <w:pPr>
        <w:rPr>
          <w:rFonts w:ascii="宋体" w:hAnsi="宋体"/>
          <w:b/>
          <w:sz w:val="24"/>
        </w:rPr>
      </w:pPr>
      <w:r>
        <w:rPr>
          <w:rFonts w:hint="eastAsia" w:ascii="宋体" w:hAnsi="宋体"/>
          <w:sz w:val="24"/>
        </w:rPr>
        <w:t>致：</w:t>
      </w:r>
      <w:r>
        <w:rPr>
          <w:rFonts w:hint="eastAsia" w:ascii="宋体" w:hAnsi="宋体"/>
          <w:b/>
          <w:sz w:val="24"/>
        </w:rPr>
        <w:t>广州群生招标代理有限公司</w:t>
      </w:r>
    </w:p>
    <w:p>
      <w:pPr>
        <w:spacing w:before="240" w:line="360" w:lineRule="auto"/>
        <w:ind w:firstLine="540"/>
        <w:rPr>
          <w:rFonts w:ascii="宋体" w:hAnsi="宋体"/>
          <w:szCs w:val="21"/>
        </w:rPr>
      </w:pPr>
      <w:r>
        <w:rPr>
          <w:rFonts w:hint="eastAsia" w:ascii="宋体" w:hAnsi="宋体"/>
          <w:szCs w:val="21"/>
        </w:rPr>
        <w:t>如果我方在贵公司组织的</w:t>
      </w:r>
      <w:r>
        <w:rPr>
          <w:rFonts w:hint="eastAsia" w:ascii="宋体" w:hAnsi="宋体"/>
          <w:i/>
          <w:szCs w:val="21"/>
          <w:u w:val="single"/>
        </w:rPr>
        <w:t>（项目名称）</w:t>
      </w:r>
      <w:r>
        <w:rPr>
          <w:rFonts w:hint="eastAsia" w:ascii="宋体" w:hAnsi="宋体"/>
          <w:szCs w:val="21"/>
        </w:rPr>
        <w:t>（项目编号：</w:t>
      </w:r>
      <w:r>
        <w:rPr>
          <w:rFonts w:hint="eastAsia" w:ascii="宋体" w:hAnsi="宋体"/>
          <w:szCs w:val="21"/>
          <w:u w:val="single"/>
        </w:rPr>
        <w:t xml:space="preserve">             </w:t>
      </w:r>
      <w:r>
        <w:rPr>
          <w:rFonts w:hint="eastAsia" w:ascii="宋体" w:hAnsi="宋体"/>
          <w:szCs w:val="21"/>
        </w:rPr>
        <w:t>）的货物及服务招标中获中标，我方保证在收到《中标通知书》之前向贵公司缴纳中标服务费（按国家计委（计价格[2002]1980号）文件规定执行）。</w:t>
      </w:r>
    </w:p>
    <w:p>
      <w:pPr>
        <w:spacing w:before="240" w:line="360" w:lineRule="auto"/>
        <w:ind w:firstLine="539"/>
        <w:rPr>
          <w:rFonts w:ascii="宋体" w:hAnsi="宋体"/>
          <w:szCs w:val="21"/>
        </w:rPr>
      </w:pPr>
      <w:r>
        <w:rPr>
          <w:rFonts w:hint="eastAsia" w:ascii="宋体" w:hAnsi="宋体"/>
          <w:szCs w:val="21"/>
        </w:rPr>
        <w:t>自中标公告发出之日起5个工作日内仍未能足额缴纳的，我司承诺按上述规定的200％赔付贵方；15个工作日仍未支付上述全部费用的，贵方有权公布我司未履行承诺状况并上报相关主管部门列入未诚信履约名单。</w:t>
      </w:r>
    </w:p>
    <w:p>
      <w:pPr>
        <w:spacing w:line="360" w:lineRule="auto"/>
        <w:ind w:firstLine="540"/>
        <w:rPr>
          <w:rFonts w:ascii="宋体" w:hAnsi="宋体"/>
          <w:szCs w:val="21"/>
        </w:rPr>
      </w:pPr>
      <w:r>
        <w:rPr>
          <w:rFonts w:hint="eastAsia" w:ascii="宋体" w:hAnsi="宋体"/>
          <w:szCs w:val="21"/>
        </w:rPr>
        <w:t>特此承诺！</w:t>
      </w:r>
    </w:p>
    <w:p>
      <w:pPr>
        <w:spacing w:line="360" w:lineRule="auto"/>
        <w:ind w:firstLine="6930" w:firstLineChars="3300"/>
        <w:rPr>
          <w:rFonts w:ascii="宋体" w:hAnsi="宋体"/>
          <w:bCs/>
          <w:szCs w:val="21"/>
        </w:rPr>
      </w:pPr>
      <w:r>
        <w:rPr>
          <w:rFonts w:hint="eastAsia" w:ascii="宋体" w:hAnsi="宋体"/>
          <w:bCs/>
          <w:szCs w:val="21"/>
        </w:rPr>
        <w:t>（投标人加盖公章）</w:t>
      </w:r>
    </w:p>
    <w:p>
      <w:pPr>
        <w:spacing w:line="360" w:lineRule="auto"/>
        <w:ind w:firstLine="6300" w:firstLineChars="3000"/>
        <w:rPr>
          <w:rFonts w:ascii="宋体" w:hAnsi="宋体"/>
          <w:bCs/>
          <w:color w:val="000000"/>
          <w:szCs w:val="21"/>
        </w:rPr>
      </w:pPr>
      <w:r>
        <w:rPr>
          <w:rFonts w:hint="eastAsia" w:ascii="宋体" w:hAnsi="宋体"/>
          <w:bCs/>
          <w:szCs w:val="21"/>
        </w:rPr>
        <w:t>日    期：     年   月   日</w:t>
      </w:r>
    </w:p>
    <w:p>
      <w:pPr>
        <w:pStyle w:val="5"/>
        <w:spacing w:before="60" w:after="60"/>
        <w:rPr>
          <w:rFonts w:ascii="黑体"/>
        </w:rPr>
      </w:pPr>
      <w:bookmarkStart w:id="348" w:name="_Toc30376"/>
      <w:bookmarkStart w:id="349" w:name="_Toc6119"/>
      <w:bookmarkStart w:id="350" w:name="_Toc12425"/>
      <w:r>
        <w:rPr>
          <w:rFonts w:hint="eastAsia" w:ascii="黑体"/>
        </w:rPr>
        <w:t>格式1</w:t>
      </w:r>
      <w:r>
        <w:rPr>
          <w:rFonts w:ascii="黑体"/>
        </w:rPr>
        <w:t>3</w:t>
      </w:r>
      <w:r>
        <w:rPr>
          <w:rFonts w:hint="eastAsia" w:ascii="黑体"/>
        </w:rPr>
        <w:t xml:space="preserve">                技术评审索引表</w:t>
      </w:r>
      <w:bookmarkEnd w:id="348"/>
      <w:bookmarkEnd w:id="349"/>
      <w:bookmarkEnd w:id="350"/>
    </w:p>
    <w:tbl>
      <w:tblPr>
        <w:tblStyle w:val="39"/>
        <w:tblW w:w="95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4175"/>
        <w:gridCol w:w="2572"/>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725" w:type="dxa"/>
            <w:vAlign w:val="center"/>
          </w:tcPr>
          <w:p>
            <w:pPr>
              <w:spacing w:line="360" w:lineRule="auto"/>
              <w:jc w:val="center"/>
              <w:rPr>
                <w:rFonts w:ascii="宋体" w:hAnsi="宋体"/>
                <w:szCs w:val="21"/>
              </w:rPr>
            </w:pPr>
            <w:r>
              <w:rPr>
                <w:rFonts w:hint="eastAsia" w:ascii="宋体" w:hAnsi="宋体"/>
                <w:szCs w:val="21"/>
              </w:rPr>
              <w:t>序号</w:t>
            </w:r>
          </w:p>
        </w:tc>
        <w:tc>
          <w:tcPr>
            <w:tcW w:w="4175" w:type="dxa"/>
            <w:vAlign w:val="center"/>
          </w:tcPr>
          <w:p>
            <w:pPr>
              <w:spacing w:line="360" w:lineRule="auto"/>
              <w:jc w:val="center"/>
              <w:rPr>
                <w:rFonts w:ascii="宋体" w:hAnsi="宋体"/>
                <w:szCs w:val="21"/>
              </w:rPr>
            </w:pPr>
            <w:r>
              <w:rPr>
                <w:rFonts w:hint="eastAsia" w:ascii="宋体" w:hAnsi="宋体"/>
                <w:szCs w:val="21"/>
              </w:rPr>
              <w:t>评审内容</w:t>
            </w:r>
          </w:p>
          <w:p>
            <w:pPr>
              <w:spacing w:line="360" w:lineRule="auto"/>
              <w:jc w:val="center"/>
              <w:rPr>
                <w:rFonts w:ascii="宋体" w:hAnsi="宋体"/>
                <w:szCs w:val="21"/>
              </w:rPr>
            </w:pPr>
            <w:r>
              <w:rPr>
                <w:rFonts w:hint="eastAsia" w:ascii="宋体" w:hAnsi="宋体"/>
                <w:szCs w:val="21"/>
              </w:rPr>
              <w:t>（注：此部分可直接引用招标文件第四章评标办法中《技术评审表》相应内容）</w:t>
            </w:r>
          </w:p>
        </w:tc>
        <w:tc>
          <w:tcPr>
            <w:tcW w:w="2572" w:type="dxa"/>
            <w:vAlign w:val="center"/>
          </w:tcPr>
          <w:p>
            <w:pPr>
              <w:spacing w:line="360" w:lineRule="auto"/>
              <w:jc w:val="center"/>
              <w:rPr>
                <w:rFonts w:ascii="宋体" w:hAnsi="宋体"/>
                <w:szCs w:val="21"/>
              </w:rPr>
            </w:pPr>
            <w:r>
              <w:rPr>
                <w:rFonts w:hint="eastAsia" w:ascii="宋体" w:hAnsi="宋体"/>
                <w:szCs w:val="21"/>
              </w:rPr>
              <w:t>投标响应情况</w:t>
            </w:r>
          </w:p>
        </w:tc>
        <w:tc>
          <w:tcPr>
            <w:tcW w:w="2093" w:type="dxa"/>
            <w:vAlign w:val="center"/>
          </w:tcPr>
          <w:p>
            <w:pPr>
              <w:spacing w:line="360" w:lineRule="auto"/>
              <w:jc w:val="center"/>
              <w:rPr>
                <w:rFonts w:ascii="宋体" w:hAnsi="宋体"/>
                <w:szCs w:val="21"/>
              </w:rPr>
            </w:pPr>
            <w:r>
              <w:rPr>
                <w:rFonts w:hint="eastAsia" w:ascii="宋体" w:hAnsi="宋体"/>
                <w:szCs w:val="21"/>
              </w:rPr>
              <w:t>投标文件响应内容对应页码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725" w:type="dxa"/>
            <w:vAlign w:val="center"/>
          </w:tcPr>
          <w:p>
            <w:pPr>
              <w:spacing w:line="360" w:lineRule="auto"/>
              <w:jc w:val="center"/>
              <w:rPr>
                <w:rFonts w:ascii="宋体" w:hAnsi="宋体"/>
                <w:szCs w:val="21"/>
              </w:rPr>
            </w:pPr>
            <w:r>
              <w:rPr>
                <w:rFonts w:hint="eastAsia" w:ascii="宋体" w:hAnsi="宋体"/>
                <w:szCs w:val="21"/>
              </w:rPr>
              <w:t>1</w:t>
            </w:r>
          </w:p>
        </w:tc>
        <w:tc>
          <w:tcPr>
            <w:tcW w:w="4175" w:type="dxa"/>
            <w:vAlign w:val="center"/>
          </w:tcPr>
          <w:p>
            <w:pPr>
              <w:spacing w:line="360" w:lineRule="auto"/>
              <w:jc w:val="center"/>
              <w:rPr>
                <w:rFonts w:ascii="宋体" w:hAnsi="宋体"/>
                <w:szCs w:val="21"/>
              </w:rPr>
            </w:pPr>
          </w:p>
        </w:tc>
        <w:tc>
          <w:tcPr>
            <w:tcW w:w="2572" w:type="dxa"/>
            <w:vAlign w:val="center"/>
          </w:tcPr>
          <w:p>
            <w:pPr>
              <w:spacing w:line="360" w:lineRule="auto"/>
              <w:jc w:val="center"/>
              <w:rPr>
                <w:rFonts w:ascii="宋体" w:hAnsi="宋体"/>
                <w:szCs w:val="21"/>
              </w:rPr>
            </w:pPr>
          </w:p>
        </w:tc>
        <w:tc>
          <w:tcPr>
            <w:tcW w:w="2093" w:type="dxa"/>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4" w:hRule="atLeast"/>
        </w:trPr>
        <w:tc>
          <w:tcPr>
            <w:tcW w:w="725" w:type="dxa"/>
            <w:vAlign w:val="center"/>
          </w:tcPr>
          <w:p>
            <w:pPr>
              <w:spacing w:line="360" w:lineRule="auto"/>
              <w:jc w:val="center"/>
              <w:rPr>
                <w:rFonts w:ascii="宋体" w:hAnsi="宋体"/>
                <w:szCs w:val="21"/>
              </w:rPr>
            </w:pPr>
            <w:r>
              <w:rPr>
                <w:rFonts w:hint="eastAsia" w:ascii="宋体" w:hAnsi="宋体"/>
                <w:szCs w:val="21"/>
              </w:rPr>
              <w:t>2</w:t>
            </w:r>
          </w:p>
        </w:tc>
        <w:tc>
          <w:tcPr>
            <w:tcW w:w="4175" w:type="dxa"/>
            <w:vAlign w:val="center"/>
          </w:tcPr>
          <w:p>
            <w:pPr>
              <w:spacing w:line="360" w:lineRule="auto"/>
              <w:jc w:val="center"/>
              <w:rPr>
                <w:rFonts w:ascii="宋体" w:hAnsi="宋体"/>
                <w:szCs w:val="21"/>
              </w:rPr>
            </w:pPr>
          </w:p>
        </w:tc>
        <w:tc>
          <w:tcPr>
            <w:tcW w:w="2572" w:type="dxa"/>
            <w:vAlign w:val="center"/>
          </w:tcPr>
          <w:p>
            <w:pPr>
              <w:spacing w:line="360" w:lineRule="auto"/>
              <w:jc w:val="center"/>
              <w:rPr>
                <w:rFonts w:ascii="宋体" w:hAnsi="宋体"/>
                <w:szCs w:val="21"/>
              </w:rPr>
            </w:pPr>
          </w:p>
        </w:tc>
        <w:tc>
          <w:tcPr>
            <w:tcW w:w="2093" w:type="dxa"/>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725" w:type="dxa"/>
            <w:vAlign w:val="center"/>
          </w:tcPr>
          <w:p>
            <w:pPr>
              <w:spacing w:line="360" w:lineRule="auto"/>
              <w:jc w:val="center"/>
              <w:rPr>
                <w:rFonts w:ascii="宋体" w:hAnsi="宋体"/>
                <w:szCs w:val="21"/>
              </w:rPr>
            </w:pPr>
            <w:r>
              <w:rPr>
                <w:rFonts w:ascii="宋体" w:hAnsi="宋体"/>
                <w:szCs w:val="21"/>
              </w:rPr>
              <w:t>…</w:t>
            </w:r>
          </w:p>
        </w:tc>
        <w:tc>
          <w:tcPr>
            <w:tcW w:w="4175" w:type="dxa"/>
            <w:vAlign w:val="center"/>
          </w:tcPr>
          <w:p>
            <w:pPr>
              <w:spacing w:line="360" w:lineRule="auto"/>
              <w:jc w:val="center"/>
              <w:rPr>
                <w:rFonts w:ascii="宋体" w:hAnsi="宋体"/>
                <w:szCs w:val="21"/>
              </w:rPr>
            </w:pPr>
          </w:p>
        </w:tc>
        <w:tc>
          <w:tcPr>
            <w:tcW w:w="2572" w:type="dxa"/>
            <w:vAlign w:val="center"/>
          </w:tcPr>
          <w:p>
            <w:pPr>
              <w:spacing w:line="360" w:lineRule="auto"/>
              <w:jc w:val="center"/>
              <w:rPr>
                <w:rFonts w:ascii="宋体" w:hAnsi="宋体"/>
                <w:szCs w:val="21"/>
              </w:rPr>
            </w:pPr>
          </w:p>
        </w:tc>
        <w:tc>
          <w:tcPr>
            <w:tcW w:w="2093" w:type="dxa"/>
            <w:vAlign w:val="center"/>
          </w:tcPr>
          <w:p>
            <w:pPr>
              <w:spacing w:line="360" w:lineRule="auto"/>
              <w:jc w:val="center"/>
              <w:rPr>
                <w:rFonts w:ascii="宋体" w:hAnsi="宋体"/>
                <w:szCs w:val="21"/>
              </w:rPr>
            </w:pPr>
          </w:p>
        </w:tc>
      </w:tr>
    </w:tbl>
    <w:p>
      <w:bookmarkStart w:id="351" w:name="_Toc8267"/>
      <w:bookmarkStart w:id="352" w:name="_Toc9622"/>
      <w:bookmarkStart w:id="353" w:name="_Toc334797781"/>
      <w:bookmarkStart w:id="354" w:name="_Toc27013"/>
    </w:p>
    <w:p>
      <w:pPr>
        <w:pStyle w:val="5"/>
        <w:rPr>
          <w:b w:val="0"/>
          <w:bCs w:val="0"/>
        </w:rPr>
      </w:pPr>
      <w:r>
        <w:rPr>
          <w:rFonts w:hint="eastAsia" w:ascii="黑体"/>
        </w:rPr>
        <w:t>格式1</w:t>
      </w:r>
      <w:r>
        <w:rPr>
          <w:rFonts w:ascii="黑体"/>
        </w:rPr>
        <w:t>4</w:t>
      </w:r>
      <w:r>
        <w:rPr>
          <w:rFonts w:hint="eastAsia" w:ascii="黑体"/>
        </w:rPr>
        <w:t xml:space="preserve">     </w:t>
      </w:r>
      <w:r>
        <w:rPr>
          <w:rFonts w:hint="eastAsia"/>
        </w:rPr>
        <w:t xml:space="preserve">          与采购人需求差异表</w:t>
      </w:r>
      <w:bookmarkEnd w:id="351"/>
      <w:bookmarkEnd w:id="352"/>
      <w:bookmarkEnd w:id="353"/>
      <w:bookmarkEnd w:id="354"/>
      <w:r>
        <w:rPr>
          <w:rFonts w:hint="eastAsia"/>
        </w:rPr>
        <w:t xml:space="preserve">  </w:t>
      </w:r>
    </w:p>
    <w:p>
      <w:pPr>
        <w:spacing w:line="360" w:lineRule="auto"/>
        <w:ind w:firstLine="422" w:firstLineChars="200"/>
        <w:rPr>
          <w:rFonts w:ascii="宋体" w:hAnsi="宋体"/>
          <w:szCs w:val="21"/>
        </w:rPr>
      </w:pPr>
      <w:r>
        <w:rPr>
          <w:rFonts w:hint="eastAsia" w:ascii="宋体" w:hAnsi="宋体"/>
          <w:b/>
          <w:szCs w:val="21"/>
        </w:rPr>
        <w:t>[说明]</w:t>
      </w:r>
      <w:r>
        <w:rPr>
          <w:rFonts w:hint="eastAsia" w:ascii="宋体" w:hAnsi="宋体"/>
          <w:szCs w:val="21"/>
        </w:rPr>
        <w:t>投标人应根据其提供的货物和服务，逐条对照招标文件“采购人需求”的内容要求填写，有差异的，不论是技术或商务上，均须在此表中列明两者的差异内容，以便查对和评审。投标人没有列出的内容或提交空表的，评标委员会可视为完全响应招标文件要求。</w:t>
      </w:r>
    </w:p>
    <w:p>
      <w:pPr>
        <w:spacing w:line="360" w:lineRule="auto"/>
        <w:rPr>
          <w:rFonts w:ascii="Arial Unicode MS" w:hAnsi="Arial Unicode MS" w:eastAsia="Arial Unicode MS" w:cs="Arial Unicode MS"/>
          <w:bCs/>
          <w:szCs w:val="21"/>
        </w:rPr>
      </w:pPr>
      <w:r>
        <w:rPr>
          <w:rFonts w:hint="eastAsia" w:ascii="宋体" w:hAnsi="宋体" w:cs="Tahoma"/>
          <w:szCs w:val="21"/>
        </w:rPr>
        <w:t>项目名称</w:t>
      </w:r>
      <w:r>
        <w:rPr>
          <w:rFonts w:hint="eastAsia" w:ascii="宋体" w:hAnsi="宋体" w:cs="Tahoma"/>
          <w:kern w:val="28"/>
          <w:szCs w:val="21"/>
        </w:rPr>
        <w:t xml:space="preserve">：                                    </w:t>
      </w:r>
      <w:r>
        <w:rPr>
          <w:rFonts w:ascii="宋体" w:hAnsi="宋体" w:cs="Tahoma"/>
          <w:szCs w:val="21"/>
        </w:rPr>
        <w:t>项目编号：</w:t>
      </w:r>
      <w:r>
        <w:rPr>
          <w:rFonts w:hint="eastAsia" w:ascii="宋体" w:hAnsi="宋体"/>
          <w:szCs w:val="21"/>
        </w:rPr>
        <w:t xml:space="preserve"> </w:t>
      </w:r>
      <w:r>
        <w:rPr>
          <w:rFonts w:hint="eastAsia" w:ascii="Arial Unicode MS" w:hAnsi="Arial Unicode MS" w:eastAsia="Arial Unicode MS" w:cs="Arial Unicode MS"/>
          <w:bCs/>
          <w:szCs w:val="21"/>
        </w:rPr>
        <w:t xml:space="preserve">                                  </w:t>
      </w:r>
      <w:r>
        <w:rPr>
          <w:rFonts w:hint="eastAsia" w:ascii="宋体" w:hAnsi="宋体"/>
          <w:bCs/>
          <w:szCs w:val="21"/>
        </w:rPr>
        <w:t xml:space="preserve">  </w:t>
      </w:r>
    </w:p>
    <w:tbl>
      <w:tblPr>
        <w:tblStyle w:val="39"/>
        <w:tblW w:w="9411" w:type="dxa"/>
        <w:tblInd w:w="0" w:type="dxa"/>
        <w:tblLayout w:type="fixed"/>
        <w:tblCellMar>
          <w:top w:w="0" w:type="dxa"/>
          <w:left w:w="30" w:type="dxa"/>
          <w:bottom w:w="0" w:type="dxa"/>
          <w:right w:w="30" w:type="dxa"/>
        </w:tblCellMar>
      </w:tblPr>
      <w:tblGrid>
        <w:gridCol w:w="1398"/>
        <w:gridCol w:w="783"/>
        <w:gridCol w:w="3758"/>
        <w:gridCol w:w="1736"/>
        <w:gridCol w:w="1736"/>
      </w:tblGrid>
      <w:tr>
        <w:tblPrEx>
          <w:tblCellMar>
            <w:top w:w="0" w:type="dxa"/>
            <w:left w:w="30" w:type="dxa"/>
            <w:bottom w:w="0" w:type="dxa"/>
            <w:right w:w="30" w:type="dxa"/>
          </w:tblCellMar>
        </w:tblPrEx>
        <w:trPr>
          <w:cantSplit/>
          <w:trHeight w:val="530" w:hRule="atLeast"/>
        </w:trPr>
        <w:tc>
          <w:tcPr>
            <w:tcW w:w="1398" w:type="dxa"/>
            <w:vMerge w:val="restart"/>
            <w:tcBorders>
              <w:top w:val="single" w:color="auto" w:sz="6" w:space="0"/>
              <w:left w:val="single" w:color="auto" w:sz="6" w:space="0"/>
              <w:right w:val="single" w:color="auto" w:sz="6" w:space="0"/>
            </w:tcBorders>
            <w:vAlign w:val="center"/>
          </w:tcPr>
          <w:p>
            <w:pPr>
              <w:autoSpaceDE w:val="0"/>
              <w:autoSpaceDN w:val="0"/>
              <w:adjustRightInd w:val="0"/>
              <w:jc w:val="center"/>
              <w:rPr>
                <w:rFonts w:ascii="宋体" w:hAnsi="宋体"/>
                <w:szCs w:val="21"/>
              </w:rPr>
            </w:pPr>
            <w:r>
              <w:rPr>
                <w:rFonts w:hint="eastAsia" w:ascii="宋体" w:hAnsi="宋体"/>
                <w:szCs w:val="21"/>
              </w:rPr>
              <w:t>序号</w:t>
            </w:r>
          </w:p>
        </w:tc>
        <w:tc>
          <w:tcPr>
            <w:tcW w:w="4541" w:type="dxa"/>
            <w:gridSpan w:val="2"/>
            <w:tcBorders>
              <w:top w:val="single" w:color="auto" w:sz="6" w:space="0"/>
              <w:left w:val="single" w:color="auto" w:sz="6" w:space="0"/>
              <w:bottom w:val="single" w:color="auto" w:sz="6" w:space="0"/>
            </w:tcBorders>
            <w:vAlign w:val="center"/>
          </w:tcPr>
          <w:p>
            <w:pPr>
              <w:autoSpaceDE w:val="0"/>
              <w:autoSpaceDN w:val="0"/>
              <w:adjustRightInd w:val="0"/>
              <w:jc w:val="center"/>
              <w:rPr>
                <w:rFonts w:ascii="宋体" w:hAnsi="宋体"/>
                <w:szCs w:val="21"/>
              </w:rPr>
            </w:pPr>
            <w:r>
              <w:rPr>
                <w:rFonts w:hint="eastAsia" w:ascii="宋体" w:hAnsi="宋体"/>
                <w:szCs w:val="21"/>
              </w:rPr>
              <w:t>招标文件要求</w:t>
            </w:r>
          </w:p>
        </w:tc>
        <w:tc>
          <w:tcPr>
            <w:tcW w:w="3472"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ascii="宋体" w:hAnsi="宋体"/>
                <w:szCs w:val="21"/>
              </w:rPr>
            </w:pPr>
            <w:r>
              <w:rPr>
                <w:rFonts w:hint="eastAsia" w:ascii="宋体" w:hAnsi="宋体"/>
                <w:szCs w:val="21"/>
              </w:rPr>
              <w:t>投标文件内容</w:t>
            </w:r>
          </w:p>
        </w:tc>
      </w:tr>
      <w:tr>
        <w:tblPrEx>
          <w:tblCellMar>
            <w:top w:w="0" w:type="dxa"/>
            <w:left w:w="30" w:type="dxa"/>
            <w:bottom w:w="0" w:type="dxa"/>
            <w:right w:w="30" w:type="dxa"/>
          </w:tblCellMar>
        </w:tblPrEx>
        <w:trPr>
          <w:cantSplit/>
          <w:trHeight w:val="551" w:hRule="atLeast"/>
        </w:trPr>
        <w:tc>
          <w:tcPr>
            <w:tcW w:w="1398" w:type="dxa"/>
            <w:vMerge w:val="continue"/>
            <w:tcBorders>
              <w:left w:val="single" w:color="auto" w:sz="6" w:space="0"/>
              <w:bottom w:val="single" w:color="auto" w:sz="6" w:space="0"/>
              <w:right w:val="single" w:color="auto" w:sz="6" w:space="0"/>
            </w:tcBorders>
            <w:vAlign w:val="center"/>
          </w:tcPr>
          <w:p>
            <w:pPr>
              <w:autoSpaceDE w:val="0"/>
              <w:autoSpaceDN w:val="0"/>
              <w:adjustRightInd w:val="0"/>
              <w:rPr>
                <w:rFonts w:ascii="宋体" w:hAnsi="宋体"/>
                <w:szCs w:val="21"/>
              </w:rPr>
            </w:pPr>
          </w:p>
        </w:tc>
        <w:tc>
          <w:tcPr>
            <w:tcW w:w="7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rPr>
                <w:rFonts w:ascii="宋体" w:hAnsi="宋体"/>
                <w:szCs w:val="21"/>
              </w:rPr>
            </w:pPr>
            <w:r>
              <w:rPr>
                <w:rFonts w:hint="eastAsia" w:ascii="宋体" w:hAnsi="宋体"/>
                <w:szCs w:val="21"/>
              </w:rPr>
              <w:t>原条目</w:t>
            </w:r>
          </w:p>
        </w:tc>
        <w:tc>
          <w:tcPr>
            <w:tcW w:w="375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ascii="宋体" w:hAnsi="宋体"/>
                <w:szCs w:val="21"/>
              </w:rPr>
            </w:pPr>
            <w:r>
              <w:rPr>
                <w:rFonts w:hint="eastAsia" w:ascii="宋体" w:hAnsi="宋体"/>
                <w:szCs w:val="21"/>
              </w:rPr>
              <w:t>简要内容</w:t>
            </w:r>
          </w:p>
        </w:tc>
        <w:tc>
          <w:tcPr>
            <w:tcW w:w="173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ascii="宋体" w:hAnsi="宋体"/>
                <w:szCs w:val="21"/>
              </w:rPr>
            </w:pPr>
            <w:r>
              <w:rPr>
                <w:rFonts w:hint="eastAsia" w:ascii="宋体" w:hAnsi="宋体"/>
                <w:szCs w:val="21"/>
              </w:rPr>
              <w:t>是否响应</w:t>
            </w:r>
          </w:p>
        </w:tc>
        <w:tc>
          <w:tcPr>
            <w:tcW w:w="173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ascii="宋体" w:hAnsi="宋体"/>
                <w:szCs w:val="21"/>
              </w:rPr>
            </w:pPr>
            <w:r>
              <w:rPr>
                <w:rFonts w:hint="eastAsia" w:ascii="宋体" w:hAnsi="宋体"/>
                <w:szCs w:val="21"/>
              </w:rPr>
              <w:t>偏离说明</w:t>
            </w:r>
          </w:p>
        </w:tc>
      </w:tr>
      <w:tr>
        <w:tblPrEx>
          <w:tblCellMar>
            <w:top w:w="0" w:type="dxa"/>
            <w:left w:w="30" w:type="dxa"/>
            <w:bottom w:w="0" w:type="dxa"/>
            <w:right w:w="30" w:type="dxa"/>
          </w:tblCellMar>
        </w:tblPrEx>
        <w:trPr>
          <w:cantSplit/>
          <w:trHeight w:val="285" w:hRule="exact"/>
        </w:trPr>
        <w:tc>
          <w:tcPr>
            <w:tcW w:w="139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ascii="宋体" w:hAnsi="宋体"/>
                <w:szCs w:val="21"/>
              </w:rPr>
            </w:pPr>
            <w:r>
              <w:rPr>
                <w:rFonts w:hint="eastAsia" w:ascii="宋体" w:hAnsi="宋体"/>
                <w:szCs w:val="21"/>
              </w:rPr>
              <w:t>1</w:t>
            </w:r>
          </w:p>
        </w:tc>
        <w:tc>
          <w:tcPr>
            <w:tcW w:w="7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ascii="宋体" w:hAnsi="宋体"/>
                <w:szCs w:val="21"/>
              </w:rPr>
            </w:pPr>
            <w:r>
              <w:rPr>
                <w:rFonts w:hint="eastAsia" w:ascii="宋体" w:hAnsi="宋体"/>
                <w:szCs w:val="21"/>
              </w:rPr>
              <w:t>一</w:t>
            </w:r>
          </w:p>
        </w:tc>
        <w:tc>
          <w:tcPr>
            <w:tcW w:w="375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rPr>
                <w:rFonts w:ascii="宋体" w:hAnsi="宋体"/>
                <w:szCs w:val="21"/>
              </w:rPr>
            </w:pPr>
          </w:p>
        </w:tc>
        <w:tc>
          <w:tcPr>
            <w:tcW w:w="173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rPr>
                <w:rFonts w:ascii="宋体" w:hAnsi="宋体"/>
                <w:szCs w:val="21"/>
              </w:rPr>
            </w:pPr>
          </w:p>
        </w:tc>
        <w:tc>
          <w:tcPr>
            <w:tcW w:w="173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rPr>
                <w:rFonts w:ascii="宋体" w:hAnsi="宋体"/>
                <w:szCs w:val="21"/>
              </w:rPr>
            </w:pPr>
          </w:p>
        </w:tc>
      </w:tr>
      <w:tr>
        <w:tblPrEx>
          <w:tblCellMar>
            <w:top w:w="0" w:type="dxa"/>
            <w:left w:w="30" w:type="dxa"/>
            <w:bottom w:w="0" w:type="dxa"/>
            <w:right w:w="30" w:type="dxa"/>
          </w:tblCellMar>
        </w:tblPrEx>
        <w:trPr>
          <w:cantSplit/>
          <w:trHeight w:val="290" w:hRule="exact"/>
        </w:trPr>
        <w:tc>
          <w:tcPr>
            <w:tcW w:w="139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ascii="宋体" w:hAnsi="宋体"/>
                <w:szCs w:val="21"/>
              </w:rPr>
            </w:pPr>
            <w:r>
              <w:rPr>
                <w:rFonts w:ascii="宋体" w:hAnsi="宋体"/>
                <w:szCs w:val="21"/>
              </w:rPr>
              <w:t>…</w:t>
            </w:r>
          </w:p>
        </w:tc>
        <w:tc>
          <w:tcPr>
            <w:tcW w:w="78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jc w:val="center"/>
              <w:rPr>
                <w:rFonts w:ascii="宋体" w:hAnsi="宋体"/>
                <w:szCs w:val="21"/>
              </w:rPr>
            </w:pPr>
            <w:r>
              <w:rPr>
                <w:rFonts w:ascii="宋体" w:hAnsi="宋体"/>
                <w:szCs w:val="21"/>
              </w:rPr>
              <w:t>…</w:t>
            </w:r>
          </w:p>
        </w:tc>
        <w:tc>
          <w:tcPr>
            <w:tcW w:w="375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rPr>
                <w:rFonts w:ascii="宋体" w:hAnsi="宋体"/>
                <w:szCs w:val="21"/>
              </w:rPr>
            </w:pPr>
          </w:p>
        </w:tc>
        <w:tc>
          <w:tcPr>
            <w:tcW w:w="173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rPr>
                <w:rFonts w:ascii="宋体" w:hAnsi="宋体"/>
                <w:szCs w:val="21"/>
              </w:rPr>
            </w:pPr>
          </w:p>
        </w:tc>
        <w:tc>
          <w:tcPr>
            <w:tcW w:w="1736"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rPr>
                <w:rFonts w:ascii="宋体" w:hAnsi="宋体"/>
                <w:szCs w:val="21"/>
              </w:rPr>
            </w:pPr>
          </w:p>
        </w:tc>
      </w:tr>
    </w:tbl>
    <w:p>
      <w:pPr>
        <w:spacing w:line="360" w:lineRule="auto"/>
        <w:ind w:firstLine="6930" w:firstLineChars="3300"/>
        <w:rPr>
          <w:rFonts w:ascii="宋体" w:hAnsi="宋体"/>
          <w:bCs/>
          <w:szCs w:val="21"/>
        </w:rPr>
      </w:pPr>
      <w:r>
        <w:rPr>
          <w:rFonts w:hint="eastAsia" w:ascii="宋体" w:hAnsi="宋体"/>
          <w:bCs/>
          <w:szCs w:val="21"/>
        </w:rPr>
        <w:t>（投标人加盖公章）</w:t>
      </w:r>
    </w:p>
    <w:p>
      <w:pPr>
        <w:spacing w:line="360" w:lineRule="auto"/>
        <w:ind w:firstLine="6090" w:firstLineChars="2900"/>
        <w:rPr>
          <w:rFonts w:ascii="宋体" w:hAnsi="宋体"/>
          <w:bCs/>
          <w:szCs w:val="21"/>
        </w:rPr>
      </w:pPr>
      <w:r>
        <w:rPr>
          <w:rFonts w:hint="eastAsia" w:ascii="宋体" w:hAnsi="宋体"/>
          <w:bCs/>
          <w:szCs w:val="21"/>
        </w:rPr>
        <w:t>日    期：     年   月   日</w:t>
      </w:r>
      <w:bookmarkStart w:id="355" w:name="_Toc21442"/>
      <w:bookmarkStart w:id="356" w:name="_Toc8864"/>
    </w:p>
    <w:p>
      <w:pPr>
        <w:spacing w:line="360" w:lineRule="auto"/>
        <w:rPr>
          <w:rFonts w:ascii="宋体" w:hAnsi="宋体"/>
          <w:bCs/>
          <w:color w:val="000000"/>
          <w:szCs w:val="21"/>
        </w:rPr>
      </w:pPr>
    </w:p>
    <w:p>
      <w:pPr>
        <w:spacing w:line="360" w:lineRule="auto"/>
        <w:rPr>
          <w:rFonts w:ascii="宋体" w:hAnsi="宋体"/>
          <w:bCs/>
          <w:color w:val="000000"/>
          <w:szCs w:val="21"/>
        </w:rPr>
      </w:pPr>
    </w:p>
    <w:p>
      <w:pPr>
        <w:spacing w:line="360" w:lineRule="auto"/>
        <w:rPr>
          <w:rFonts w:ascii="宋体" w:hAnsi="宋体"/>
          <w:bCs/>
          <w:color w:val="000000"/>
          <w:szCs w:val="21"/>
        </w:rPr>
      </w:pPr>
    </w:p>
    <w:p>
      <w:pPr>
        <w:spacing w:line="360" w:lineRule="auto"/>
        <w:rPr>
          <w:rFonts w:ascii="宋体" w:hAnsi="宋体"/>
          <w:bCs/>
          <w:color w:val="000000"/>
          <w:szCs w:val="21"/>
        </w:rPr>
      </w:pPr>
    </w:p>
    <w:p>
      <w:pPr>
        <w:spacing w:line="360" w:lineRule="auto"/>
        <w:rPr>
          <w:rFonts w:ascii="宋体" w:hAnsi="宋体"/>
          <w:bCs/>
          <w:color w:val="000000"/>
          <w:szCs w:val="21"/>
        </w:rPr>
      </w:pPr>
    </w:p>
    <w:p>
      <w:pPr>
        <w:spacing w:line="360" w:lineRule="auto"/>
        <w:rPr>
          <w:rFonts w:ascii="宋体" w:hAnsi="宋体"/>
          <w:bCs/>
          <w:color w:val="000000"/>
          <w:szCs w:val="21"/>
        </w:rPr>
      </w:pPr>
    </w:p>
    <w:p>
      <w:pPr>
        <w:spacing w:line="360" w:lineRule="auto"/>
        <w:rPr>
          <w:rFonts w:ascii="宋体" w:hAnsi="宋体"/>
          <w:bCs/>
          <w:color w:val="000000"/>
          <w:szCs w:val="21"/>
        </w:rPr>
      </w:pPr>
    </w:p>
    <w:p>
      <w:pPr>
        <w:spacing w:line="360" w:lineRule="auto"/>
        <w:rPr>
          <w:rFonts w:ascii="宋体" w:hAnsi="宋体"/>
          <w:bCs/>
          <w:color w:val="000000"/>
          <w:szCs w:val="21"/>
        </w:rPr>
      </w:pPr>
    </w:p>
    <w:p>
      <w:pPr>
        <w:spacing w:line="360" w:lineRule="auto"/>
        <w:rPr>
          <w:rFonts w:ascii="Arial" w:hAnsi="Arial"/>
          <w:b/>
          <w:bCs/>
          <w:sz w:val="32"/>
          <w:szCs w:val="32"/>
        </w:rPr>
      </w:pPr>
      <w:r>
        <w:rPr>
          <w:rFonts w:hint="eastAsia" w:ascii="宋体" w:hAnsi="宋体"/>
          <w:bCs/>
          <w:color w:val="000000"/>
          <w:szCs w:val="21"/>
        </w:rPr>
        <w:t xml:space="preserve">                                                                  </w:t>
      </w:r>
      <w:r>
        <w:rPr>
          <w:rFonts w:hint="eastAsia" w:ascii="宋体" w:hAnsi="宋体"/>
          <w:bCs/>
          <w:color w:val="000000"/>
          <w:sz w:val="13"/>
          <w:szCs w:val="13"/>
        </w:rPr>
        <w:t>版本号：</w:t>
      </w:r>
      <w:bookmarkEnd w:id="286"/>
      <w:bookmarkEnd w:id="355"/>
      <w:bookmarkEnd w:id="356"/>
      <w:r>
        <w:rPr>
          <w:rFonts w:hint="eastAsia" w:ascii="宋体" w:hAnsi="宋体"/>
          <w:bCs/>
          <w:color w:val="000000"/>
          <w:sz w:val="13"/>
          <w:szCs w:val="13"/>
        </w:rPr>
        <w:t>QSZCHG20210620</w:t>
      </w:r>
    </w:p>
    <w:sectPr>
      <w:headerReference r:id="rId12" w:type="default"/>
      <w:footerReference r:id="rId13" w:type="default"/>
      <w:type w:val="continuous"/>
      <w:pgSz w:w="11905" w:h="16838"/>
      <w:pgMar w:top="1191" w:right="1361" w:bottom="1191" w:left="1191" w:header="624" w:footer="68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ms Rmn">
    <w:altName w:val="Segoe Print"/>
    <w:panose1 w:val="02020603040505020304"/>
    <w:charset w:val="00"/>
    <w:family w:val="roman"/>
    <w:pitch w:val="default"/>
    <w:sig w:usb0="00000000" w:usb1="00000000" w:usb2="00000000" w:usb3="00000000" w:csb0="00000001" w:csb1="00000000"/>
  </w:font>
  <w:font w:name="楷体_GB2312">
    <w:altName w:val="楷体"/>
    <w:panose1 w:val="00000000000000000000"/>
    <w:charset w:val="86"/>
    <w:family w:val="modern"/>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Style w:val="43"/>
        <w:rFonts w:hint="eastAsia" w:eastAsia="宋体"/>
      </w:rPr>
      <w:t xml:space="preserve">                                           </w:t>
    </w:r>
    <w:r>
      <w:fldChar w:fldCharType="begin"/>
    </w:r>
    <w:r>
      <w:rPr>
        <w:rStyle w:val="43"/>
        <w:rFonts w:eastAsia="宋体"/>
      </w:rPr>
      <w:instrText xml:space="preserve"> PAGE </w:instrText>
    </w:r>
    <w:r>
      <w:fldChar w:fldCharType="separate"/>
    </w:r>
    <w:r>
      <w:rPr>
        <w:rStyle w:val="43"/>
        <w:rFonts w:eastAsia="宋体"/>
      </w:rPr>
      <w:t>2</w:t>
    </w:r>
    <w:r>
      <w:fldChar w:fldCharType="end"/>
    </w:r>
    <w:r>
      <w:rPr>
        <w:rStyle w:val="43"/>
        <w:rFonts w:hint="eastAsia" w:eastAsia="宋体"/>
      </w:rPr>
      <w:t xml:space="preserve">                           </w:t>
    </w:r>
    <w:r>
      <w:rPr>
        <w:rFonts w:hint="eastAsia"/>
      </w:rPr>
      <w:t>广州群生招标代理有限公司编制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29"/>
      <w:pBdr>
        <w:top w:val="none" w:color="auto" w:sz="0" w:space="0"/>
      </w:pBdr>
      <w:rPr>
        <w:rStyle w:val="43"/>
        <w:rFonts w:eastAsia="宋体"/>
      </w:rPr>
    </w:pPr>
    <w:r>
      <w:fldChar w:fldCharType="begin"/>
    </w:r>
    <w:r>
      <w:rPr>
        <w:rStyle w:val="43"/>
        <w:rFonts w:eastAsia="宋体"/>
      </w:rPr>
      <w:instrText xml:space="preserve">PAGE  </w:instrText>
    </w:r>
    <w:r>
      <w:fldChar w:fldCharType="separate"/>
    </w:r>
    <w:r>
      <w:rPr>
        <w:rStyle w:val="43"/>
        <w:rFonts w:eastAsia="宋体"/>
      </w:rPr>
      <w:t>5</w:t>
    </w:r>
    <w:r>
      <w:fldChar w:fldCharType="end"/>
    </w:r>
  </w:p>
  <w:p>
    <w:pPr>
      <w:pStyle w:val="30"/>
      <w:jc w:val="center"/>
    </w:pPr>
    <w:r>
      <w:rPr>
        <w:rFonts w:hint="eastAsia"/>
      </w:rPr>
      <w:t xml:space="preserve">             </w:t>
    </w:r>
    <w:r>
      <w:rPr>
        <w:rFonts w:hint="eastAsia"/>
        <w:bCs/>
      </w:rPr>
      <w:t xml:space="preserve">                                </w:t>
    </w:r>
    <w:r>
      <w:rPr>
        <w:rFonts w:hint="eastAsia"/>
      </w:rPr>
      <w:t xml:space="preserve">                          广州群生招标代理有限公司编制</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29"/>
      <w:pBdr>
        <w:top w:val="none" w:color="auto" w:sz="0" w:space="0"/>
      </w:pBdr>
      <w:rPr>
        <w:rStyle w:val="43"/>
        <w:rFonts w:eastAsia="宋体"/>
      </w:rPr>
    </w:pPr>
    <w:r>
      <w:fldChar w:fldCharType="begin"/>
    </w:r>
    <w:r>
      <w:rPr>
        <w:rStyle w:val="43"/>
        <w:rFonts w:eastAsia="宋体"/>
      </w:rPr>
      <w:instrText xml:space="preserve">PAGE  </w:instrText>
    </w:r>
    <w:r>
      <w:fldChar w:fldCharType="separate"/>
    </w:r>
    <w:r>
      <w:rPr>
        <w:rStyle w:val="43"/>
        <w:rFonts w:eastAsia="宋体"/>
      </w:rPr>
      <w:t>14</w:t>
    </w:r>
    <w:r>
      <w:fldChar w:fldCharType="end"/>
    </w:r>
  </w:p>
  <w:p>
    <w:pPr>
      <w:pStyle w:val="30"/>
      <w:jc w:val="center"/>
    </w:pPr>
    <w:r>
      <w:rPr>
        <w:rFonts w:hint="eastAsia"/>
        <w:bCs/>
      </w:rPr>
      <w:t xml:space="preserve">                                               </w:t>
    </w:r>
    <w:r>
      <w:rPr>
        <w:rFonts w:hint="eastAsia"/>
      </w:rPr>
      <w:t xml:space="preserve">                          广州群生招标代理有限公司编制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3"/>
        <w:rFonts w:eastAsia="宋体"/>
      </w:rPr>
    </w:pPr>
    <w:r>
      <w:fldChar w:fldCharType="begin"/>
    </w:r>
    <w:r>
      <w:rPr>
        <w:rStyle w:val="43"/>
        <w:rFonts w:eastAsia="宋体"/>
      </w:rPr>
      <w:instrText xml:space="preserve">PAGE  </w:instrText>
    </w:r>
    <w:r>
      <w:fldChar w:fldCharType="separate"/>
    </w:r>
    <w:r>
      <w:rPr>
        <w:rStyle w:val="43"/>
        <w:rFonts w:eastAsia="宋体"/>
      </w:rPr>
      <w:t>25</w:t>
    </w:r>
    <w:r>
      <w:fldChar w:fldCharType="end"/>
    </w:r>
  </w:p>
  <w:p>
    <w:pPr>
      <w:pStyle w:val="30"/>
      <w:ind w:firstLine="1800" w:firstLineChars="1000"/>
    </w:pPr>
    <w: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-172720</wp:posOffset>
              </wp:positionV>
              <wp:extent cx="635" cy="0"/>
              <wp:effectExtent l="0" t="4445" r="0" b="5080"/>
              <wp:wrapNone/>
              <wp:docPr id="1" name="Line 1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Line 11" o:spid="_x0000_s1026" o:spt="20" style="position:absolute;left:0pt;margin-left:0pt;margin-top:-13.6pt;height:0pt;width:0.05pt;z-index:251659264;mso-width-relative:page;mso-height-relative:page;" filled="f" stroked="t" coordsize="21600,21600" o:allowincell="f" o:gfxdata="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AXvGM0QAAAAUBAAAPAAAAAAAAAAEAIAAAACIAAABk&#10;cnMvZG93bnJldi54bWxQSwECFAAUAAAACACHTuJAXiiw9NQBAADYAwAADgAAAAAAAAABACAAAAAg&#10;AQAAZHJzL2Uyb0RvYy54bWxQSwUGAAAAAAYABgBZAQAAZgUAAAAA&#10;">
              <v:fill on="f" focussize="0,0"/>
              <v:stroke color="#000000" joinstyle="round"/>
              <v:imagedata o:title=""/>
              <o:lock v:ext="edit" aspectratio="f"/>
            </v:line>
          </w:pict>
        </mc:Fallback>
      </mc:AlternateContent>
    </w:r>
    <w:r>
      <w:rPr>
        <w:rFonts w:hint="eastAsia"/>
      </w:rPr>
      <w:t xml:space="preserve">                                                  广州群生招标代理有限公司  编制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3"/>
        <w:rFonts w:eastAsia="宋体"/>
      </w:rPr>
    </w:pPr>
    <w:r>
      <w:fldChar w:fldCharType="begin"/>
    </w:r>
    <w:r>
      <w:rPr>
        <w:rStyle w:val="43"/>
        <w:rFonts w:eastAsia="宋体"/>
      </w:rPr>
      <w:instrText xml:space="preserve">PAGE  </w:instrText>
    </w:r>
    <w:r>
      <w:fldChar w:fldCharType="separate"/>
    </w:r>
    <w:r>
      <w:rPr>
        <w:rStyle w:val="43"/>
        <w:rFonts w:eastAsia="宋体"/>
      </w:rPr>
      <w:t>29</w:t>
    </w:r>
    <w:r>
      <w:fldChar w:fldCharType="end"/>
    </w:r>
  </w:p>
  <w:p>
    <w:pPr>
      <w:pStyle w:val="30"/>
      <w:ind w:firstLine="1710" w:firstLineChars="950"/>
    </w:pPr>
    <w:r>
      <w:rPr>
        <w:rFonts w:hint="eastAsia"/>
      </w:rPr>
      <w:t xml:space="preserve">             </w:t>
    </w:r>
    <w:r>
      <w:rPr>
        <w:rFonts w:hint="eastAsia"/>
        <w:bCs/>
      </w:rPr>
      <w:t xml:space="preserve">               </w:t>
    </w:r>
    <w:r>
      <w:rPr>
        <w:rFonts w:hint="eastAsia"/>
      </w:rPr>
      <w:t xml:space="preserve">                         广州群生招标代理有限公司  编制</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204" w:wrap="around" w:vAnchor="text" w:hAnchor="page" w:x="5142" w:y="78"/>
      <w:pBdr>
        <w:top w:val="none" w:color="auto" w:sz="0" w:space="0"/>
      </w:pBdr>
      <w:tabs>
        <w:tab w:val="left" w:pos="1785"/>
      </w:tabs>
      <w:rPr>
        <w:rStyle w:val="43"/>
        <w:rFonts w:eastAsia="宋体"/>
      </w:rPr>
    </w:pPr>
    <w:r>
      <w:fldChar w:fldCharType="begin"/>
    </w:r>
    <w:r>
      <w:rPr>
        <w:rStyle w:val="43"/>
        <w:rFonts w:eastAsia="宋体"/>
      </w:rPr>
      <w:instrText xml:space="preserve">PAGE  </w:instrText>
    </w:r>
    <w:r>
      <w:fldChar w:fldCharType="separate"/>
    </w:r>
    <w:r>
      <w:rPr>
        <w:rStyle w:val="43"/>
        <w:rFonts w:eastAsia="宋体"/>
      </w:rPr>
      <w:t>40</w:t>
    </w:r>
    <w:r>
      <w:fldChar w:fldCharType="end"/>
    </w:r>
  </w:p>
  <w:p>
    <w:pPr>
      <w:pStyle w:val="73"/>
      <w:wordWrap w:val="0"/>
      <w:ind w:right="360" w:firstLine="1890" w:firstLineChars="1050"/>
      <w:jc w:val="both"/>
    </w:pPr>
    <w:r>
      <w:t xml:space="preserve">     </w:t>
    </w:r>
    <w:r>
      <w:rPr>
        <w:rFonts w:hint="eastAsia"/>
      </w:rPr>
      <w:t xml:space="preserve">                                          </w:t>
    </w:r>
    <w:r>
      <w:t xml:space="preserve"> 广州</w:t>
    </w:r>
    <w:r>
      <w:rPr>
        <w:rFonts w:hint="eastAsia"/>
      </w:rPr>
      <w:t>群生</w:t>
    </w:r>
    <w:r>
      <w:t>招标代理有限公司编制</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pPr>
    <w:r>
      <w:rPr>
        <w:rFonts w:ascii="黑体" w:eastAsia="黑体"/>
        <w:b/>
        <w:sz w:val="76"/>
        <w:szCs w:val="76"/>
      </w:rPr>
      <w:drawing>
        <wp:inline distT="0" distB="0" distL="114300" distR="114300">
          <wp:extent cx="352425" cy="466725"/>
          <wp:effectExtent l="0" t="0" r="9525" b="9525"/>
          <wp:docPr id="2" name="图片 1" descr="群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群生"/>
                  <pic:cNvPicPr>
                    <a:picLocks noChangeAspect="1"/>
                  </pic:cNvPicPr>
                </pic:nvPicPr>
                <pic:blipFill>
                  <a:blip r:embed="rId1"/>
                  <a:stretch>
                    <a:fillRect/>
                  </a:stretch>
                </pic:blipFill>
                <pic:spPr>
                  <a:xfrm>
                    <a:off x="0" y="0"/>
                    <a:ext cx="352425" cy="466725"/>
                  </a:xfrm>
                  <a:prstGeom prst="rect">
                    <a:avLst/>
                  </a:prstGeom>
                  <a:noFill/>
                  <a:ln w="9525">
                    <a:noFill/>
                  </a:ln>
                </pic:spPr>
              </pic:pic>
            </a:graphicData>
          </a:graphic>
        </wp:inline>
      </w:drawing>
    </w:r>
    <w:r>
      <w:rPr>
        <w:rFonts w:hint="eastAsia" w:eastAsia="黑体"/>
      </w:rPr>
      <w:t>广州群生招标代理有限公司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pPr>
    <w:r>
      <w:rPr>
        <w:rFonts w:ascii="黑体" w:eastAsia="黑体"/>
        <w:b/>
        <w:sz w:val="76"/>
        <w:szCs w:val="76"/>
      </w:rPr>
      <w:drawing>
        <wp:inline distT="0" distB="0" distL="114300" distR="114300">
          <wp:extent cx="352425" cy="466725"/>
          <wp:effectExtent l="0" t="0" r="9525" b="9525"/>
          <wp:docPr id="3" name="图片 2" descr="群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群生"/>
                  <pic:cNvPicPr>
                    <a:picLocks noChangeAspect="1"/>
                  </pic:cNvPicPr>
                </pic:nvPicPr>
                <pic:blipFill>
                  <a:blip r:embed="rId1"/>
                  <a:stretch>
                    <a:fillRect/>
                  </a:stretch>
                </pic:blipFill>
                <pic:spPr>
                  <a:xfrm>
                    <a:off x="0" y="0"/>
                    <a:ext cx="352425" cy="466725"/>
                  </a:xfrm>
                  <a:prstGeom prst="rect">
                    <a:avLst/>
                  </a:prstGeom>
                  <a:noFill/>
                  <a:ln w="9525">
                    <a:noFill/>
                  </a:ln>
                </pic:spPr>
              </pic:pic>
            </a:graphicData>
          </a:graphic>
        </wp:inline>
      </w:drawing>
    </w:r>
    <w:r>
      <w:rPr>
        <w:rFonts w:hint="eastAsia" w:eastAsia="黑体"/>
      </w:rPr>
      <w:t>广州群生招标代理有限公司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pPr>
    <w:r>
      <w:rPr>
        <w:rFonts w:hint="eastAsia" w:ascii="宋体" w:hAnsi="宋体"/>
        <w:color w:val="000000"/>
      </w:rPr>
      <w:t>项目名称：</w:t>
    </w:r>
    <w:r>
      <w:rPr>
        <w:rFonts w:hint="eastAsia" w:ascii="宋体" w:hAnsi="宋体" w:cs="Tahoma"/>
        <w:kern w:val="28"/>
        <w:szCs w:val="21"/>
      </w:rPr>
      <w:t>中华人民共和国广州出入境边防检查总站机关土地权籍调查服务采购项目</w:t>
    </w:r>
    <w:r>
      <w:rPr>
        <w:rFonts w:hint="eastAsia" w:ascii="宋体" w:hAnsi="宋体" w:cs="宋体"/>
        <w:color w:val="000000"/>
      </w:rPr>
      <w:t xml:space="preserve">      </w:t>
    </w:r>
    <w:r>
      <w:rPr>
        <w:rFonts w:hint="eastAsia" w:ascii="宋体" w:hAnsi="宋体"/>
        <w:color w:val="000000"/>
      </w:rPr>
      <w:t>项目编号：202308057306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pPr>
    <w:r>
      <w:rPr>
        <w:rFonts w:hint="eastAsia" w:ascii="宋体" w:hAnsi="宋体"/>
        <w:color w:val="000000"/>
      </w:rPr>
      <w:t>项目名称：</w:t>
    </w:r>
    <w:r>
      <w:rPr>
        <w:rFonts w:hint="eastAsia" w:ascii="宋体" w:hAnsi="宋体" w:cs="Tahoma"/>
        <w:kern w:val="28"/>
        <w:szCs w:val="21"/>
      </w:rPr>
      <w:t>中华人民共和国广州出入境边防检查总站机关土地权籍调查服务采购项目</w:t>
    </w:r>
    <w:r>
      <w:rPr>
        <w:rFonts w:hint="eastAsia" w:ascii="宋体" w:hAnsi="宋体" w:cs="宋体"/>
        <w:color w:val="000000"/>
      </w:rPr>
      <w:t xml:space="preserve">   </w:t>
    </w:r>
    <w:r>
      <w:rPr>
        <w:rFonts w:ascii="宋体" w:hAnsi="宋体" w:cs="宋体"/>
        <w:color w:val="000000"/>
      </w:rPr>
      <w:t xml:space="preserve">   </w:t>
    </w:r>
    <w:r>
      <w:rPr>
        <w:rFonts w:hint="eastAsia" w:ascii="宋体" w:hAnsi="宋体"/>
        <w:color w:val="000000"/>
      </w:rPr>
      <w:t>项目编号：</w:t>
    </w:r>
    <w:r>
      <w:rPr>
        <w:rFonts w:hint="eastAsia" w:ascii="宋体" w:hAnsi="宋体" w:cs="Arial"/>
        <w:szCs w:val="21"/>
      </w:rPr>
      <w:t>202308057306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pPr>
    <w:r>
      <w:rPr>
        <w:rFonts w:hint="eastAsia" w:ascii="宋体" w:hAnsi="宋体"/>
        <w:color w:val="000000"/>
      </w:rPr>
      <w:t xml:space="preserve">项目名称： </w:t>
    </w:r>
    <w:r>
      <w:rPr>
        <w:rFonts w:hint="eastAsia" w:ascii="宋体" w:hAnsi="宋体" w:cs="Tahoma"/>
        <w:kern w:val="28"/>
        <w:szCs w:val="21"/>
      </w:rPr>
      <w:t xml:space="preserve">中华人民共和国广州出入境边防检查总站机关土地权籍调查服务采购项目 </w:t>
    </w:r>
    <w:r>
      <w:rPr>
        <w:rFonts w:ascii="宋体" w:hAnsi="宋体" w:cs="宋体"/>
        <w:color w:val="000000"/>
      </w:rPr>
      <w:t xml:space="preserve">   </w:t>
    </w:r>
    <w:r>
      <w:rPr>
        <w:rFonts w:hint="eastAsia" w:ascii="宋体" w:hAnsi="宋体"/>
        <w:color w:val="000000"/>
      </w:rPr>
      <w:t>项目编号：</w:t>
    </w:r>
    <w:r>
      <w:rPr>
        <w:rFonts w:ascii="宋体" w:hAnsi="宋体" w:cs="Arial"/>
        <w:szCs w:val="21"/>
      </w:rPr>
      <w:t>202303011406058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BC9AF1"/>
    <w:multiLevelType w:val="singleLevel"/>
    <w:tmpl w:val="D7BC9AF1"/>
    <w:lvl w:ilvl="0" w:tentative="0">
      <w:start w:val="2"/>
      <w:numFmt w:val="decimal"/>
      <w:suff w:val="nothing"/>
      <w:lvlText w:val="%1、"/>
      <w:lvlJc w:val="left"/>
    </w:lvl>
  </w:abstractNum>
  <w:abstractNum w:abstractNumId="1">
    <w:nsid w:val="FFFFFF7D"/>
    <w:multiLevelType w:val="singleLevel"/>
    <w:tmpl w:val="FFFFFF7D"/>
    <w:lvl w:ilvl="0" w:tentative="0">
      <w:start w:val="1"/>
      <w:numFmt w:val="decimal"/>
      <w:pStyle w:val="25"/>
      <w:lvlText w:val="%1."/>
      <w:lvlJc w:val="left"/>
      <w:pPr>
        <w:tabs>
          <w:tab w:val="left" w:pos="1620"/>
        </w:tabs>
        <w:ind w:left="1620" w:hanging="360"/>
      </w:pPr>
    </w:lvl>
  </w:abstractNum>
  <w:abstractNum w:abstractNumId="2">
    <w:nsid w:val="010B216D"/>
    <w:multiLevelType w:val="multilevel"/>
    <w:tmpl w:val="010B216D"/>
    <w:lvl w:ilvl="0" w:tentative="0">
      <w:start w:val="1"/>
      <w:numFmt w:val="decimal"/>
      <w:lvlText w:val="%1."/>
      <w:lvlJc w:val="left"/>
      <w:pPr>
        <w:tabs>
          <w:tab w:val="left" w:pos="425"/>
        </w:tabs>
        <w:ind w:left="425" w:hanging="425"/>
      </w:pPr>
      <w:rPr>
        <w:rFonts w:hint="eastAsia"/>
        <w:b/>
        <w:i w:val="0"/>
        <w:sz w:val="21"/>
        <w:szCs w:val="21"/>
      </w:rPr>
    </w:lvl>
    <w:lvl w:ilvl="1" w:tentative="0">
      <w:start w:val="1"/>
      <w:numFmt w:val="decimal"/>
      <w:lvlText w:val="%1.%2."/>
      <w:lvlJc w:val="left"/>
      <w:pPr>
        <w:tabs>
          <w:tab w:val="left" w:pos="567"/>
        </w:tabs>
        <w:ind w:left="567" w:hanging="567"/>
      </w:pPr>
      <w:rPr>
        <w:rFonts w:hint="eastAsia" w:ascii="宋体" w:hAnsi="宋体" w:eastAsia="宋体"/>
        <w:b/>
        <w:i w:val="0"/>
        <w:sz w:val="21"/>
        <w:szCs w:val="21"/>
      </w:rPr>
    </w:lvl>
    <w:lvl w:ilvl="2" w:tentative="0">
      <w:start w:val="1"/>
      <w:numFmt w:val="decimal"/>
      <w:lvlText w:val="%1.%2.%3."/>
      <w:lvlJc w:val="left"/>
      <w:pPr>
        <w:tabs>
          <w:tab w:val="left" w:pos="1164"/>
        </w:tabs>
        <w:ind w:left="1164" w:hanging="624"/>
      </w:pPr>
      <w:rPr>
        <w:rFonts w:hint="eastAsia" w:ascii="宋体" w:eastAsia="宋体"/>
        <w:b w:val="0"/>
        <w:i w:val="0"/>
        <w:color w:val="auto"/>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4C822EE"/>
    <w:multiLevelType w:val="multilevel"/>
    <w:tmpl w:val="04C822EE"/>
    <w:lvl w:ilvl="0" w:tentative="0">
      <w:start w:val="1"/>
      <w:numFmt w:val="decimal"/>
      <w:pStyle w:val="89"/>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9"/>
      <w:lvlText w:val="%1.%2.%3.%4.%5"/>
      <w:lvlJc w:val="left"/>
      <w:pPr>
        <w:tabs>
          <w:tab w:val="left" w:pos="1008"/>
        </w:tabs>
        <w:ind w:left="1008" w:hanging="1008"/>
      </w:pPr>
    </w:lvl>
    <w:lvl w:ilvl="5" w:tentative="0">
      <w:start w:val="1"/>
      <w:numFmt w:val="decimal"/>
      <w:pStyle w:val="10"/>
      <w:lvlText w:val="%1.%2.%3.%4.%5.%6"/>
      <w:lvlJc w:val="left"/>
      <w:pPr>
        <w:tabs>
          <w:tab w:val="left" w:pos="1152"/>
        </w:tabs>
        <w:ind w:left="1152" w:hanging="1152"/>
      </w:pPr>
    </w:lvl>
    <w:lvl w:ilvl="6" w:tentative="0">
      <w:start w:val="1"/>
      <w:numFmt w:val="decimal"/>
      <w:pStyle w:val="11"/>
      <w:lvlText w:val="%1.%2.%3.%4.%5.%6.%7"/>
      <w:lvlJc w:val="left"/>
      <w:pPr>
        <w:tabs>
          <w:tab w:val="left" w:pos="1296"/>
        </w:tabs>
        <w:ind w:left="1296" w:hanging="1296"/>
      </w:pPr>
    </w:lvl>
    <w:lvl w:ilvl="7" w:tentative="0">
      <w:start w:val="1"/>
      <w:numFmt w:val="decimal"/>
      <w:pStyle w:val="12"/>
      <w:lvlText w:val="%1.%2.%3.%4.%5.%6.%7.%8"/>
      <w:lvlJc w:val="left"/>
      <w:pPr>
        <w:tabs>
          <w:tab w:val="left" w:pos="1440"/>
        </w:tabs>
        <w:ind w:left="1440" w:hanging="1440"/>
      </w:pPr>
    </w:lvl>
    <w:lvl w:ilvl="8" w:tentative="0">
      <w:start w:val="1"/>
      <w:numFmt w:val="decimal"/>
      <w:pStyle w:val="13"/>
      <w:lvlText w:val="%1.%2.%3.%4.%5.%6.%7.%8.%9"/>
      <w:lvlJc w:val="left"/>
      <w:pPr>
        <w:tabs>
          <w:tab w:val="left" w:pos="1584"/>
        </w:tabs>
        <w:ind w:left="1584" w:hanging="1584"/>
      </w:pPr>
    </w:lvl>
  </w:abstractNum>
  <w:abstractNum w:abstractNumId="4">
    <w:nsid w:val="0A7857EC"/>
    <w:multiLevelType w:val="multilevel"/>
    <w:tmpl w:val="0A7857EC"/>
    <w:lvl w:ilvl="0" w:tentative="0">
      <w:start w:val="1"/>
      <w:numFmt w:val="decimal"/>
      <w:pStyle w:val="83"/>
      <w:lvlText w:val="（%1）"/>
      <w:lvlJc w:val="left"/>
      <w:pPr>
        <w:tabs>
          <w:tab w:val="left" w:pos="720"/>
        </w:tabs>
        <w:ind w:left="720" w:hanging="720"/>
      </w:pPr>
      <w:rPr>
        <w:rFonts w:hint="eastAsia"/>
      </w:rPr>
    </w:lvl>
    <w:lvl w:ilvl="1" w:tentative="0">
      <w:start w:val="1"/>
      <w:numFmt w:val="decimal"/>
      <w:lvlText w:val="%2、"/>
      <w:lvlJc w:val="left"/>
      <w:pPr>
        <w:tabs>
          <w:tab w:val="left" w:pos="360"/>
        </w:tabs>
        <w:ind w:left="357" w:hanging="357"/>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06E07C1"/>
    <w:multiLevelType w:val="multilevel"/>
    <w:tmpl w:val="106E07C1"/>
    <w:lvl w:ilvl="0" w:tentative="0">
      <w:start w:val="1"/>
      <w:numFmt w:val="decimal"/>
      <w:lvlText w:val="（%1）"/>
      <w:lvlJc w:val="left"/>
      <w:pPr>
        <w:tabs>
          <w:tab w:val="left" w:pos="720"/>
        </w:tabs>
        <w:ind w:left="720" w:hanging="720"/>
      </w:pPr>
      <w:rPr>
        <w:rFonts w:hint="default"/>
      </w:rPr>
    </w:lvl>
    <w:lvl w:ilvl="1" w:tentative="0">
      <w:start w:val="1"/>
      <w:numFmt w:val="japaneseCounting"/>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7CD4DD1"/>
    <w:multiLevelType w:val="multilevel"/>
    <w:tmpl w:val="17CD4DD1"/>
    <w:lvl w:ilvl="0" w:tentative="0">
      <w:start w:val="1"/>
      <w:numFmt w:val="decimal"/>
      <w:pStyle w:val="18"/>
      <w:lvlText w:val="%1."/>
      <w:lvlJc w:val="left"/>
      <w:pPr>
        <w:tabs>
          <w:tab w:val="left" w:pos="995"/>
        </w:tabs>
        <w:ind w:left="995" w:hanging="425"/>
      </w:pPr>
    </w:lvl>
    <w:lvl w:ilvl="1" w:tentative="0">
      <w:start w:val="1"/>
      <w:numFmt w:val="decimal"/>
      <w:lvlText w:val="%1.%2."/>
      <w:lvlJc w:val="left"/>
      <w:pPr>
        <w:tabs>
          <w:tab w:val="left" w:pos="1137"/>
        </w:tabs>
        <w:ind w:left="1137" w:hanging="567"/>
      </w:pPr>
    </w:lvl>
    <w:lvl w:ilvl="2" w:tentative="0">
      <w:start w:val="1"/>
      <w:numFmt w:val="decimal"/>
      <w:lvlText w:val="%1.%2.%3."/>
      <w:lvlJc w:val="left"/>
      <w:pPr>
        <w:tabs>
          <w:tab w:val="left" w:pos="1279"/>
        </w:tabs>
        <w:ind w:left="1279" w:hanging="709"/>
      </w:pPr>
    </w:lvl>
    <w:lvl w:ilvl="3" w:tentative="0">
      <w:start w:val="1"/>
      <w:numFmt w:val="decimal"/>
      <w:lvlText w:val="%1.%2.%3.%4."/>
      <w:lvlJc w:val="left"/>
      <w:pPr>
        <w:tabs>
          <w:tab w:val="left" w:pos="1421"/>
        </w:tabs>
        <w:ind w:left="1421" w:hanging="851"/>
      </w:pPr>
    </w:lvl>
    <w:lvl w:ilvl="4" w:tentative="0">
      <w:start w:val="1"/>
      <w:numFmt w:val="decimal"/>
      <w:lvlText w:val="%1.%2.%3.%4.%5."/>
      <w:lvlJc w:val="left"/>
      <w:pPr>
        <w:tabs>
          <w:tab w:val="left" w:pos="1562"/>
        </w:tabs>
        <w:ind w:left="1562" w:hanging="992"/>
      </w:pPr>
    </w:lvl>
    <w:lvl w:ilvl="5" w:tentative="0">
      <w:start w:val="1"/>
      <w:numFmt w:val="decimal"/>
      <w:lvlText w:val="%1.%2.%3.%4.%5.%6."/>
      <w:lvlJc w:val="left"/>
      <w:pPr>
        <w:tabs>
          <w:tab w:val="left" w:pos="1704"/>
        </w:tabs>
        <w:ind w:left="1704" w:hanging="1134"/>
      </w:pPr>
    </w:lvl>
    <w:lvl w:ilvl="6" w:tentative="0">
      <w:start w:val="1"/>
      <w:numFmt w:val="decimal"/>
      <w:lvlText w:val="%1.%2.%3.%4.%5.%6.%7."/>
      <w:lvlJc w:val="left"/>
      <w:pPr>
        <w:tabs>
          <w:tab w:val="left" w:pos="1846"/>
        </w:tabs>
        <w:ind w:left="1846" w:hanging="1276"/>
      </w:pPr>
    </w:lvl>
    <w:lvl w:ilvl="7" w:tentative="0">
      <w:start w:val="1"/>
      <w:numFmt w:val="decimal"/>
      <w:lvlText w:val="%1.%2.%3.%4.%5.%6.%7.%8."/>
      <w:lvlJc w:val="left"/>
      <w:pPr>
        <w:tabs>
          <w:tab w:val="left" w:pos="1988"/>
        </w:tabs>
        <w:ind w:left="1988" w:hanging="1418"/>
      </w:pPr>
    </w:lvl>
    <w:lvl w:ilvl="8" w:tentative="0">
      <w:start w:val="1"/>
      <w:numFmt w:val="decimal"/>
      <w:lvlText w:val="%1.%2.%3.%4.%5.%6.%7.%8.%9."/>
      <w:lvlJc w:val="left"/>
      <w:pPr>
        <w:tabs>
          <w:tab w:val="left" w:pos="2129"/>
        </w:tabs>
        <w:ind w:left="2129" w:hanging="1559"/>
      </w:pPr>
    </w:lvl>
  </w:abstractNum>
  <w:abstractNum w:abstractNumId="7">
    <w:nsid w:val="20EE73D2"/>
    <w:multiLevelType w:val="multilevel"/>
    <w:tmpl w:val="20EE73D2"/>
    <w:lvl w:ilvl="0" w:tentative="0">
      <w:start w:val="1"/>
      <w:numFmt w:val="decimal"/>
      <w:lvlText w:val="%1."/>
      <w:lvlJc w:val="left"/>
      <w:pPr>
        <w:tabs>
          <w:tab w:val="left" w:pos="845"/>
        </w:tabs>
        <w:ind w:left="845" w:hanging="420"/>
      </w:pPr>
    </w:lvl>
    <w:lvl w:ilvl="1" w:tentative="0">
      <w:start w:val="1"/>
      <w:numFmt w:val="lowerLetter"/>
      <w:lvlText w:val="%2)"/>
      <w:lvlJc w:val="left"/>
      <w:pPr>
        <w:tabs>
          <w:tab w:val="left" w:pos="1265"/>
        </w:tabs>
        <w:ind w:left="1265" w:hanging="420"/>
      </w:pPr>
    </w:lvl>
    <w:lvl w:ilvl="2" w:tentative="0">
      <w:start w:val="1"/>
      <w:numFmt w:val="lowerRoman"/>
      <w:lvlText w:val="%3."/>
      <w:lvlJc w:val="right"/>
      <w:pPr>
        <w:tabs>
          <w:tab w:val="left" w:pos="1685"/>
        </w:tabs>
        <w:ind w:left="1685" w:hanging="420"/>
      </w:pPr>
    </w:lvl>
    <w:lvl w:ilvl="3" w:tentative="0">
      <w:start w:val="1"/>
      <w:numFmt w:val="decimal"/>
      <w:lvlText w:val="%4."/>
      <w:lvlJc w:val="left"/>
      <w:pPr>
        <w:tabs>
          <w:tab w:val="left" w:pos="2105"/>
        </w:tabs>
        <w:ind w:left="2105" w:hanging="420"/>
      </w:pPr>
    </w:lvl>
    <w:lvl w:ilvl="4" w:tentative="0">
      <w:start w:val="1"/>
      <w:numFmt w:val="lowerLetter"/>
      <w:lvlText w:val="%5)"/>
      <w:lvlJc w:val="left"/>
      <w:pPr>
        <w:tabs>
          <w:tab w:val="left" w:pos="2525"/>
        </w:tabs>
        <w:ind w:left="2525" w:hanging="420"/>
      </w:pPr>
    </w:lvl>
    <w:lvl w:ilvl="5" w:tentative="0">
      <w:start w:val="1"/>
      <w:numFmt w:val="lowerRoman"/>
      <w:lvlText w:val="%6."/>
      <w:lvlJc w:val="right"/>
      <w:pPr>
        <w:tabs>
          <w:tab w:val="left" w:pos="2945"/>
        </w:tabs>
        <w:ind w:left="2945" w:hanging="420"/>
      </w:pPr>
    </w:lvl>
    <w:lvl w:ilvl="6" w:tentative="0">
      <w:start w:val="1"/>
      <w:numFmt w:val="decimal"/>
      <w:lvlText w:val="%7."/>
      <w:lvlJc w:val="left"/>
      <w:pPr>
        <w:tabs>
          <w:tab w:val="left" w:pos="3365"/>
        </w:tabs>
        <w:ind w:left="3365" w:hanging="420"/>
      </w:pPr>
    </w:lvl>
    <w:lvl w:ilvl="7" w:tentative="0">
      <w:start w:val="1"/>
      <w:numFmt w:val="lowerLetter"/>
      <w:lvlText w:val="%8)"/>
      <w:lvlJc w:val="left"/>
      <w:pPr>
        <w:tabs>
          <w:tab w:val="left" w:pos="3785"/>
        </w:tabs>
        <w:ind w:left="3785" w:hanging="420"/>
      </w:pPr>
    </w:lvl>
    <w:lvl w:ilvl="8" w:tentative="0">
      <w:start w:val="1"/>
      <w:numFmt w:val="lowerRoman"/>
      <w:lvlText w:val="%9."/>
      <w:lvlJc w:val="right"/>
      <w:pPr>
        <w:tabs>
          <w:tab w:val="left" w:pos="4205"/>
        </w:tabs>
        <w:ind w:left="4205" w:hanging="420"/>
      </w:pPr>
    </w:lvl>
  </w:abstractNum>
  <w:abstractNum w:abstractNumId="8">
    <w:nsid w:val="234D0C22"/>
    <w:multiLevelType w:val="multilevel"/>
    <w:tmpl w:val="234D0C22"/>
    <w:lvl w:ilvl="0" w:tentative="0">
      <w:start w:val="1"/>
      <w:numFmt w:val="decimal"/>
      <w:pStyle w:val="81"/>
      <w:lvlText w:val="（%1）"/>
      <w:lvlJc w:val="left"/>
      <w:pPr>
        <w:tabs>
          <w:tab w:val="left" w:pos="718"/>
        </w:tabs>
        <w:ind w:left="718" w:hanging="720"/>
      </w:pPr>
      <w:rPr>
        <w:rFonts w:hint="eastAsia"/>
        <w:lang w:val="en-US"/>
      </w:rPr>
    </w:lvl>
    <w:lvl w:ilvl="1" w:tentative="0">
      <w:start w:val="1"/>
      <w:numFmt w:val="lowerLetter"/>
      <w:lvlText w:val="%2）"/>
      <w:lvlJc w:val="left"/>
      <w:pPr>
        <w:tabs>
          <w:tab w:val="left" w:pos="1831"/>
        </w:tabs>
        <w:ind w:left="1831" w:hanging="571"/>
      </w:pPr>
      <w:rPr>
        <w:rFonts w:hint="default"/>
      </w:rPr>
    </w:lvl>
    <w:lvl w:ilvl="2" w:tentative="0">
      <w:start w:val="1"/>
      <w:numFmt w:val="decimal"/>
      <w:lvlText w:val="%3）"/>
      <w:lvlJc w:val="left"/>
      <w:pPr>
        <w:tabs>
          <w:tab w:val="left" w:pos="1198"/>
        </w:tabs>
        <w:ind w:left="1198" w:hanging="360"/>
      </w:pPr>
      <w:rPr>
        <w:rFonts w:hint="default"/>
      </w:rPr>
    </w:lvl>
    <w:lvl w:ilvl="3" w:tentative="0">
      <w:start w:val="4"/>
      <w:numFmt w:val="decimal"/>
      <w:lvlText w:val="%4、"/>
      <w:lvlJc w:val="left"/>
      <w:pPr>
        <w:tabs>
          <w:tab w:val="left" w:pos="1618"/>
        </w:tabs>
        <w:ind w:left="1618" w:hanging="360"/>
      </w:pPr>
      <w:rPr>
        <w:rFonts w:hint="default"/>
      </w:rPr>
    </w:lvl>
    <w:lvl w:ilvl="4" w:tentative="0">
      <w:start w:val="1"/>
      <w:numFmt w:val="lowerLetter"/>
      <w:lvlText w:val="%5)"/>
      <w:lvlJc w:val="left"/>
      <w:pPr>
        <w:tabs>
          <w:tab w:val="left" w:pos="2098"/>
        </w:tabs>
        <w:ind w:left="2098" w:hanging="420"/>
      </w:pPr>
    </w:lvl>
    <w:lvl w:ilvl="5" w:tentative="0">
      <w:start w:val="1"/>
      <w:numFmt w:val="lowerRoman"/>
      <w:lvlText w:val="%6."/>
      <w:lvlJc w:val="right"/>
      <w:pPr>
        <w:tabs>
          <w:tab w:val="left" w:pos="2518"/>
        </w:tabs>
        <w:ind w:left="2518" w:hanging="420"/>
      </w:pPr>
    </w:lvl>
    <w:lvl w:ilvl="6" w:tentative="0">
      <w:start w:val="1"/>
      <w:numFmt w:val="decimal"/>
      <w:lvlText w:val="%7."/>
      <w:lvlJc w:val="left"/>
      <w:pPr>
        <w:tabs>
          <w:tab w:val="left" w:pos="2938"/>
        </w:tabs>
        <w:ind w:left="2938" w:hanging="420"/>
      </w:pPr>
    </w:lvl>
    <w:lvl w:ilvl="7" w:tentative="0">
      <w:start w:val="1"/>
      <w:numFmt w:val="lowerLetter"/>
      <w:lvlText w:val="%8)"/>
      <w:lvlJc w:val="left"/>
      <w:pPr>
        <w:tabs>
          <w:tab w:val="left" w:pos="3358"/>
        </w:tabs>
        <w:ind w:left="3358" w:hanging="420"/>
      </w:pPr>
    </w:lvl>
    <w:lvl w:ilvl="8" w:tentative="0">
      <w:start w:val="1"/>
      <w:numFmt w:val="lowerRoman"/>
      <w:lvlText w:val="%9."/>
      <w:lvlJc w:val="right"/>
      <w:pPr>
        <w:tabs>
          <w:tab w:val="left" w:pos="3778"/>
        </w:tabs>
        <w:ind w:left="3778" w:hanging="420"/>
      </w:pPr>
    </w:lvl>
  </w:abstractNum>
  <w:abstractNum w:abstractNumId="9">
    <w:nsid w:val="27EC5008"/>
    <w:multiLevelType w:val="multilevel"/>
    <w:tmpl w:val="27EC5008"/>
    <w:lvl w:ilvl="0" w:tentative="0">
      <w:start w:val="1"/>
      <w:numFmt w:val="decimal"/>
      <w:lvlText w:val="%1."/>
      <w:lvlJc w:val="left"/>
      <w:pPr>
        <w:ind w:left="420"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2E89D114"/>
    <w:multiLevelType w:val="singleLevel"/>
    <w:tmpl w:val="2E89D114"/>
    <w:lvl w:ilvl="0" w:tentative="0">
      <w:start w:val="2"/>
      <w:numFmt w:val="chineseCounting"/>
      <w:suff w:val="nothing"/>
      <w:lvlText w:val="%1、"/>
      <w:lvlJc w:val="left"/>
      <w:rPr>
        <w:rFonts w:hint="eastAsia"/>
      </w:rPr>
    </w:lvl>
  </w:abstractNum>
  <w:abstractNum w:abstractNumId="11">
    <w:nsid w:val="395060D3"/>
    <w:multiLevelType w:val="multilevel"/>
    <w:tmpl w:val="395060D3"/>
    <w:lvl w:ilvl="0" w:tentative="0">
      <w:start w:val="1"/>
      <w:numFmt w:val="bullet"/>
      <w:pStyle w:val="103"/>
      <w:lvlText w:val=""/>
      <w:lvlJc w:val="left"/>
      <w:pPr>
        <w:tabs>
          <w:tab w:val="left" w:pos="2220"/>
        </w:tabs>
        <w:ind w:left="2220" w:hanging="420"/>
      </w:pPr>
      <w:rPr>
        <w:rFonts w:hint="default" w:ascii="Wingdings" w:hAnsi="Wingdings"/>
      </w:rPr>
    </w:lvl>
    <w:lvl w:ilvl="1" w:tentative="0">
      <w:start w:val="1"/>
      <w:numFmt w:val="bullet"/>
      <w:lvlText w:val=""/>
      <w:lvlJc w:val="left"/>
      <w:pPr>
        <w:tabs>
          <w:tab w:val="left" w:pos="2640"/>
        </w:tabs>
        <w:ind w:left="2640" w:hanging="420"/>
      </w:pPr>
      <w:rPr>
        <w:rFonts w:hint="default" w:ascii="Wingdings" w:hAnsi="Wingdings"/>
      </w:rPr>
    </w:lvl>
    <w:lvl w:ilvl="2" w:tentative="0">
      <w:start w:val="1"/>
      <w:numFmt w:val="bullet"/>
      <w:lvlText w:val=""/>
      <w:lvlJc w:val="left"/>
      <w:pPr>
        <w:tabs>
          <w:tab w:val="left" w:pos="3060"/>
        </w:tabs>
        <w:ind w:left="3060" w:hanging="420"/>
      </w:pPr>
      <w:rPr>
        <w:rFonts w:hint="default" w:ascii="Wingdings" w:hAnsi="Wingdings"/>
      </w:rPr>
    </w:lvl>
    <w:lvl w:ilvl="3" w:tentative="0">
      <w:start w:val="1"/>
      <w:numFmt w:val="bullet"/>
      <w:lvlText w:val=""/>
      <w:lvlJc w:val="left"/>
      <w:pPr>
        <w:tabs>
          <w:tab w:val="left" w:pos="3480"/>
        </w:tabs>
        <w:ind w:left="3480" w:hanging="420"/>
      </w:pPr>
      <w:rPr>
        <w:rFonts w:hint="default" w:ascii="Wingdings" w:hAnsi="Wingdings"/>
      </w:rPr>
    </w:lvl>
    <w:lvl w:ilvl="4" w:tentative="0">
      <w:start w:val="1"/>
      <w:numFmt w:val="bullet"/>
      <w:lvlText w:val=""/>
      <w:lvlJc w:val="left"/>
      <w:pPr>
        <w:tabs>
          <w:tab w:val="left" w:pos="3900"/>
        </w:tabs>
        <w:ind w:left="3900" w:hanging="420"/>
      </w:pPr>
      <w:rPr>
        <w:rFonts w:hint="default" w:ascii="Wingdings" w:hAnsi="Wingdings"/>
      </w:rPr>
    </w:lvl>
    <w:lvl w:ilvl="5" w:tentative="0">
      <w:start w:val="1"/>
      <w:numFmt w:val="bullet"/>
      <w:lvlText w:val=""/>
      <w:lvlJc w:val="left"/>
      <w:pPr>
        <w:tabs>
          <w:tab w:val="left" w:pos="4320"/>
        </w:tabs>
        <w:ind w:left="4320" w:hanging="420"/>
      </w:pPr>
      <w:rPr>
        <w:rFonts w:hint="default" w:ascii="Wingdings" w:hAnsi="Wingdings"/>
      </w:rPr>
    </w:lvl>
    <w:lvl w:ilvl="6" w:tentative="0">
      <w:start w:val="1"/>
      <w:numFmt w:val="bullet"/>
      <w:lvlText w:val=""/>
      <w:lvlJc w:val="left"/>
      <w:pPr>
        <w:tabs>
          <w:tab w:val="left" w:pos="4740"/>
        </w:tabs>
        <w:ind w:left="4740" w:hanging="420"/>
      </w:pPr>
      <w:rPr>
        <w:rFonts w:hint="default" w:ascii="Wingdings" w:hAnsi="Wingdings"/>
      </w:rPr>
    </w:lvl>
    <w:lvl w:ilvl="7" w:tentative="0">
      <w:start w:val="1"/>
      <w:numFmt w:val="bullet"/>
      <w:lvlText w:val=""/>
      <w:lvlJc w:val="left"/>
      <w:pPr>
        <w:tabs>
          <w:tab w:val="left" w:pos="5160"/>
        </w:tabs>
        <w:ind w:left="5160" w:hanging="420"/>
      </w:pPr>
      <w:rPr>
        <w:rFonts w:hint="default" w:ascii="Wingdings" w:hAnsi="Wingdings"/>
      </w:rPr>
    </w:lvl>
    <w:lvl w:ilvl="8" w:tentative="0">
      <w:start w:val="1"/>
      <w:numFmt w:val="bullet"/>
      <w:lvlText w:val=""/>
      <w:lvlJc w:val="left"/>
      <w:pPr>
        <w:tabs>
          <w:tab w:val="left" w:pos="5580"/>
        </w:tabs>
        <w:ind w:left="5580" w:hanging="420"/>
      </w:pPr>
      <w:rPr>
        <w:rFonts w:hint="default" w:ascii="Wingdings" w:hAnsi="Wingdings"/>
      </w:rPr>
    </w:lvl>
  </w:abstractNum>
  <w:abstractNum w:abstractNumId="12">
    <w:nsid w:val="3F42130C"/>
    <w:multiLevelType w:val="multilevel"/>
    <w:tmpl w:val="3F42130C"/>
    <w:lvl w:ilvl="0" w:tentative="0">
      <w:start w:val="1"/>
      <w:numFmt w:val="decimal"/>
      <w:pStyle w:val="84"/>
      <w:lvlText w:val="%1）"/>
      <w:lvlJc w:val="left"/>
      <w:pPr>
        <w:tabs>
          <w:tab w:val="left" w:pos="358"/>
        </w:tabs>
        <w:ind w:left="358" w:hanging="36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0"/>
        </w:tabs>
        <w:ind w:left="0" w:hanging="420"/>
      </w:pPr>
    </w:lvl>
    <w:lvl w:ilvl="3" w:tentative="0">
      <w:start w:val="1"/>
      <w:numFmt w:val="decimal"/>
      <w:lvlText w:val="%4."/>
      <w:lvlJc w:val="left"/>
      <w:pPr>
        <w:tabs>
          <w:tab w:val="left" w:pos="420"/>
        </w:tabs>
        <w:ind w:left="420" w:hanging="420"/>
      </w:pPr>
    </w:lvl>
    <w:lvl w:ilvl="4" w:tentative="0">
      <w:start w:val="1"/>
      <w:numFmt w:val="lowerLetter"/>
      <w:lvlText w:val="%5)"/>
      <w:lvlJc w:val="left"/>
      <w:pPr>
        <w:tabs>
          <w:tab w:val="left" w:pos="840"/>
        </w:tabs>
        <w:ind w:left="840" w:hanging="420"/>
      </w:pPr>
    </w:lvl>
    <w:lvl w:ilvl="5" w:tentative="0">
      <w:start w:val="1"/>
      <w:numFmt w:val="lowerRoman"/>
      <w:lvlText w:val="%6."/>
      <w:lvlJc w:val="right"/>
      <w:pPr>
        <w:tabs>
          <w:tab w:val="left" w:pos="1260"/>
        </w:tabs>
        <w:ind w:left="1260" w:hanging="420"/>
      </w:pPr>
    </w:lvl>
    <w:lvl w:ilvl="6" w:tentative="0">
      <w:start w:val="1"/>
      <w:numFmt w:val="decimal"/>
      <w:lvlText w:val="%7."/>
      <w:lvlJc w:val="left"/>
      <w:pPr>
        <w:tabs>
          <w:tab w:val="left" w:pos="1680"/>
        </w:tabs>
        <w:ind w:left="1680" w:hanging="420"/>
      </w:pPr>
    </w:lvl>
    <w:lvl w:ilvl="7" w:tentative="0">
      <w:start w:val="1"/>
      <w:numFmt w:val="lowerLetter"/>
      <w:lvlText w:val="%8)"/>
      <w:lvlJc w:val="left"/>
      <w:pPr>
        <w:tabs>
          <w:tab w:val="left" w:pos="2100"/>
        </w:tabs>
        <w:ind w:left="2100" w:hanging="420"/>
      </w:pPr>
    </w:lvl>
    <w:lvl w:ilvl="8" w:tentative="0">
      <w:start w:val="1"/>
      <w:numFmt w:val="lowerRoman"/>
      <w:lvlText w:val="%9."/>
      <w:lvlJc w:val="right"/>
      <w:pPr>
        <w:tabs>
          <w:tab w:val="left" w:pos="2520"/>
        </w:tabs>
        <w:ind w:left="2520" w:hanging="420"/>
      </w:pPr>
    </w:lvl>
  </w:abstractNum>
  <w:abstractNum w:abstractNumId="13">
    <w:nsid w:val="50FD39C1"/>
    <w:multiLevelType w:val="multilevel"/>
    <w:tmpl w:val="50FD39C1"/>
    <w:lvl w:ilvl="0" w:tentative="0">
      <w:start w:val="1"/>
      <w:numFmt w:val="decimal"/>
      <w:lvlText w:val="%1."/>
      <w:lvlJc w:val="left"/>
      <w:pPr>
        <w:tabs>
          <w:tab w:val="left" w:pos="1270"/>
        </w:tabs>
        <w:ind w:left="1270" w:hanging="420"/>
      </w:pPr>
    </w:lvl>
    <w:lvl w:ilvl="1" w:tentative="0">
      <w:start w:val="1"/>
      <w:numFmt w:val="lowerLetter"/>
      <w:lvlText w:val="%2)"/>
      <w:lvlJc w:val="left"/>
      <w:pPr>
        <w:tabs>
          <w:tab w:val="left" w:pos="1690"/>
        </w:tabs>
        <w:ind w:left="1690" w:hanging="420"/>
      </w:pPr>
    </w:lvl>
    <w:lvl w:ilvl="2" w:tentative="0">
      <w:start w:val="1"/>
      <w:numFmt w:val="lowerRoman"/>
      <w:lvlText w:val="%3."/>
      <w:lvlJc w:val="right"/>
      <w:pPr>
        <w:tabs>
          <w:tab w:val="left" w:pos="2110"/>
        </w:tabs>
        <w:ind w:left="2110" w:hanging="420"/>
      </w:pPr>
    </w:lvl>
    <w:lvl w:ilvl="3" w:tentative="0">
      <w:start w:val="1"/>
      <w:numFmt w:val="decimal"/>
      <w:pStyle w:val="106"/>
      <w:lvlText w:val="%4."/>
      <w:lvlJc w:val="left"/>
      <w:pPr>
        <w:tabs>
          <w:tab w:val="left" w:pos="2530"/>
        </w:tabs>
        <w:ind w:left="2530" w:hanging="420"/>
      </w:pPr>
    </w:lvl>
    <w:lvl w:ilvl="4" w:tentative="0">
      <w:start w:val="1"/>
      <w:numFmt w:val="lowerLetter"/>
      <w:lvlText w:val="%5)"/>
      <w:lvlJc w:val="left"/>
      <w:pPr>
        <w:tabs>
          <w:tab w:val="left" w:pos="2950"/>
        </w:tabs>
        <w:ind w:left="2950" w:hanging="420"/>
      </w:pPr>
    </w:lvl>
    <w:lvl w:ilvl="5" w:tentative="0">
      <w:start w:val="1"/>
      <w:numFmt w:val="lowerRoman"/>
      <w:lvlText w:val="%6."/>
      <w:lvlJc w:val="right"/>
      <w:pPr>
        <w:tabs>
          <w:tab w:val="left" w:pos="3370"/>
        </w:tabs>
        <w:ind w:left="3370" w:hanging="420"/>
      </w:pPr>
    </w:lvl>
    <w:lvl w:ilvl="6" w:tentative="0">
      <w:start w:val="1"/>
      <w:numFmt w:val="decimal"/>
      <w:lvlText w:val="%7."/>
      <w:lvlJc w:val="left"/>
      <w:pPr>
        <w:tabs>
          <w:tab w:val="left" w:pos="3790"/>
        </w:tabs>
        <w:ind w:left="3790" w:hanging="420"/>
      </w:pPr>
    </w:lvl>
    <w:lvl w:ilvl="7" w:tentative="0">
      <w:start w:val="1"/>
      <w:numFmt w:val="lowerLetter"/>
      <w:lvlText w:val="%8)"/>
      <w:lvlJc w:val="left"/>
      <w:pPr>
        <w:tabs>
          <w:tab w:val="left" w:pos="4210"/>
        </w:tabs>
        <w:ind w:left="4210" w:hanging="420"/>
      </w:pPr>
    </w:lvl>
    <w:lvl w:ilvl="8" w:tentative="0">
      <w:start w:val="1"/>
      <w:numFmt w:val="lowerRoman"/>
      <w:lvlText w:val="%9."/>
      <w:lvlJc w:val="right"/>
      <w:pPr>
        <w:tabs>
          <w:tab w:val="left" w:pos="4630"/>
        </w:tabs>
        <w:ind w:left="4630" w:hanging="420"/>
      </w:pPr>
    </w:lvl>
  </w:abstractNum>
  <w:abstractNum w:abstractNumId="14">
    <w:nsid w:val="7B5F44F6"/>
    <w:multiLevelType w:val="multilevel"/>
    <w:tmpl w:val="7B5F44F6"/>
    <w:lvl w:ilvl="0" w:tentative="0">
      <w:start w:val="1"/>
      <w:numFmt w:val="decimal"/>
      <w:pStyle w:val="104"/>
      <w:lvlText w:val="（%1）"/>
      <w:lvlJc w:val="left"/>
      <w:pPr>
        <w:tabs>
          <w:tab w:val="left" w:pos="718"/>
        </w:tabs>
        <w:ind w:left="718" w:hanging="720"/>
      </w:pPr>
      <w:rPr>
        <w:rFonts w:hint="eastAsia"/>
        <w:lang w:val="en-US"/>
      </w:rPr>
    </w:lvl>
    <w:lvl w:ilvl="1" w:tentative="0">
      <w:start w:val="1"/>
      <w:numFmt w:val="decimal"/>
      <w:lvlText w:val="（%2）"/>
      <w:lvlJc w:val="left"/>
      <w:pPr>
        <w:tabs>
          <w:tab w:val="left" w:pos="1500"/>
        </w:tabs>
        <w:ind w:left="1500" w:hanging="1080"/>
      </w:pPr>
      <w:rPr>
        <w:rFonts w:hint="default"/>
      </w:rPr>
    </w:lvl>
    <w:lvl w:ilvl="2" w:tentative="0">
      <w:start w:val="1"/>
      <w:numFmt w:val="decimal"/>
      <w:lvlText w:val="%3."/>
      <w:lvlJc w:val="left"/>
      <w:pPr>
        <w:tabs>
          <w:tab w:val="left" w:pos="1200"/>
        </w:tabs>
        <w:ind w:left="1200" w:hanging="360"/>
      </w:pPr>
      <w:rPr>
        <w:rFonts w:hint="default"/>
      </w:rPr>
    </w:lvl>
    <w:lvl w:ilvl="3" w:tentative="0">
      <w:start w:val="4"/>
      <w:numFmt w:val="decimal"/>
      <w:lvlText w:val="%4"/>
      <w:lvlJc w:val="left"/>
      <w:pPr>
        <w:tabs>
          <w:tab w:val="left" w:pos="1620"/>
        </w:tabs>
        <w:ind w:left="1620" w:hanging="360"/>
      </w:pPr>
      <w:rPr>
        <w:rFonts w:hint="default"/>
      </w:rPr>
    </w:lvl>
    <w:lvl w:ilvl="4" w:tentative="0">
      <w:start w:val="2"/>
      <w:numFmt w:val="decimal"/>
      <w:lvlText w:val="%5、"/>
      <w:lvlJc w:val="left"/>
      <w:pPr>
        <w:tabs>
          <w:tab w:val="left" w:pos="2040"/>
        </w:tabs>
        <w:ind w:left="2040" w:hanging="360"/>
      </w:pPr>
      <w:rPr>
        <w:rFonts w:hint="default"/>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6"/>
  </w:num>
  <w:num w:numId="3">
    <w:abstractNumId w:val="1"/>
  </w:num>
  <w:num w:numId="4">
    <w:abstractNumId w:val="8"/>
  </w:num>
  <w:num w:numId="5">
    <w:abstractNumId w:val="4"/>
  </w:num>
  <w:num w:numId="6">
    <w:abstractNumId w:val="12"/>
  </w:num>
  <w:num w:numId="7">
    <w:abstractNumId w:val="11"/>
  </w:num>
  <w:num w:numId="8">
    <w:abstractNumId w:val="14"/>
  </w:num>
  <w:num w:numId="9">
    <w:abstractNumId w:val="13"/>
  </w:num>
  <w:num w:numId="10">
    <w:abstractNumId w:val="2"/>
  </w:num>
  <w:num w:numId="11">
    <w:abstractNumId w:val="5"/>
  </w:num>
  <w:num w:numId="12">
    <w:abstractNumId w:val="10"/>
  </w:num>
  <w:num w:numId="13">
    <w:abstractNumId w:val="0"/>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writeProtection w:cryptProviderType="rsaFull" w:cryptAlgorithmClass="hash" w:cryptAlgorithmType="typeAny" w:cryptAlgorithmSid="4" w:cryptSpinCount="100000" w:hash="LSE4YC8nlnIKGo84qLIrWxXJfdQ=" w:salt="PoXLYZLCAq8d2+eXHZ6Owg=="/>
  <w:documentProtection w:enforcement="0"/>
  <w:defaultTabStop w:val="420"/>
  <w:drawingGridHorizontalSpacing w:val="210"/>
  <w:drawingGridVerticalSpacing w:val="-794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M2RjY2Y4YTdkZDcyZjg1NzIzYTY2ZjdiYjljOTQifQ=="/>
  </w:docVars>
  <w:rsids>
    <w:rsidRoot w:val="00172A27"/>
    <w:rsid w:val="000004EA"/>
    <w:rsid w:val="0000050B"/>
    <w:rsid w:val="00000BC5"/>
    <w:rsid w:val="00001CC7"/>
    <w:rsid w:val="00002C5F"/>
    <w:rsid w:val="000030EC"/>
    <w:rsid w:val="00003556"/>
    <w:rsid w:val="00003DA3"/>
    <w:rsid w:val="00004288"/>
    <w:rsid w:val="000044CC"/>
    <w:rsid w:val="00004BFA"/>
    <w:rsid w:val="00005101"/>
    <w:rsid w:val="00005F82"/>
    <w:rsid w:val="000061ED"/>
    <w:rsid w:val="0000640B"/>
    <w:rsid w:val="0000675A"/>
    <w:rsid w:val="000069FD"/>
    <w:rsid w:val="000112FF"/>
    <w:rsid w:val="0001440C"/>
    <w:rsid w:val="000146B3"/>
    <w:rsid w:val="00015095"/>
    <w:rsid w:val="00015576"/>
    <w:rsid w:val="00015733"/>
    <w:rsid w:val="00015AFD"/>
    <w:rsid w:val="000175FD"/>
    <w:rsid w:val="000178AB"/>
    <w:rsid w:val="00020134"/>
    <w:rsid w:val="00020BB0"/>
    <w:rsid w:val="00022C9F"/>
    <w:rsid w:val="00022CE7"/>
    <w:rsid w:val="00023151"/>
    <w:rsid w:val="00023D69"/>
    <w:rsid w:val="00023D84"/>
    <w:rsid w:val="00023FCB"/>
    <w:rsid w:val="0002416B"/>
    <w:rsid w:val="00024C37"/>
    <w:rsid w:val="00024D1B"/>
    <w:rsid w:val="0002552E"/>
    <w:rsid w:val="000257CB"/>
    <w:rsid w:val="00025CAF"/>
    <w:rsid w:val="000261DF"/>
    <w:rsid w:val="00030E37"/>
    <w:rsid w:val="00031F3B"/>
    <w:rsid w:val="00032C7C"/>
    <w:rsid w:val="00033049"/>
    <w:rsid w:val="00034694"/>
    <w:rsid w:val="00036B78"/>
    <w:rsid w:val="00036CE7"/>
    <w:rsid w:val="00036F10"/>
    <w:rsid w:val="000379D3"/>
    <w:rsid w:val="00037CAF"/>
    <w:rsid w:val="00040830"/>
    <w:rsid w:val="00040EFD"/>
    <w:rsid w:val="000418AE"/>
    <w:rsid w:val="00041C57"/>
    <w:rsid w:val="00043481"/>
    <w:rsid w:val="00043FF3"/>
    <w:rsid w:val="0004434A"/>
    <w:rsid w:val="0004437F"/>
    <w:rsid w:val="0004586B"/>
    <w:rsid w:val="00045CDA"/>
    <w:rsid w:val="00046015"/>
    <w:rsid w:val="000464E5"/>
    <w:rsid w:val="000464F2"/>
    <w:rsid w:val="000466C8"/>
    <w:rsid w:val="00050B32"/>
    <w:rsid w:val="00050EA4"/>
    <w:rsid w:val="00050F7D"/>
    <w:rsid w:val="00051058"/>
    <w:rsid w:val="00052868"/>
    <w:rsid w:val="00052898"/>
    <w:rsid w:val="00052AD7"/>
    <w:rsid w:val="00052B96"/>
    <w:rsid w:val="0005370E"/>
    <w:rsid w:val="000538C5"/>
    <w:rsid w:val="00053E24"/>
    <w:rsid w:val="00054AC7"/>
    <w:rsid w:val="00055172"/>
    <w:rsid w:val="00055E2D"/>
    <w:rsid w:val="00056F02"/>
    <w:rsid w:val="0005767B"/>
    <w:rsid w:val="00057965"/>
    <w:rsid w:val="00057988"/>
    <w:rsid w:val="0006002E"/>
    <w:rsid w:val="000603AE"/>
    <w:rsid w:val="00060E90"/>
    <w:rsid w:val="00062286"/>
    <w:rsid w:val="000628B7"/>
    <w:rsid w:val="000629DD"/>
    <w:rsid w:val="00063EF6"/>
    <w:rsid w:val="000644C8"/>
    <w:rsid w:val="00064B22"/>
    <w:rsid w:val="000653E6"/>
    <w:rsid w:val="0006582F"/>
    <w:rsid w:val="00065C6F"/>
    <w:rsid w:val="00066BCE"/>
    <w:rsid w:val="00066FD2"/>
    <w:rsid w:val="000671C2"/>
    <w:rsid w:val="00067A3D"/>
    <w:rsid w:val="00071065"/>
    <w:rsid w:val="0007133D"/>
    <w:rsid w:val="00072C51"/>
    <w:rsid w:val="00074756"/>
    <w:rsid w:val="00074A2E"/>
    <w:rsid w:val="000759CD"/>
    <w:rsid w:val="00076199"/>
    <w:rsid w:val="000763D6"/>
    <w:rsid w:val="000767F1"/>
    <w:rsid w:val="000768C2"/>
    <w:rsid w:val="00077C5A"/>
    <w:rsid w:val="00077C65"/>
    <w:rsid w:val="00077D1C"/>
    <w:rsid w:val="000805B4"/>
    <w:rsid w:val="000805F3"/>
    <w:rsid w:val="0008191F"/>
    <w:rsid w:val="000823CA"/>
    <w:rsid w:val="0008249C"/>
    <w:rsid w:val="00082D14"/>
    <w:rsid w:val="00084725"/>
    <w:rsid w:val="00085213"/>
    <w:rsid w:val="00085526"/>
    <w:rsid w:val="00085671"/>
    <w:rsid w:val="00086220"/>
    <w:rsid w:val="0008647A"/>
    <w:rsid w:val="00086D05"/>
    <w:rsid w:val="000902DD"/>
    <w:rsid w:val="00090FF0"/>
    <w:rsid w:val="00091279"/>
    <w:rsid w:val="00091A5B"/>
    <w:rsid w:val="00091BBB"/>
    <w:rsid w:val="000921A5"/>
    <w:rsid w:val="00092A41"/>
    <w:rsid w:val="00092E2F"/>
    <w:rsid w:val="00093452"/>
    <w:rsid w:val="00093E11"/>
    <w:rsid w:val="00094511"/>
    <w:rsid w:val="00094FBD"/>
    <w:rsid w:val="000964AE"/>
    <w:rsid w:val="00096830"/>
    <w:rsid w:val="00096A4C"/>
    <w:rsid w:val="00096AB2"/>
    <w:rsid w:val="00097703"/>
    <w:rsid w:val="000A02DC"/>
    <w:rsid w:val="000A0970"/>
    <w:rsid w:val="000A098B"/>
    <w:rsid w:val="000A105B"/>
    <w:rsid w:val="000A17F1"/>
    <w:rsid w:val="000A1997"/>
    <w:rsid w:val="000A1B2F"/>
    <w:rsid w:val="000A2B5E"/>
    <w:rsid w:val="000A2C33"/>
    <w:rsid w:val="000A40EB"/>
    <w:rsid w:val="000A426B"/>
    <w:rsid w:val="000A48F1"/>
    <w:rsid w:val="000A498D"/>
    <w:rsid w:val="000A4D9F"/>
    <w:rsid w:val="000A4F54"/>
    <w:rsid w:val="000A5260"/>
    <w:rsid w:val="000A5A13"/>
    <w:rsid w:val="000A5AEA"/>
    <w:rsid w:val="000A61FB"/>
    <w:rsid w:val="000A707C"/>
    <w:rsid w:val="000A7956"/>
    <w:rsid w:val="000A797C"/>
    <w:rsid w:val="000A79BC"/>
    <w:rsid w:val="000B01D9"/>
    <w:rsid w:val="000B1726"/>
    <w:rsid w:val="000B207A"/>
    <w:rsid w:val="000B4743"/>
    <w:rsid w:val="000B479A"/>
    <w:rsid w:val="000B481A"/>
    <w:rsid w:val="000B50F0"/>
    <w:rsid w:val="000B5628"/>
    <w:rsid w:val="000B578F"/>
    <w:rsid w:val="000B5947"/>
    <w:rsid w:val="000B61C8"/>
    <w:rsid w:val="000B62FD"/>
    <w:rsid w:val="000B690C"/>
    <w:rsid w:val="000B7E47"/>
    <w:rsid w:val="000C00E8"/>
    <w:rsid w:val="000C014A"/>
    <w:rsid w:val="000C0CF2"/>
    <w:rsid w:val="000C127F"/>
    <w:rsid w:val="000C130F"/>
    <w:rsid w:val="000C1EF5"/>
    <w:rsid w:val="000C20B7"/>
    <w:rsid w:val="000C2A06"/>
    <w:rsid w:val="000C2B93"/>
    <w:rsid w:val="000C52E4"/>
    <w:rsid w:val="000C5386"/>
    <w:rsid w:val="000C5ECD"/>
    <w:rsid w:val="000C651E"/>
    <w:rsid w:val="000C6718"/>
    <w:rsid w:val="000C6C05"/>
    <w:rsid w:val="000C6D8C"/>
    <w:rsid w:val="000D0584"/>
    <w:rsid w:val="000D1DAB"/>
    <w:rsid w:val="000D20F9"/>
    <w:rsid w:val="000D3957"/>
    <w:rsid w:val="000D41AC"/>
    <w:rsid w:val="000D4A3D"/>
    <w:rsid w:val="000D4B64"/>
    <w:rsid w:val="000D7011"/>
    <w:rsid w:val="000D7020"/>
    <w:rsid w:val="000D739A"/>
    <w:rsid w:val="000D741B"/>
    <w:rsid w:val="000D788C"/>
    <w:rsid w:val="000D7CAA"/>
    <w:rsid w:val="000E064F"/>
    <w:rsid w:val="000E183F"/>
    <w:rsid w:val="000E233A"/>
    <w:rsid w:val="000E2ACA"/>
    <w:rsid w:val="000E31A0"/>
    <w:rsid w:val="000E36BA"/>
    <w:rsid w:val="000E465B"/>
    <w:rsid w:val="000E4D73"/>
    <w:rsid w:val="000E54E5"/>
    <w:rsid w:val="000E6182"/>
    <w:rsid w:val="000E68BB"/>
    <w:rsid w:val="000E6F6D"/>
    <w:rsid w:val="000E78BC"/>
    <w:rsid w:val="000E7C0F"/>
    <w:rsid w:val="000F02E9"/>
    <w:rsid w:val="000F0DF1"/>
    <w:rsid w:val="000F0ED8"/>
    <w:rsid w:val="000F1CEB"/>
    <w:rsid w:val="000F3B65"/>
    <w:rsid w:val="000F4950"/>
    <w:rsid w:val="000F4ABD"/>
    <w:rsid w:val="000F4BE8"/>
    <w:rsid w:val="000F574E"/>
    <w:rsid w:val="000F60CB"/>
    <w:rsid w:val="000F6183"/>
    <w:rsid w:val="000F63B5"/>
    <w:rsid w:val="00100B88"/>
    <w:rsid w:val="001011FD"/>
    <w:rsid w:val="00101350"/>
    <w:rsid w:val="00101910"/>
    <w:rsid w:val="00101D8C"/>
    <w:rsid w:val="00101E6B"/>
    <w:rsid w:val="00102264"/>
    <w:rsid w:val="001042F8"/>
    <w:rsid w:val="001052D2"/>
    <w:rsid w:val="001055EE"/>
    <w:rsid w:val="00105655"/>
    <w:rsid w:val="0010637E"/>
    <w:rsid w:val="00106B33"/>
    <w:rsid w:val="0010724F"/>
    <w:rsid w:val="00110596"/>
    <w:rsid w:val="00110830"/>
    <w:rsid w:val="00110E87"/>
    <w:rsid w:val="00111312"/>
    <w:rsid w:val="0011180F"/>
    <w:rsid w:val="00111B35"/>
    <w:rsid w:val="0011253D"/>
    <w:rsid w:val="001128A9"/>
    <w:rsid w:val="00112AA9"/>
    <w:rsid w:val="0011303E"/>
    <w:rsid w:val="001134EC"/>
    <w:rsid w:val="00114633"/>
    <w:rsid w:val="00114C46"/>
    <w:rsid w:val="00115CEC"/>
    <w:rsid w:val="001160F1"/>
    <w:rsid w:val="00116892"/>
    <w:rsid w:val="0011793B"/>
    <w:rsid w:val="00121755"/>
    <w:rsid w:val="00121E7D"/>
    <w:rsid w:val="001224BC"/>
    <w:rsid w:val="0012271C"/>
    <w:rsid w:val="00123056"/>
    <w:rsid w:val="0012349D"/>
    <w:rsid w:val="0012387D"/>
    <w:rsid w:val="001263EA"/>
    <w:rsid w:val="00126E15"/>
    <w:rsid w:val="001271FA"/>
    <w:rsid w:val="0013025F"/>
    <w:rsid w:val="00131DF7"/>
    <w:rsid w:val="00132672"/>
    <w:rsid w:val="00132A9F"/>
    <w:rsid w:val="00133AEE"/>
    <w:rsid w:val="00134888"/>
    <w:rsid w:val="00134C80"/>
    <w:rsid w:val="0013500C"/>
    <w:rsid w:val="001363FB"/>
    <w:rsid w:val="001368C8"/>
    <w:rsid w:val="00137ABD"/>
    <w:rsid w:val="001404EE"/>
    <w:rsid w:val="0014102D"/>
    <w:rsid w:val="001419D4"/>
    <w:rsid w:val="00141E37"/>
    <w:rsid w:val="00141F76"/>
    <w:rsid w:val="00141FD4"/>
    <w:rsid w:val="00142C19"/>
    <w:rsid w:val="001435CD"/>
    <w:rsid w:val="00144621"/>
    <w:rsid w:val="00144AA8"/>
    <w:rsid w:val="00144BC6"/>
    <w:rsid w:val="00144CBA"/>
    <w:rsid w:val="00144DDD"/>
    <w:rsid w:val="00145379"/>
    <w:rsid w:val="001456F8"/>
    <w:rsid w:val="00146358"/>
    <w:rsid w:val="0014711E"/>
    <w:rsid w:val="00147A4A"/>
    <w:rsid w:val="00147A93"/>
    <w:rsid w:val="00147C87"/>
    <w:rsid w:val="00150C9D"/>
    <w:rsid w:val="00150D23"/>
    <w:rsid w:val="001513A2"/>
    <w:rsid w:val="001519A1"/>
    <w:rsid w:val="00151DEE"/>
    <w:rsid w:val="00152194"/>
    <w:rsid w:val="001522B4"/>
    <w:rsid w:val="00154400"/>
    <w:rsid w:val="001545EC"/>
    <w:rsid w:val="00154647"/>
    <w:rsid w:val="001557B8"/>
    <w:rsid w:val="001558BD"/>
    <w:rsid w:val="00155F4D"/>
    <w:rsid w:val="00156515"/>
    <w:rsid w:val="0015687A"/>
    <w:rsid w:val="001614DC"/>
    <w:rsid w:val="00161662"/>
    <w:rsid w:val="001619DB"/>
    <w:rsid w:val="00161ACD"/>
    <w:rsid w:val="00162982"/>
    <w:rsid w:val="00162D9F"/>
    <w:rsid w:val="00163474"/>
    <w:rsid w:val="001635B7"/>
    <w:rsid w:val="00163C27"/>
    <w:rsid w:val="00164054"/>
    <w:rsid w:val="001648AD"/>
    <w:rsid w:val="00165927"/>
    <w:rsid w:val="00167CF2"/>
    <w:rsid w:val="001701E8"/>
    <w:rsid w:val="00170AE2"/>
    <w:rsid w:val="00171114"/>
    <w:rsid w:val="00171261"/>
    <w:rsid w:val="001721D4"/>
    <w:rsid w:val="00172470"/>
    <w:rsid w:val="001728BA"/>
    <w:rsid w:val="00172A27"/>
    <w:rsid w:val="00172F62"/>
    <w:rsid w:val="001734C2"/>
    <w:rsid w:val="00173896"/>
    <w:rsid w:val="00173EF3"/>
    <w:rsid w:val="00174880"/>
    <w:rsid w:val="00175220"/>
    <w:rsid w:val="00175970"/>
    <w:rsid w:val="00176222"/>
    <w:rsid w:val="001800DD"/>
    <w:rsid w:val="001809A1"/>
    <w:rsid w:val="00180BF3"/>
    <w:rsid w:val="00181142"/>
    <w:rsid w:val="0018196D"/>
    <w:rsid w:val="0018281D"/>
    <w:rsid w:val="00182F52"/>
    <w:rsid w:val="001831F3"/>
    <w:rsid w:val="00183A6C"/>
    <w:rsid w:val="00183B10"/>
    <w:rsid w:val="00184082"/>
    <w:rsid w:val="00184801"/>
    <w:rsid w:val="001852C3"/>
    <w:rsid w:val="00186B94"/>
    <w:rsid w:val="00186E9A"/>
    <w:rsid w:val="00186F4B"/>
    <w:rsid w:val="001870F5"/>
    <w:rsid w:val="00187291"/>
    <w:rsid w:val="00187995"/>
    <w:rsid w:val="0019103C"/>
    <w:rsid w:val="001914D9"/>
    <w:rsid w:val="00192254"/>
    <w:rsid w:val="001927A9"/>
    <w:rsid w:val="00193C6F"/>
    <w:rsid w:val="001953E8"/>
    <w:rsid w:val="00195587"/>
    <w:rsid w:val="0019573F"/>
    <w:rsid w:val="00195788"/>
    <w:rsid w:val="0019646C"/>
    <w:rsid w:val="00196C91"/>
    <w:rsid w:val="001975FF"/>
    <w:rsid w:val="00197C9C"/>
    <w:rsid w:val="001A015B"/>
    <w:rsid w:val="001A0935"/>
    <w:rsid w:val="001A165F"/>
    <w:rsid w:val="001A18E8"/>
    <w:rsid w:val="001A223E"/>
    <w:rsid w:val="001A3845"/>
    <w:rsid w:val="001A41A9"/>
    <w:rsid w:val="001A46A6"/>
    <w:rsid w:val="001A4A65"/>
    <w:rsid w:val="001A5B4F"/>
    <w:rsid w:val="001A67D8"/>
    <w:rsid w:val="001A6EDD"/>
    <w:rsid w:val="001A6F8B"/>
    <w:rsid w:val="001A7BCB"/>
    <w:rsid w:val="001B0A51"/>
    <w:rsid w:val="001B223C"/>
    <w:rsid w:val="001B29B5"/>
    <w:rsid w:val="001B2C12"/>
    <w:rsid w:val="001B2FDA"/>
    <w:rsid w:val="001B339A"/>
    <w:rsid w:val="001B3DF4"/>
    <w:rsid w:val="001B429F"/>
    <w:rsid w:val="001B443D"/>
    <w:rsid w:val="001B4A8E"/>
    <w:rsid w:val="001B61FB"/>
    <w:rsid w:val="001B7B1B"/>
    <w:rsid w:val="001B7F78"/>
    <w:rsid w:val="001C014E"/>
    <w:rsid w:val="001C08E3"/>
    <w:rsid w:val="001C09AB"/>
    <w:rsid w:val="001C2294"/>
    <w:rsid w:val="001C3E78"/>
    <w:rsid w:val="001C4227"/>
    <w:rsid w:val="001C5BAD"/>
    <w:rsid w:val="001C5C38"/>
    <w:rsid w:val="001C6649"/>
    <w:rsid w:val="001C691E"/>
    <w:rsid w:val="001C69C0"/>
    <w:rsid w:val="001C6B76"/>
    <w:rsid w:val="001C77B4"/>
    <w:rsid w:val="001C7A56"/>
    <w:rsid w:val="001D0BF1"/>
    <w:rsid w:val="001D0E71"/>
    <w:rsid w:val="001D123F"/>
    <w:rsid w:val="001D16ED"/>
    <w:rsid w:val="001D174A"/>
    <w:rsid w:val="001D18EF"/>
    <w:rsid w:val="001D1BE8"/>
    <w:rsid w:val="001D2251"/>
    <w:rsid w:val="001D312A"/>
    <w:rsid w:val="001D391E"/>
    <w:rsid w:val="001D3AC6"/>
    <w:rsid w:val="001D3CF4"/>
    <w:rsid w:val="001D4643"/>
    <w:rsid w:val="001D494A"/>
    <w:rsid w:val="001D4B25"/>
    <w:rsid w:val="001D5193"/>
    <w:rsid w:val="001D722F"/>
    <w:rsid w:val="001E0239"/>
    <w:rsid w:val="001E0596"/>
    <w:rsid w:val="001E3DC9"/>
    <w:rsid w:val="001E4D0B"/>
    <w:rsid w:val="001E60FF"/>
    <w:rsid w:val="001E6451"/>
    <w:rsid w:val="001E7B79"/>
    <w:rsid w:val="001F004E"/>
    <w:rsid w:val="001F0211"/>
    <w:rsid w:val="001F0BE8"/>
    <w:rsid w:val="001F113E"/>
    <w:rsid w:val="001F1C06"/>
    <w:rsid w:val="001F1EEE"/>
    <w:rsid w:val="001F2CFF"/>
    <w:rsid w:val="001F2D85"/>
    <w:rsid w:val="001F311C"/>
    <w:rsid w:val="001F3B09"/>
    <w:rsid w:val="001F3B5D"/>
    <w:rsid w:val="001F50D3"/>
    <w:rsid w:val="001F5C4B"/>
    <w:rsid w:val="001F6391"/>
    <w:rsid w:val="001F6585"/>
    <w:rsid w:val="001F65BA"/>
    <w:rsid w:val="001F6C3B"/>
    <w:rsid w:val="001F787D"/>
    <w:rsid w:val="001F78EF"/>
    <w:rsid w:val="001F7D86"/>
    <w:rsid w:val="00200509"/>
    <w:rsid w:val="00200879"/>
    <w:rsid w:val="0020189D"/>
    <w:rsid w:val="00201B3E"/>
    <w:rsid w:val="00202A6C"/>
    <w:rsid w:val="002037F0"/>
    <w:rsid w:val="00203BCC"/>
    <w:rsid w:val="00204254"/>
    <w:rsid w:val="00204928"/>
    <w:rsid w:val="00205BB0"/>
    <w:rsid w:val="00205F09"/>
    <w:rsid w:val="00206C97"/>
    <w:rsid w:val="00207A76"/>
    <w:rsid w:val="00207D20"/>
    <w:rsid w:val="00207FFE"/>
    <w:rsid w:val="002105A6"/>
    <w:rsid w:val="0021251D"/>
    <w:rsid w:val="00213065"/>
    <w:rsid w:val="00213144"/>
    <w:rsid w:val="002159FB"/>
    <w:rsid w:val="00215FD3"/>
    <w:rsid w:val="0021609B"/>
    <w:rsid w:val="0021647B"/>
    <w:rsid w:val="00216DC9"/>
    <w:rsid w:val="00217204"/>
    <w:rsid w:val="002211C2"/>
    <w:rsid w:val="00222BF9"/>
    <w:rsid w:val="00222DD4"/>
    <w:rsid w:val="00222DDF"/>
    <w:rsid w:val="00223328"/>
    <w:rsid w:val="00223658"/>
    <w:rsid w:val="0022373E"/>
    <w:rsid w:val="00224243"/>
    <w:rsid w:val="002242F8"/>
    <w:rsid w:val="002243A0"/>
    <w:rsid w:val="00224655"/>
    <w:rsid w:val="00225549"/>
    <w:rsid w:val="00225817"/>
    <w:rsid w:val="002267FA"/>
    <w:rsid w:val="002304D8"/>
    <w:rsid w:val="00230DA0"/>
    <w:rsid w:val="002336AD"/>
    <w:rsid w:val="00233DEA"/>
    <w:rsid w:val="002340EA"/>
    <w:rsid w:val="00234372"/>
    <w:rsid w:val="00236C98"/>
    <w:rsid w:val="00236E93"/>
    <w:rsid w:val="0023702C"/>
    <w:rsid w:val="0023734A"/>
    <w:rsid w:val="002378A0"/>
    <w:rsid w:val="00237A85"/>
    <w:rsid w:val="0024024B"/>
    <w:rsid w:val="002407C6"/>
    <w:rsid w:val="00241101"/>
    <w:rsid w:val="00241E0A"/>
    <w:rsid w:val="00241E46"/>
    <w:rsid w:val="00241F88"/>
    <w:rsid w:val="00242394"/>
    <w:rsid w:val="00243B43"/>
    <w:rsid w:val="00243FD5"/>
    <w:rsid w:val="002443C7"/>
    <w:rsid w:val="0024457A"/>
    <w:rsid w:val="00244B3E"/>
    <w:rsid w:val="002451DC"/>
    <w:rsid w:val="00245709"/>
    <w:rsid w:val="00245831"/>
    <w:rsid w:val="00245C23"/>
    <w:rsid w:val="00246D90"/>
    <w:rsid w:val="002471B6"/>
    <w:rsid w:val="00247979"/>
    <w:rsid w:val="00247EC1"/>
    <w:rsid w:val="00251E4B"/>
    <w:rsid w:val="0025223B"/>
    <w:rsid w:val="0025273D"/>
    <w:rsid w:val="002532DE"/>
    <w:rsid w:val="002535C9"/>
    <w:rsid w:val="00253A44"/>
    <w:rsid w:val="00253EB0"/>
    <w:rsid w:val="00253ECC"/>
    <w:rsid w:val="002544B1"/>
    <w:rsid w:val="00255EE1"/>
    <w:rsid w:val="00256210"/>
    <w:rsid w:val="00257C00"/>
    <w:rsid w:val="00260187"/>
    <w:rsid w:val="0026027B"/>
    <w:rsid w:val="002602D9"/>
    <w:rsid w:val="002602FC"/>
    <w:rsid w:val="002605C1"/>
    <w:rsid w:val="00260884"/>
    <w:rsid w:val="002610C8"/>
    <w:rsid w:val="002610CC"/>
    <w:rsid w:val="00262387"/>
    <w:rsid w:val="0026363A"/>
    <w:rsid w:val="00263A02"/>
    <w:rsid w:val="00263C26"/>
    <w:rsid w:val="002642A3"/>
    <w:rsid w:val="002646C2"/>
    <w:rsid w:val="00265732"/>
    <w:rsid w:val="00265EA4"/>
    <w:rsid w:val="00267321"/>
    <w:rsid w:val="002674BD"/>
    <w:rsid w:val="002679ED"/>
    <w:rsid w:val="00270E18"/>
    <w:rsid w:val="00271506"/>
    <w:rsid w:val="00271CC4"/>
    <w:rsid w:val="0027292D"/>
    <w:rsid w:val="0027297F"/>
    <w:rsid w:val="00273B97"/>
    <w:rsid w:val="002741B0"/>
    <w:rsid w:val="00274521"/>
    <w:rsid w:val="00274955"/>
    <w:rsid w:val="002755A3"/>
    <w:rsid w:val="00275D04"/>
    <w:rsid w:val="00276301"/>
    <w:rsid w:val="00276884"/>
    <w:rsid w:val="002769B9"/>
    <w:rsid w:val="00276A97"/>
    <w:rsid w:val="00276DB2"/>
    <w:rsid w:val="00277659"/>
    <w:rsid w:val="00277DC8"/>
    <w:rsid w:val="00277F1C"/>
    <w:rsid w:val="0028075E"/>
    <w:rsid w:val="00280B0E"/>
    <w:rsid w:val="0028108C"/>
    <w:rsid w:val="00281768"/>
    <w:rsid w:val="00281AC5"/>
    <w:rsid w:val="00281BA5"/>
    <w:rsid w:val="00281D9C"/>
    <w:rsid w:val="00282596"/>
    <w:rsid w:val="00283317"/>
    <w:rsid w:val="00283F5E"/>
    <w:rsid w:val="002851B5"/>
    <w:rsid w:val="00285836"/>
    <w:rsid w:val="0028657F"/>
    <w:rsid w:val="00286C7C"/>
    <w:rsid w:val="00286CA5"/>
    <w:rsid w:val="00286E04"/>
    <w:rsid w:val="002914AD"/>
    <w:rsid w:val="00291905"/>
    <w:rsid w:val="00291B7A"/>
    <w:rsid w:val="00292F07"/>
    <w:rsid w:val="002931A8"/>
    <w:rsid w:val="00293555"/>
    <w:rsid w:val="00294060"/>
    <w:rsid w:val="00294606"/>
    <w:rsid w:val="00296049"/>
    <w:rsid w:val="002971FF"/>
    <w:rsid w:val="00297693"/>
    <w:rsid w:val="00297FAB"/>
    <w:rsid w:val="002A0589"/>
    <w:rsid w:val="002A0853"/>
    <w:rsid w:val="002A1DC3"/>
    <w:rsid w:val="002A26BC"/>
    <w:rsid w:val="002A28D7"/>
    <w:rsid w:val="002A3A31"/>
    <w:rsid w:val="002A4522"/>
    <w:rsid w:val="002A6427"/>
    <w:rsid w:val="002A7A76"/>
    <w:rsid w:val="002A7BF9"/>
    <w:rsid w:val="002A7E5C"/>
    <w:rsid w:val="002B0459"/>
    <w:rsid w:val="002B047C"/>
    <w:rsid w:val="002B08B8"/>
    <w:rsid w:val="002B0D8F"/>
    <w:rsid w:val="002B1943"/>
    <w:rsid w:val="002B1BD9"/>
    <w:rsid w:val="002B2648"/>
    <w:rsid w:val="002B2A76"/>
    <w:rsid w:val="002B3694"/>
    <w:rsid w:val="002B4A09"/>
    <w:rsid w:val="002B544F"/>
    <w:rsid w:val="002B72A7"/>
    <w:rsid w:val="002B76CF"/>
    <w:rsid w:val="002B79BF"/>
    <w:rsid w:val="002C02DE"/>
    <w:rsid w:val="002C0C02"/>
    <w:rsid w:val="002C0C03"/>
    <w:rsid w:val="002C0DCE"/>
    <w:rsid w:val="002C117D"/>
    <w:rsid w:val="002C1AAE"/>
    <w:rsid w:val="002C1B4B"/>
    <w:rsid w:val="002C2F77"/>
    <w:rsid w:val="002C3295"/>
    <w:rsid w:val="002C37EE"/>
    <w:rsid w:val="002C402F"/>
    <w:rsid w:val="002C4EE3"/>
    <w:rsid w:val="002C52EF"/>
    <w:rsid w:val="002C57BF"/>
    <w:rsid w:val="002C726F"/>
    <w:rsid w:val="002C7718"/>
    <w:rsid w:val="002D1C6B"/>
    <w:rsid w:val="002D2B48"/>
    <w:rsid w:val="002D30FF"/>
    <w:rsid w:val="002D3B1F"/>
    <w:rsid w:val="002D3C28"/>
    <w:rsid w:val="002D3C35"/>
    <w:rsid w:val="002D4889"/>
    <w:rsid w:val="002D5383"/>
    <w:rsid w:val="002D739E"/>
    <w:rsid w:val="002D7676"/>
    <w:rsid w:val="002E05BB"/>
    <w:rsid w:val="002E06A8"/>
    <w:rsid w:val="002E145F"/>
    <w:rsid w:val="002E1A18"/>
    <w:rsid w:val="002E2348"/>
    <w:rsid w:val="002E4B6E"/>
    <w:rsid w:val="002E4C72"/>
    <w:rsid w:val="002E4D43"/>
    <w:rsid w:val="002E6346"/>
    <w:rsid w:val="002F0AEF"/>
    <w:rsid w:val="002F12A6"/>
    <w:rsid w:val="002F1B09"/>
    <w:rsid w:val="002F1C67"/>
    <w:rsid w:val="002F1D17"/>
    <w:rsid w:val="002F1DAF"/>
    <w:rsid w:val="002F2347"/>
    <w:rsid w:val="002F241C"/>
    <w:rsid w:val="002F251C"/>
    <w:rsid w:val="002F2642"/>
    <w:rsid w:val="002F2903"/>
    <w:rsid w:val="002F2E5D"/>
    <w:rsid w:val="002F33D5"/>
    <w:rsid w:val="002F4767"/>
    <w:rsid w:val="002F4BE3"/>
    <w:rsid w:val="002F70A0"/>
    <w:rsid w:val="002F7A5F"/>
    <w:rsid w:val="002F7EDB"/>
    <w:rsid w:val="003009EC"/>
    <w:rsid w:val="00300F8C"/>
    <w:rsid w:val="00300FE0"/>
    <w:rsid w:val="00302AEB"/>
    <w:rsid w:val="00303E81"/>
    <w:rsid w:val="00304749"/>
    <w:rsid w:val="003047D1"/>
    <w:rsid w:val="00304E5D"/>
    <w:rsid w:val="00305711"/>
    <w:rsid w:val="0030575E"/>
    <w:rsid w:val="0030592A"/>
    <w:rsid w:val="00305997"/>
    <w:rsid w:val="00305FCB"/>
    <w:rsid w:val="00306E9C"/>
    <w:rsid w:val="003076B8"/>
    <w:rsid w:val="00307916"/>
    <w:rsid w:val="0031062E"/>
    <w:rsid w:val="003107AA"/>
    <w:rsid w:val="00310EC7"/>
    <w:rsid w:val="00311008"/>
    <w:rsid w:val="00311F2F"/>
    <w:rsid w:val="003121B6"/>
    <w:rsid w:val="003137C0"/>
    <w:rsid w:val="00314C4C"/>
    <w:rsid w:val="00315544"/>
    <w:rsid w:val="0031648E"/>
    <w:rsid w:val="00316EA3"/>
    <w:rsid w:val="003176D7"/>
    <w:rsid w:val="003206F6"/>
    <w:rsid w:val="00320D1D"/>
    <w:rsid w:val="00321D33"/>
    <w:rsid w:val="00321EFC"/>
    <w:rsid w:val="003229D0"/>
    <w:rsid w:val="00322BC6"/>
    <w:rsid w:val="00323266"/>
    <w:rsid w:val="00323847"/>
    <w:rsid w:val="00323948"/>
    <w:rsid w:val="00323D16"/>
    <w:rsid w:val="003244AC"/>
    <w:rsid w:val="00324A2B"/>
    <w:rsid w:val="00324AC1"/>
    <w:rsid w:val="003263DA"/>
    <w:rsid w:val="003264E9"/>
    <w:rsid w:val="003265D6"/>
    <w:rsid w:val="0032665C"/>
    <w:rsid w:val="003272DB"/>
    <w:rsid w:val="00327963"/>
    <w:rsid w:val="00330E19"/>
    <w:rsid w:val="00332B91"/>
    <w:rsid w:val="00333019"/>
    <w:rsid w:val="0033390B"/>
    <w:rsid w:val="00333BF7"/>
    <w:rsid w:val="00334389"/>
    <w:rsid w:val="0033483E"/>
    <w:rsid w:val="00334AB8"/>
    <w:rsid w:val="003352CD"/>
    <w:rsid w:val="00335CAD"/>
    <w:rsid w:val="0034078E"/>
    <w:rsid w:val="00340B9C"/>
    <w:rsid w:val="00340F16"/>
    <w:rsid w:val="00342D78"/>
    <w:rsid w:val="00344074"/>
    <w:rsid w:val="003444BB"/>
    <w:rsid w:val="00344583"/>
    <w:rsid w:val="00344A59"/>
    <w:rsid w:val="00344C9F"/>
    <w:rsid w:val="00345426"/>
    <w:rsid w:val="00346A43"/>
    <w:rsid w:val="0034736B"/>
    <w:rsid w:val="00347F1E"/>
    <w:rsid w:val="00350563"/>
    <w:rsid w:val="0035088A"/>
    <w:rsid w:val="00350C4F"/>
    <w:rsid w:val="003511B8"/>
    <w:rsid w:val="003526C2"/>
    <w:rsid w:val="00352997"/>
    <w:rsid w:val="003534C5"/>
    <w:rsid w:val="00353520"/>
    <w:rsid w:val="00353F11"/>
    <w:rsid w:val="00355004"/>
    <w:rsid w:val="003555B6"/>
    <w:rsid w:val="003563A7"/>
    <w:rsid w:val="00356F74"/>
    <w:rsid w:val="003570AC"/>
    <w:rsid w:val="00357A4A"/>
    <w:rsid w:val="00357B87"/>
    <w:rsid w:val="00357E5D"/>
    <w:rsid w:val="003600EE"/>
    <w:rsid w:val="00360714"/>
    <w:rsid w:val="003607ED"/>
    <w:rsid w:val="00360C7C"/>
    <w:rsid w:val="003615B7"/>
    <w:rsid w:val="003626F8"/>
    <w:rsid w:val="00363247"/>
    <w:rsid w:val="00363817"/>
    <w:rsid w:val="003639DC"/>
    <w:rsid w:val="00364E3F"/>
    <w:rsid w:val="003655C2"/>
    <w:rsid w:val="0036611B"/>
    <w:rsid w:val="003665DB"/>
    <w:rsid w:val="00366B6D"/>
    <w:rsid w:val="0036797B"/>
    <w:rsid w:val="003704CB"/>
    <w:rsid w:val="00370EC6"/>
    <w:rsid w:val="003717CB"/>
    <w:rsid w:val="003724DD"/>
    <w:rsid w:val="00372677"/>
    <w:rsid w:val="00372925"/>
    <w:rsid w:val="00372DFB"/>
    <w:rsid w:val="00373164"/>
    <w:rsid w:val="003733F2"/>
    <w:rsid w:val="00373CD7"/>
    <w:rsid w:val="00373D43"/>
    <w:rsid w:val="003752AA"/>
    <w:rsid w:val="003754B6"/>
    <w:rsid w:val="003775E4"/>
    <w:rsid w:val="00377CDE"/>
    <w:rsid w:val="00377DD5"/>
    <w:rsid w:val="00377F48"/>
    <w:rsid w:val="00380378"/>
    <w:rsid w:val="00380749"/>
    <w:rsid w:val="00380BDA"/>
    <w:rsid w:val="00381361"/>
    <w:rsid w:val="00381BB2"/>
    <w:rsid w:val="00382321"/>
    <w:rsid w:val="00382BE4"/>
    <w:rsid w:val="00383DB7"/>
    <w:rsid w:val="003859B4"/>
    <w:rsid w:val="00385C53"/>
    <w:rsid w:val="00385C9F"/>
    <w:rsid w:val="00386159"/>
    <w:rsid w:val="00386659"/>
    <w:rsid w:val="00387B5E"/>
    <w:rsid w:val="00387EAD"/>
    <w:rsid w:val="003907B6"/>
    <w:rsid w:val="00390C93"/>
    <w:rsid w:val="0039226E"/>
    <w:rsid w:val="00392C7B"/>
    <w:rsid w:val="003931E5"/>
    <w:rsid w:val="0039336D"/>
    <w:rsid w:val="00394020"/>
    <w:rsid w:val="00395449"/>
    <w:rsid w:val="00396169"/>
    <w:rsid w:val="0039750F"/>
    <w:rsid w:val="003A1884"/>
    <w:rsid w:val="003A3A1E"/>
    <w:rsid w:val="003A3F3B"/>
    <w:rsid w:val="003A488C"/>
    <w:rsid w:val="003A51A0"/>
    <w:rsid w:val="003A748F"/>
    <w:rsid w:val="003A7E4E"/>
    <w:rsid w:val="003B02DE"/>
    <w:rsid w:val="003B04F9"/>
    <w:rsid w:val="003B12C5"/>
    <w:rsid w:val="003B22EE"/>
    <w:rsid w:val="003B2F58"/>
    <w:rsid w:val="003B30B9"/>
    <w:rsid w:val="003B3EFC"/>
    <w:rsid w:val="003B3F38"/>
    <w:rsid w:val="003B4324"/>
    <w:rsid w:val="003B471B"/>
    <w:rsid w:val="003B4CB5"/>
    <w:rsid w:val="003B4DD6"/>
    <w:rsid w:val="003B4E63"/>
    <w:rsid w:val="003B4EEE"/>
    <w:rsid w:val="003B5EC9"/>
    <w:rsid w:val="003B5FE1"/>
    <w:rsid w:val="003B64D8"/>
    <w:rsid w:val="003B6874"/>
    <w:rsid w:val="003C0992"/>
    <w:rsid w:val="003C2DC7"/>
    <w:rsid w:val="003C3757"/>
    <w:rsid w:val="003C40A4"/>
    <w:rsid w:val="003C4DE5"/>
    <w:rsid w:val="003C5059"/>
    <w:rsid w:val="003C5982"/>
    <w:rsid w:val="003C6846"/>
    <w:rsid w:val="003C6856"/>
    <w:rsid w:val="003C71AA"/>
    <w:rsid w:val="003C71E5"/>
    <w:rsid w:val="003C737C"/>
    <w:rsid w:val="003C76FA"/>
    <w:rsid w:val="003D0C32"/>
    <w:rsid w:val="003D13D9"/>
    <w:rsid w:val="003D1A12"/>
    <w:rsid w:val="003D225A"/>
    <w:rsid w:val="003D233B"/>
    <w:rsid w:val="003D367C"/>
    <w:rsid w:val="003D45C1"/>
    <w:rsid w:val="003D517F"/>
    <w:rsid w:val="003D5302"/>
    <w:rsid w:val="003D7931"/>
    <w:rsid w:val="003D7BF4"/>
    <w:rsid w:val="003D7CA8"/>
    <w:rsid w:val="003E0709"/>
    <w:rsid w:val="003E14B1"/>
    <w:rsid w:val="003E1649"/>
    <w:rsid w:val="003E1696"/>
    <w:rsid w:val="003E1A53"/>
    <w:rsid w:val="003E1EC7"/>
    <w:rsid w:val="003E2886"/>
    <w:rsid w:val="003E395B"/>
    <w:rsid w:val="003E432A"/>
    <w:rsid w:val="003E60DC"/>
    <w:rsid w:val="003E6247"/>
    <w:rsid w:val="003F06E5"/>
    <w:rsid w:val="003F0CA6"/>
    <w:rsid w:val="003F142B"/>
    <w:rsid w:val="003F16C1"/>
    <w:rsid w:val="003F1984"/>
    <w:rsid w:val="003F1DE0"/>
    <w:rsid w:val="003F2849"/>
    <w:rsid w:val="003F35D3"/>
    <w:rsid w:val="003F3D65"/>
    <w:rsid w:val="003F45B1"/>
    <w:rsid w:val="003F5CCB"/>
    <w:rsid w:val="003F668D"/>
    <w:rsid w:val="003F6870"/>
    <w:rsid w:val="003F71A9"/>
    <w:rsid w:val="0040018D"/>
    <w:rsid w:val="00400F30"/>
    <w:rsid w:val="004023F9"/>
    <w:rsid w:val="00402924"/>
    <w:rsid w:val="004029CB"/>
    <w:rsid w:val="004049A2"/>
    <w:rsid w:val="00404C11"/>
    <w:rsid w:val="004050D8"/>
    <w:rsid w:val="0040557F"/>
    <w:rsid w:val="00405E3B"/>
    <w:rsid w:val="00406037"/>
    <w:rsid w:val="00406413"/>
    <w:rsid w:val="00407991"/>
    <w:rsid w:val="004108C1"/>
    <w:rsid w:val="00410D73"/>
    <w:rsid w:val="004117AF"/>
    <w:rsid w:val="00411B35"/>
    <w:rsid w:val="00411D3D"/>
    <w:rsid w:val="00411EAF"/>
    <w:rsid w:val="004127CE"/>
    <w:rsid w:val="00412EA6"/>
    <w:rsid w:val="00412EF7"/>
    <w:rsid w:val="00413573"/>
    <w:rsid w:val="00414199"/>
    <w:rsid w:val="00414D1A"/>
    <w:rsid w:val="004152A4"/>
    <w:rsid w:val="00415DC8"/>
    <w:rsid w:val="00420250"/>
    <w:rsid w:val="0042067B"/>
    <w:rsid w:val="004214E9"/>
    <w:rsid w:val="00421569"/>
    <w:rsid w:val="00422F03"/>
    <w:rsid w:val="00423617"/>
    <w:rsid w:val="00424022"/>
    <w:rsid w:val="00424FB4"/>
    <w:rsid w:val="00425452"/>
    <w:rsid w:val="00426680"/>
    <w:rsid w:val="0042746D"/>
    <w:rsid w:val="00430525"/>
    <w:rsid w:val="004329E7"/>
    <w:rsid w:val="00433255"/>
    <w:rsid w:val="0043352F"/>
    <w:rsid w:val="0043356C"/>
    <w:rsid w:val="004345B6"/>
    <w:rsid w:val="00434746"/>
    <w:rsid w:val="0043526C"/>
    <w:rsid w:val="0043604D"/>
    <w:rsid w:val="00436058"/>
    <w:rsid w:val="004360F1"/>
    <w:rsid w:val="004368E2"/>
    <w:rsid w:val="00436D9C"/>
    <w:rsid w:val="00437079"/>
    <w:rsid w:val="004370AD"/>
    <w:rsid w:val="004401C3"/>
    <w:rsid w:val="0044029E"/>
    <w:rsid w:val="00441300"/>
    <w:rsid w:val="00441779"/>
    <w:rsid w:val="0044198B"/>
    <w:rsid w:val="00441BBE"/>
    <w:rsid w:val="00441D2E"/>
    <w:rsid w:val="004422F7"/>
    <w:rsid w:val="00442877"/>
    <w:rsid w:val="00442E95"/>
    <w:rsid w:val="0044352C"/>
    <w:rsid w:val="00443B57"/>
    <w:rsid w:val="004450F2"/>
    <w:rsid w:val="004457BD"/>
    <w:rsid w:val="00445FE1"/>
    <w:rsid w:val="004463D6"/>
    <w:rsid w:val="00447339"/>
    <w:rsid w:val="0044740B"/>
    <w:rsid w:val="00450176"/>
    <w:rsid w:val="00450DF8"/>
    <w:rsid w:val="00452CDA"/>
    <w:rsid w:val="0045368C"/>
    <w:rsid w:val="004551EF"/>
    <w:rsid w:val="004554AB"/>
    <w:rsid w:val="00456179"/>
    <w:rsid w:val="00456370"/>
    <w:rsid w:val="00457544"/>
    <w:rsid w:val="00460C0A"/>
    <w:rsid w:val="00460D95"/>
    <w:rsid w:val="00460FBF"/>
    <w:rsid w:val="00461082"/>
    <w:rsid w:val="00461D4C"/>
    <w:rsid w:val="0046399F"/>
    <w:rsid w:val="00464A63"/>
    <w:rsid w:val="004650CE"/>
    <w:rsid w:val="00465BCF"/>
    <w:rsid w:val="00466DE4"/>
    <w:rsid w:val="004670C8"/>
    <w:rsid w:val="0046713D"/>
    <w:rsid w:val="004671CD"/>
    <w:rsid w:val="00471286"/>
    <w:rsid w:val="0047200A"/>
    <w:rsid w:val="00472433"/>
    <w:rsid w:val="00472E8C"/>
    <w:rsid w:val="00472EEE"/>
    <w:rsid w:val="004732DD"/>
    <w:rsid w:val="004734C2"/>
    <w:rsid w:val="004744FE"/>
    <w:rsid w:val="0047515F"/>
    <w:rsid w:val="00475607"/>
    <w:rsid w:val="0047661A"/>
    <w:rsid w:val="0047662E"/>
    <w:rsid w:val="00476710"/>
    <w:rsid w:val="00476E06"/>
    <w:rsid w:val="00480AEC"/>
    <w:rsid w:val="00480FC9"/>
    <w:rsid w:val="004812DC"/>
    <w:rsid w:val="0048239F"/>
    <w:rsid w:val="00484402"/>
    <w:rsid w:val="004854A5"/>
    <w:rsid w:val="00485E31"/>
    <w:rsid w:val="00487849"/>
    <w:rsid w:val="00487A8B"/>
    <w:rsid w:val="00487D22"/>
    <w:rsid w:val="0049030C"/>
    <w:rsid w:val="00491B77"/>
    <w:rsid w:val="00493609"/>
    <w:rsid w:val="004939D1"/>
    <w:rsid w:val="00493FC2"/>
    <w:rsid w:val="00495387"/>
    <w:rsid w:val="004953EA"/>
    <w:rsid w:val="004961DD"/>
    <w:rsid w:val="004967BA"/>
    <w:rsid w:val="00496EA1"/>
    <w:rsid w:val="004A00A4"/>
    <w:rsid w:val="004A0335"/>
    <w:rsid w:val="004A0DF7"/>
    <w:rsid w:val="004A1133"/>
    <w:rsid w:val="004A11DF"/>
    <w:rsid w:val="004A149D"/>
    <w:rsid w:val="004A15FF"/>
    <w:rsid w:val="004A186C"/>
    <w:rsid w:val="004A225A"/>
    <w:rsid w:val="004A235D"/>
    <w:rsid w:val="004A2CB9"/>
    <w:rsid w:val="004A334F"/>
    <w:rsid w:val="004A3409"/>
    <w:rsid w:val="004A36D8"/>
    <w:rsid w:val="004A3838"/>
    <w:rsid w:val="004A3E1A"/>
    <w:rsid w:val="004A498E"/>
    <w:rsid w:val="004A5026"/>
    <w:rsid w:val="004B1D4F"/>
    <w:rsid w:val="004B260F"/>
    <w:rsid w:val="004B283C"/>
    <w:rsid w:val="004B404C"/>
    <w:rsid w:val="004B40FA"/>
    <w:rsid w:val="004B4151"/>
    <w:rsid w:val="004B4659"/>
    <w:rsid w:val="004B4A74"/>
    <w:rsid w:val="004B4D73"/>
    <w:rsid w:val="004B4E13"/>
    <w:rsid w:val="004B624E"/>
    <w:rsid w:val="004B652E"/>
    <w:rsid w:val="004B702B"/>
    <w:rsid w:val="004B7670"/>
    <w:rsid w:val="004B77EA"/>
    <w:rsid w:val="004B7970"/>
    <w:rsid w:val="004B7B66"/>
    <w:rsid w:val="004C2B53"/>
    <w:rsid w:val="004C4933"/>
    <w:rsid w:val="004C52FE"/>
    <w:rsid w:val="004C7178"/>
    <w:rsid w:val="004C7314"/>
    <w:rsid w:val="004C7FA2"/>
    <w:rsid w:val="004D0083"/>
    <w:rsid w:val="004D025B"/>
    <w:rsid w:val="004D0A79"/>
    <w:rsid w:val="004D183F"/>
    <w:rsid w:val="004D1B21"/>
    <w:rsid w:val="004D1FC4"/>
    <w:rsid w:val="004D233C"/>
    <w:rsid w:val="004D2A7D"/>
    <w:rsid w:val="004D2CD2"/>
    <w:rsid w:val="004D378D"/>
    <w:rsid w:val="004D4158"/>
    <w:rsid w:val="004D480F"/>
    <w:rsid w:val="004D4CEB"/>
    <w:rsid w:val="004D4D12"/>
    <w:rsid w:val="004D64F5"/>
    <w:rsid w:val="004D7016"/>
    <w:rsid w:val="004D77C0"/>
    <w:rsid w:val="004E08EB"/>
    <w:rsid w:val="004E15A8"/>
    <w:rsid w:val="004E1F2A"/>
    <w:rsid w:val="004E260F"/>
    <w:rsid w:val="004E2F41"/>
    <w:rsid w:val="004E541D"/>
    <w:rsid w:val="004E5544"/>
    <w:rsid w:val="004E699C"/>
    <w:rsid w:val="004E71BD"/>
    <w:rsid w:val="004E71E4"/>
    <w:rsid w:val="004E75A5"/>
    <w:rsid w:val="004E798C"/>
    <w:rsid w:val="004F022D"/>
    <w:rsid w:val="004F0E09"/>
    <w:rsid w:val="004F0E46"/>
    <w:rsid w:val="004F2B25"/>
    <w:rsid w:val="004F3200"/>
    <w:rsid w:val="004F46B5"/>
    <w:rsid w:val="004F4FC6"/>
    <w:rsid w:val="004F5DB2"/>
    <w:rsid w:val="004F6764"/>
    <w:rsid w:val="004F6D49"/>
    <w:rsid w:val="004F6DA5"/>
    <w:rsid w:val="004F7AE1"/>
    <w:rsid w:val="00500357"/>
    <w:rsid w:val="005007B2"/>
    <w:rsid w:val="00500F98"/>
    <w:rsid w:val="00502A90"/>
    <w:rsid w:val="00502EFB"/>
    <w:rsid w:val="0050386E"/>
    <w:rsid w:val="00503931"/>
    <w:rsid w:val="00504456"/>
    <w:rsid w:val="00505BCD"/>
    <w:rsid w:val="00506461"/>
    <w:rsid w:val="00506A95"/>
    <w:rsid w:val="00507655"/>
    <w:rsid w:val="00510826"/>
    <w:rsid w:val="00511D4B"/>
    <w:rsid w:val="00513213"/>
    <w:rsid w:val="00514711"/>
    <w:rsid w:val="005161C4"/>
    <w:rsid w:val="00516C9A"/>
    <w:rsid w:val="005176D8"/>
    <w:rsid w:val="00517C41"/>
    <w:rsid w:val="00517CF8"/>
    <w:rsid w:val="00517E5A"/>
    <w:rsid w:val="00517F5A"/>
    <w:rsid w:val="00520119"/>
    <w:rsid w:val="0052026A"/>
    <w:rsid w:val="005209C6"/>
    <w:rsid w:val="00520A84"/>
    <w:rsid w:val="00521958"/>
    <w:rsid w:val="00521AD5"/>
    <w:rsid w:val="00522482"/>
    <w:rsid w:val="005224D6"/>
    <w:rsid w:val="00524698"/>
    <w:rsid w:val="00524E48"/>
    <w:rsid w:val="00525377"/>
    <w:rsid w:val="0052545F"/>
    <w:rsid w:val="00525DE8"/>
    <w:rsid w:val="005265A4"/>
    <w:rsid w:val="00527770"/>
    <w:rsid w:val="00527A80"/>
    <w:rsid w:val="00527E00"/>
    <w:rsid w:val="0053012D"/>
    <w:rsid w:val="005311C1"/>
    <w:rsid w:val="005314CC"/>
    <w:rsid w:val="00531D14"/>
    <w:rsid w:val="00532077"/>
    <w:rsid w:val="00532964"/>
    <w:rsid w:val="00532AF5"/>
    <w:rsid w:val="00532D87"/>
    <w:rsid w:val="005336DE"/>
    <w:rsid w:val="00534798"/>
    <w:rsid w:val="00536963"/>
    <w:rsid w:val="00536B63"/>
    <w:rsid w:val="00537F95"/>
    <w:rsid w:val="005402B5"/>
    <w:rsid w:val="005405CB"/>
    <w:rsid w:val="00540EC0"/>
    <w:rsid w:val="00541128"/>
    <w:rsid w:val="00541A8A"/>
    <w:rsid w:val="0054206D"/>
    <w:rsid w:val="00542278"/>
    <w:rsid w:val="00542A10"/>
    <w:rsid w:val="005438C4"/>
    <w:rsid w:val="00545C8B"/>
    <w:rsid w:val="00546DEF"/>
    <w:rsid w:val="005477B8"/>
    <w:rsid w:val="00547CAC"/>
    <w:rsid w:val="00547E83"/>
    <w:rsid w:val="00550689"/>
    <w:rsid w:val="00550743"/>
    <w:rsid w:val="005511F2"/>
    <w:rsid w:val="005519F3"/>
    <w:rsid w:val="00551EDF"/>
    <w:rsid w:val="005527A0"/>
    <w:rsid w:val="00552854"/>
    <w:rsid w:val="00552F1B"/>
    <w:rsid w:val="00552FD9"/>
    <w:rsid w:val="005530DD"/>
    <w:rsid w:val="005543C0"/>
    <w:rsid w:val="0055490A"/>
    <w:rsid w:val="005550F2"/>
    <w:rsid w:val="00555865"/>
    <w:rsid w:val="00555C30"/>
    <w:rsid w:val="00556090"/>
    <w:rsid w:val="005561AE"/>
    <w:rsid w:val="005561DE"/>
    <w:rsid w:val="0055662D"/>
    <w:rsid w:val="005567C3"/>
    <w:rsid w:val="00556DA5"/>
    <w:rsid w:val="00557CC2"/>
    <w:rsid w:val="00560E43"/>
    <w:rsid w:val="0056160D"/>
    <w:rsid w:val="0056194E"/>
    <w:rsid w:val="005628B9"/>
    <w:rsid w:val="00563849"/>
    <w:rsid w:val="00563C3F"/>
    <w:rsid w:val="00564B49"/>
    <w:rsid w:val="00564D33"/>
    <w:rsid w:val="0056602E"/>
    <w:rsid w:val="0056625A"/>
    <w:rsid w:val="005664D1"/>
    <w:rsid w:val="0056694A"/>
    <w:rsid w:val="00571613"/>
    <w:rsid w:val="005717F0"/>
    <w:rsid w:val="00572433"/>
    <w:rsid w:val="00572649"/>
    <w:rsid w:val="005736BA"/>
    <w:rsid w:val="00574656"/>
    <w:rsid w:val="00575039"/>
    <w:rsid w:val="00575CB2"/>
    <w:rsid w:val="00575EA7"/>
    <w:rsid w:val="00576944"/>
    <w:rsid w:val="005772B5"/>
    <w:rsid w:val="00581321"/>
    <w:rsid w:val="005825A0"/>
    <w:rsid w:val="0058382B"/>
    <w:rsid w:val="00583DCE"/>
    <w:rsid w:val="0058670F"/>
    <w:rsid w:val="00586918"/>
    <w:rsid w:val="00586C9F"/>
    <w:rsid w:val="00586CB4"/>
    <w:rsid w:val="00587B97"/>
    <w:rsid w:val="005902DE"/>
    <w:rsid w:val="00590B5B"/>
    <w:rsid w:val="00590F82"/>
    <w:rsid w:val="0059115F"/>
    <w:rsid w:val="0059265C"/>
    <w:rsid w:val="0059287D"/>
    <w:rsid w:val="005931E4"/>
    <w:rsid w:val="0059367C"/>
    <w:rsid w:val="005945DB"/>
    <w:rsid w:val="0059463E"/>
    <w:rsid w:val="005948D6"/>
    <w:rsid w:val="005949FD"/>
    <w:rsid w:val="00594EFE"/>
    <w:rsid w:val="0059518E"/>
    <w:rsid w:val="00595738"/>
    <w:rsid w:val="0059603F"/>
    <w:rsid w:val="0059624B"/>
    <w:rsid w:val="00596502"/>
    <w:rsid w:val="00597EF7"/>
    <w:rsid w:val="005A0DBD"/>
    <w:rsid w:val="005A17EA"/>
    <w:rsid w:val="005A264B"/>
    <w:rsid w:val="005A2CBB"/>
    <w:rsid w:val="005A38E3"/>
    <w:rsid w:val="005A3DD5"/>
    <w:rsid w:val="005A3F85"/>
    <w:rsid w:val="005A5057"/>
    <w:rsid w:val="005A57F3"/>
    <w:rsid w:val="005A65BE"/>
    <w:rsid w:val="005A663A"/>
    <w:rsid w:val="005A7B88"/>
    <w:rsid w:val="005B0C53"/>
    <w:rsid w:val="005B1ABE"/>
    <w:rsid w:val="005B1D04"/>
    <w:rsid w:val="005B339E"/>
    <w:rsid w:val="005B3CCB"/>
    <w:rsid w:val="005B5BF7"/>
    <w:rsid w:val="005B5DB6"/>
    <w:rsid w:val="005B7523"/>
    <w:rsid w:val="005B7BF0"/>
    <w:rsid w:val="005C159C"/>
    <w:rsid w:val="005C1841"/>
    <w:rsid w:val="005C2047"/>
    <w:rsid w:val="005C2291"/>
    <w:rsid w:val="005C36B1"/>
    <w:rsid w:val="005C3D7C"/>
    <w:rsid w:val="005C3E4C"/>
    <w:rsid w:val="005C55D9"/>
    <w:rsid w:val="005C5B0C"/>
    <w:rsid w:val="005C7250"/>
    <w:rsid w:val="005C74C4"/>
    <w:rsid w:val="005D0DBE"/>
    <w:rsid w:val="005D17EE"/>
    <w:rsid w:val="005D198C"/>
    <w:rsid w:val="005D29E2"/>
    <w:rsid w:val="005D34E0"/>
    <w:rsid w:val="005D3BEE"/>
    <w:rsid w:val="005D424F"/>
    <w:rsid w:val="005D43BC"/>
    <w:rsid w:val="005D4757"/>
    <w:rsid w:val="005D4897"/>
    <w:rsid w:val="005D4A38"/>
    <w:rsid w:val="005D4CD8"/>
    <w:rsid w:val="005D4F4B"/>
    <w:rsid w:val="005D53E1"/>
    <w:rsid w:val="005D5468"/>
    <w:rsid w:val="005D5866"/>
    <w:rsid w:val="005D5C90"/>
    <w:rsid w:val="005D76E9"/>
    <w:rsid w:val="005E080F"/>
    <w:rsid w:val="005E092A"/>
    <w:rsid w:val="005E17C4"/>
    <w:rsid w:val="005E1814"/>
    <w:rsid w:val="005E1A0E"/>
    <w:rsid w:val="005E1AF2"/>
    <w:rsid w:val="005E2AFF"/>
    <w:rsid w:val="005E4516"/>
    <w:rsid w:val="005E4E73"/>
    <w:rsid w:val="005E67AE"/>
    <w:rsid w:val="005E77BC"/>
    <w:rsid w:val="005E7FD5"/>
    <w:rsid w:val="005F09BF"/>
    <w:rsid w:val="005F1577"/>
    <w:rsid w:val="005F1A9D"/>
    <w:rsid w:val="005F1F45"/>
    <w:rsid w:val="005F2167"/>
    <w:rsid w:val="005F2967"/>
    <w:rsid w:val="005F3745"/>
    <w:rsid w:val="005F45F5"/>
    <w:rsid w:val="005F483F"/>
    <w:rsid w:val="005F5E9C"/>
    <w:rsid w:val="005F60F0"/>
    <w:rsid w:val="005F6110"/>
    <w:rsid w:val="005F6C4B"/>
    <w:rsid w:val="005F76B0"/>
    <w:rsid w:val="006008FE"/>
    <w:rsid w:val="00600E3B"/>
    <w:rsid w:val="00601144"/>
    <w:rsid w:val="00602A77"/>
    <w:rsid w:val="00602DB0"/>
    <w:rsid w:val="00603076"/>
    <w:rsid w:val="00603107"/>
    <w:rsid w:val="0060340C"/>
    <w:rsid w:val="0060369F"/>
    <w:rsid w:val="0060450D"/>
    <w:rsid w:val="0060584F"/>
    <w:rsid w:val="006058C0"/>
    <w:rsid w:val="00605CD4"/>
    <w:rsid w:val="006071A1"/>
    <w:rsid w:val="00607A28"/>
    <w:rsid w:val="006115AD"/>
    <w:rsid w:val="0061188A"/>
    <w:rsid w:val="00612376"/>
    <w:rsid w:val="00612A42"/>
    <w:rsid w:val="006132C3"/>
    <w:rsid w:val="00613E61"/>
    <w:rsid w:val="0061456E"/>
    <w:rsid w:val="006145CF"/>
    <w:rsid w:val="0061491E"/>
    <w:rsid w:val="0061543A"/>
    <w:rsid w:val="00615AD9"/>
    <w:rsid w:val="00615DE8"/>
    <w:rsid w:val="006164C0"/>
    <w:rsid w:val="00616783"/>
    <w:rsid w:val="00616DEE"/>
    <w:rsid w:val="0061703C"/>
    <w:rsid w:val="0061778A"/>
    <w:rsid w:val="00617987"/>
    <w:rsid w:val="00621AF7"/>
    <w:rsid w:val="006222D3"/>
    <w:rsid w:val="00622A0A"/>
    <w:rsid w:val="00622DC6"/>
    <w:rsid w:val="00622FCC"/>
    <w:rsid w:val="00623178"/>
    <w:rsid w:val="00623A62"/>
    <w:rsid w:val="00624E22"/>
    <w:rsid w:val="006258F5"/>
    <w:rsid w:val="00625EFE"/>
    <w:rsid w:val="00625FC8"/>
    <w:rsid w:val="006264EA"/>
    <w:rsid w:val="0062689E"/>
    <w:rsid w:val="00626B0E"/>
    <w:rsid w:val="00626FA9"/>
    <w:rsid w:val="006278F1"/>
    <w:rsid w:val="00627FC0"/>
    <w:rsid w:val="00630111"/>
    <w:rsid w:val="00630947"/>
    <w:rsid w:val="00631102"/>
    <w:rsid w:val="00631327"/>
    <w:rsid w:val="006342DC"/>
    <w:rsid w:val="0063452B"/>
    <w:rsid w:val="006349FF"/>
    <w:rsid w:val="00634FC4"/>
    <w:rsid w:val="00635145"/>
    <w:rsid w:val="00636072"/>
    <w:rsid w:val="006363F7"/>
    <w:rsid w:val="00636B25"/>
    <w:rsid w:val="006378BC"/>
    <w:rsid w:val="006378C8"/>
    <w:rsid w:val="00640990"/>
    <w:rsid w:val="0064156B"/>
    <w:rsid w:val="006418F2"/>
    <w:rsid w:val="00641A07"/>
    <w:rsid w:val="00641BAC"/>
    <w:rsid w:val="006441E2"/>
    <w:rsid w:val="00644BD8"/>
    <w:rsid w:val="0064574A"/>
    <w:rsid w:val="006458CE"/>
    <w:rsid w:val="00645F7B"/>
    <w:rsid w:val="00646102"/>
    <w:rsid w:val="00646B5F"/>
    <w:rsid w:val="00646C81"/>
    <w:rsid w:val="00647786"/>
    <w:rsid w:val="006500A0"/>
    <w:rsid w:val="00650976"/>
    <w:rsid w:val="006514BC"/>
    <w:rsid w:val="00652086"/>
    <w:rsid w:val="00653F16"/>
    <w:rsid w:val="00654EB7"/>
    <w:rsid w:val="00654F7B"/>
    <w:rsid w:val="00655190"/>
    <w:rsid w:val="00656392"/>
    <w:rsid w:val="00657679"/>
    <w:rsid w:val="00657AD2"/>
    <w:rsid w:val="006600D8"/>
    <w:rsid w:val="00660FB0"/>
    <w:rsid w:val="00661040"/>
    <w:rsid w:val="006640E8"/>
    <w:rsid w:val="006648A1"/>
    <w:rsid w:val="006648AE"/>
    <w:rsid w:val="00664BA3"/>
    <w:rsid w:val="00665282"/>
    <w:rsid w:val="006655C7"/>
    <w:rsid w:val="0066571C"/>
    <w:rsid w:val="00665F40"/>
    <w:rsid w:val="00666DA0"/>
    <w:rsid w:val="00666DAC"/>
    <w:rsid w:val="006701F6"/>
    <w:rsid w:val="006702DB"/>
    <w:rsid w:val="006712A7"/>
    <w:rsid w:val="006717B7"/>
    <w:rsid w:val="006718E6"/>
    <w:rsid w:val="00671B6B"/>
    <w:rsid w:val="00671B7C"/>
    <w:rsid w:val="00672481"/>
    <w:rsid w:val="0067261A"/>
    <w:rsid w:val="006727FB"/>
    <w:rsid w:val="00672941"/>
    <w:rsid w:val="0067352B"/>
    <w:rsid w:val="00673586"/>
    <w:rsid w:val="006758C1"/>
    <w:rsid w:val="0067795A"/>
    <w:rsid w:val="006811F0"/>
    <w:rsid w:val="00681352"/>
    <w:rsid w:val="0068261F"/>
    <w:rsid w:val="00683D6E"/>
    <w:rsid w:val="00686E71"/>
    <w:rsid w:val="00686E95"/>
    <w:rsid w:val="006870C9"/>
    <w:rsid w:val="0068727A"/>
    <w:rsid w:val="00687A25"/>
    <w:rsid w:val="006903A4"/>
    <w:rsid w:val="006907DF"/>
    <w:rsid w:val="00692BD5"/>
    <w:rsid w:val="00692CA2"/>
    <w:rsid w:val="006948B3"/>
    <w:rsid w:val="00694DF8"/>
    <w:rsid w:val="006952FC"/>
    <w:rsid w:val="006A05DD"/>
    <w:rsid w:val="006A0A9B"/>
    <w:rsid w:val="006A1D68"/>
    <w:rsid w:val="006A2031"/>
    <w:rsid w:val="006A299E"/>
    <w:rsid w:val="006A389F"/>
    <w:rsid w:val="006A3EB9"/>
    <w:rsid w:val="006A415C"/>
    <w:rsid w:val="006A4252"/>
    <w:rsid w:val="006A5962"/>
    <w:rsid w:val="006A6AD5"/>
    <w:rsid w:val="006A751D"/>
    <w:rsid w:val="006A7D11"/>
    <w:rsid w:val="006A7F2F"/>
    <w:rsid w:val="006A7F63"/>
    <w:rsid w:val="006B01F2"/>
    <w:rsid w:val="006B21B4"/>
    <w:rsid w:val="006B25D4"/>
    <w:rsid w:val="006B28DB"/>
    <w:rsid w:val="006B37B6"/>
    <w:rsid w:val="006B3911"/>
    <w:rsid w:val="006B39B9"/>
    <w:rsid w:val="006B42F5"/>
    <w:rsid w:val="006B47A8"/>
    <w:rsid w:val="006B49EB"/>
    <w:rsid w:val="006B5BDA"/>
    <w:rsid w:val="006B611D"/>
    <w:rsid w:val="006B6502"/>
    <w:rsid w:val="006B73EC"/>
    <w:rsid w:val="006B7435"/>
    <w:rsid w:val="006B799A"/>
    <w:rsid w:val="006B7C2C"/>
    <w:rsid w:val="006C069C"/>
    <w:rsid w:val="006C09DF"/>
    <w:rsid w:val="006C1CDD"/>
    <w:rsid w:val="006C23F3"/>
    <w:rsid w:val="006C3244"/>
    <w:rsid w:val="006C3760"/>
    <w:rsid w:val="006C62F2"/>
    <w:rsid w:val="006C645D"/>
    <w:rsid w:val="006C652A"/>
    <w:rsid w:val="006C6974"/>
    <w:rsid w:val="006C6E70"/>
    <w:rsid w:val="006C7697"/>
    <w:rsid w:val="006D033B"/>
    <w:rsid w:val="006D070A"/>
    <w:rsid w:val="006D0D6C"/>
    <w:rsid w:val="006D2AEE"/>
    <w:rsid w:val="006D2E32"/>
    <w:rsid w:val="006D42ED"/>
    <w:rsid w:val="006D436A"/>
    <w:rsid w:val="006D46E5"/>
    <w:rsid w:val="006D4BCF"/>
    <w:rsid w:val="006D51E4"/>
    <w:rsid w:val="006D5F77"/>
    <w:rsid w:val="006D6791"/>
    <w:rsid w:val="006D76A6"/>
    <w:rsid w:val="006D7B9D"/>
    <w:rsid w:val="006D7C8A"/>
    <w:rsid w:val="006E0114"/>
    <w:rsid w:val="006E178D"/>
    <w:rsid w:val="006E1A3A"/>
    <w:rsid w:val="006E2548"/>
    <w:rsid w:val="006E2608"/>
    <w:rsid w:val="006E278A"/>
    <w:rsid w:val="006E4C80"/>
    <w:rsid w:val="006E4EFE"/>
    <w:rsid w:val="006E68A9"/>
    <w:rsid w:val="006E6D64"/>
    <w:rsid w:val="006E714D"/>
    <w:rsid w:val="006E7494"/>
    <w:rsid w:val="006E78E5"/>
    <w:rsid w:val="006E7EF5"/>
    <w:rsid w:val="006F188F"/>
    <w:rsid w:val="006F1BA5"/>
    <w:rsid w:val="006F245A"/>
    <w:rsid w:val="006F2FEB"/>
    <w:rsid w:val="006F39D6"/>
    <w:rsid w:val="006F3A9A"/>
    <w:rsid w:val="006F3D46"/>
    <w:rsid w:val="006F409A"/>
    <w:rsid w:val="006F4D21"/>
    <w:rsid w:val="006F5491"/>
    <w:rsid w:val="006F6AA7"/>
    <w:rsid w:val="006F7944"/>
    <w:rsid w:val="007000F8"/>
    <w:rsid w:val="007004BC"/>
    <w:rsid w:val="00700920"/>
    <w:rsid w:val="007013EB"/>
    <w:rsid w:val="00702C2B"/>
    <w:rsid w:val="0070308C"/>
    <w:rsid w:val="00703663"/>
    <w:rsid w:val="00703A90"/>
    <w:rsid w:val="00705227"/>
    <w:rsid w:val="0070615B"/>
    <w:rsid w:val="00706CFD"/>
    <w:rsid w:val="007071AC"/>
    <w:rsid w:val="00707421"/>
    <w:rsid w:val="00710978"/>
    <w:rsid w:val="00711DE0"/>
    <w:rsid w:val="007124D7"/>
    <w:rsid w:val="007136E2"/>
    <w:rsid w:val="00713D39"/>
    <w:rsid w:val="007146C7"/>
    <w:rsid w:val="00714996"/>
    <w:rsid w:val="007149DB"/>
    <w:rsid w:val="00714DA5"/>
    <w:rsid w:val="00715A6E"/>
    <w:rsid w:val="00717484"/>
    <w:rsid w:val="00717915"/>
    <w:rsid w:val="00717AAA"/>
    <w:rsid w:val="00717C37"/>
    <w:rsid w:val="00717E0F"/>
    <w:rsid w:val="0072029D"/>
    <w:rsid w:val="00720358"/>
    <w:rsid w:val="00721852"/>
    <w:rsid w:val="00721974"/>
    <w:rsid w:val="00722DD7"/>
    <w:rsid w:val="00722E7C"/>
    <w:rsid w:val="00724132"/>
    <w:rsid w:val="0072467A"/>
    <w:rsid w:val="007246E7"/>
    <w:rsid w:val="0072519C"/>
    <w:rsid w:val="007259A9"/>
    <w:rsid w:val="00725F21"/>
    <w:rsid w:val="007262B8"/>
    <w:rsid w:val="00726D8B"/>
    <w:rsid w:val="00727353"/>
    <w:rsid w:val="0072747B"/>
    <w:rsid w:val="00727C1E"/>
    <w:rsid w:val="00727DFE"/>
    <w:rsid w:val="00731E3D"/>
    <w:rsid w:val="0073431B"/>
    <w:rsid w:val="00735B02"/>
    <w:rsid w:val="007362EE"/>
    <w:rsid w:val="00736470"/>
    <w:rsid w:val="0073685C"/>
    <w:rsid w:val="007368E8"/>
    <w:rsid w:val="00736A2D"/>
    <w:rsid w:val="00737EBC"/>
    <w:rsid w:val="0074038A"/>
    <w:rsid w:val="0074052B"/>
    <w:rsid w:val="007406AE"/>
    <w:rsid w:val="007435DD"/>
    <w:rsid w:val="007438C2"/>
    <w:rsid w:val="00743D11"/>
    <w:rsid w:val="00743D2C"/>
    <w:rsid w:val="0074534E"/>
    <w:rsid w:val="007454D6"/>
    <w:rsid w:val="0074598D"/>
    <w:rsid w:val="00745B0A"/>
    <w:rsid w:val="007461AC"/>
    <w:rsid w:val="00746962"/>
    <w:rsid w:val="00746BC6"/>
    <w:rsid w:val="00746E17"/>
    <w:rsid w:val="00750979"/>
    <w:rsid w:val="00751476"/>
    <w:rsid w:val="00752B6A"/>
    <w:rsid w:val="00752CAA"/>
    <w:rsid w:val="00754DD9"/>
    <w:rsid w:val="007553D3"/>
    <w:rsid w:val="00755A0E"/>
    <w:rsid w:val="00755C4E"/>
    <w:rsid w:val="00757212"/>
    <w:rsid w:val="007574FC"/>
    <w:rsid w:val="00757D8C"/>
    <w:rsid w:val="0076066B"/>
    <w:rsid w:val="007606E6"/>
    <w:rsid w:val="00760B8F"/>
    <w:rsid w:val="0076197D"/>
    <w:rsid w:val="00761C27"/>
    <w:rsid w:val="00761D09"/>
    <w:rsid w:val="007629A1"/>
    <w:rsid w:val="00762C90"/>
    <w:rsid w:val="007636F5"/>
    <w:rsid w:val="0076461C"/>
    <w:rsid w:val="00764FD9"/>
    <w:rsid w:val="00765047"/>
    <w:rsid w:val="00765DC2"/>
    <w:rsid w:val="0076611D"/>
    <w:rsid w:val="0076682B"/>
    <w:rsid w:val="00766978"/>
    <w:rsid w:val="00767885"/>
    <w:rsid w:val="00770AC5"/>
    <w:rsid w:val="0077316E"/>
    <w:rsid w:val="0077390F"/>
    <w:rsid w:val="00774585"/>
    <w:rsid w:val="0077478D"/>
    <w:rsid w:val="00774A73"/>
    <w:rsid w:val="00775015"/>
    <w:rsid w:val="007752FE"/>
    <w:rsid w:val="007768C5"/>
    <w:rsid w:val="00776AB1"/>
    <w:rsid w:val="00777627"/>
    <w:rsid w:val="00780792"/>
    <w:rsid w:val="007809BE"/>
    <w:rsid w:val="00780E6B"/>
    <w:rsid w:val="0078251C"/>
    <w:rsid w:val="00783571"/>
    <w:rsid w:val="007837E4"/>
    <w:rsid w:val="007868B0"/>
    <w:rsid w:val="007868FF"/>
    <w:rsid w:val="00786C23"/>
    <w:rsid w:val="007874E8"/>
    <w:rsid w:val="0079064C"/>
    <w:rsid w:val="007916BE"/>
    <w:rsid w:val="00791BEE"/>
    <w:rsid w:val="00793DDC"/>
    <w:rsid w:val="007944E5"/>
    <w:rsid w:val="007946E2"/>
    <w:rsid w:val="00794FFC"/>
    <w:rsid w:val="00796928"/>
    <w:rsid w:val="00797043"/>
    <w:rsid w:val="00797CCB"/>
    <w:rsid w:val="00797EDD"/>
    <w:rsid w:val="007A0226"/>
    <w:rsid w:val="007A08FC"/>
    <w:rsid w:val="007A222A"/>
    <w:rsid w:val="007A321D"/>
    <w:rsid w:val="007A3311"/>
    <w:rsid w:val="007A3AFA"/>
    <w:rsid w:val="007A4532"/>
    <w:rsid w:val="007A4DE4"/>
    <w:rsid w:val="007A55DD"/>
    <w:rsid w:val="007A572A"/>
    <w:rsid w:val="007A5F41"/>
    <w:rsid w:val="007A601C"/>
    <w:rsid w:val="007A603B"/>
    <w:rsid w:val="007A66D9"/>
    <w:rsid w:val="007A6BB8"/>
    <w:rsid w:val="007A6E4F"/>
    <w:rsid w:val="007A71C2"/>
    <w:rsid w:val="007A7C1F"/>
    <w:rsid w:val="007A7C47"/>
    <w:rsid w:val="007A7E6B"/>
    <w:rsid w:val="007B007F"/>
    <w:rsid w:val="007B092F"/>
    <w:rsid w:val="007B1021"/>
    <w:rsid w:val="007B1E9C"/>
    <w:rsid w:val="007B4794"/>
    <w:rsid w:val="007B49D8"/>
    <w:rsid w:val="007B5493"/>
    <w:rsid w:val="007B56AE"/>
    <w:rsid w:val="007B5983"/>
    <w:rsid w:val="007B5F6A"/>
    <w:rsid w:val="007B7C4F"/>
    <w:rsid w:val="007C0291"/>
    <w:rsid w:val="007C1E9E"/>
    <w:rsid w:val="007C1F88"/>
    <w:rsid w:val="007C2697"/>
    <w:rsid w:val="007C3613"/>
    <w:rsid w:val="007C45CD"/>
    <w:rsid w:val="007C4DD3"/>
    <w:rsid w:val="007C580E"/>
    <w:rsid w:val="007C687F"/>
    <w:rsid w:val="007D0AFA"/>
    <w:rsid w:val="007D0F20"/>
    <w:rsid w:val="007D120A"/>
    <w:rsid w:val="007D1769"/>
    <w:rsid w:val="007D21C8"/>
    <w:rsid w:val="007D29D9"/>
    <w:rsid w:val="007D2FEC"/>
    <w:rsid w:val="007D3913"/>
    <w:rsid w:val="007D3A28"/>
    <w:rsid w:val="007D4B29"/>
    <w:rsid w:val="007D66A5"/>
    <w:rsid w:val="007D6B26"/>
    <w:rsid w:val="007D6D36"/>
    <w:rsid w:val="007D6F83"/>
    <w:rsid w:val="007E251D"/>
    <w:rsid w:val="007E31BC"/>
    <w:rsid w:val="007E3C56"/>
    <w:rsid w:val="007E4BAD"/>
    <w:rsid w:val="007E650F"/>
    <w:rsid w:val="007E7541"/>
    <w:rsid w:val="007E77E6"/>
    <w:rsid w:val="007F0248"/>
    <w:rsid w:val="007F027F"/>
    <w:rsid w:val="007F02F0"/>
    <w:rsid w:val="007F067A"/>
    <w:rsid w:val="007F1093"/>
    <w:rsid w:val="007F1195"/>
    <w:rsid w:val="007F1960"/>
    <w:rsid w:val="007F1C31"/>
    <w:rsid w:val="007F399D"/>
    <w:rsid w:val="007F3B1C"/>
    <w:rsid w:val="007F46CB"/>
    <w:rsid w:val="007F4C38"/>
    <w:rsid w:val="007F5687"/>
    <w:rsid w:val="007F67DE"/>
    <w:rsid w:val="0080032E"/>
    <w:rsid w:val="008004CD"/>
    <w:rsid w:val="00800F20"/>
    <w:rsid w:val="00801138"/>
    <w:rsid w:val="00801700"/>
    <w:rsid w:val="00801E0A"/>
    <w:rsid w:val="00801F53"/>
    <w:rsid w:val="008025B8"/>
    <w:rsid w:val="00802820"/>
    <w:rsid w:val="00802888"/>
    <w:rsid w:val="00802A60"/>
    <w:rsid w:val="00802CA0"/>
    <w:rsid w:val="00802CBE"/>
    <w:rsid w:val="00802D4E"/>
    <w:rsid w:val="00803ED0"/>
    <w:rsid w:val="00804252"/>
    <w:rsid w:val="0080435D"/>
    <w:rsid w:val="00806E36"/>
    <w:rsid w:val="00810726"/>
    <w:rsid w:val="00810FDC"/>
    <w:rsid w:val="00811D21"/>
    <w:rsid w:val="00812598"/>
    <w:rsid w:val="0081261B"/>
    <w:rsid w:val="00812936"/>
    <w:rsid w:val="00812F24"/>
    <w:rsid w:val="00813FE0"/>
    <w:rsid w:val="00814508"/>
    <w:rsid w:val="0081476F"/>
    <w:rsid w:val="008156D4"/>
    <w:rsid w:val="008156EA"/>
    <w:rsid w:val="0081645E"/>
    <w:rsid w:val="00816A32"/>
    <w:rsid w:val="00817945"/>
    <w:rsid w:val="00817F03"/>
    <w:rsid w:val="008205B3"/>
    <w:rsid w:val="008205E1"/>
    <w:rsid w:val="00823346"/>
    <w:rsid w:val="008233B4"/>
    <w:rsid w:val="00823CC2"/>
    <w:rsid w:val="00825301"/>
    <w:rsid w:val="008258A6"/>
    <w:rsid w:val="0082605B"/>
    <w:rsid w:val="0082630F"/>
    <w:rsid w:val="008265C2"/>
    <w:rsid w:val="0082681A"/>
    <w:rsid w:val="008269A3"/>
    <w:rsid w:val="00826B5B"/>
    <w:rsid w:val="00827F14"/>
    <w:rsid w:val="0083083F"/>
    <w:rsid w:val="00830AEC"/>
    <w:rsid w:val="00830DA6"/>
    <w:rsid w:val="00830F08"/>
    <w:rsid w:val="00831049"/>
    <w:rsid w:val="0083134E"/>
    <w:rsid w:val="00831517"/>
    <w:rsid w:val="00832021"/>
    <w:rsid w:val="008328C7"/>
    <w:rsid w:val="00832BA2"/>
    <w:rsid w:val="00832C39"/>
    <w:rsid w:val="008349FB"/>
    <w:rsid w:val="008362DD"/>
    <w:rsid w:val="00836452"/>
    <w:rsid w:val="00837CAF"/>
    <w:rsid w:val="00840175"/>
    <w:rsid w:val="00841373"/>
    <w:rsid w:val="0084192C"/>
    <w:rsid w:val="0084241B"/>
    <w:rsid w:val="00842CD6"/>
    <w:rsid w:val="00843590"/>
    <w:rsid w:val="00843972"/>
    <w:rsid w:val="00844517"/>
    <w:rsid w:val="00844C95"/>
    <w:rsid w:val="00845512"/>
    <w:rsid w:val="00845743"/>
    <w:rsid w:val="00845B66"/>
    <w:rsid w:val="008463B1"/>
    <w:rsid w:val="00846B1F"/>
    <w:rsid w:val="00846D3A"/>
    <w:rsid w:val="008471D7"/>
    <w:rsid w:val="0085078A"/>
    <w:rsid w:val="00850CAA"/>
    <w:rsid w:val="0085125A"/>
    <w:rsid w:val="00851ED7"/>
    <w:rsid w:val="00852E76"/>
    <w:rsid w:val="00853799"/>
    <w:rsid w:val="008542EA"/>
    <w:rsid w:val="008543D7"/>
    <w:rsid w:val="008547ED"/>
    <w:rsid w:val="00854A5C"/>
    <w:rsid w:val="00854E60"/>
    <w:rsid w:val="008566F9"/>
    <w:rsid w:val="00856951"/>
    <w:rsid w:val="00857242"/>
    <w:rsid w:val="00857631"/>
    <w:rsid w:val="00857B92"/>
    <w:rsid w:val="00857DAB"/>
    <w:rsid w:val="00860AAE"/>
    <w:rsid w:val="00861EF5"/>
    <w:rsid w:val="00862320"/>
    <w:rsid w:val="0086368D"/>
    <w:rsid w:val="00863DC6"/>
    <w:rsid w:val="00863E30"/>
    <w:rsid w:val="008649A9"/>
    <w:rsid w:val="00865071"/>
    <w:rsid w:val="008654E7"/>
    <w:rsid w:val="00865BB5"/>
    <w:rsid w:val="00865CDE"/>
    <w:rsid w:val="00865EDD"/>
    <w:rsid w:val="008664D2"/>
    <w:rsid w:val="00866BE1"/>
    <w:rsid w:val="008675BD"/>
    <w:rsid w:val="008702A6"/>
    <w:rsid w:val="008731B8"/>
    <w:rsid w:val="008732BC"/>
    <w:rsid w:val="00873A7B"/>
    <w:rsid w:val="008740DF"/>
    <w:rsid w:val="008746D4"/>
    <w:rsid w:val="00875A07"/>
    <w:rsid w:val="00875F82"/>
    <w:rsid w:val="00876040"/>
    <w:rsid w:val="008760C2"/>
    <w:rsid w:val="0087734F"/>
    <w:rsid w:val="008800DB"/>
    <w:rsid w:val="00880A41"/>
    <w:rsid w:val="008815B0"/>
    <w:rsid w:val="008825DA"/>
    <w:rsid w:val="008827DA"/>
    <w:rsid w:val="008837D5"/>
    <w:rsid w:val="00883EA6"/>
    <w:rsid w:val="00884600"/>
    <w:rsid w:val="008864A1"/>
    <w:rsid w:val="008869B5"/>
    <w:rsid w:val="00886BE2"/>
    <w:rsid w:val="00887850"/>
    <w:rsid w:val="008904BA"/>
    <w:rsid w:val="00891E35"/>
    <w:rsid w:val="00892013"/>
    <w:rsid w:val="00892CB7"/>
    <w:rsid w:val="00892E36"/>
    <w:rsid w:val="00894163"/>
    <w:rsid w:val="008945CE"/>
    <w:rsid w:val="00894A62"/>
    <w:rsid w:val="00894C74"/>
    <w:rsid w:val="00896AF2"/>
    <w:rsid w:val="008A0759"/>
    <w:rsid w:val="008A095B"/>
    <w:rsid w:val="008A10EB"/>
    <w:rsid w:val="008A1DF7"/>
    <w:rsid w:val="008A41DD"/>
    <w:rsid w:val="008A4D7C"/>
    <w:rsid w:val="008A4D95"/>
    <w:rsid w:val="008A4DA2"/>
    <w:rsid w:val="008A4FF2"/>
    <w:rsid w:val="008A5396"/>
    <w:rsid w:val="008A54EA"/>
    <w:rsid w:val="008A5614"/>
    <w:rsid w:val="008A664C"/>
    <w:rsid w:val="008A6D46"/>
    <w:rsid w:val="008A6F17"/>
    <w:rsid w:val="008B0021"/>
    <w:rsid w:val="008B08F4"/>
    <w:rsid w:val="008B1155"/>
    <w:rsid w:val="008B11C5"/>
    <w:rsid w:val="008B162B"/>
    <w:rsid w:val="008B19E5"/>
    <w:rsid w:val="008B20AF"/>
    <w:rsid w:val="008B29DB"/>
    <w:rsid w:val="008B3451"/>
    <w:rsid w:val="008B37A2"/>
    <w:rsid w:val="008B4992"/>
    <w:rsid w:val="008B5871"/>
    <w:rsid w:val="008B58D4"/>
    <w:rsid w:val="008B5E08"/>
    <w:rsid w:val="008B5E87"/>
    <w:rsid w:val="008B726E"/>
    <w:rsid w:val="008C23E5"/>
    <w:rsid w:val="008C29BB"/>
    <w:rsid w:val="008C4BA5"/>
    <w:rsid w:val="008D0180"/>
    <w:rsid w:val="008D0FBF"/>
    <w:rsid w:val="008D2853"/>
    <w:rsid w:val="008D2A3B"/>
    <w:rsid w:val="008D2CC7"/>
    <w:rsid w:val="008D303B"/>
    <w:rsid w:val="008D391D"/>
    <w:rsid w:val="008D40F9"/>
    <w:rsid w:val="008D45D4"/>
    <w:rsid w:val="008D47F0"/>
    <w:rsid w:val="008D4ED1"/>
    <w:rsid w:val="008D4F23"/>
    <w:rsid w:val="008D581D"/>
    <w:rsid w:val="008D6267"/>
    <w:rsid w:val="008D64A3"/>
    <w:rsid w:val="008D6DFA"/>
    <w:rsid w:val="008E0198"/>
    <w:rsid w:val="008E01F4"/>
    <w:rsid w:val="008E025B"/>
    <w:rsid w:val="008E04D8"/>
    <w:rsid w:val="008E21F9"/>
    <w:rsid w:val="008E496F"/>
    <w:rsid w:val="008E63CC"/>
    <w:rsid w:val="008E701B"/>
    <w:rsid w:val="008E77B7"/>
    <w:rsid w:val="008E78EB"/>
    <w:rsid w:val="008F01EF"/>
    <w:rsid w:val="008F0DAE"/>
    <w:rsid w:val="008F0E93"/>
    <w:rsid w:val="008F2134"/>
    <w:rsid w:val="008F33AF"/>
    <w:rsid w:val="008F41A3"/>
    <w:rsid w:val="008F595F"/>
    <w:rsid w:val="008F642D"/>
    <w:rsid w:val="008F7F85"/>
    <w:rsid w:val="00900E20"/>
    <w:rsid w:val="009010AE"/>
    <w:rsid w:val="009034FD"/>
    <w:rsid w:val="00903A40"/>
    <w:rsid w:val="00904967"/>
    <w:rsid w:val="0090509E"/>
    <w:rsid w:val="0090543D"/>
    <w:rsid w:val="00905F3E"/>
    <w:rsid w:val="0090617C"/>
    <w:rsid w:val="009073A2"/>
    <w:rsid w:val="009073D1"/>
    <w:rsid w:val="00910829"/>
    <w:rsid w:val="00910FBD"/>
    <w:rsid w:val="0091278C"/>
    <w:rsid w:val="009139F5"/>
    <w:rsid w:val="00914048"/>
    <w:rsid w:val="00914C4D"/>
    <w:rsid w:val="00915CA9"/>
    <w:rsid w:val="00915E4E"/>
    <w:rsid w:val="009174FA"/>
    <w:rsid w:val="00917EDF"/>
    <w:rsid w:val="00920AB0"/>
    <w:rsid w:val="00920DBD"/>
    <w:rsid w:val="00921B7A"/>
    <w:rsid w:val="00922A2B"/>
    <w:rsid w:val="0092324B"/>
    <w:rsid w:val="00924917"/>
    <w:rsid w:val="00924D4D"/>
    <w:rsid w:val="00924D51"/>
    <w:rsid w:val="00925158"/>
    <w:rsid w:val="009262DF"/>
    <w:rsid w:val="0092638C"/>
    <w:rsid w:val="00926B7B"/>
    <w:rsid w:val="009276EA"/>
    <w:rsid w:val="0093003F"/>
    <w:rsid w:val="009300A9"/>
    <w:rsid w:val="0093063C"/>
    <w:rsid w:val="009316C2"/>
    <w:rsid w:val="009328E9"/>
    <w:rsid w:val="009335F4"/>
    <w:rsid w:val="00934812"/>
    <w:rsid w:val="009357CB"/>
    <w:rsid w:val="00936052"/>
    <w:rsid w:val="0093701D"/>
    <w:rsid w:val="009374A2"/>
    <w:rsid w:val="00937CED"/>
    <w:rsid w:val="00941005"/>
    <w:rsid w:val="0094123D"/>
    <w:rsid w:val="0094245D"/>
    <w:rsid w:val="00942BDF"/>
    <w:rsid w:val="00942DA9"/>
    <w:rsid w:val="0094549C"/>
    <w:rsid w:val="00946457"/>
    <w:rsid w:val="00946DDF"/>
    <w:rsid w:val="00947447"/>
    <w:rsid w:val="009474A3"/>
    <w:rsid w:val="0094773A"/>
    <w:rsid w:val="009479E6"/>
    <w:rsid w:val="00951BFB"/>
    <w:rsid w:val="0095231E"/>
    <w:rsid w:val="009536B8"/>
    <w:rsid w:val="00953700"/>
    <w:rsid w:val="00953D5E"/>
    <w:rsid w:val="00954A80"/>
    <w:rsid w:val="00955BBF"/>
    <w:rsid w:val="00956511"/>
    <w:rsid w:val="0095755D"/>
    <w:rsid w:val="009602D1"/>
    <w:rsid w:val="009606C8"/>
    <w:rsid w:val="0096093B"/>
    <w:rsid w:val="00960F4B"/>
    <w:rsid w:val="00961747"/>
    <w:rsid w:val="0096209B"/>
    <w:rsid w:val="00962FD0"/>
    <w:rsid w:val="00963B5A"/>
    <w:rsid w:val="00963CA4"/>
    <w:rsid w:val="00963EAB"/>
    <w:rsid w:val="0096468A"/>
    <w:rsid w:val="00965311"/>
    <w:rsid w:val="009658B8"/>
    <w:rsid w:val="00966C04"/>
    <w:rsid w:val="0096726B"/>
    <w:rsid w:val="009702AB"/>
    <w:rsid w:val="00970DE8"/>
    <w:rsid w:val="00970EAC"/>
    <w:rsid w:val="00971216"/>
    <w:rsid w:val="009712C2"/>
    <w:rsid w:val="00971457"/>
    <w:rsid w:val="0097208D"/>
    <w:rsid w:val="0097216C"/>
    <w:rsid w:val="00973E41"/>
    <w:rsid w:val="00974D50"/>
    <w:rsid w:val="00975313"/>
    <w:rsid w:val="00975674"/>
    <w:rsid w:val="00975E5B"/>
    <w:rsid w:val="00976709"/>
    <w:rsid w:val="009769D4"/>
    <w:rsid w:val="00976A19"/>
    <w:rsid w:val="00976E8C"/>
    <w:rsid w:val="009773DA"/>
    <w:rsid w:val="00977701"/>
    <w:rsid w:val="00977A3B"/>
    <w:rsid w:val="0098139E"/>
    <w:rsid w:val="009826B0"/>
    <w:rsid w:val="00983920"/>
    <w:rsid w:val="00984826"/>
    <w:rsid w:val="00984869"/>
    <w:rsid w:val="0098504F"/>
    <w:rsid w:val="00985F1B"/>
    <w:rsid w:val="0098623D"/>
    <w:rsid w:val="00986372"/>
    <w:rsid w:val="009869E5"/>
    <w:rsid w:val="00986C8D"/>
    <w:rsid w:val="0098724D"/>
    <w:rsid w:val="00987F6E"/>
    <w:rsid w:val="00990436"/>
    <w:rsid w:val="00990F8E"/>
    <w:rsid w:val="0099165C"/>
    <w:rsid w:val="00991855"/>
    <w:rsid w:val="00991F83"/>
    <w:rsid w:val="0099232A"/>
    <w:rsid w:val="009923C3"/>
    <w:rsid w:val="00992883"/>
    <w:rsid w:val="009928D7"/>
    <w:rsid w:val="00992CFE"/>
    <w:rsid w:val="00993B72"/>
    <w:rsid w:val="0099447C"/>
    <w:rsid w:val="009948C9"/>
    <w:rsid w:val="00996CF8"/>
    <w:rsid w:val="00997F1B"/>
    <w:rsid w:val="009A150B"/>
    <w:rsid w:val="009A1F0F"/>
    <w:rsid w:val="009A27DF"/>
    <w:rsid w:val="009A2FCC"/>
    <w:rsid w:val="009A3037"/>
    <w:rsid w:val="009A42DB"/>
    <w:rsid w:val="009A48CD"/>
    <w:rsid w:val="009A5A23"/>
    <w:rsid w:val="009B1154"/>
    <w:rsid w:val="009B183B"/>
    <w:rsid w:val="009B1A2A"/>
    <w:rsid w:val="009B1A7C"/>
    <w:rsid w:val="009B1BF1"/>
    <w:rsid w:val="009B220A"/>
    <w:rsid w:val="009B23D5"/>
    <w:rsid w:val="009B25A5"/>
    <w:rsid w:val="009B2D7E"/>
    <w:rsid w:val="009B3792"/>
    <w:rsid w:val="009B52F7"/>
    <w:rsid w:val="009B679E"/>
    <w:rsid w:val="009B7935"/>
    <w:rsid w:val="009C00D4"/>
    <w:rsid w:val="009C05E6"/>
    <w:rsid w:val="009C0926"/>
    <w:rsid w:val="009C0AAB"/>
    <w:rsid w:val="009C0D07"/>
    <w:rsid w:val="009C1B43"/>
    <w:rsid w:val="009C1E91"/>
    <w:rsid w:val="009C2395"/>
    <w:rsid w:val="009C2CB7"/>
    <w:rsid w:val="009C2F07"/>
    <w:rsid w:val="009C44C5"/>
    <w:rsid w:val="009C45B5"/>
    <w:rsid w:val="009C49D1"/>
    <w:rsid w:val="009C4F6B"/>
    <w:rsid w:val="009C5157"/>
    <w:rsid w:val="009C74BA"/>
    <w:rsid w:val="009C7823"/>
    <w:rsid w:val="009C7961"/>
    <w:rsid w:val="009C7F88"/>
    <w:rsid w:val="009D2C1F"/>
    <w:rsid w:val="009D2CC2"/>
    <w:rsid w:val="009D2D54"/>
    <w:rsid w:val="009D3409"/>
    <w:rsid w:val="009D3B19"/>
    <w:rsid w:val="009D458C"/>
    <w:rsid w:val="009D48F4"/>
    <w:rsid w:val="009D592F"/>
    <w:rsid w:val="009D620F"/>
    <w:rsid w:val="009D7AE4"/>
    <w:rsid w:val="009E0143"/>
    <w:rsid w:val="009E0F31"/>
    <w:rsid w:val="009E19CB"/>
    <w:rsid w:val="009E1D2D"/>
    <w:rsid w:val="009E1E8A"/>
    <w:rsid w:val="009E298A"/>
    <w:rsid w:val="009E2A3C"/>
    <w:rsid w:val="009E2D04"/>
    <w:rsid w:val="009E2EED"/>
    <w:rsid w:val="009E3332"/>
    <w:rsid w:val="009E3E00"/>
    <w:rsid w:val="009E443B"/>
    <w:rsid w:val="009E5917"/>
    <w:rsid w:val="009E6289"/>
    <w:rsid w:val="009E6CA5"/>
    <w:rsid w:val="009E74AA"/>
    <w:rsid w:val="009E76B2"/>
    <w:rsid w:val="009E7700"/>
    <w:rsid w:val="009E7F7E"/>
    <w:rsid w:val="009F04C8"/>
    <w:rsid w:val="009F0AEF"/>
    <w:rsid w:val="009F0F9C"/>
    <w:rsid w:val="009F59BC"/>
    <w:rsid w:val="009F7A89"/>
    <w:rsid w:val="009F7E96"/>
    <w:rsid w:val="00A009F1"/>
    <w:rsid w:val="00A021DB"/>
    <w:rsid w:val="00A03108"/>
    <w:rsid w:val="00A03807"/>
    <w:rsid w:val="00A039D8"/>
    <w:rsid w:val="00A03A51"/>
    <w:rsid w:val="00A03E39"/>
    <w:rsid w:val="00A046E3"/>
    <w:rsid w:val="00A0490A"/>
    <w:rsid w:val="00A054A9"/>
    <w:rsid w:val="00A06347"/>
    <w:rsid w:val="00A06554"/>
    <w:rsid w:val="00A06EB4"/>
    <w:rsid w:val="00A10DAE"/>
    <w:rsid w:val="00A10F09"/>
    <w:rsid w:val="00A1148E"/>
    <w:rsid w:val="00A1181A"/>
    <w:rsid w:val="00A11EA6"/>
    <w:rsid w:val="00A12733"/>
    <w:rsid w:val="00A12E50"/>
    <w:rsid w:val="00A141A5"/>
    <w:rsid w:val="00A1688E"/>
    <w:rsid w:val="00A177A3"/>
    <w:rsid w:val="00A21381"/>
    <w:rsid w:val="00A214A9"/>
    <w:rsid w:val="00A22B1D"/>
    <w:rsid w:val="00A244E7"/>
    <w:rsid w:val="00A24523"/>
    <w:rsid w:val="00A250A3"/>
    <w:rsid w:val="00A26083"/>
    <w:rsid w:val="00A2656A"/>
    <w:rsid w:val="00A2659F"/>
    <w:rsid w:val="00A26799"/>
    <w:rsid w:val="00A26C96"/>
    <w:rsid w:val="00A27683"/>
    <w:rsid w:val="00A27990"/>
    <w:rsid w:val="00A3077E"/>
    <w:rsid w:val="00A30E05"/>
    <w:rsid w:val="00A3108C"/>
    <w:rsid w:val="00A31E9C"/>
    <w:rsid w:val="00A32932"/>
    <w:rsid w:val="00A3412E"/>
    <w:rsid w:val="00A34437"/>
    <w:rsid w:val="00A34826"/>
    <w:rsid w:val="00A3492F"/>
    <w:rsid w:val="00A34CEC"/>
    <w:rsid w:val="00A35007"/>
    <w:rsid w:val="00A35226"/>
    <w:rsid w:val="00A3584D"/>
    <w:rsid w:val="00A35853"/>
    <w:rsid w:val="00A35D2B"/>
    <w:rsid w:val="00A365AE"/>
    <w:rsid w:val="00A378A4"/>
    <w:rsid w:val="00A406C8"/>
    <w:rsid w:val="00A40F17"/>
    <w:rsid w:val="00A41E97"/>
    <w:rsid w:val="00A42A32"/>
    <w:rsid w:val="00A43893"/>
    <w:rsid w:val="00A43C49"/>
    <w:rsid w:val="00A4405D"/>
    <w:rsid w:val="00A4476D"/>
    <w:rsid w:val="00A44E4D"/>
    <w:rsid w:val="00A45E61"/>
    <w:rsid w:val="00A468D5"/>
    <w:rsid w:val="00A46ECE"/>
    <w:rsid w:val="00A46EFD"/>
    <w:rsid w:val="00A47404"/>
    <w:rsid w:val="00A50357"/>
    <w:rsid w:val="00A50A0C"/>
    <w:rsid w:val="00A50FAE"/>
    <w:rsid w:val="00A5179D"/>
    <w:rsid w:val="00A52D0E"/>
    <w:rsid w:val="00A537CD"/>
    <w:rsid w:val="00A53C1F"/>
    <w:rsid w:val="00A55891"/>
    <w:rsid w:val="00A5736D"/>
    <w:rsid w:val="00A57A8B"/>
    <w:rsid w:val="00A60687"/>
    <w:rsid w:val="00A61438"/>
    <w:rsid w:val="00A62B0D"/>
    <w:rsid w:val="00A6390A"/>
    <w:rsid w:val="00A6453B"/>
    <w:rsid w:val="00A65010"/>
    <w:rsid w:val="00A66824"/>
    <w:rsid w:val="00A673BB"/>
    <w:rsid w:val="00A70DAE"/>
    <w:rsid w:val="00A714C6"/>
    <w:rsid w:val="00A72407"/>
    <w:rsid w:val="00A73D21"/>
    <w:rsid w:val="00A74B16"/>
    <w:rsid w:val="00A752F5"/>
    <w:rsid w:val="00A757A7"/>
    <w:rsid w:val="00A76C51"/>
    <w:rsid w:val="00A77202"/>
    <w:rsid w:val="00A77A83"/>
    <w:rsid w:val="00A77D80"/>
    <w:rsid w:val="00A80450"/>
    <w:rsid w:val="00A80999"/>
    <w:rsid w:val="00A814C3"/>
    <w:rsid w:val="00A81D9C"/>
    <w:rsid w:val="00A83294"/>
    <w:rsid w:val="00A83BF2"/>
    <w:rsid w:val="00A83CA3"/>
    <w:rsid w:val="00A84740"/>
    <w:rsid w:val="00A84DFE"/>
    <w:rsid w:val="00A85800"/>
    <w:rsid w:val="00A85918"/>
    <w:rsid w:val="00A87339"/>
    <w:rsid w:val="00A90423"/>
    <w:rsid w:val="00A9080D"/>
    <w:rsid w:val="00A91104"/>
    <w:rsid w:val="00A91245"/>
    <w:rsid w:val="00A91F76"/>
    <w:rsid w:val="00A92711"/>
    <w:rsid w:val="00A92977"/>
    <w:rsid w:val="00A93F63"/>
    <w:rsid w:val="00A94289"/>
    <w:rsid w:val="00A946E6"/>
    <w:rsid w:val="00A94B34"/>
    <w:rsid w:val="00A94E2C"/>
    <w:rsid w:val="00A95046"/>
    <w:rsid w:val="00A95CA2"/>
    <w:rsid w:val="00A96399"/>
    <w:rsid w:val="00A965C5"/>
    <w:rsid w:val="00A966E3"/>
    <w:rsid w:val="00A97118"/>
    <w:rsid w:val="00A971C3"/>
    <w:rsid w:val="00AA040C"/>
    <w:rsid w:val="00AA0D5C"/>
    <w:rsid w:val="00AA13E0"/>
    <w:rsid w:val="00AA1411"/>
    <w:rsid w:val="00AA1578"/>
    <w:rsid w:val="00AA1AEF"/>
    <w:rsid w:val="00AA24E9"/>
    <w:rsid w:val="00AA2D1A"/>
    <w:rsid w:val="00AA38A8"/>
    <w:rsid w:val="00AA4001"/>
    <w:rsid w:val="00AA416D"/>
    <w:rsid w:val="00AA460E"/>
    <w:rsid w:val="00AA59C9"/>
    <w:rsid w:val="00AA5FDA"/>
    <w:rsid w:val="00AA7686"/>
    <w:rsid w:val="00AA7ED6"/>
    <w:rsid w:val="00AB093E"/>
    <w:rsid w:val="00AB1ADE"/>
    <w:rsid w:val="00AB1E6F"/>
    <w:rsid w:val="00AB1F54"/>
    <w:rsid w:val="00AB23D8"/>
    <w:rsid w:val="00AB31C8"/>
    <w:rsid w:val="00AB663E"/>
    <w:rsid w:val="00AB7560"/>
    <w:rsid w:val="00AB761D"/>
    <w:rsid w:val="00AB7A84"/>
    <w:rsid w:val="00AB7E01"/>
    <w:rsid w:val="00AB7EA6"/>
    <w:rsid w:val="00AB7F8F"/>
    <w:rsid w:val="00AC0983"/>
    <w:rsid w:val="00AC0ADF"/>
    <w:rsid w:val="00AC1290"/>
    <w:rsid w:val="00AC1529"/>
    <w:rsid w:val="00AC15FD"/>
    <w:rsid w:val="00AC17C9"/>
    <w:rsid w:val="00AC1D18"/>
    <w:rsid w:val="00AC1EE1"/>
    <w:rsid w:val="00AC2105"/>
    <w:rsid w:val="00AC22BC"/>
    <w:rsid w:val="00AC32E6"/>
    <w:rsid w:val="00AC37F0"/>
    <w:rsid w:val="00AC3919"/>
    <w:rsid w:val="00AC49DF"/>
    <w:rsid w:val="00AC4C58"/>
    <w:rsid w:val="00AC6212"/>
    <w:rsid w:val="00AC627F"/>
    <w:rsid w:val="00AC6E32"/>
    <w:rsid w:val="00AC70B7"/>
    <w:rsid w:val="00AC7E02"/>
    <w:rsid w:val="00AD06E4"/>
    <w:rsid w:val="00AD1BC2"/>
    <w:rsid w:val="00AD1E44"/>
    <w:rsid w:val="00AD2159"/>
    <w:rsid w:val="00AD2221"/>
    <w:rsid w:val="00AD2B91"/>
    <w:rsid w:val="00AD38D5"/>
    <w:rsid w:val="00AD3E2B"/>
    <w:rsid w:val="00AD3FA7"/>
    <w:rsid w:val="00AD4E40"/>
    <w:rsid w:val="00AD5133"/>
    <w:rsid w:val="00AD59FB"/>
    <w:rsid w:val="00AD655D"/>
    <w:rsid w:val="00AD67CE"/>
    <w:rsid w:val="00AD6843"/>
    <w:rsid w:val="00AD6BA1"/>
    <w:rsid w:val="00AD786E"/>
    <w:rsid w:val="00AD7959"/>
    <w:rsid w:val="00AE1675"/>
    <w:rsid w:val="00AE1C76"/>
    <w:rsid w:val="00AE4196"/>
    <w:rsid w:val="00AE4683"/>
    <w:rsid w:val="00AE741D"/>
    <w:rsid w:val="00AF104D"/>
    <w:rsid w:val="00AF124C"/>
    <w:rsid w:val="00AF1EB4"/>
    <w:rsid w:val="00AF2055"/>
    <w:rsid w:val="00AF41AA"/>
    <w:rsid w:val="00AF45EA"/>
    <w:rsid w:val="00AF4FFB"/>
    <w:rsid w:val="00AF58B8"/>
    <w:rsid w:val="00AF5EB6"/>
    <w:rsid w:val="00AF60D6"/>
    <w:rsid w:val="00AF6580"/>
    <w:rsid w:val="00AF6AF1"/>
    <w:rsid w:val="00AF6C14"/>
    <w:rsid w:val="00B00047"/>
    <w:rsid w:val="00B00453"/>
    <w:rsid w:val="00B00EBC"/>
    <w:rsid w:val="00B01DAC"/>
    <w:rsid w:val="00B0257C"/>
    <w:rsid w:val="00B02795"/>
    <w:rsid w:val="00B02A99"/>
    <w:rsid w:val="00B02DDE"/>
    <w:rsid w:val="00B02F5D"/>
    <w:rsid w:val="00B035A1"/>
    <w:rsid w:val="00B03749"/>
    <w:rsid w:val="00B03AB5"/>
    <w:rsid w:val="00B03DCB"/>
    <w:rsid w:val="00B03FC3"/>
    <w:rsid w:val="00B043CB"/>
    <w:rsid w:val="00B043DE"/>
    <w:rsid w:val="00B04E92"/>
    <w:rsid w:val="00B05C1B"/>
    <w:rsid w:val="00B06213"/>
    <w:rsid w:val="00B06AAF"/>
    <w:rsid w:val="00B06E21"/>
    <w:rsid w:val="00B0783C"/>
    <w:rsid w:val="00B07C59"/>
    <w:rsid w:val="00B107FB"/>
    <w:rsid w:val="00B122B3"/>
    <w:rsid w:val="00B13583"/>
    <w:rsid w:val="00B14668"/>
    <w:rsid w:val="00B147D8"/>
    <w:rsid w:val="00B15261"/>
    <w:rsid w:val="00B15378"/>
    <w:rsid w:val="00B15E43"/>
    <w:rsid w:val="00B17795"/>
    <w:rsid w:val="00B17A9E"/>
    <w:rsid w:val="00B20213"/>
    <w:rsid w:val="00B20ACE"/>
    <w:rsid w:val="00B210A4"/>
    <w:rsid w:val="00B21985"/>
    <w:rsid w:val="00B221F9"/>
    <w:rsid w:val="00B23516"/>
    <w:rsid w:val="00B23A28"/>
    <w:rsid w:val="00B23ED5"/>
    <w:rsid w:val="00B23FE4"/>
    <w:rsid w:val="00B24861"/>
    <w:rsid w:val="00B2509B"/>
    <w:rsid w:val="00B25BD4"/>
    <w:rsid w:val="00B25E4D"/>
    <w:rsid w:val="00B26451"/>
    <w:rsid w:val="00B26BB1"/>
    <w:rsid w:val="00B26D0D"/>
    <w:rsid w:val="00B2759F"/>
    <w:rsid w:val="00B27C61"/>
    <w:rsid w:val="00B3094C"/>
    <w:rsid w:val="00B30A55"/>
    <w:rsid w:val="00B31E60"/>
    <w:rsid w:val="00B31E62"/>
    <w:rsid w:val="00B32374"/>
    <w:rsid w:val="00B3363F"/>
    <w:rsid w:val="00B33751"/>
    <w:rsid w:val="00B33BF8"/>
    <w:rsid w:val="00B34234"/>
    <w:rsid w:val="00B3423F"/>
    <w:rsid w:val="00B34BAD"/>
    <w:rsid w:val="00B34C7C"/>
    <w:rsid w:val="00B35E26"/>
    <w:rsid w:val="00B3725D"/>
    <w:rsid w:val="00B37942"/>
    <w:rsid w:val="00B37DEF"/>
    <w:rsid w:val="00B4065D"/>
    <w:rsid w:val="00B40D72"/>
    <w:rsid w:val="00B4140D"/>
    <w:rsid w:val="00B420E8"/>
    <w:rsid w:val="00B42816"/>
    <w:rsid w:val="00B43235"/>
    <w:rsid w:val="00B44F72"/>
    <w:rsid w:val="00B4587F"/>
    <w:rsid w:val="00B46F44"/>
    <w:rsid w:val="00B46F7A"/>
    <w:rsid w:val="00B475D5"/>
    <w:rsid w:val="00B5091D"/>
    <w:rsid w:val="00B51398"/>
    <w:rsid w:val="00B51899"/>
    <w:rsid w:val="00B51D3B"/>
    <w:rsid w:val="00B520FB"/>
    <w:rsid w:val="00B52297"/>
    <w:rsid w:val="00B52547"/>
    <w:rsid w:val="00B52997"/>
    <w:rsid w:val="00B5303F"/>
    <w:rsid w:val="00B5485A"/>
    <w:rsid w:val="00B5497F"/>
    <w:rsid w:val="00B54BB6"/>
    <w:rsid w:val="00B55AE1"/>
    <w:rsid w:val="00B55B6E"/>
    <w:rsid w:val="00B55E2F"/>
    <w:rsid w:val="00B56200"/>
    <w:rsid w:val="00B6080A"/>
    <w:rsid w:val="00B60D24"/>
    <w:rsid w:val="00B61094"/>
    <w:rsid w:val="00B6131C"/>
    <w:rsid w:val="00B61B0D"/>
    <w:rsid w:val="00B6249B"/>
    <w:rsid w:val="00B6329E"/>
    <w:rsid w:val="00B633F1"/>
    <w:rsid w:val="00B636CE"/>
    <w:rsid w:val="00B642A4"/>
    <w:rsid w:val="00B64B32"/>
    <w:rsid w:val="00B64BC3"/>
    <w:rsid w:val="00B64CDC"/>
    <w:rsid w:val="00B65424"/>
    <w:rsid w:val="00B659A5"/>
    <w:rsid w:val="00B67DB4"/>
    <w:rsid w:val="00B704EB"/>
    <w:rsid w:val="00B70543"/>
    <w:rsid w:val="00B70B47"/>
    <w:rsid w:val="00B7149A"/>
    <w:rsid w:val="00B7167D"/>
    <w:rsid w:val="00B72204"/>
    <w:rsid w:val="00B7260B"/>
    <w:rsid w:val="00B732D8"/>
    <w:rsid w:val="00B749B9"/>
    <w:rsid w:val="00B77174"/>
    <w:rsid w:val="00B776E7"/>
    <w:rsid w:val="00B803D2"/>
    <w:rsid w:val="00B8088E"/>
    <w:rsid w:val="00B80C7B"/>
    <w:rsid w:val="00B80DAB"/>
    <w:rsid w:val="00B81197"/>
    <w:rsid w:val="00B81AB9"/>
    <w:rsid w:val="00B81E3C"/>
    <w:rsid w:val="00B8217C"/>
    <w:rsid w:val="00B83B5D"/>
    <w:rsid w:val="00B83C17"/>
    <w:rsid w:val="00B85051"/>
    <w:rsid w:val="00B85129"/>
    <w:rsid w:val="00B85147"/>
    <w:rsid w:val="00B8521B"/>
    <w:rsid w:val="00B85915"/>
    <w:rsid w:val="00B86697"/>
    <w:rsid w:val="00B875D1"/>
    <w:rsid w:val="00B903C2"/>
    <w:rsid w:val="00B9191E"/>
    <w:rsid w:val="00B91A7A"/>
    <w:rsid w:val="00B91E3A"/>
    <w:rsid w:val="00B921ED"/>
    <w:rsid w:val="00B92622"/>
    <w:rsid w:val="00B92A4A"/>
    <w:rsid w:val="00B93199"/>
    <w:rsid w:val="00B931D4"/>
    <w:rsid w:val="00B93B7D"/>
    <w:rsid w:val="00B94BD4"/>
    <w:rsid w:val="00B94BE7"/>
    <w:rsid w:val="00B95BB0"/>
    <w:rsid w:val="00B96322"/>
    <w:rsid w:val="00B96ED7"/>
    <w:rsid w:val="00B970A6"/>
    <w:rsid w:val="00B97A29"/>
    <w:rsid w:val="00B97E03"/>
    <w:rsid w:val="00BA11D2"/>
    <w:rsid w:val="00BA15C8"/>
    <w:rsid w:val="00BA1BDE"/>
    <w:rsid w:val="00BA2AA1"/>
    <w:rsid w:val="00BA2AC6"/>
    <w:rsid w:val="00BA2BB2"/>
    <w:rsid w:val="00BA393F"/>
    <w:rsid w:val="00BA4867"/>
    <w:rsid w:val="00BA4B0F"/>
    <w:rsid w:val="00BA4B62"/>
    <w:rsid w:val="00BA629E"/>
    <w:rsid w:val="00BA71C9"/>
    <w:rsid w:val="00BA7836"/>
    <w:rsid w:val="00BA7F13"/>
    <w:rsid w:val="00BB0ECE"/>
    <w:rsid w:val="00BB13F6"/>
    <w:rsid w:val="00BB2E75"/>
    <w:rsid w:val="00BB3660"/>
    <w:rsid w:val="00BB3B8D"/>
    <w:rsid w:val="00BB4126"/>
    <w:rsid w:val="00BB4F07"/>
    <w:rsid w:val="00BB65DA"/>
    <w:rsid w:val="00BB7BDC"/>
    <w:rsid w:val="00BC0BED"/>
    <w:rsid w:val="00BC3058"/>
    <w:rsid w:val="00BC3237"/>
    <w:rsid w:val="00BC3339"/>
    <w:rsid w:val="00BC3C5B"/>
    <w:rsid w:val="00BC415F"/>
    <w:rsid w:val="00BC482E"/>
    <w:rsid w:val="00BC4CF0"/>
    <w:rsid w:val="00BC4E95"/>
    <w:rsid w:val="00BC535E"/>
    <w:rsid w:val="00BC639D"/>
    <w:rsid w:val="00BC6BD1"/>
    <w:rsid w:val="00BC73DD"/>
    <w:rsid w:val="00BC7580"/>
    <w:rsid w:val="00BD0473"/>
    <w:rsid w:val="00BD202A"/>
    <w:rsid w:val="00BD23D1"/>
    <w:rsid w:val="00BD317B"/>
    <w:rsid w:val="00BD379B"/>
    <w:rsid w:val="00BD4462"/>
    <w:rsid w:val="00BD4BED"/>
    <w:rsid w:val="00BD5C14"/>
    <w:rsid w:val="00BD60CB"/>
    <w:rsid w:val="00BD73E6"/>
    <w:rsid w:val="00BD7824"/>
    <w:rsid w:val="00BD7DD1"/>
    <w:rsid w:val="00BE1524"/>
    <w:rsid w:val="00BE16F1"/>
    <w:rsid w:val="00BE2029"/>
    <w:rsid w:val="00BE2E0A"/>
    <w:rsid w:val="00BE3723"/>
    <w:rsid w:val="00BE37AF"/>
    <w:rsid w:val="00BE37FA"/>
    <w:rsid w:val="00BE39AA"/>
    <w:rsid w:val="00BE439F"/>
    <w:rsid w:val="00BE4714"/>
    <w:rsid w:val="00BE49ED"/>
    <w:rsid w:val="00BE681C"/>
    <w:rsid w:val="00BE7575"/>
    <w:rsid w:val="00BE759C"/>
    <w:rsid w:val="00BE7933"/>
    <w:rsid w:val="00BF003A"/>
    <w:rsid w:val="00BF0699"/>
    <w:rsid w:val="00BF0DAC"/>
    <w:rsid w:val="00BF24A8"/>
    <w:rsid w:val="00BF3FF9"/>
    <w:rsid w:val="00BF4B50"/>
    <w:rsid w:val="00BF64F0"/>
    <w:rsid w:val="00BF6969"/>
    <w:rsid w:val="00BF7A1D"/>
    <w:rsid w:val="00C00041"/>
    <w:rsid w:val="00C0088A"/>
    <w:rsid w:val="00C009C3"/>
    <w:rsid w:val="00C01057"/>
    <w:rsid w:val="00C0295A"/>
    <w:rsid w:val="00C034F8"/>
    <w:rsid w:val="00C03F31"/>
    <w:rsid w:val="00C042DE"/>
    <w:rsid w:val="00C04A33"/>
    <w:rsid w:val="00C0640C"/>
    <w:rsid w:val="00C06806"/>
    <w:rsid w:val="00C06914"/>
    <w:rsid w:val="00C06DB4"/>
    <w:rsid w:val="00C10208"/>
    <w:rsid w:val="00C114C7"/>
    <w:rsid w:val="00C11886"/>
    <w:rsid w:val="00C11C70"/>
    <w:rsid w:val="00C11F70"/>
    <w:rsid w:val="00C13AC2"/>
    <w:rsid w:val="00C13EC0"/>
    <w:rsid w:val="00C1517A"/>
    <w:rsid w:val="00C16472"/>
    <w:rsid w:val="00C16842"/>
    <w:rsid w:val="00C17171"/>
    <w:rsid w:val="00C2017F"/>
    <w:rsid w:val="00C211C2"/>
    <w:rsid w:val="00C21989"/>
    <w:rsid w:val="00C2214F"/>
    <w:rsid w:val="00C23378"/>
    <w:rsid w:val="00C23DC9"/>
    <w:rsid w:val="00C24789"/>
    <w:rsid w:val="00C24F92"/>
    <w:rsid w:val="00C30624"/>
    <w:rsid w:val="00C30648"/>
    <w:rsid w:val="00C30E19"/>
    <w:rsid w:val="00C33C88"/>
    <w:rsid w:val="00C368B5"/>
    <w:rsid w:val="00C36966"/>
    <w:rsid w:val="00C37822"/>
    <w:rsid w:val="00C37DB0"/>
    <w:rsid w:val="00C37DCC"/>
    <w:rsid w:val="00C41BA6"/>
    <w:rsid w:val="00C41D3A"/>
    <w:rsid w:val="00C43A2C"/>
    <w:rsid w:val="00C44353"/>
    <w:rsid w:val="00C4483F"/>
    <w:rsid w:val="00C44C3F"/>
    <w:rsid w:val="00C455AC"/>
    <w:rsid w:val="00C46CE7"/>
    <w:rsid w:val="00C46F9E"/>
    <w:rsid w:val="00C478CC"/>
    <w:rsid w:val="00C4792C"/>
    <w:rsid w:val="00C50B06"/>
    <w:rsid w:val="00C50C99"/>
    <w:rsid w:val="00C51D17"/>
    <w:rsid w:val="00C53C41"/>
    <w:rsid w:val="00C54F6D"/>
    <w:rsid w:val="00C556EA"/>
    <w:rsid w:val="00C557B2"/>
    <w:rsid w:val="00C56117"/>
    <w:rsid w:val="00C57275"/>
    <w:rsid w:val="00C572DC"/>
    <w:rsid w:val="00C57F71"/>
    <w:rsid w:val="00C60BBB"/>
    <w:rsid w:val="00C612F7"/>
    <w:rsid w:val="00C61872"/>
    <w:rsid w:val="00C619EF"/>
    <w:rsid w:val="00C619F9"/>
    <w:rsid w:val="00C622D1"/>
    <w:rsid w:val="00C62830"/>
    <w:rsid w:val="00C6437E"/>
    <w:rsid w:val="00C648D4"/>
    <w:rsid w:val="00C668A0"/>
    <w:rsid w:val="00C66B73"/>
    <w:rsid w:val="00C674E3"/>
    <w:rsid w:val="00C70067"/>
    <w:rsid w:val="00C7012A"/>
    <w:rsid w:val="00C708C4"/>
    <w:rsid w:val="00C70C9B"/>
    <w:rsid w:val="00C71380"/>
    <w:rsid w:val="00C71937"/>
    <w:rsid w:val="00C71B9C"/>
    <w:rsid w:val="00C73967"/>
    <w:rsid w:val="00C73E17"/>
    <w:rsid w:val="00C7497A"/>
    <w:rsid w:val="00C74B31"/>
    <w:rsid w:val="00C74EC5"/>
    <w:rsid w:val="00C7557B"/>
    <w:rsid w:val="00C75DE8"/>
    <w:rsid w:val="00C761B4"/>
    <w:rsid w:val="00C76895"/>
    <w:rsid w:val="00C80161"/>
    <w:rsid w:val="00C808C1"/>
    <w:rsid w:val="00C8126A"/>
    <w:rsid w:val="00C815CA"/>
    <w:rsid w:val="00C82C94"/>
    <w:rsid w:val="00C82CD6"/>
    <w:rsid w:val="00C83EFB"/>
    <w:rsid w:val="00C84235"/>
    <w:rsid w:val="00C85BC6"/>
    <w:rsid w:val="00C862A1"/>
    <w:rsid w:val="00C86585"/>
    <w:rsid w:val="00C86AAC"/>
    <w:rsid w:val="00C8787E"/>
    <w:rsid w:val="00C879E3"/>
    <w:rsid w:val="00C87A0C"/>
    <w:rsid w:val="00C90F3D"/>
    <w:rsid w:val="00C91B2D"/>
    <w:rsid w:val="00C91EE2"/>
    <w:rsid w:val="00C9259C"/>
    <w:rsid w:val="00C92C1E"/>
    <w:rsid w:val="00C92E8D"/>
    <w:rsid w:val="00C93150"/>
    <w:rsid w:val="00C9547D"/>
    <w:rsid w:val="00C9594E"/>
    <w:rsid w:val="00C96544"/>
    <w:rsid w:val="00C9751C"/>
    <w:rsid w:val="00CA00EE"/>
    <w:rsid w:val="00CA1CE0"/>
    <w:rsid w:val="00CA2EA1"/>
    <w:rsid w:val="00CA3056"/>
    <w:rsid w:val="00CA3CA4"/>
    <w:rsid w:val="00CA40D0"/>
    <w:rsid w:val="00CA58DB"/>
    <w:rsid w:val="00CA5D69"/>
    <w:rsid w:val="00CA61D1"/>
    <w:rsid w:val="00CA6862"/>
    <w:rsid w:val="00CA69F7"/>
    <w:rsid w:val="00CA7556"/>
    <w:rsid w:val="00CB005F"/>
    <w:rsid w:val="00CB07C5"/>
    <w:rsid w:val="00CB0E84"/>
    <w:rsid w:val="00CB112C"/>
    <w:rsid w:val="00CB2277"/>
    <w:rsid w:val="00CB2F9F"/>
    <w:rsid w:val="00CB3AE0"/>
    <w:rsid w:val="00CB44B4"/>
    <w:rsid w:val="00CB52F9"/>
    <w:rsid w:val="00CB5434"/>
    <w:rsid w:val="00CB5D1B"/>
    <w:rsid w:val="00CB5DAB"/>
    <w:rsid w:val="00CB621A"/>
    <w:rsid w:val="00CB6901"/>
    <w:rsid w:val="00CC01B7"/>
    <w:rsid w:val="00CC0517"/>
    <w:rsid w:val="00CC1E2F"/>
    <w:rsid w:val="00CC2705"/>
    <w:rsid w:val="00CC2B27"/>
    <w:rsid w:val="00CC2BA7"/>
    <w:rsid w:val="00CC3730"/>
    <w:rsid w:val="00CC4199"/>
    <w:rsid w:val="00CC4454"/>
    <w:rsid w:val="00CC4637"/>
    <w:rsid w:val="00CC54DE"/>
    <w:rsid w:val="00CC55FF"/>
    <w:rsid w:val="00CC5678"/>
    <w:rsid w:val="00CC5763"/>
    <w:rsid w:val="00CC5C23"/>
    <w:rsid w:val="00CC66C9"/>
    <w:rsid w:val="00CD081F"/>
    <w:rsid w:val="00CD0B26"/>
    <w:rsid w:val="00CD0C1F"/>
    <w:rsid w:val="00CD289D"/>
    <w:rsid w:val="00CD2AD6"/>
    <w:rsid w:val="00CD2EFF"/>
    <w:rsid w:val="00CD3B2B"/>
    <w:rsid w:val="00CD4161"/>
    <w:rsid w:val="00CD47E5"/>
    <w:rsid w:val="00CD4B7D"/>
    <w:rsid w:val="00CD4F3E"/>
    <w:rsid w:val="00CD5E28"/>
    <w:rsid w:val="00CD69AB"/>
    <w:rsid w:val="00CD6A7F"/>
    <w:rsid w:val="00CD6ECF"/>
    <w:rsid w:val="00CD73C9"/>
    <w:rsid w:val="00CE0BEF"/>
    <w:rsid w:val="00CE1610"/>
    <w:rsid w:val="00CE1712"/>
    <w:rsid w:val="00CE2DCF"/>
    <w:rsid w:val="00CE3460"/>
    <w:rsid w:val="00CE5DC7"/>
    <w:rsid w:val="00CE653D"/>
    <w:rsid w:val="00CE66BA"/>
    <w:rsid w:val="00CE6CC2"/>
    <w:rsid w:val="00CE718B"/>
    <w:rsid w:val="00CE7648"/>
    <w:rsid w:val="00CF150D"/>
    <w:rsid w:val="00CF1C80"/>
    <w:rsid w:val="00CF1ED8"/>
    <w:rsid w:val="00CF242A"/>
    <w:rsid w:val="00CF2527"/>
    <w:rsid w:val="00CF29DF"/>
    <w:rsid w:val="00CF2B03"/>
    <w:rsid w:val="00CF3526"/>
    <w:rsid w:val="00CF3716"/>
    <w:rsid w:val="00CF4047"/>
    <w:rsid w:val="00CF4425"/>
    <w:rsid w:val="00CF4C3F"/>
    <w:rsid w:val="00CF7D2B"/>
    <w:rsid w:val="00D001FB"/>
    <w:rsid w:val="00D00625"/>
    <w:rsid w:val="00D00911"/>
    <w:rsid w:val="00D0093F"/>
    <w:rsid w:val="00D0097D"/>
    <w:rsid w:val="00D035E0"/>
    <w:rsid w:val="00D03839"/>
    <w:rsid w:val="00D04F3C"/>
    <w:rsid w:val="00D050E0"/>
    <w:rsid w:val="00D058A5"/>
    <w:rsid w:val="00D06477"/>
    <w:rsid w:val="00D06CCE"/>
    <w:rsid w:val="00D06D37"/>
    <w:rsid w:val="00D07CCD"/>
    <w:rsid w:val="00D1050F"/>
    <w:rsid w:val="00D106D5"/>
    <w:rsid w:val="00D11850"/>
    <w:rsid w:val="00D11EEA"/>
    <w:rsid w:val="00D149A5"/>
    <w:rsid w:val="00D14DE2"/>
    <w:rsid w:val="00D15267"/>
    <w:rsid w:val="00D152FD"/>
    <w:rsid w:val="00D16669"/>
    <w:rsid w:val="00D20091"/>
    <w:rsid w:val="00D20BCD"/>
    <w:rsid w:val="00D21643"/>
    <w:rsid w:val="00D21D53"/>
    <w:rsid w:val="00D222BF"/>
    <w:rsid w:val="00D23019"/>
    <w:rsid w:val="00D23215"/>
    <w:rsid w:val="00D2347C"/>
    <w:rsid w:val="00D236E6"/>
    <w:rsid w:val="00D2504B"/>
    <w:rsid w:val="00D26490"/>
    <w:rsid w:val="00D2691C"/>
    <w:rsid w:val="00D26DF8"/>
    <w:rsid w:val="00D27B2D"/>
    <w:rsid w:val="00D27D5D"/>
    <w:rsid w:val="00D310AE"/>
    <w:rsid w:val="00D32BC3"/>
    <w:rsid w:val="00D3314C"/>
    <w:rsid w:val="00D33219"/>
    <w:rsid w:val="00D3325C"/>
    <w:rsid w:val="00D33ACA"/>
    <w:rsid w:val="00D359A8"/>
    <w:rsid w:val="00D35A2B"/>
    <w:rsid w:val="00D3679A"/>
    <w:rsid w:val="00D36B2E"/>
    <w:rsid w:val="00D376DB"/>
    <w:rsid w:val="00D376ED"/>
    <w:rsid w:val="00D37EC9"/>
    <w:rsid w:val="00D402A0"/>
    <w:rsid w:val="00D4080E"/>
    <w:rsid w:val="00D4087F"/>
    <w:rsid w:val="00D40B1C"/>
    <w:rsid w:val="00D43072"/>
    <w:rsid w:val="00D431AF"/>
    <w:rsid w:val="00D43AD3"/>
    <w:rsid w:val="00D43C35"/>
    <w:rsid w:val="00D43ED1"/>
    <w:rsid w:val="00D43F45"/>
    <w:rsid w:val="00D4448F"/>
    <w:rsid w:val="00D45644"/>
    <w:rsid w:val="00D46335"/>
    <w:rsid w:val="00D46F90"/>
    <w:rsid w:val="00D47186"/>
    <w:rsid w:val="00D476AB"/>
    <w:rsid w:val="00D50899"/>
    <w:rsid w:val="00D50C7C"/>
    <w:rsid w:val="00D51DD1"/>
    <w:rsid w:val="00D521A1"/>
    <w:rsid w:val="00D53D57"/>
    <w:rsid w:val="00D53E35"/>
    <w:rsid w:val="00D54685"/>
    <w:rsid w:val="00D5494F"/>
    <w:rsid w:val="00D54DBD"/>
    <w:rsid w:val="00D56916"/>
    <w:rsid w:val="00D56A36"/>
    <w:rsid w:val="00D56BF1"/>
    <w:rsid w:val="00D602E5"/>
    <w:rsid w:val="00D60442"/>
    <w:rsid w:val="00D607C0"/>
    <w:rsid w:val="00D6150B"/>
    <w:rsid w:val="00D621D0"/>
    <w:rsid w:val="00D62390"/>
    <w:rsid w:val="00D62902"/>
    <w:rsid w:val="00D62FC6"/>
    <w:rsid w:val="00D6387A"/>
    <w:rsid w:val="00D64186"/>
    <w:rsid w:val="00D64195"/>
    <w:rsid w:val="00D64EB7"/>
    <w:rsid w:val="00D6554D"/>
    <w:rsid w:val="00D66546"/>
    <w:rsid w:val="00D66BE0"/>
    <w:rsid w:val="00D6749C"/>
    <w:rsid w:val="00D70D72"/>
    <w:rsid w:val="00D74B06"/>
    <w:rsid w:val="00D7533A"/>
    <w:rsid w:val="00D75FA4"/>
    <w:rsid w:val="00D76B92"/>
    <w:rsid w:val="00D76BE7"/>
    <w:rsid w:val="00D76C61"/>
    <w:rsid w:val="00D80EB5"/>
    <w:rsid w:val="00D81ACC"/>
    <w:rsid w:val="00D81C9F"/>
    <w:rsid w:val="00D82B47"/>
    <w:rsid w:val="00D83751"/>
    <w:rsid w:val="00D9023D"/>
    <w:rsid w:val="00D90790"/>
    <w:rsid w:val="00D90E62"/>
    <w:rsid w:val="00D913F5"/>
    <w:rsid w:val="00D916DE"/>
    <w:rsid w:val="00D92354"/>
    <w:rsid w:val="00D925FF"/>
    <w:rsid w:val="00D9279E"/>
    <w:rsid w:val="00D92CD2"/>
    <w:rsid w:val="00D92D33"/>
    <w:rsid w:val="00D938D4"/>
    <w:rsid w:val="00D94749"/>
    <w:rsid w:val="00D958C5"/>
    <w:rsid w:val="00D96698"/>
    <w:rsid w:val="00D967B8"/>
    <w:rsid w:val="00DA02A6"/>
    <w:rsid w:val="00DA12C3"/>
    <w:rsid w:val="00DA1CBC"/>
    <w:rsid w:val="00DA2E16"/>
    <w:rsid w:val="00DA3E69"/>
    <w:rsid w:val="00DA5731"/>
    <w:rsid w:val="00DA6FA2"/>
    <w:rsid w:val="00DA71F8"/>
    <w:rsid w:val="00DA759F"/>
    <w:rsid w:val="00DA7855"/>
    <w:rsid w:val="00DB064B"/>
    <w:rsid w:val="00DB1575"/>
    <w:rsid w:val="00DB19A6"/>
    <w:rsid w:val="00DB21A7"/>
    <w:rsid w:val="00DB22AF"/>
    <w:rsid w:val="00DB427E"/>
    <w:rsid w:val="00DB46A8"/>
    <w:rsid w:val="00DB4B65"/>
    <w:rsid w:val="00DB5630"/>
    <w:rsid w:val="00DB58A6"/>
    <w:rsid w:val="00DB5C62"/>
    <w:rsid w:val="00DB5F1A"/>
    <w:rsid w:val="00DB64AA"/>
    <w:rsid w:val="00DC0B12"/>
    <w:rsid w:val="00DC129F"/>
    <w:rsid w:val="00DC165E"/>
    <w:rsid w:val="00DC1B99"/>
    <w:rsid w:val="00DC1FBF"/>
    <w:rsid w:val="00DC2164"/>
    <w:rsid w:val="00DC2E58"/>
    <w:rsid w:val="00DC32B3"/>
    <w:rsid w:val="00DC406C"/>
    <w:rsid w:val="00DC42DB"/>
    <w:rsid w:val="00DC4774"/>
    <w:rsid w:val="00DC589B"/>
    <w:rsid w:val="00DC748B"/>
    <w:rsid w:val="00DC7D1D"/>
    <w:rsid w:val="00DC7F06"/>
    <w:rsid w:val="00DD03FE"/>
    <w:rsid w:val="00DD05BA"/>
    <w:rsid w:val="00DD1714"/>
    <w:rsid w:val="00DD1743"/>
    <w:rsid w:val="00DD188E"/>
    <w:rsid w:val="00DD1928"/>
    <w:rsid w:val="00DD2312"/>
    <w:rsid w:val="00DD242D"/>
    <w:rsid w:val="00DD2555"/>
    <w:rsid w:val="00DD2778"/>
    <w:rsid w:val="00DD3BC0"/>
    <w:rsid w:val="00DD500B"/>
    <w:rsid w:val="00DD54FC"/>
    <w:rsid w:val="00DD550D"/>
    <w:rsid w:val="00DD6290"/>
    <w:rsid w:val="00DD6568"/>
    <w:rsid w:val="00DD6C36"/>
    <w:rsid w:val="00DD76C9"/>
    <w:rsid w:val="00DE0775"/>
    <w:rsid w:val="00DE0C4A"/>
    <w:rsid w:val="00DE1000"/>
    <w:rsid w:val="00DE1685"/>
    <w:rsid w:val="00DE1B89"/>
    <w:rsid w:val="00DE1CB1"/>
    <w:rsid w:val="00DE1CFC"/>
    <w:rsid w:val="00DE1EF3"/>
    <w:rsid w:val="00DE20FC"/>
    <w:rsid w:val="00DE270F"/>
    <w:rsid w:val="00DE2860"/>
    <w:rsid w:val="00DE3DBE"/>
    <w:rsid w:val="00DE44AD"/>
    <w:rsid w:val="00DE4728"/>
    <w:rsid w:val="00DE474D"/>
    <w:rsid w:val="00DE5D6B"/>
    <w:rsid w:val="00DE61EB"/>
    <w:rsid w:val="00DE62D2"/>
    <w:rsid w:val="00DE67D8"/>
    <w:rsid w:val="00DE6B59"/>
    <w:rsid w:val="00DE714E"/>
    <w:rsid w:val="00DE71B7"/>
    <w:rsid w:val="00DE734B"/>
    <w:rsid w:val="00DF0075"/>
    <w:rsid w:val="00DF06C7"/>
    <w:rsid w:val="00DF127C"/>
    <w:rsid w:val="00DF18AB"/>
    <w:rsid w:val="00DF2564"/>
    <w:rsid w:val="00DF3A33"/>
    <w:rsid w:val="00DF3AA3"/>
    <w:rsid w:val="00DF4934"/>
    <w:rsid w:val="00DF4BCB"/>
    <w:rsid w:val="00DF5070"/>
    <w:rsid w:val="00DF669C"/>
    <w:rsid w:val="00DF7429"/>
    <w:rsid w:val="00DF76BC"/>
    <w:rsid w:val="00DF7B6C"/>
    <w:rsid w:val="00DF7DDD"/>
    <w:rsid w:val="00DF7FA4"/>
    <w:rsid w:val="00E002C7"/>
    <w:rsid w:val="00E0033F"/>
    <w:rsid w:val="00E02259"/>
    <w:rsid w:val="00E0242D"/>
    <w:rsid w:val="00E029FE"/>
    <w:rsid w:val="00E02F35"/>
    <w:rsid w:val="00E03F7C"/>
    <w:rsid w:val="00E04B59"/>
    <w:rsid w:val="00E05386"/>
    <w:rsid w:val="00E053E0"/>
    <w:rsid w:val="00E05ADA"/>
    <w:rsid w:val="00E062EE"/>
    <w:rsid w:val="00E0638E"/>
    <w:rsid w:val="00E066A3"/>
    <w:rsid w:val="00E07488"/>
    <w:rsid w:val="00E07EB1"/>
    <w:rsid w:val="00E11180"/>
    <w:rsid w:val="00E111F7"/>
    <w:rsid w:val="00E11E42"/>
    <w:rsid w:val="00E129A7"/>
    <w:rsid w:val="00E12FAE"/>
    <w:rsid w:val="00E13126"/>
    <w:rsid w:val="00E133EA"/>
    <w:rsid w:val="00E1572D"/>
    <w:rsid w:val="00E16312"/>
    <w:rsid w:val="00E165A1"/>
    <w:rsid w:val="00E16C19"/>
    <w:rsid w:val="00E16C4C"/>
    <w:rsid w:val="00E17EE6"/>
    <w:rsid w:val="00E216BB"/>
    <w:rsid w:val="00E22771"/>
    <w:rsid w:val="00E2365D"/>
    <w:rsid w:val="00E23E97"/>
    <w:rsid w:val="00E25AB0"/>
    <w:rsid w:val="00E26C52"/>
    <w:rsid w:val="00E27431"/>
    <w:rsid w:val="00E27DC5"/>
    <w:rsid w:val="00E27E9E"/>
    <w:rsid w:val="00E3021F"/>
    <w:rsid w:val="00E30E29"/>
    <w:rsid w:val="00E32AF1"/>
    <w:rsid w:val="00E3392B"/>
    <w:rsid w:val="00E34BE4"/>
    <w:rsid w:val="00E34CA5"/>
    <w:rsid w:val="00E34ECC"/>
    <w:rsid w:val="00E35E98"/>
    <w:rsid w:val="00E362A2"/>
    <w:rsid w:val="00E36722"/>
    <w:rsid w:val="00E36A7A"/>
    <w:rsid w:val="00E4019D"/>
    <w:rsid w:val="00E402E0"/>
    <w:rsid w:val="00E418C2"/>
    <w:rsid w:val="00E41D94"/>
    <w:rsid w:val="00E420A1"/>
    <w:rsid w:val="00E4222E"/>
    <w:rsid w:val="00E42499"/>
    <w:rsid w:val="00E449EB"/>
    <w:rsid w:val="00E44E03"/>
    <w:rsid w:val="00E47060"/>
    <w:rsid w:val="00E500AE"/>
    <w:rsid w:val="00E51037"/>
    <w:rsid w:val="00E5147A"/>
    <w:rsid w:val="00E5170A"/>
    <w:rsid w:val="00E517D9"/>
    <w:rsid w:val="00E53269"/>
    <w:rsid w:val="00E53532"/>
    <w:rsid w:val="00E53BCE"/>
    <w:rsid w:val="00E54005"/>
    <w:rsid w:val="00E544E2"/>
    <w:rsid w:val="00E56177"/>
    <w:rsid w:val="00E56740"/>
    <w:rsid w:val="00E575DD"/>
    <w:rsid w:val="00E6077E"/>
    <w:rsid w:val="00E608B1"/>
    <w:rsid w:val="00E6119D"/>
    <w:rsid w:val="00E621E7"/>
    <w:rsid w:val="00E629B2"/>
    <w:rsid w:val="00E634CF"/>
    <w:rsid w:val="00E63A28"/>
    <w:rsid w:val="00E64A83"/>
    <w:rsid w:val="00E656AE"/>
    <w:rsid w:val="00E6608E"/>
    <w:rsid w:val="00E6742E"/>
    <w:rsid w:val="00E6751A"/>
    <w:rsid w:val="00E70A49"/>
    <w:rsid w:val="00E70C6B"/>
    <w:rsid w:val="00E70CF5"/>
    <w:rsid w:val="00E7145F"/>
    <w:rsid w:val="00E71C6F"/>
    <w:rsid w:val="00E72583"/>
    <w:rsid w:val="00E72A9D"/>
    <w:rsid w:val="00E73E46"/>
    <w:rsid w:val="00E74577"/>
    <w:rsid w:val="00E748DF"/>
    <w:rsid w:val="00E749DD"/>
    <w:rsid w:val="00E74B15"/>
    <w:rsid w:val="00E74C42"/>
    <w:rsid w:val="00E75015"/>
    <w:rsid w:val="00E76A34"/>
    <w:rsid w:val="00E76A99"/>
    <w:rsid w:val="00E76B85"/>
    <w:rsid w:val="00E77248"/>
    <w:rsid w:val="00E777A6"/>
    <w:rsid w:val="00E7787C"/>
    <w:rsid w:val="00E80683"/>
    <w:rsid w:val="00E80E97"/>
    <w:rsid w:val="00E814E3"/>
    <w:rsid w:val="00E81A58"/>
    <w:rsid w:val="00E827CA"/>
    <w:rsid w:val="00E82D53"/>
    <w:rsid w:val="00E83550"/>
    <w:rsid w:val="00E84068"/>
    <w:rsid w:val="00E84C70"/>
    <w:rsid w:val="00E84D16"/>
    <w:rsid w:val="00E86AA4"/>
    <w:rsid w:val="00E86BC2"/>
    <w:rsid w:val="00E8798E"/>
    <w:rsid w:val="00E87AF6"/>
    <w:rsid w:val="00E87B3A"/>
    <w:rsid w:val="00E90D8A"/>
    <w:rsid w:val="00E91187"/>
    <w:rsid w:val="00E912BD"/>
    <w:rsid w:val="00E91E3A"/>
    <w:rsid w:val="00E92B76"/>
    <w:rsid w:val="00E9407B"/>
    <w:rsid w:val="00E94300"/>
    <w:rsid w:val="00E97942"/>
    <w:rsid w:val="00E97F44"/>
    <w:rsid w:val="00E97FAF"/>
    <w:rsid w:val="00EA0635"/>
    <w:rsid w:val="00EA0983"/>
    <w:rsid w:val="00EA0F28"/>
    <w:rsid w:val="00EA0FB2"/>
    <w:rsid w:val="00EA1467"/>
    <w:rsid w:val="00EA17E1"/>
    <w:rsid w:val="00EA1B1C"/>
    <w:rsid w:val="00EA1EF5"/>
    <w:rsid w:val="00EA2214"/>
    <w:rsid w:val="00EA2AA6"/>
    <w:rsid w:val="00EA54BA"/>
    <w:rsid w:val="00EA5A16"/>
    <w:rsid w:val="00EA6497"/>
    <w:rsid w:val="00EA6B62"/>
    <w:rsid w:val="00EA6CAD"/>
    <w:rsid w:val="00EA703A"/>
    <w:rsid w:val="00EA7471"/>
    <w:rsid w:val="00EB0CA3"/>
    <w:rsid w:val="00EB0CF1"/>
    <w:rsid w:val="00EB0DA5"/>
    <w:rsid w:val="00EB10A0"/>
    <w:rsid w:val="00EB1343"/>
    <w:rsid w:val="00EB1348"/>
    <w:rsid w:val="00EB5118"/>
    <w:rsid w:val="00EB5A2B"/>
    <w:rsid w:val="00EB6D6B"/>
    <w:rsid w:val="00EB7A62"/>
    <w:rsid w:val="00EC0935"/>
    <w:rsid w:val="00EC0C37"/>
    <w:rsid w:val="00EC0E2C"/>
    <w:rsid w:val="00EC1156"/>
    <w:rsid w:val="00EC26E6"/>
    <w:rsid w:val="00EC43F6"/>
    <w:rsid w:val="00EC4990"/>
    <w:rsid w:val="00EC4DE5"/>
    <w:rsid w:val="00EC60BA"/>
    <w:rsid w:val="00EC75C4"/>
    <w:rsid w:val="00EC7A77"/>
    <w:rsid w:val="00ED068B"/>
    <w:rsid w:val="00ED337E"/>
    <w:rsid w:val="00ED404F"/>
    <w:rsid w:val="00ED5337"/>
    <w:rsid w:val="00ED58B3"/>
    <w:rsid w:val="00ED5D03"/>
    <w:rsid w:val="00ED6110"/>
    <w:rsid w:val="00ED637C"/>
    <w:rsid w:val="00ED6888"/>
    <w:rsid w:val="00EE0295"/>
    <w:rsid w:val="00EE1DB7"/>
    <w:rsid w:val="00EE3731"/>
    <w:rsid w:val="00EE3CDD"/>
    <w:rsid w:val="00EE4A02"/>
    <w:rsid w:val="00EE4D48"/>
    <w:rsid w:val="00EE6ADF"/>
    <w:rsid w:val="00EE6AF0"/>
    <w:rsid w:val="00EE7291"/>
    <w:rsid w:val="00EF0EDB"/>
    <w:rsid w:val="00EF11C2"/>
    <w:rsid w:val="00EF196F"/>
    <w:rsid w:val="00EF23B0"/>
    <w:rsid w:val="00EF2AB4"/>
    <w:rsid w:val="00EF2EBB"/>
    <w:rsid w:val="00EF30A8"/>
    <w:rsid w:val="00EF4118"/>
    <w:rsid w:val="00EF4C13"/>
    <w:rsid w:val="00EF5861"/>
    <w:rsid w:val="00EF5E28"/>
    <w:rsid w:val="00EF669C"/>
    <w:rsid w:val="00EF6BC9"/>
    <w:rsid w:val="00EF761F"/>
    <w:rsid w:val="00F00F0F"/>
    <w:rsid w:val="00F00F8F"/>
    <w:rsid w:val="00F01778"/>
    <w:rsid w:val="00F01779"/>
    <w:rsid w:val="00F01911"/>
    <w:rsid w:val="00F02FF7"/>
    <w:rsid w:val="00F0361E"/>
    <w:rsid w:val="00F04A30"/>
    <w:rsid w:val="00F050AE"/>
    <w:rsid w:val="00F0582D"/>
    <w:rsid w:val="00F05DC6"/>
    <w:rsid w:val="00F06045"/>
    <w:rsid w:val="00F06C70"/>
    <w:rsid w:val="00F07297"/>
    <w:rsid w:val="00F07931"/>
    <w:rsid w:val="00F1163D"/>
    <w:rsid w:val="00F122D4"/>
    <w:rsid w:val="00F12C54"/>
    <w:rsid w:val="00F130AA"/>
    <w:rsid w:val="00F13B9E"/>
    <w:rsid w:val="00F14FDD"/>
    <w:rsid w:val="00F151F5"/>
    <w:rsid w:val="00F15D48"/>
    <w:rsid w:val="00F17295"/>
    <w:rsid w:val="00F22C3D"/>
    <w:rsid w:val="00F23F0B"/>
    <w:rsid w:val="00F244F8"/>
    <w:rsid w:val="00F247DA"/>
    <w:rsid w:val="00F2489D"/>
    <w:rsid w:val="00F2583E"/>
    <w:rsid w:val="00F258B5"/>
    <w:rsid w:val="00F25B02"/>
    <w:rsid w:val="00F25BC2"/>
    <w:rsid w:val="00F25F4F"/>
    <w:rsid w:val="00F267F5"/>
    <w:rsid w:val="00F26EBB"/>
    <w:rsid w:val="00F27D17"/>
    <w:rsid w:val="00F301C2"/>
    <w:rsid w:val="00F303AF"/>
    <w:rsid w:val="00F305A0"/>
    <w:rsid w:val="00F31757"/>
    <w:rsid w:val="00F31CBC"/>
    <w:rsid w:val="00F3273F"/>
    <w:rsid w:val="00F33C6E"/>
    <w:rsid w:val="00F33D56"/>
    <w:rsid w:val="00F33E60"/>
    <w:rsid w:val="00F379E0"/>
    <w:rsid w:val="00F407E6"/>
    <w:rsid w:val="00F40CE1"/>
    <w:rsid w:val="00F40CEF"/>
    <w:rsid w:val="00F41530"/>
    <w:rsid w:val="00F41FC0"/>
    <w:rsid w:val="00F426A0"/>
    <w:rsid w:val="00F429A9"/>
    <w:rsid w:val="00F43827"/>
    <w:rsid w:val="00F4487F"/>
    <w:rsid w:val="00F44DBF"/>
    <w:rsid w:val="00F459F7"/>
    <w:rsid w:val="00F45C83"/>
    <w:rsid w:val="00F45CAF"/>
    <w:rsid w:val="00F46A84"/>
    <w:rsid w:val="00F509B6"/>
    <w:rsid w:val="00F5111A"/>
    <w:rsid w:val="00F51318"/>
    <w:rsid w:val="00F51BFF"/>
    <w:rsid w:val="00F52047"/>
    <w:rsid w:val="00F520D2"/>
    <w:rsid w:val="00F521ED"/>
    <w:rsid w:val="00F533C7"/>
    <w:rsid w:val="00F54966"/>
    <w:rsid w:val="00F54B1B"/>
    <w:rsid w:val="00F55B19"/>
    <w:rsid w:val="00F55EBE"/>
    <w:rsid w:val="00F57488"/>
    <w:rsid w:val="00F57584"/>
    <w:rsid w:val="00F57C58"/>
    <w:rsid w:val="00F57FB5"/>
    <w:rsid w:val="00F6008A"/>
    <w:rsid w:val="00F61908"/>
    <w:rsid w:val="00F62F5D"/>
    <w:rsid w:val="00F632CA"/>
    <w:rsid w:val="00F63892"/>
    <w:rsid w:val="00F63B9B"/>
    <w:rsid w:val="00F656E4"/>
    <w:rsid w:val="00F65894"/>
    <w:rsid w:val="00F665EE"/>
    <w:rsid w:val="00F66759"/>
    <w:rsid w:val="00F669C8"/>
    <w:rsid w:val="00F66C54"/>
    <w:rsid w:val="00F66EC9"/>
    <w:rsid w:val="00F70EF3"/>
    <w:rsid w:val="00F7137B"/>
    <w:rsid w:val="00F71DA3"/>
    <w:rsid w:val="00F72FD0"/>
    <w:rsid w:val="00F73455"/>
    <w:rsid w:val="00F73E7C"/>
    <w:rsid w:val="00F75097"/>
    <w:rsid w:val="00F7545F"/>
    <w:rsid w:val="00F75AE4"/>
    <w:rsid w:val="00F76355"/>
    <w:rsid w:val="00F7666A"/>
    <w:rsid w:val="00F8055A"/>
    <w:rsid w:val="00F80899"/>
    <w:rsid w:val="00F81DF0"/>
    <w:rsid w:val="00F81E58"/>
    <w:rsid w:val="00F836C5"/>
    <w:rsid w:val="00F8504C"/>
    <w:rsid w:val="00F85468"/>
    <w:rsid w:val="00F85FEF"/>
    <w:rsid w:val="00F86AD4"/>
    <w:rsid w:val="00F87216"/>
    <w:rsid w:val="00F8786C"/>
    <w:rsid w:val="00F900D9"/>
    <w:rsid w:val="00F903D4"/>
    <w:rsid w:val="00F90434"/>
    <w:rsid w:val="00F91A46"/>
    <w:rsid w:val="00F91C9E"/>
    <w:rsid w:val="00F92762"/>
    <w:rsid w:val="00F9301D"/>
    <w:rsid w:val="00F931E2"/>
    <w:rsid w:val="00F93324"/>
    <w:rsid w:val="00F93943"/>
    <w:rsid w:val="00F93994"/>
    <w:rsid w:val="00F93EA0"/>
    <w:rsid w:val="00F95B47"/>
    <w:rsid w:val="00F960F5"/>
    <w:rsid w:val="00F9612C"/>
    <w:rsid w:val="00F96A29"/>
    <w:rsid w:val="00F97F7D"/>
    <w:rsid w:val="00FA0F13"/>
    <w:rsid w:val="00FA16BF"/>
    <w:rsid w:val="00FA1DB0"/>
    <w:rsid w:val="00FA282D"/>
    <w:rsid w:val="00FA307A"/>
    <w:rsid w:val="00FA341F"/>
    <w:rsid w:val="00FA380B"/>
    <w:rsid w:val="00FA3C46"/>
    <w:rsid w:val="00FA5392"/>
    <w:rsid w:val="00FA56C5"/>
    <w:rsid w:val="00FA5CF7"/>
    <w:rsid w:val="00FA6448"/>
    <w:rsid w:val="00FA69C4"/>
    <w:rsid w:val="00FA78EF"/>
    <w:rsid w:val="00FB0572"/>
    <w:rsid w:val="00FB2036"/>
    <w:rsid w:val="00FB392A"/>
    <w:rsid w:val="00FB4521"/>
    <w:rsid w:val="00FB5691"/>
    <w:rsid w:val="00FB6559"/>
    <w:rsid w:val="00FB6A20"/>
    <w:rsid w:val="00FB6EB2"/>
    <w:rsid w:val="00FB6F85"/>
    <w:rsid w:val="00FB763D"/>
    <w:rsid w:val="00FB7E7D"/>
    <w:rsid w:val="00FC0384"/>
    <w:rsid w:val="00FC072B"/>
    <w:rsid w:val="00FC09DA"/>
    <w:rsid w:val="00FC1C03"/>
    <w:rsid w:val="00FC231C"/>
    <w:rsid w:val="00FC36A1"/>
    <w:rsid w:val="00FC3DF0"/>
    <w:rsid w:val="00FC44BE"/>
    <w:rsid w:val="00FC5B9E"/>
    <w:rsid w:val="00FC7050"/>
    <w:rsid w:val="00FD1725"/>
    <w:rsid w:val="00FD1D4C"/>
    <w:rsid w:val="00FD1DBB"/>
    <w:rsid w:val="00FD20A8"/>
    <w:rsid w:val="00FD27CB"/>
    <w:rsid w:val="00FD3D68"/>
    <w:rsid w:val="00FD4570"/>
    <w:rsid w:val="00FD5350"/>
    <w:rsid w:val="00FD56DD"/>
    <w:rsid w:val="00FD5DC2"/>
    <w:rsid w:val="00FD5EA9"/>
    <w:rsid w:val="00FD6583"/>
    <w:rsid w:val="00FD73D3"/>
    <w:rsid w:val="00FE1570"/>
    <w:rsid w:val="00FE25D5"/>
    <w:rsid w:val="00FE3582"/>
    <w:rsid w:val="00FE433F"/>
    <w:rsid w:val="00FE5188"/>
    <w:rsid w:val="00FE52BC"/>
    <w:rsid w:val="00FE6CEA"/>
    <w:rsid w:val="00FF0159"/>
    <w:rsid w:val="00FF256B"/>
    <w:rsid w:val="00FF267C"/>
    <w:rsid w:val="00FF37DD"/>
    <w:rsid w:val="00FF447B"/>
    <w:rsid w:val="00FF649E"/>
    <w:rsid w:val="00FF655B"/>
    <w:rsid w:val="00FF6F25"/>
    <w:rsid w:val="00FF75E6"/>
    <w:rsid w:val="01984AB8"/>
    <w:rsid w:val="01B45017"/>
    <w:rsid w:val="01B93E1A"/>
    <w:rsid w:val="020F259D"/>
    <w:rsid w:val="033B3D1C"/>
    <w:rsid w:val="0364481E"/>
    <w:rsid w:val="03956390"/>
    <w:rsid w:val="04420D93"/>
    <w:rsid w:val="046626D9"/>
    <w:rsid w:val="04873B45"/>
    <w:rsid w:val="04D54359"/>
    <w:rsid w:val="050510C8"/>
    <w:rsid w:val="05353603"/>
    <w:rsid w:val="0567435D"/>
    <w:rsid w:val="05DD2750"/>
    <w:rsid w:val="06214E83"/>
    <w:rsid w:val="06C3763E"/>
    <w:rsid w:val="07263A26"/>
    <w:rsid w:val="07493C4A"/>
    <w:rsid w:val="07585C45"/>
    <w:rsid w:val="077626F5"/>
    <w:rsid w:val="07BD70D6"/>
    <w:rsid w:val="07F53411"/>
    <w:rsid w:val="08647769"/>
    <w:rsid w:val="086E2792"/>
    <w:rsid w:val="089E20F3"/>
    <w:rsid w:val="08B46876"/>
    <w:rsid w:val="091A2EDE"/>
    <w:rsid w:val="0953383D"/>
    <w:rsid w:val="09C50C8A"/>
    <w:rsid w:val="09E64FE7"/>
    <w:rsid w:val="0A162E85"/>
    <w:rsid w:val="0A7360AC"/>
    <w:rsid w:val="0AB56615"/>
    <w:rsid w:val="0ACA570C"/>
    <w:rsid w:val="0B275F39"/>
    <w:rsid w:val="0B320C25"/>
    <w:rsid w:val="0B330B2C"/>
    <w:rsid w:val="0B4E2686"/>
    <w:rsid w:val="0B8C1DE7"/>
    <w:rsid w:val="0B9F3FF1"/>
    <w:rsid w:val="0C1A0D89"/>
    <w:rsid w:val="0C281BFE"/>
    <w:rsid w:val="0D27636F"/>
    <w:rsid w:val="0DD31AAB"/>
    <w:rsid w:val="0F5D3C7D"/>
    <w:rsid w:val="0F82150C"/>
    <w:rsid w:val="0F9543A4"/>
    <w:rsid w:val="0F9B340A"/>
    <w:rsid w:val="0FD56719"/>
    <w:rsid w:val="104D7DA3"/>
    <w:rsid w:val="10691EE5"/>
    <w:rsid w:val="10842725"/>
    <w:rsid w:val="10EC42CE"/>
    <w:rsid w:val="11567206"/>
    <w:rsid w:val="117479FE"/>
    <w:rsid w:val="11812E77"/>
    <w:rsid w:val="12313378"/>
    <w:rsid w:val="12934D29"/>
    <w:rsid w:val="12955DE2"/>
    <w:rsid w:val="12AB1E6C"/>
    <w:rsid w:val="12E9234C"/>
    <w:rsid w:val="138563BD"/>
    <w:rsid w:val="13B20415"/>
    <w:rsid w:val="13F242D0"/>
    <w:rsid w:val="140361C6"/>
    <w:rsid w:val="141D133A"/>
    <w:rsid w:val="144B7156"/>
    <w:rsid w:val="14557CF6"/>
    <w:rsid w:val="147C68BA"/>
    <w:rsid w:val="14846F7C"/>
    <w:rsid w:val="148744A3"/>
    <w:rsid w:val="14D457D0"/>
    <w:rsid w:val="14FA2F00"/>
    <w:rsid w:val="152C2C9D"/>
    <w:rsid w:val="157417DA"/>
    <w:rsid w:val="15E12A5A"/>
    <w:rsid w:val="16273291"/>
    <w:rsid w:val="1677174E"/>
    <w:rsid w:val="167E5F3A"/>
    <w:rsid w:val="16C141BC"/>
    <w:rsid w:val="16CC7A0F"/>
    <w:rsid w:val="16F41D06"/>
    <w:rsid w:val="17050A66"/>
    <w:rsid w:val="17537985"/>
    <w:rsid w:val="17830138"/>
    <w:rsid w:val="17C2162E"/>
    <w:rsid w:val="182B16A2"/>
    <w:rsid w:val="18964C89"/>
    <w:rsid w:val="18B67EDD"/>
    <w:rsid w:val="19133C5B"/>
    <w:rsid w:val="19347800"/>
    <w:rsid w:val="19407448"/>
    <w:rsid w:val="19ED1AAF"/>
    <w:rsid w:val="1A361369"/>
    <w:rsid w:val="1A542CE1"/>
    <w:rsid w:val="1A6F4993"/>
    <w:rsid w:val="1A6F5D84"/>
    <w:rsid w:val="1AAD388D"/>
    <w:rsid w:val="1B083136"/>
    <w:rsid w:val="1B1A2083"/>
    <w:rsid w:val="1B2B07E3"/>
    <w:rsid w:val="1B9F741A"/>
    <w:rsid w:val="1BEC6B0F"/>
    <w:rsid w:val="1C510048"/>
    <w:rsid w:val="1CCC16C2"/>
    <w:rsid w:val="1CD97A33"/>
    <w:rsid w:val="1CF47C1E"/>
    <w:rsid w:val="1D6552B6"/>
    <w:rsid w:val="1DC3220A"/>
    <w:rsid w:val="1DCB4562"/>
    <w:rsid w:val="1DE50E79"/>
    <w:rsid w:val="1DF0216C"/>
    <w:rsid w:val="1E500D8B"/>
    <w:rsid w:val="1E541EA3"/>
    <w:rsid w:val="1F2E3FC5"/>
    <w:rsid w:val="1F3005D8"/>
    <w:rsid w:val="1FC73402"/>
    <w:rsid w:val="20486F35"/>
    <w:rsid w:val="207B2336"/>
    <w:rsid w:val="20A144A2"/>
    <w:rsid w:val="211D3C77"/>
    <w:rsid w:val="21BC7A96"/>
    <w:rsid w:val="21C2643E"/>
    <w:rsid w:val="224F5B68"/>
    <w:rsid w:val="2256765B"/>
    <w:rsid w:val="22A513C8"/>
    <w:rsid w:val="22E3591C"/>
    <w:rsid w:val="22F50E83"/>
    <w:rsid w:val="22F66CBE"/>
    <w:rsid w:val="230D3AA7"/>
    <w:rsid w:val="236C0B0A"/>
    <w:rsid w:val="23BB5210"/>
    <w:rsid w:val="23C35E31"/>
    <w:rsid w:val="241C0ABD"/>
    <w:rsid w:val="25317C0B"/>
    <w:rsid w:val="25C33F2C"/>
    <w:rsid w:val="26C00611"/>
    <w:rsid w:val="26F80999"/>
    <w:rsid w:val="278E3170"/>
    <w:rsid w:val="27E2548F"/>
    <w:rsid w:val="27F8585B"/>
    <w:rsid w:val="28883CA7"/>
    <w:rsid w:val="289C78FF"/>
    <w:rsid w:val="289C7B0E"/>
    <w:rsid w:val="2903193C"/>
    <w:rsid w:val="29132E08"/>
    <w:rsid w:val="294066EC"/>
    <w:rsid w:val="299452B1"/>
    <w:rsid w:val="29C255BF"/>
    <w:rsid w:val="2A2F07EC"/>
    <w:rsid w:val="2A383486"/>
    <w:rsid w:val="2A4E35CE"/>
    <w:rsid w:val="2A657440"/>
    <w:rsid w:val="2B042B2F"/>
    <w:rsid w:val="2B315765"/>
    <w:rsid w:val="2B730136"/>
    <w:rsid w:val="2BC05E7D"/>
    <w:rsid w:val="2BE25E74"/>
    <w:rsid w:val="2BF437BD"/>
    <w:rsid w:val="2C041C52"/>
    <w:rsid w:val="2C05045E"/>
    <w:rsid w:val="2C0C3E9D"/>
    <w:rsid w:val="2CA0316D"/>
    <w:rsid w:val="2CE42E8A"/>
    <w:rsid w:val="2CE6470C"/>
    <w:rsid w:val="2D0264DB"/>
    <w:rsid w:val="2D032F9D"/>
    <w:rsid w:val="2D994452"/>
    <w:rsid w:val="2DDC4BC3"/>
    <w:rsid w:val="2E0256F3"/>
    <w:rsid w:val="2E0A5357"/>
    <w:rsid w:val="2E10009F"/>
    <w:rsid w:val="2E4976D5"/>
    <w:rsid w:val="2ED4639F"/>
    <w:rsid w:val="2EF06723"/>
    <w:rsid w:val="2F42176F"/>
    <w:rsid w:val="2F464979"/>
    <w:rsid w:val="30083C30"/>
    <w:rsid w:val="30856E22"/>
    <w:rsid w:val="30E14521"/>
    <w:rsid w:val="31175F84"/>
    <w:rsid w:val="315E4FD9"/>
    <w:rsid w:val="31C43CFD"/>
    <w:rsid w:val="31D33AFB"/>
    <w:rsid w:val="31EA1F30"/>
    <w:rsid w:val="32F36059"/>
    <w:rsid w:val="33617DEF"/>
    <w:rsid w:val="33783063"/>
    <w:rsid w:val="3379050E"/>
    <w:rsid w:val="33A2436F"/>
    <w:rsid w:val="33E204E0"/>
    <w:rsid w:val="34106C98"/>
    <w:rsid w:val="34B84F67"/>
    <w:rsid w:val="34B85BED"/>
    <w:rsid w:val="35C426C8"/>
    <w:rsid w:val="35D80965"/>
    <w:rsid w:val="36752511"/>
    <w:rsid w:val="36D4681C"/>
    <w:rsid w:val="36EB20FA"/>
    <w:rsid w:val="36F05DC6"/>
    <w:rsid w:val="37072963"/>
    <w:rsid w:val="375E0571"/>
    <w:rsid w:val="379D51C8"/>
    <w:rsid w:val="37B46530"/>
    <w:rsid w:val="381C20F8"/>
    <w:rsid w:val="3828515E"/>
    <w:rsid w:val="38341C71"/>
    <w:rsid w:val="38357DFF"/>
    <w:rsid w:val="383F7252"/>
    <w:rsid w:val="3862667F"/>
    <w:rsid w:val="3873092B"/>
    <w:rsid w:val="387A0219"/>
    <w:rsid w:val="38915C68"/>
    <w:rsid w:val="38D458DC"/>
    <w:rsid w:val="390D04B5"/>
    <w:rsid w:val="397674E2"/>
    <w:rsid w:val="39CD3205"/>
    <w:rsid w:val="3AA96703"/>
    <w:rsid w:val="3AB373E5"/>
    <w:rsid w:val="3B853780"/>
    <w:rsid w:val="3C443756"/>
    <w:rsid w:val="3C854F1A"/>
    <w:rsid w:val="3CA01574"/>
    <w:rsid w:val="3CB66D25"/>
    <w:rsid w:val="3D4B7F9D"/>
    <w:rsid w:val="3D7F66C7"/>
    <w:rsid w:val="3DCE6E24"/>
    <w:rsid w:val="3E2D53A0"/>
    <w:rsid w:val="3E377506"/>
    <w:rsid w:val="3E405DDA"/>
    <w:rsid w:val="3EF6449A"/>
    <w:rsid w:val="3F2C2E96"/>
    <w:rsid w:val="3F5E7964"/>
    <w:rsid w:val="3FA1544C"/>
    <w:rsid w:val="3FC265FD"/>
    <w:rsid w:val="40650653"/>
    <w:rsid w:val="40850670"/>
    <w:rsid w:val="40E1497E"/>
    <w:rsid w:val="415B3A7B"/>
    <w:rsid w:val="41765BEF"/>
    <w:rsid w:val="41C82E57"/>
    <w:rsid w:val="423679AB"/>
    <w:rsid w:val="425F778B"/>
    <w:rsid w:val="42E160EF"/>
    <w:rsid w:val="42EF5AAE"/>
    <w:rsid w:val="42FD4889"/>
    <w:rsid w:val="43282490"/>
    <w:rsid w:val="43354685"/>
    <w:rsid w:val="43615C26"/>
    <w:rsid w:val="436F24DF"/>
    <w:rsid w:val="43C25B9F"/>
    <w:rsid w:val="456D5DB9"/>
    <w:rsid w:val="45875DC3"/>
    <w:rsid w:val="458E6AE5"/>
    <w:rsid w:val="45C0725E"/>
    <w:rsid w:val="46003097"/>
    <w:rsid w:val="465D30BA"/>
    <w:rsid w:val="46746C76"/>
    <w:rsid w:val="46AD42B5"/>
    <w:rsid w:val="46C73C46"/>
    <w:rsid w:val="47F05EC8"/>
    <w:rsid w:val="481652F0"/>
    <w:rsid w:val="48831907"/>
    <w:rsid w:val="48F276C9"/>
    <w:rsid w:val="4909302E"/>
    <w:rsid w:val="49376548"/>
    <w:rsid w:val="4979586B"/>
    <w:rsid w:val="497958C7"/>
    <w:rsid w:val="49B36906"/>
    <w:rsid w:val="4A071B5A"/>
    <w:rsid w:val="4ABE0193"/>
    <w:rsid w:val="4ADA074D"/>
    <w:rsid w:val="4B324067"/>
    <w:rsid w:val="4BEE7D56"/>
    <w:rsid w:val="4CF67939"/>
    <w:rsid w:val="4D11093D"/>
    <w:rsid w:val="4DC1579E"/>
    <w:rsid w:val="4E495D86"/>
    <w:rsid w:val="4EAD4B9D"/>
    <w:rsid w:val="4EB9493A"/>
    <w:rsid w:val="4F0D4955"/>
    <w:rsid w:val="4FA07500"/>
    <w:rsid w:val="4FE74270"/>
    <w:rsid w:val="50622CD4"/>
    <w:rsid w:val="511172EF"/>
    <w:rsid w:val="51927EC9"/>
    <w:rsid w:val="519A59B8"/>
    <w:rsid w:val="525C53AC"/>
    <w:rsid w:val="52623105"/>
    <w:rsid w:val="529321D4"/>
    <w:rsid w:val="52F03AA4"/>
    <w:rsid w:val="5334770E"/>
    <w:rsid w:val="5337279E"/>
    <w:rsid w:val="538628B7"/>
    <w:rsid w:val="543D46D2"/>
    <w:rsid w:val="54445694"/>
    <w:rsid w:val="54577081"/>
    <w:rsid w:val="5552139F"/>
    <w:rsid w:val="55596BBC"/>
    <w:rsid w:val="55F53224"/>
    <w:rsid w:val="571832E0"/>
    <w:rsid w:val="572A3DDC"/>
    <w:rsid w:val="57401025"/>
    <w:rsid w:val="57437303"/>
    <w:rsid w:val="57476D14"/>
    <w:rsid w:val="575F1062"/>
    <w:rsid w:val="57612B94"/>
    <w:rsid w:val="57DB39FA"/>
    <w:rsid w:val="586E02D0"/>
    <w:rsid w:val="589C643D"/>
    <w:rsid w:val="59263FA6"/>
    <w:rsid w:val="596F3B48"/>
    <w:rsid w:val="597A4D76"/>
    <w:rsid w:val="597E1C16"/>
    <w:rsid w:val="59927A57"/>
    <w:rsid w:val="5A773DA8"/>
    <w:rsid w:val="5A7F52D0"/>
    <w:rsid w:val="5A8C043B"/>
    <w:rsid w:val="5ADB3B9D"/>
    <w:rsid w:val="5B5256F4"/>
    <w:rsid w:val="5B620A9B"/>
    <w:rsid w:val="5BFC39E5"/>
    <w:rsid w:val="5C427A9B"/>
    <w:rsid w:val="5C641CD8"/>
    <w:rsid w:val="5CAE4A48"/>
    <w:rsid w:val="5D24679E"/>
    <w:rsid w:val="5D507F74"/>
    <w:rsid w:val="5D6C5E93"/>
    <w:rsid w:val="5DAA6F00"/>
    <w:rsid w:val="5E0A38CC"/>
    <w:rsid w:val="5E76591B"/>
    <w:rsid w:val="5EBA43BE"/>
    <w:rsid w:val="5EC076DB"/>
    <w:rsid w:val="5ECD5788"/>
    <w:rsid w:val="5F1221D1"/>
    <w:rsid w:val="5F556C35"/>
    <w:rsid w:val="5F8D48C9"/>
    <w:rsid w:val="5FAE221F"/>
    <w:rsid w:val="5FB46F10"/>
    <w:rsid w:val="600B2D97"/>
    <w:rsid w:val="60243BFE"/>
    <w:rsid w:val="60567E28"/>
    <w:rsid w:val="60A8461D"/>
    <w:rsid w:val="61211B9D"/>
    <w:rsid w:val="612E003F"/>
    <w:rsid w:val="61632CDF"/>
    <w:rsid w:val="61C82914"/>
    <w:rsid w:val="6214626C"/>
    <w:rsid w:val="62156EAA"/>
    <w:rsid w:val="627641DD"/>
    <w:rsid w:val="62A038B9"/>
    <w:rsid w:val="62A5604B"/>
    <w:rsid w:val="636137D6"/>
    <w:rsid w:val="6385004E"/>
    <w:rsid w:val="63921462"/>
    <w:rsid w:val="63A54836"/>
    <w:rsid w:val="63E1378E"/>
    <w:rsid w:val="63E86DA0"/>
    <w:rsid w:val="64322847"/>
    <w:rsid w:val="6434358D"/>
    <w:rsid w:val="64475B99"/>
    <w:rsid w:val="64720DC1"/>
    <w:rsid w:val="649764F5"/>
    <w:rsid w:val="649869B5"/>
    <w:rsid w:val="64A42660"/>
    <w:rsid w:val="64B5691C"/>
    <w:rsid w:val="652B1B77"/>
    <w:rsid w:val="65C25EDF"/>
    <w:rsid w:val="660640AA"/>
    <w:rsid w:val="66107CF0"/>
    <w:rsid w:val="661B5D18"/>
    <w:rsid w:val="661E7CBA"/>
    <w:rsid w:val="669D1E7B"/>
    <w:rsid w:val="66BB2A3B"/>
    <w:rsid w:val="66DD63F9"/>
    <w:rsid w:val="670D3822"/>
    <w:rsid w:val="671465FF"/>
    <w:rsid w:val="671D54FF"/>
    <w:rsid w:val="67296B9D"/>
    <w:rsid w:val="673B0C9F"/>
    <w:rsid w:val="67AC1B71"/>
    <w:rsid w:val="68411857"/>
    <w:rsid w:val="68632435"/>
    <w:rsid w:val="68A062F0"/>
    <w:rsid w:val="68BA4644"/>
    <w:rsid w:val="6934793E"/>
    <w:rsid w:val="694C4249"/>
    <w:rsid w:val="695E22F6"/>
    <w:rsid w:val="697E6187"/>
    <w:rsid w:val="69BE36A2"/>
    <w:rsid w:val="69D901DF"/>
    <w:rsid w:val="6A1E555A"/>
    <w:rsid w:val="6A4F2F4F"/>
    <w:rsid w:val="6AAB53B4"/>
    <w:rsid w:val="6B7D7264"/>
    <w:rsid w:val="6C2445DF"/>
    <w:rsid w:val="6C325D4B"/>
    <w:rsid w:val="6CE84CA2"/>
    <w:rsid w:val="6CF84C44"/>
    <w:rsid w:val="6D03514E"/>
    <w:rsid w:val="6D2F01B7"/>
    <w:rsid w:val="6D3A10FF"/>
    <w:rsid w:val="6D617240"/>
    <w:rsid w:val="6D872F84"/>
    <w:rsid w:val="6DE71444"/>
    <w:rsid w:val="6E116FB3"/>
    <w:rsid w:val="6E3B7411"/>
    <w:rsid w:val="6E7527C8"/>
    <w:rsid w:val="6E9223D7"/>
    <w:rsid w:val="6F120682"/>
    <w:rsid w:val="705F4C76"/>
    <w:rsid w:val="70EE65C1"/>
    <w:rsid w:val="71372EE3"/>
    <w:rsid w:val="719E17CE"/>
    <w:rsid w:val="71D85D49"/>
    <w:rsid w:val="71F30AEB"/>
    <w:rsid w:val="71FE5545"/>
    <w:rsid w:val="72605FD6"/>
    <w:rsid w:val="72615369"/>
    <w:rsid w:val="72EC1A4E"/>
    <w:rsid w:val="73DE7A9F"/>
    <w:rsid w:val="757741E4"/>
    <w:rsid w:val="758B02BC"/>
    <w:rsid w:val="75930F1E"/>
    <w:rsid w:val="762B73A9"/>
    <w:rsid w:val="76946370"/>
    <w:rsid w:val="76AB2A32"/>
    <w:rsid w:val="76E95F6E"/>
    <w:rsid w:val="77137074"/>
    <w:rsid w:val="772E1CE8"/>
    <w:rsid w:val="776B45ED"/>
    <w:rsid w:val="77860E2F"/>
    <w:rsid w:val="77DD659A"/>
    <w:rsid w:val="77EC7614"/>
    <w:rsid w:val="78A23B05"/>
    <w:rsid w:val="78F31679"/>
    <w:rsid w:val="790A4F03"/>
    <w:rsid w:val="799314ED"/>
    <w:rsid w:val="79D7650F"/>
    <w:rsid w:val="7A593854"/>
    <w:rsid w:val="7A5C6841"/>
    <w:rsid w:val="7A810B02"/>
    <w:rsid w:val="7ABE6A50"/>
    <w:rsid w:val="7B063AC9"/>
    <w:rsid w:val="7B241EDA"/>
    <w:rsid w:val="7B354D16"/>
    <w:rsid w:val="7B4306E8"/>
    <w:rsid w:val="7B685AF2"/>
    <w:rsid w:val="7C6D6628"/>
    <w:rsid w:val="7D622BAD"/>
    <w:rsid w:val="7DA21C30"/>
    <w:rsid w:val="7DA2715B"/>
    <w:rsid w:val="7DCB04B9"/>
    <w:rsid w:val="7E95208B"/>
    <w:rsid w:val="7E9917DE"/>
    <w:rsid w:val="7EE12CFA"/>
    <w:rsid w:val="7F2657BC"/>
    <w:rsid w:val="7F4A0101"/>
    <w:rsid w:val="7F4E7E35"/>
    <w:rsid w:val="7FBB405B"/>
    <w:rsid w:val="7FBD5515"/>
    <w:rsid w:val="7FF62ED7"/>
    <w:rsid w:val="BDABC583"/>
    <w:rsid w:val="FFDB1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qFormat="1"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0"/>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7"/>
    <w:link w:val="51"/>
    <w:qFormat/>
    <w:uiPriority w:val="0"/>
    <w:pPr>
      <w:keepNext/>
      <w:spacing w:line="460" w:lineRule="exact"/>
      <w:outlineLvl w:val="2"/>
    </w:pPr>
    <w:rPr>
      <w:rFonts w:ascii="宋体" w:hAnsi="宋体"/>
      <w:b/>
      <w:bCs/>
      <w:sz w:val="30"/>
    </w:rPr>
  </w:style>
  <w:style w:type="paragraph" w:styleId="8">
    <w:name w:val="heading 4"/>
    <w:basedOn w:val="1"/>
    <w:next w:val="7"/>
    <w:link w:val="53"/>
    <w:qFormat/>
    <w:uiPriority w:val="0"/>
    <w:pPr>
      <w:autoSpaceDE w:val="0"/>
      <w:autoSpaceDN w:val="0"/>
      <w:adjustRightInd w:val="0"/>
      <w:snapToGrid w:val="0"/>
      <w:spacing w:line="360" w:lineRule="auto"/>
      <w:outlineLvl w:val="3"/>
    </w:pPr>
    <w:rPr>
      <w:rFonts w:ascii="宋体" w:hAnsi="Arial" w:cs="宋体"/>
      <w:color w:val="000000"/>
      <w:kern w:val="0"/>
      <w:szCs w:val="20"/>
    </w:rPr>
  </w:style>
  <w:style w:type="paragraph" w:styleId="9">
    <w:name w:val="heading 5"/>
    <w:basedOn w:val="1"/>
    <w:next w:val="1"/>
    <w:link w:val="54"/>
    <w:qFormat/>
    <w:uiPriority w:val="0"/>
    <w:pPr>
      <w:widowControl/>
      <w:numPr>
        <w:ilvl w:val="4"/>
        <w:numId w:val="1"/>
      </w:numPr>
      <w:tabs>
        <w:tab w:val="left" w:pos="709"/>
        <w:tab w:val="clear" w:pos="1008"/>
      </w:tabs>
      <w:spacing w:before="240" w:afterLines="50"/>
      <w:outlineLvl w:val="4"/>
    </w:pPr>
    <w:rPr>
      <w:rFonts w:ascii="Arial" w:hAnsi="Arial"/>
      <w:kern w:val="0"/>
      <w:sz w:val="22"/>
      <w:szCs w:val="20"/>
    </w:rPr>
  </w:style>
  <w:style w:type="paragraph" w:styleId="10">
    <w:name w:val="heading 6"/>
    <w:basedOn w:val="1"/>
    <w:next w:val="1"/>
    <w:link w:val="55"/>
    <w:qFormat/>
    <w:uiPriority w:val="0"/>
    <w:pPr>
      <w:widowControl/>
      <w:numPr>
        <w:ilvl w:val="5"/>
        <w:numId w:val="1"/>
      </w:numPr>
      <w:tabs>
        <w:tab w:val="left" w:pos="709"/>
        <w:tab w:val="clear" w:pos="1152"/>
      </w:tabs>
      <w:spacing w:before="240" w:afterLines="50"/>
      <w:outlineLvl w:val="5"/>
    </w:pPr>
    <w:rPr>
      <w:rFonts w:hAnsi="Arial"/>
      <w:i/>
      <w:kern w:val="0"/>
      <w:sz w:val="22"/>
      <w:szCs w:val="20"/>
    </w:rPr>
  </w:style>
  <w:style w:type="paragraph" w:styleId="11">
    <w:name w:val="heading 7"/>
    <w:basedOn w:val="1"/>
    <w:next w:val="1"/>
    <w:link w:val="56"/>
    <w:qFormat/>
    <w:uiPriority w:val="0"/>
    <w:pPr>
      <w:widowControl/>
      <w:numPr>
        <w:ilvl w:val="6"/>
        <w:numId w:val="1"/>
      </w:numPr>
      <w:tabs>
        <w:tab w:val="left" w:pos="709"/>
        <w:tab w:val="clear" w:pos="1296"/>
      </w:tabs>
      <w:spacing w:before="240" w:afterLines="50"/>
      <w:outlineLvl w:val="6"/>
    </w:pPr>
    <w:rPr>
      <w:rFonts w:ascii="Arial" w:hAnsi="Arial"/>
      <w:kern w:val="0"/>
      <w:sz w:val="20"/>
      <w:szCs w:val="20"/>
    </w:rPr>
  </w:style>
  <w:style w:type="paragraph" w:styleId="12">
    <w:name w:val="heading 8"/>
    <w:basedOn w:val="1"/>
    <w:next w:val="1"/>
    <w:link w:val="57"/>
    <w:qFormat/>
    <w:uiPriority w:val="0"/>
    <w:pPr>
      <w:widowControl/>
      <w:numPr>
        <w:ilvl w:val="7"/>
        <w:numId w:val="1"/>
      </w:numPr>
      <w:tabs>
        <w:tab w:val="left" w:pos="709"/>
        <w:tab w:val="clear" w:pos="1440"/>
      </w:tabs>
      <w:spacing w:before="240" w:afterLines="50"/>
      <w:outlineLvl w:val="7"/>
    </w:pPr>
    <w:rPr>
      <w:rFonts w:ascii="Arial" w:hAnsi="Arial"/>
      <w:i/>
      <w:kern w:val="0"/>
      <w:sz w:val="20"/>
      <w:szCs w:val="20"/>
    </w:rPr>
  </w:style>
  <w:style w:type="paragraph" w:styleId="13">
    <w:name w:val="heading 9"/>
    <w:basedOn w:val="1"/>
    <w:next w:val="1"/>
    <w:link w:val="58"/>
    <w:qFormat/>
    <w:uiPriority w:val="0"/>
    <w:pPr>
      <w:widowControl/>
      <w:numPr>
        <w:ilvl w:val="8"/>
        <w:numId w:val="1"/>
      </w:numPr>
      <w:tabs>
        <w:tab w:val="left" w:pos="709"/>
        <w:tab w:val="clear" w:pos="1584"/>
      </w:tabs>
      <w:spacing w:before="240" w:afterLines="50"/>
      <w:outlineLvl w:val="8"/>
    </w:pPr>
    <w:rPr>
      <w:rFonts w:ascii="Arial" w:hAnsi="Arial"/>
      <w:b/>
      <w:i/>
      <w:kern w:val="0"/>
      <w:sz w:val="18"/>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_Style 3"/>
    <w:basedOn w:val="1"/>
    <w:next w:val="3"/>
    <w:qFormat/>
    <w:uiPriority w:val="0"/>
    <w:pPr>
      <w:ind w:firstLine="420" w:firstLineChars="200"/>
    </w:pPr>
  </w:style>
  <w:style w:type="paragraph" w:styleId="3">
    <w:name w:val="Body Text Indent 3"/>
    <w:basedOn w:val="1"/>
    <w:qFormat/>
    <w:uiPriority w:val="0"/>
    <w:pPr>
      <w:snapToGrid w:val="0"/>
      <w:spacing w:after="120" w:line="360" w:lineRule="auto"/>
      <w:ind w:firstLine="1365"/>
    </w:pPr>
    <w:rPr>
      <w:rFonts w:ascii="宋体"/>
      <w:sz w:val="28"/>
      <w:szCs w:val="20"/>
    </w:rPr>
  </w:style>
  <w:style w:type="paragraph" w:styleId="7">
    <w:name w:val="Normal Indent"/>
    <w:basedOn w:val="1"/>
    <w:link w:val="52"/>
    <w:qFormat/>
    <w:uiPriority w:val="0"/>
    <w:pPr>
      <w:widowControl/>
      <w:ind w:firstLine="420"/>
      <w:jc w:val="left"/>
    </w:pPr>
    <w:rPr>
      <w:kern w:val="0"/>
      <w:szCs w:val="20"/>
    </w:rPr>
  </w:style>
  <w:style w:type="paragraph" w:styleId="14">
    <w:name w:val="List Bullet"/>
    <w:basedOn w:val="1"/>
    <w:qFormat/>
    <w:uiPriority w:val="0"/>
    <w:pPr>
      <w:tabs>
        <w:tab w:val="left" w:pos="358"/>
      </w:tabs>
      <w:autoSpaceDE w:val="0"/>
      <w:autoSpaceDN w:val="0"/>
      <w:adjustRightInd w:val="0"/>
      <w:snapToGrid w:val="0"/>
      <w:spacing w:line="360" w:lineRule="auto"/>
      <w:ind w:left="480" w:hanging="480" w:hangingChars="200"/>
      <w:textAlignment w:val="baseline"/>
    </w:pPr>
    <w:rPr>
      <w:rFonts w:ascii="宋体" w:hAnsi="Tms Rmn"/>
      <w:snapToGrid w:val="0"/>
      <w:color w:val="000000"/>
      <w:kern w:val="24"/>
      <w:sz w:val="24"/>
      <w:szCs w:val="20"/>
    </w:rPr>
  </w:style>
  <w:style w:type="paragraph" w:styleId="15">
    <w:name w:val="Document Map"/>
    <w:basedOn w:val="1"/>
    <w:link w:val="59"/>
    <w:semiHidden/>
    <w:qFormat/>
    <w:uiPriority w:val="0"/>
    <w:pPr>
      <w:shd w:val="clear" w:color="auto" w:fill="000080"/>
    </w:pPr>
  </w:style>
  <w:style w:type="paragraph" w:styleId="16">
    <w:name w:val="annotation text"/>
    <w:basedOn w:val="1"/>
    <w:link w:val="60"/>
    <w:qFormat/>
    <w:uiPriority w:val="0"/>
    <w:pPr>
      <w:jc w:val="left"/>
    </w:pPr>
  </w:style>
  <w:style w:type="paragraph" w:styleId="17">
    <w:name w:val="Body Text 3"/>
    <w:basedOn w:val="1"/>
    <w:link w:val="61"/>
    <w:qFormat/>
    <w:uiPriority w:val="0"/>
    <w:pPr>
      <w:widowControl/>
      <w:spacing w:after="120"/>
      <w:jc w:val="left"/>
    </w:pPr>
    <w:rPr>
      <w:kern w:val="0"/>
      <w:sz w:val="16"/>
      <w:szCs w:val="16"/>
    </w:rPr>
  </w:style>
  <w:style w:type="paragraph" w:styleId="18">
    <w:name w:val="List Bullet 3"/>
    <w:basedOn w:val="1"/>
    <w:qFormat/>
    <w:uiPriority w:val="0"/>
    <w:pPr>
      <w:numPr>
        <w:ilvl w:val="0"/>
        <w:numId w:val="2"/>
      </w:numPr>
      <w:tabs>
        <w:tab w:val="left" w:pos="1080"/>
        <w:tab w:val="clear" w:pos="995"/>
      </w:tabs>
      <w:ind w:left="1260" w:leftChars="172" w:hanging="899" w:hangingChars="428"/>
    </w:pPr>
  </w:style>
  <w:style w:type="paragraph" w:styleId="19">
    <w:name w:val="Body Text"/>
    <w:basedOn w:val="1"/>
    <w:link w:val="62"/>
    <w:qFormat/>
    <w:uiPriority w:val="0"/>
    <w:rPr>
      <w:sz w:val="18"/>
      <w:szCs w:val="20"/>
    </w:rPr>
  </w:style>
  <w:style w:type="paragraph" w:styleId="20">
    <w:name w:val="Body Text Indent"/>
    <w:basedOn w:val="1"/>
    <w:link w:val="63"/>
    <w:qFormat/>
    <w:uiPriority w:val="0"/>
    <w:pPr>
      <w:ind w:firstLine="570"/>
    </w:pPr>
    <w:rPr>
      <w:rFonts w:ascii="宋体" w:hAnsi="宋体"/>
      <w:sz w:val="28"/>
      <w:szCs w:val="20"/>
    </w:rPr>
  </w:style>
  <w:style w:type="paragraph" w:styleId="21">
    <w:name w:val="List 2"/>
    <w:basedOn w:val="1"/>
    <w:qFormat/>
    <w:uiPriority w:val="0"/>
    <w:pPr>
      <w:ind w:left="840" w:hanging="420"/>
    </w:pPr>
  </w:style>
  <w:style w:type="paragraph" w:styleId="22">
    <w:name w:val="Block Text"/>
    <w:basedOn w:val="1"/>
    <w:qFormat/>
    <w:uiPriority w:val="0"/>
    <w:pPr>
      <w:ind w:left="5418" w:leftChars="2580" w:right="-70" w:rightChars="-70"/>
    </w:pPr>
    <w:rPr>
      <w:rFonts w:ascii="宋体" w:hAnsi="宋体"/>
      <w:sz w:val="18"/>
      <w:szCs w:val="20"/>
    </w:rPr>
  </w:style>
  <w:style w:type="paragraph" w:styleId="23">
    <w:name w:val="toc 3"/>
    <w:basedOn w:val="1"/>
    <w:next w:val="1"/>
    <w:semiHidden/>
    <w:qFormat/>
    <w:uiPriority w:val="0"/>
    <w:pPr>
      <w:ind w:left="420"/>
      <w:jc w:val="left"/>
    </w:pPr>
    <w:rPr>
      <w:i/>
      <w:iCs/>
    </w:rPr>
  </w:style>
  <w:style w:type="paragraph" w:styleId="24">
    <w:name w:val="Plain Text"/>
    <w:basedOn w:val="1"/>
    <w:link w:val="48"/>
    <w:qFormat/>
    <w:uiPriority w:val="0"/>
    <w:pPr>
      <w:spacing w:line="360" w:lineRule="auto"/>
      <w:ind w:firstLine="510"/>
    </w:pPr>
    <w:rPr>
      <w:rFonts w:ascii="宋体" w:hAnsi="Courier New"/>
      <w:sz w:val="24"/>
      <w:szCs w:val="20"/>
    </w:rPr>
  </w:style>
  <w:style w:type="paragraph" w:styleId="25">
    <w:name w:val="List Number 4"/>
    <w:basedOn w:val="1"/>
    <w:qFormat/>
    <w:uiPriority w:val="0"/>
    <w:pPr>
      <w:numPr>
        <w:ilvl w:val="0"/>
        <w:numId w:val="3"/>
      </w:numPr>
    </w:pPr>
  </w:style>
  <w:style w:type="paragraph" w:styleId="26">
    <w:name w:val="Date"/>
    <w:basedOn w:val="1"/>
    <w:next w:val="1"/>
    <w:link w:val="64"/>
    <w:qFormat/>
    <w:uiPriority w:val="0"/>
    <w:pPr>
      <w:autoSpaceDE w:val="0"/>
      <w:autoSpaceDN w:val="0"/>
      <w:adjustRightInd w:val="0"/>
      <w:spacing w:line="312" w:lineRule="atLeast"/>
    </w:pPr>
    <w:rPr>
      <w:kern w:val="0"/>
      <w:sz w:val="32"/>
      <w:szCs w:val="20"/>
    </w:rPr>
  </w:style>
  <w:style w:type="paragraph" w:styleId="27">
    <w:name w:val="Body Text Indent 2"/>
    <w:basedOn w:val="1"/>
    <w:link w:val="65"/>
    <w:qFormat/>
    <w:uiPriority w:val="0"/>
    <w:pPr>
      <w:spacing w:after="120" w:line="480" w:lineRule="auto"/>
      <w:ind w:left="420" w:leftChars="200"/>
    </w:pPr>
  </w:style>
  <w:style w:type="paragraph" w:styleId="28">
    <w:name w:val="endnote text"/>
    <w:basedOn w:val="1"/>
    <w:qFormat/>
    <w:uiPriority w:val="0"/>
    <w:pPr>
      <w:snapToGrid w:val="0"/>
      <w:spacing w:line="360" w:lineRule="auto"/>
      <w:jc w:val="left"/>
    </w:pPr>
    <w:rPr>
      <w:rFonts w:ascii="宋体" w:hAnsi="宋体" w:cs="宋体"/>
      <w:sz w:val="24"/>
    </w:rPr>
  </w:style>
  <w:style w:type="paragraph" w:styleId="29">
    <w:name w:val="Balloon Text"/>
    <w:basedOn w:val="1"/>
    <w:link w:val="66"/>
    <w:semiHidden/>
    <w:qFormat/>
    <w:uiPriority w:val="0"/>
    <w:rPr>
      <w:sz w:val="18"/>
      <w:szCs w:val="18"/>
    </w:rPr>
  </w:style>
  <w:style w:type="paragraph" w:styleId="30">
    <w:name w:val="footer"/>
    <w:basedOn w:val="1"/>
    <w:next w:val="1"/>
    <w:link w:val="67"/>
    <w:qFormat/>
    <w:uiPriority w:val="0"/>
    <w:pPr>
      <w:pBdr>
        <w:top w:val="single" w:color="auto" w:sz="4" w:space="1"/>
      </w:pBdr>
      <w:tabs>
        <w:tab w:val="center" w:pos="4153"/>
        <w:tab w:val="right" w:pos="8306"/>
      </w:tabs>
      <w:snapToGrid w:val="0"/>
      <w:jc w:val="left"/>
    </w:pPr>
    <w:rPr>
      <w:sz w:val="18"/>
      <w:szCs w:val="18"/>
    </w:rPr>
  </w:style>
  <w:style w:type="paragraph" w:styleId="31">
    <w:name w:val="header"/>
    <w:basedOn w:val="1"/>
    <w:link w:val="68"/>
    <w:qFormat/>
    <w:uiPriority w:val="0"/>
    <w:pPr>
      <w:pBdr>
        <w:bottom w:val="thinThickLargeGap" w:color="auto" w:sz="6" w:space="1"/>
      </w:pBdr>
      <w:tabs>
        <w:tab w:val="center" w:pos="4153"/>
        <w:tab w:val="right" w:pos="8306"/>
      </w:tabs>
      <w:snapToGrid w:val="0"/>
      <w:jc w:val="center"/>
    </w:pPr>
    <w:rPr>
      <w:sz w:val="18"/>
      <w:szCs w:val="18"/>
    </w:rPr>
  </w:style>
  <w:style w:type="paragraph" w:styleId="32">
    <w:name w:val="toc 1"/>
    <w:basedOn w:val="1"/>
    <w:next w:val="1"/>
    <w:semiHidden/>
    <w:qFormat/>
    <w:uiPriority w:val="0"/>
    <w:pPr>
      <w:tabs>
        <w:tab w:val="right" w:leader="dot" w:pos="9240"/>
      </w:tabs>
      <w:spacing w:line="360" w:lineRule="auto"/>
      <w:jc w:val="left"/>
    </w:pPr>
    <w:rPr>
      <w:b/>
      <w:bCs/>
      <w:caps/>
    </w:rPr>
  </w:style>
  <w:style w:type="paragraph" w:styleId="33">
    <w:name w:val="toc 2"/>
    <w:basedOn w:val="1"/>
    <w:next w:val="1"/>
    <w:semiHidden/>
    <w:qFormat/>
    <w:uiPriority w:val="0"/>
    <w:pPr>
      <w:ind w:left="420" w:leftChars="200"/>
    </w:pPr>
  </w:style>
  <w:style w:type="paragraph" w:styleId="34">
    <w:name w:val="Body Text 2"/>
    <w:basedOn w:val="1"/>
    <w:qFormat/>
    <w:uiPriority w:val="0"/>
    <w:pPr>
      <w:spacing w:line="300" w:lineRule="auto"/>
    </w:pPr>
    <w:rPr>
      <w:rFonts w:ascii="宋体" w:hAnsi="宋体"/>
      <w:color w:val="0000FF"/>
      <w:sz w:val="24"/>
    </w:rPr>
  </w:style>
  <w:style w:type="paragraph" w:styleId="3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6">
    <w:name w:val="index 1"/>
    <w:basedOn w:val="1"/>
    <w:next w:val="1"/>
    <w:semiHidden/>
    <w:qFormat/>
    <w:uiPriority w:val="0"/>
  </w:style>
  <w:style w:type="paragraph" w:styleId="37">
    <w:name w:val="annotation subject"/>
    <w:basedOn w:val="16"/>
    <w:next w:val="16"/>
    <w:semiHidden/>
    <w:qFormat/>
    <w:uiPriority w:val="0"/>
    <w:rPr>
      <w:b/>
      <w:bCs/>
    </w:rPr>
  </w:style>
  <w:style w:type="paragraph" w:styleId="38">
    <w:name w:val="Body Text First Indent"/>
    <w:basedOn w:val="19"/>
    <w:link w:val="69"/>
    <w:qFormat/>
    <w:uiPriority w:val="0"/>
    <w:pPr>
      <w:spacing w:after="120" w:line="360" w:lineRule="exact"/>
      <w:ind w:left="400" w:leftChars="400" w:firstLine="420" w:firstLineChars="100"/>
    </w:pPr>
    <w:rPr>
      <w:rFonts w:eastAsia="楷体_GB2312"/>
      <w:sz w:val="24"/>
      <w:szCs w:val="24"/>
    </w:rPr>
  </w:style>
  <w:style w:type="table" w:styleId="40">
    <w:name w:val="Table Grid"/>
    <w:basedOn w:val="3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rPr>
  </w:style>
  <w:style w:type="character" w:styleId="43">
    <w:name w:val="page number"/>
    <w:qFormat/>
    <w:uiPriority w:val="0"/>
    <w:rPr>
      <w:rFonts w:ascii="宋体" w:hAnsi="宋体" w:eastAsia="Times New Roman"/>
      <w:spacing w:val="0"/>
      <w:kern w:val="18"/>
      <w:position w:val="0"/>
      <w:sz w:val="18"/>
      <w:szCs w:val="18"/>
    </w:rPr>
  </w:style>
  <w:style w:type="character" w:styleId="44">
    <w:name w:val="FollowedHyperlink"/>
    <w:qFormat/>
    <w:uiPriority w:val="0"/>
    <w:rPr>
      <w:rFonts w:hint="eastAsia" w:ascii="黑体" w:hAnsi="宋体" w:eastAsia="黑体" w:cs="黑体"/>
      <w:color w:val="000000"/>
      <w:u w:val="none"/>
    </w:rPr>
  </w:style>
  <w:style w:type="character" w:styleId="45">
    <w:name w:val="Hyperlink"/>
    <w:qFormat/>
    <w:uiPriority w:val="0"/>
    <w:rPr>
      <w:rFonts w:ascii="黑体" w:hAnsi="宋体" w:eastAsia="黑体" w:cs="黑体"/>
      <w:color w:val="000000"/>
      <w:u w:val="none"/>
    </w:rPr>
  </w:style>
  <w:style w:type="character" w:styleId="46">
    <w:name w:val="annotation reference"/>
    <w:semiHidden/>
    <w:qFormat/>
    <w:uiPriority w:val="0"/>
    <w:rPr>
      <w:sz w:val="21"/>
      <w:szCs w:val="21"/>
    </w:rPr>
  </w:style>
  <w:style w:type="paragraph" w:customStyle="1" w:styleId="47">
    <w:name w:val="BodyText"/>
    <w:basedOn w:val="1"/>
    <w:qFormat/>
    <w:uiPriority w:val="0"/>
    <w:pPr>
      <w:spacing w:after="120"/>
    </w:pPr>
  </w:style>
  <w:style w:type="character" w:customStyle="1" w:styleId="48">
    <w:name w:val="纯文本 字符"/>
    <w:link w:val="24"/>
    <w:qFormat/>
    <w:uiPriority w:val="0"/>
    <w:rPr>
      <w:rFonts w:ascii="宋体" w:hAnsi="Courier New" w:eastAsia="宋体"/>
      <w:kern w:val="2"/>
      <w:sz w:val="24"/>
      <w:lang w:val="en-US" w:eastAsia="zh-CN" w:bidi="ar-SA"/>
    </w:rPr>
  </w:style>
  <w:style w:type="character" w:customStyle="1" w:styleId="49">
    <w:name w:val="标题 1 字符"/>
    <w:link w:val="4"/>
    <w:qFormat/>
    <w:uiPriority w:val="0"/>
    <w:rPr>
      <w:rFonts w:eastAsia="宋体"/>
      <w:b/>
      <w:bCs/>
      <w:kern w:val="44"/>
      <w:sz w:val="44"/>
      <w:szCs w:val="44"/>
      <w:lang w:val="en-US" w:eastAsia="zh-CN" w:bidi="ar-SA"/>
    </w:rPr>
  </w:style>
  <w:style w:type="character" w:customStyle="1" w:styleId="50">
    <w:name w:val="标题 2 字符"/>
    <w:link w:val="5"/>
    <w:qFormat/>
    <w:uiPriority w:val="0"/>
    <w:rPr>
      <w:rFonts w:ascii="Arial" w:hAnsi="Arial" w:eastAsia="黑体"/>
      <w:b/>
      <w:bCs/>
      <w:kern w:val="2"/>
      <w:sz w:val="32"/>
      <w:szCs w:val="32"/>
      <w:lang w:val="en-US" w:eastAsia="zh-CN" w:bidi="ar-SA"/>
    </w:rPr>
  </w:style>
  <w:style w:type="character" w:customStyle="1" w:styleId="51">
    <w:name w:val="标题 3 字符"/>
    <w:link w:val="6"/>
    <w:qFormat/>
    <w:uiPriority w:val="0"/>
    <w:rPr>
      <w:rFonts w:ascii="宋体" w:hAnsi="宋体" w:eastAsia="宋体"/>
      <w:b/>
      <w:bCs/>
      <w:kern w:val="2"/>
      <w:sz w:val="30"/>
      <w:szCs w:val="24"/>
      <w:lang w:val="en-US" w:eastAsia="zh-CN" w:bidi="ar-SA"/>
    </w:rPr>
  </w:style>
  <w:style w:type="character" w:customStyle="1" w:styleId="52">
    <w:name w:val="正文缩进 字符"/>
    <w:link w:val="7"/>
    <w:qFormat/>
    <w:uiPriority w:val="0"/>
    <w:rPr>
      <w:rFonts w:eastAsia="宋体"/>
      <w:sz w:val="21"/>
      <w:lang w:val="en-US" w:eastAsia="zh-CN" w:bidi="ar-SA"/>
    </w:rPr>
  </w:style>
  <w:style w:type="character" w:customStyle="1" w:styleId="53">
    <w:name w:val="标题 4 字符"/>
    <w:link w:val="8"/>
    <w:qFormat/>
    <w:uiPriority w:val="0"/>
    <w:rPr>
      <w:rFonts w:ascii="宋体" w:hAnsi="Arial" w:eastAsia="宋体" w:cs="宋体"/>
      <w:color w:val="000000"/>
      <w:sz w:val="21"/>
      <w:lang w:val="en-US" w:eastAsia="zh-CN" w:bidi="ar-SA"/>
    </w:rPr>
  </w:style>
  <w:style w:type="character" w:customStyle="1" w:styleId="54">
    <w:name w:val="标题 5 字符"/>
    <w:link w:val="9"/>
    <w:qFormat/>
    <w:uiPriority w:val="0"/>
    <w:rPr>
      <w:rFonts w:ascii="Arial" w:hAnsi="Arial" w:eastAsia="宋体"/>
      <w:sz w:val="22"/>
      <w:lang w:val="en-US" w:eastAsia="zh-CN" w:bidi="ar-SA"/>
    </w:rPr>
  </w:style>
  <w:style w:type="character" w:customStyle="1" w:styleId="55">
    <w:name w:val="标题 6 字符"/>
    <w:link w:val="10"/>
    <w:qFormat/>
    <w:uiPriority w:val="0"/>
    <w:rPr>
      <w:rFonts w:hAnsi="Arial" w:eastAsia="宋体"/>
      <w:i/>
      <w:sz w:val="22"/>
      <w:lang w:val="en-US" w:eastAsia="zh-CN" w:bidi="ar-SA"/>
    </w:rPr>
  </w:style>
  <w:style w:type="character" w:customStyle="1" w:styleId="56">
    <w:name w:val="标题 7 字符"/>
    <w:link w:val="11"/>
    <w:qFormat/>
    <w:uiPriority w:val="0"/>
    <w:rPr>
      <w:rFonts w:ascii="Arial" w:hAnsi="Arial" w:eastAsia="宋体"/>
      <w:lang w:val="en-US" w:eastAsia="zh-CN" w:bidi="ar-SA"/>
    </w:rPr>
  </w:style>
  <w:style w:type="character" w:customStyle="1" w:styleId="57">
    <w:name w:val="标题 8 字符"/>
    <w:link w:val="12"/>
    <w:qFormat/>
    <w:uiPriority w:val="0"/>
    <w:rPr>
      <w:rFonts w:ascii="Arial" w:hAnsi="Arial" w:eastAsia="宋体"/>
      <w:i/>
      <w:lang w:val="en-US" w:eastAsia="zh-CN" w:bidi="ar-SA"/>
    </w:rPr>
  </w:style>
  <w:style w:type="character" w:customStyle="1" w:styleId="58">
    <w:name w:val="标题 9 字符"/>
    <w:link w:val="13"/>
    <w:qFormat/>
    <w:uiPriority w:val="0"/>
    <w:rPr>
      <w:rFonts w:ascii="Arial" w:hAnsi="Arial" w:eastAsia="宋体"/>
      <w:b/>
      <w:i/>
      <w:sz w:val="18"/>
      <w:lang w:val="en-US" w:eastAsia="zh-CN" w:bidi="ar-SA"/>
    </w:rPr>
  </w:style>
  <w:style w:type="character" w:customStyle="1" w:styleId="59">
    <w:name w:val="文档结构图 字符"/>
    <w:link w:val="15"/>
    <w:semiHidden/>
    <w:qFormat/>
    <w:uiPriority w:val="0"/>
    <w:rPr>
      <w:rFonts w:eastAsia="宋体"/>
      <w:kern w:val="2"/>
      <w:sz w:val="21"/>
      <w:szCs w:val="24"/>
      <w:lang w:val="en-US" w:eastAsia="zh-CN" w:bidi="ar-SA"/>
    </w:rPr>
  </w:style>
  <w:style w:type="character" w:customStyle="1" w:styleId="60">
    <w:name w:val="批注文字 字符"/>
    <w:link w:val="16"/>
    <w:qFormat/>
    <w:uiPriority w:val="0"/>
    <w:rPr>
      <w:rFonts w:eastAsia="宋体"/>
      <w:kern w:val="2"/>
      <w:sz w:val="21"/>
      <w:szCs w:val="24"/>
      <w:lang w:val="en-US" w:eastAsia="zh-CN" w:bidi="ar-SA"/>
    </w:rPr>
  </w:style>
  <w:style w:type="character" w:customStyle="1" w:styleId="61">
    <w:name w:val="正文文本 3 字符"/>
    <w:link w:val="17"/>
    <w:qFormat/>
    <w:uiPriority w:val="0"/>
    <w:rPr>
      <w:rFonts w:eastAsia="宋体"/>
      <w:sz w:val="16"/>
      <w:szCs w:val="16"/>
      <w:lang w:val="en-US" w:eastAsia="zh-CN" w:bidi="ar-SA"/>
    </w:rPr>
  </w:style>
  <w:style w:type="character" w:customStyle="1" w:styleId="62">
    <w:name w:val="正文文本 字符1"/>
    <w:link w:val="19"/>
    <w:qFormat/>
    <w:uiPriority w:val="0"/>
    <w:rPr>
      <w:rFonts w:eastAsia="宋体"/>
      <w:kern w:val="2"/>
      <w:sz w:val="18"/>
      <w:lang w:val="en-US" w:eastAsia="zh-CN" w:bidi="ar-SA"/>
    </w:rPr>
  </w:style>
  <w:style w:type="character" w:customStyle="1" w:styleId="63">
    <w:name w:val="正文文本缩进 字符"/>
    <w:link w:val="20"/>
    <w:semiHidden/>
    <w:qFormat/>
    <w:uiPriority w:val="0"/>
    <w:rPr>
      <w:rFonts w:ascii="宋体" w:hAnsi="宋体" w:eastAsia="宋体"/>
      <w:kern w:val="2"/>
      <w:sz w:val="28"/>
      <w:lang w:val="en-US" w:eastAsia="zh-CN" w:bidi="ar-SA"/>
    </w:rPr>
  </w:style>
  <w:style w:type="character" w:customStyle="1" w:styleId="64">
    <w:name w:val="日期 字符"/>
    <w:link w:val="26"/>
    <w:qFormat/>
    <w:uiPriority w:val="0"/>
    <w:rPr>
      <w:rFonts w:eastAsia="宋体"/>
      <w:sz w:val="32"/>
      <w:lang w:val="en-US" w:eastAsia="zh-CN" w:bidi="ar-SA"/>
    </w:rPr>
  </w:style>
  <w:style w:type="character" w:customStyle="1" w:styleId="65">
    <w:name w:val="正文文本缩进 2 字符"/>
    <w:link w:val="27"/>
    <w:qFormat/>
    <w:uiPriority w:val="0"/>
    <w:rPr>
      <w:rFonts w:eastAsia="宋体"/>
      <w:kern w:val="2"/>
      <w:sz w:val="21"/>
      <w:szCs w:val="24"/>
      <w:lang w:val="en-US" w:eastAsia="zh-CN" w:bidi="ar-SA"/>
    </w:rPr>
  </w:style>
  <w:style w:type="character" w:customStyle="1" w:styleId="66">
    <w:name w:val="批注框文本 字符"/>
    <w:link w:val="29"/>
    <w:qFormat/>
    <w:uiPriority w:val="0"/>
    <w:rPr>
      <w:rFonts w:eastAsia="宋体"/>
      <w:kern w:val="2"/>
      <w:sz w:val="18"/>
      <w:szCs w:val="18"/>
      <w:lang w:val="en-US" w:eastAsia="zh-CN" w:bidi="ar-SA"/>
    </w:rPr>
  </w:style>
  <w:style w:type="character" w:customStyle="1" w:styleId="67">
    <w:name w:val="页脚 字符"/>
    <w:link w:val="30"/>
    <w:qFormat/>
    <w:uiPriority w:val="0"/>
    <w:rPr>
      <w:rFonts w:eastAsia="宋体"/>
      <w:kern w:val="2"/>
      <w:sz w:val="18"/>
      <w:szCs w:val="18"/>
      <w:lang w:val="en-US" w:eastAsia="zh-CN" w:bidi="ar-SA"/>
    </w:rPr>
  </w:style>
  <w:style w:type="character" w:customStyle="1" w:styleId="68">
    <w:name w:val="页眉 字符"/>
    <w:link w:val="31"/>
    <w:qFormat/>
    <w:uiPriority w:val="0"/>
    <w:rPr>
      <w:rFonts w:eastAsia="宋体"/>
      <w:kern w:val="2"/>
      <w:sz w:val="18"/>
      <w:szCs w:val="18"/>
      <w:lang w:val="en-US" w:eastAsia="zh-CN" w:bidi="ar-SA"/>
    </w:rPr>
  </w:style>
  <w:style w:type="character" w:customStyle="1" w:styleId="69">
    <w:name w:val="正文文本首行缩进 字符"/>
    <w:link w:val="38"/>
    <w:qFormat/>
    <w:uiPriority w:val="0"/>
    <w:rPr>
      <w:rFonts w:eastAsia="楷体_GB2312"/>
      <w:kern w:val="2"/>
      <w:sz w:val="24"/>
      <w:szCs w:val="24"/>
      <w:lang w:val="en-US" w:eastAsia="zh-CN" w:bidi="ar-SA"/>
    </w:rPr>
  </w:style>
  <w:style w:type="character" w:customStyle="1" w:styleId="70">
    <w:name w:val="style21"/>
    <w:qFormat/>
    <w:uiPriority w:val="0"/>
    <w:rPr>
      <w:sz w:val="22"/>
      <w:szCs w:val="22"/>
    </w:rPr>
  </w:style>
  <w:style w:type="character" w:customStyle="1" w:styleId="71">
    <w:name w:val="weby11"/>
    <w:qFormat/>
    <w:uiPriority w:val="0"/>
    <w:rPr>
      <w:sz w:val="18"/>
      <w:szCs w:val="18"/>
    </w:rPr>
  </w:style>
  <w:style w:type="character" w:customStyle="1" w:styleId="72">
    <w:name w:val="页脚2 Char"/>
    <w:link w:val="73"/>
    <w:qFormat/>
    <w:uiPriority w:val="0"/>
    <w:rPr>
      <w:rFonts w:ascii="宋体" w:hAnsi="宋体" w:eastAsia="宋体"/>
      <w:sz w:val="18"/>
      <w:szCs w:val="18"/>
      <w:lang w:val="en-US" w:eastAsia="zh-CN" w:bidi="ar-SA"/>
    </w:rPr>
  </w:style>
  <w:style w:type="paragraph" w:customStyle="1" w:styleId="73">
    <w:name w:val="页脚2"/>
    <w:basedOn w:val="1"/>
    <w:link w:val="72"/>
    <w:qFormat/>
    <w:uiPriority w:val="0"/>
    <w:pPr>
      <w:widowControl/>
      <w:pBdr>
        <w:top w:val="single" w:color="auto" w:sz="6" w:space="0"/>
      </w:pBdr>
      <w:jc w:val="right"/>
      <w:textAlignment w:val="center"/>
    </w:pPr>
    <w:rPr>
      <w:rFonts w:ascii="宋体" w:hAnsi="宋体"/>
      <w:kern w:val="0"/>
      <w:sz w:val="18"/>
      <w:szCs w:val="18"/>
    </w:rPr>
  </w:style>
  <w:style w:type="character" w:customStyle="1" w:styleId="74">
    <w:name w:val="p141"/>
    <w:qFormat/>
    <w:uiPriority w:val="0"/>
    <w:rPr>
      <w:sz w:val="21"/>
      <w:szCs w:val="21"/>
    </w:rPr>
  </w:style>
  <w:style w:type="character" w:customStyle="1" w:styleId="75">
    <w:name w:val="unnamed1"/>
    <w:qFormat/>
    <w:uiPriority w:val="0"/>
  </w:style>
  <w:style w:type="character" w:customStyle="1" w:styleId="76">
    <w:name w:val="a301"/>
    <w:qFormat/>
    <w:uiPriority w:val="0"/>
    <w:rPr>
      <w:sz w:val="18"/>
      <w:szCs w:val="18"/>
      <w:u w:val="none"/>
    </w:rPr>
  </w:style>
  <w:style w:type="character" w:customStyle="1" w:styleId="77">
    <w:name w:val="特点标题 Char"/>
    <w:qFormat/>
    <w:uiPriority w:val="0"/>
    <w:rPr>
      <w:rFonts w:eastAsia="宋体"/>
      <w:kern w:val="2"/>
      <w:sz w:val="28"/>
      <w:szCs w:val="24"/>
      <w:lang w:val="en-US" w:eastAsia="zh-CN" w:bidi="ar-SA"/>
    </w:rPr>
  </w:style>
  <w:style w:type="character" w:customStyle="1" w:styleId="78">
    <w:name w:val="Char Char17"/>
    <w:qFormat/>
    <w:uiPriority w:val="0"/>
    <w:rPr>
      <w:rFonts w:ascii="宋体" w:hAnsi="宋体" w:eastAsia="宋体"/>
      <w:b/>
      <w:bCs/>
      <w:kern w:val="2"/>
      <w:sz w:val="30"/>
      <w:szCs w:val="24"/>
      <w:lang w:val="en-US" w:eastAsia="zh-CN" w:bidi="ar-SA"/>
    </w:rPr>
  </w:style>
  <w:style w:type="character" w:customStyle="1" w:styleId="79">
    <w:name w:val="普通文字 Char"/>
    <w:qFormat/>
    <w:uiPriority w:val="0"/>
    <w:rPr>
      <w:rFonts w:ascii="宋体" w:hAnsi="Courier New" w:eastAsia="宋体"/>
      <w:kern w:val="2"/>
      <w:sz w:val="21"/>
      <w:lang w:val="en-US" w:eastAsia="zh-CN" w:bidi="ar-SA"/>
    </w:rPr>
  </w:style>
  <w:style w:type="paragraph" w:customStyle="1" w:styleId="8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81">
    <w:name w:val="D标1"/>
    <w:basedOn w:val="4"/>
    <w:next w:val="1"/>
    <w:qFormat/>
    <w:uiPriority w:val="0"/>
    <w:pPr>
      <w:keepLines w:val="0"/>
      <w:pageBreakBefore/>
      <w:widowControl/>
      <w:numPr>
        <w:ilvl w:val="0"/>
        <w:numId w:val="4"/>
      </w:numPr>
      <w:autoSpaceDE w:val="0"/>
      <w:autoSpaceDN w:val="0"/>
      <w:adjustRightInd w:val="0"/>
      <w:spacing w:before="360" w:after="240" w:line="315" w:lineRule="atLeast"/>
      <w:ind w:firstLine="0"/>
      <w:jc w:val="center"/>
    </w:pPr>
    <w:rPr>
      <w:rFonts w:ascii="黑体" w:eastAsia="黑体"/>
      <w:b w:val="0"/>
      <w:bCs w:val="0"/>
      <w:kern w:val="0"/>
      <w:sz w:val="36"/>
      <w:szCs w:val="20"/>
    </w:rPr>
  </w:style>
  <w:style w:type="paragraph" w:customStyle="1" w:styleId="82">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83">
    <w:name w:val="P标3"/>
    <w:basedOn w:val="6"/>
    <w:qFormat/>
    <w:uiPriority w:val="0"/>
    <w:pPr>
      <w:keepNext w:val="0"/>
      <w:numPr>
        <w:ilvl w:val="0"/>
        <w:numId w:val="5"/>
      </w:numPr>
      <w:autoSpaceDE w:val="0"/>
      <w:autoSpaceDN w:val="0"/>
      <w:adjustRightInd w:val="0"/>
      <w:spacing w:before="120" w:after="120" w:line="480" w:lineRule="atLeast"/>
    </w:pPr>
    <w:rPr>
      <w:rFonts w:hAnsi="Times New Roman"/>
      <w:b w:val="0"/>
      <w:bCs w:val="0"/>
      <w:kern w:val="0"/>
      <w:sz w:val="24"/>
      <w:szCs w:val="20"/>
    </w:rPr>
  </w:style>
  <w:style w:type="paragraph" w:customStyle="1" w:styleId="84">
    <w:name w:val="D标4"/>
    <w:basedOn w:val="1"/>
    <w:next w:val="85"/>
    <w:qFormat/>
    <w:uiPriority w:val="0"/>
    <w:pPr>
      <w:numPr>
        <w:ilvl w:val="0"/>
        <w:numId w:val="6"/>
      </w:numPr>
      <w:autoSpaceDE w:val="0"/>
      <w:autoSpaceDN w:val="0"/>
      <w:adjustRightInd w:val="0"/>
      <w:spacing w:before="120" w:line="480" w:lineRule="atLeast"/>
    </w:pPr>
    <w:rPr>
      <w:rFonts w:ascii="宋体"/>
      <w:kern w:val="0"/>
      <w:sz w:val="24"/>
      <w:szCs w:val="20"/>
    </w:rPr>
  </w:style>
  <w:style w:type="paragraph" w:customStyle="1" w:styleId="85">
    <w:name w:val="D文1"/>
    <w:basedOn w:val="1"/>
    <w:qFormat/>
    <w:uiPriority w:val="0"/>
    <w:pPr>
      <w:tabs>
        <w:tab w:val="left" w:pos="720"/>
      </w:tabs>
      <w:autoSpaceDE w:val="0"/>
      <w:autoSpaceDN w:val="0"/>
      <w:adjustRightInd w:val="0"/>
      <w:spacing w:after="120" w:line="480" w:lineRule="atLeast"/>
      <w:ind w:left="680" w:firstLine="510"/>
    </w:pPr>
    <w:rPr>
      <w:rFonts w:ascii="宋体"/>
      <w:kern w:val="0"/>
      <w:sz w:val="24"/>
      <w:szCs w:val="20"/>
    </w:rPr>
  </w:style>
  <w:style w:type="paragraph" w:customStyle="1" w:styleId="86">
    <w:name w:val="font0"/>
    <w:basedOn w:val="1"/>
    <w:qFormat/>
    <w:uiPriority w:val="0"/>
    <w:pPr>
      <w:widowControl/>
      <w:spacing w:before="100" w:beforeAutospacing="1" w:after="100" w:afterAutospacing="1"/>
      <w:jc w:val="left"/>
    </w:pPr>
    <w:rPr>
      <w:rFonts w:hint="eastAsia" w:ascii="宋体" w:hAnsi="宋体" w:cs="Arial Unicode MS"/>
      <w:kern w:val="0"/>
      <w:sz w:val="24"/>
    </w:rPr>
  </w:style>
  <w:style w:type="paragraph" w:customStyle="1" w:styleId="87">
    <w:name w:val="正文（首行缩进）"/>
    <w:basedOn w:val="1"/>
    <w:qFormat/>
    <w:uiPriority w:val="0"/>
    <w:pPr>
      <w:adjustRightInd w:val="0"/>
      <w:snapToGrid w:val="0"/>
      <w:spacing w:line="300" w:lineRule="auto"/>
      <w:ind w:firstLine="200" w:firstLineChars="200"/>
    </w:pPr>
    <w:rPr>
      <w:sz w:val="28"/>
      <w:szCs w:val="20"/>
    </w:rPr>
  </w:style>
  <w:style w:type="paragraph" w:customStyle="1" w:styleId="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szCs w:val="20"/>
    </w:rPr>
  </w:style>
  <w:style w:type="paragraph" w:customStyle="1" w:styleId="89">
    <w:name w:val="D标3"/>
    <w:basedOn w:val="6"/>
    <w:qFormat/>
    <w:uiPriority w:val="0"/>
    <w:pPr>
      <w:keepNext w:val="0"/>
      <w:numPr>
        <w:ilvl w:val="0"/>
        <w:numId w:val="1"/>
      </w:numPr>
      <w:autoSpaceDE w:val="0"/>
      <w:autoSpaceDN w:val="0"/>
      <w:adjustRightInd w:val="0"/>
      <w:spacing w:before="120" w:line="480" w:lineRule="atLeast"/>
    </w:pPr>
    <w:rPr>
      <w:rFonts w:hAnsi="Times New Roman"/>
      <w:b w:val="0"/>
      <w:bCs w:val="0"/>
      <w:kern w:val="0"/>
      <w:sz w:val="24"/>
      <w:szCs w:val="20"/>
    </w:rPr>
  </w:style>
  <w:style w:type="paragraph" w:customStyle="1" w:styleId="90">
    <w:name w:val="正文（仿三）"/>
    <w:basedOn w:val="1"/>
    <w:qFormat/>
    <w:uiPriority w:val="0"/>
    <w:pPr>
      <w:adjustRightInd w:val="0"/>
      <w:snapToGrid w:val="0"/>
      <w:spacing w:line="360" w:lineRule="auto"/>
      <w:ind w:firstLine="640" w:firstLineChars="200"/>
    </w:pPr>
    <w:rPr>
      <w:rFonts w:eastAsia="仿宋_GB2312"/>
      <w:sz w:val="32"/>
      <w:szCs w:val="20"/>
    </w:rPr>
  </w:style>
  <w:style w:type="paragraph" w:customStyle="1" w:styleId="91">
    <w:name w:val="Char Char Char Char"/>
    <w:basedOn w:val="1"/>
    <w:qFormat/>
    <w:uiPriority w:val="0"/>
    <w:rPr>
      <w:b/>
      <w:bCs/>
      <w:sz w:val="36"/>
      <w:szCs w:val="32"/>
    </w:rPr>
  </w:style>
  <w:style w:type="paragraph" w:customStyle="1" w:styleId="92">
    <w:name w:val="表"/>
    <w:basedOn w:val="1"/>
    <w:qFormat/>
    <w:uiPriority w:val="0"/>
    <w:pPr>
      <w:spacing w:line="460" w:lineRule="exact"/>
    </w:pPr>
    <w:rPr>
      <w:rFonts w:ascii="宋体" w:hAnsi="宋体"/>
      <w:b/>
      <w:bCs/>
      <w:szCs w:val="20"/>
    </w:rPr>
  </w:style>
  <w:style w:type="paragraph" w:customStyle="1" w:styleId="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0"/>
      <w:szCs w:val="20"/>
    </w:rPr>
  </w:style>
  <w:style w:type="paragraph" w:customStyle="1" w:styleId="94">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9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4"/>
    </w:rPr>
  </w:style>
  <w:style w:type="paragraph" w:customStyle="1" w:styleId="96">
    <w:name w:val="Char Char Char"/>
    <w:basedOn w:val="1"/>
    <w:qFormat/>
    <w:uiPriority w:val="0"/>
    <w:rPr>
      <w:rFonts w:ascii="Tahoma" w:hAnsi="Tahoma"/>
      <w:sz w:val="24"/>
      <w:szCs w:val="20"/>
    </w:rPr>
  </w:style>
  <w:style w:type="paragraph" w:customStyle="1" w:styleId="9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98">
    <w:name w:val="样式 小四 段前: 5 磅 段后: 5 磅 首行缩进:  2 字符"/>
    <w:basedOn w:val="1"/>
    <w:qFormat/>
    <w:uiPriority w:val="0"/>
    <w:pPr>
      <w:spacing w:line="200" w:lineRule="exact"/>
    </w:pPr>
    <w:rPr>
      <w:rFonts w:ascii="宋体" w:hAnsi="宋体"/>
      <w:snapToGrid w:val="0"/>
      <w:spacing w:val="-6"/>
      <w:kern w:val="0"/>
      <w:szCs w:val="21"/>
    </w:rPr>
  </w:style>
  <w:style w:type="paragraph" w:styleId="99">
    <w:name w:val="List Paragraph"/>
    <w:basedOn w:val="1"/>
    <w:qFormat/>
    <w:uiPriority w:val="34"/>
    <w:pPr>
      <w:ind w:firstLine="420" w:firstLineChars="200"/>
    </w:pPr>
    <w:rPr>
      <w:rFonts w:ascii="Calibri" w:hAnsi="Calibri"/>
      <w:szCs w:val="22"/>
    </w:rPr>
  </w:style>
  <w:style w:type="paragraph" w:customStyle="1" w:styleId="100">
    <w:name w:val="Char1 Char Char Char"/>
    <w:basedOn w:val="1"/>
    <w:qFormat/>
    <w:uiPriority w:val="0"/>
    <w:rPr>
      <w:rFonts w:ascii="Tahoma" w:hAnsi="Tahoma"/>
      <w:sz w:val="24"/>
      <w:szCs w:val="20"/>
    </w:rPr>
  </w:style>
  <w:style w:type="paragraph" w:customStyle="1" w:styleId="101">
    <w:name w:val="xl24"/>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hint="eastAsia" w:ascii="楷体_GB2312" w:hAnsi="宋体" w:eastAsia="楷体_GB2312"/>
      <w:kern w:val="0"/>
      <w:sz w:val="24"/>
    </w:rPr>
  </w:style>
  <w:style w:type="paragraph" w:customStyle="1" w:styleId="10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4"/>
    </w:rPr>
  </w:style>
  <w:style w:type="paragraph" w:customStyle="1" w:styleId="103">
    <w:name w:val="正文1"/>
    <w:basedOn w:val="1"/>
    <w:qFormat/>
    <w:uiPriority w:val="0"/>
    <w:pPr>
      <w:numPr>
        <w:ilvl w:val="0"/>
        <w:numId w:val="7"/>
      </w:numPr>
      <w:spacing w:line="360" w:lineRule="auto"/>
    </w:pPr>
    <w:rPr>
      <w:rFonts w:ascii="宋体" w:hAnsi="宋体"/>
    </w:rPr>
  </w:style>
  <w:style w:type="paragraph" w:customStyle="1" w:styleId="104">
    <w:name w:val="D标2"/>
    <w:basedOn w:val="5"/>
    <w:qFormat/>
    <w:uiPriority w:val="0"/>
    <w:pPr>
      <w:keepLines w:val="0"/>
      <w:widowControl/>
      <w:numPr>
        <w:ilvl w:val="0"/>
        <w:numId w:val="8"/>
      </w:numPr>
      <w:autoSpaceDE w:val="0"/>
      <w:autoSpaceDN w:val="0"/>
      <w:adjustRightInd w:val="0"/>
      <w:spacing w:before="360" w:after="0" w:line="480" w:lineRule="exact"/>
      <w:jc w:val="left"/>
    </w:pPr>
    <w:rPr>
      <w:rFonts w:ascii="黑体" w:hAnsi="Times New Roman"/>
      <w:bCs w:val="0"/>
      <w:kern w:val="0"/>
      <w:sz w:val="24"/>
      <w:szCs w:val="20"/>
    </w:rPr>
  </w:style>
  <w:style w:type="paragraph" w:customStyle="1" w:styleId="10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kern w:val="0"/>
      <w:sz w:val="20"/>
      <w:szCs w:val="20"/>
    </w:rPr>
  </w:style>
  <w:style w:type="paragraph" w:customStyle="1" w:styleId="106">
    <w:name w:val="段"/>
    <w:qFormat/>
    <w:uiPriority w:val="0"/>
    <w:pPr>
      <w:numPr>
        <w:ilvl w:val="3"/>
        <w:numId w:val="9"/>
      </w:numPr>
      <w:tabs>
        <w:tab w:val="clear" w:pos="2530"/>
      </w:tabs>
      <w:autoSpaceDE w:val="0"/>
      <w:autoSpaceDN w:val="0"/>
      <w:ind w:left="0" w:firstLine="200" w:firstLineChars="200"/>
      <w:jc w:val="both"/>
    </w:pPr>
    <w:rPr>
      <w:rFonts w:ascii="宋体" w:hAnsi="Times New Roman" w:eastAsia="宋体" w:cs="Times New Roman"/>
      <w:sz w:val="21"/>
      <w:lang w:val="en-US" w:eastAsia="zh-CN" w:bidi="ar-SA"/>
    </w:rPr>
  </w:style>
  <w:style w:type="paragraph" w:customStyle="1" w:styleId="107">
    <w:name w:val="正文_17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10">
    <w:name w:val="Char Char Char Char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1">
    <w:name w:val="Char"/>
    <w:basedOn w:val="1"/>
    <w:qFormat/>
    <w:uiPriority w:val="0"/>
    <w:pPr>
      <w:widowControl/>
      <w:spacing w:after="160" w:line="240" w:lineRule="exact"/>
      <w:jc w:val="left"/>
    </w:pPr>
    <w:rPr>
      <w:rFonts w:ascii="Verdana" w:hAnsi="Verdana"/>
      <w:kern w:val="0"/>
      <w:szCs w:val="20"/>
      <w:lang w:eastAsia="en-US"/>
    </w:rPr>
  </w:style>
  <w:style w:type="paragraph" w:customStyle="1" w:styleId="112">
    <w:name w:val="font7"/>
    <w:basedOn w:val="1"/>
    <w:qFormat/>
    <w:uiPriority w:val="0"/>
    <w:pPr>
      <w:widowControl/>
      <w:spacing w:before="100" w:beforeAutospacing="1" w:after="100" w:afterAutospacing="1"/>
      <w:jc w:val="left"/>
    </w:pPr>
    <w:rPr>
      <w:rFonts w:hint="eastAsia" w:ascii="宋体" w:hAnsi="宋体" w:cs="Arial Unicode MS"/>
      <w:kern w:val="0"/>
      <w:sz w:val="20"/>
      <w:szCs w:val="20"/>
    </w:rPr>
  </w:style>
  <w:style w:type="paragraph" w:customStyle="1" w:styleId="113">
    <w:name w:val="_Style 11"/>
    <w:basedOn w:val="1"/>
    <w:qFormat/>
    <w:uiPriority w:val="0"/>
    <w:pPr>
      <w:widowControl/>
      <w:spacing w:after="160" w:line="240" w:lineRule="exact"/>
      <w:jc w:val="left"/>
    </w:pPr>
    <w:rPr>
      <w:rFonts w:ascii="Verdana" w:hAnsi="Verdana"/>
      <w:kern w:val="0"/>
      <w:szCs w:val="20"/>
      <w:lang w:eastAsia="en-US"/>
    </w:rPr>
  </w:style>
  <w:style w:type="paragraph" w:customStyle="1" w:styleId="114">
    <w:name w:val="font6"/>
    <w:basedOn w:val="1"/>
    <w:qFormat/>
    <w:uiPriority w:val="0"/>
    <w:pPr>
      <w:widowControl/>
      <w:spacing w:before="100" w:beforeAutospacing="1" w:after="100" w:afterAutospacing="1"/>
      <w:jc w:val="left"/>
    </w:pPr>
    <w:rPr>
      <w:rFonts w:eastAsia="Arial Unicode MS"/>
      <w:kern w:val="0"/>
      <w:sz w:val="20"/>
      <w:szCs w:val="20"/>
    </w:rPr>
  </w:style>
  <w:style w:type="paragraph" w:customStyle="1" w:styleId="115">
    <w:name w:val="Char Char2 Char"/>
    <w:basedOn w:val="1"/>
    <w:qFormat/>
    <w:uiPriority w:val="0"/>
    <w:rPr>
      <w:rFonts w:ascii="宋体" w:hAnsi="宋体"/>
      <w:b/>
      <w:sz w:val="28"/>
      <w:szCs w:val="28"/>
    </w:rPr>
  </w:style>
  <w:style w:type="paragraph" w:customStyle="1" w:styleId="116">
    <w:name w:val="Char1"/>
    <w:basedOn w:val="1"/>
    <w:qFormat/>
    <w:uiPriority w:val="0"/>
    <w:pPr>
      <w:widowControl/>
      <w:spacing w:after="160" w:line="240" w:lineRule="exact"/>
      <w:jc w:val="left"/>
    </w:pPr>
    <w:rPr>
      <w:rFonts w:ascii="Verdana" w:hAnsi="Verdana"/>
      <w:kern w:val="0"/>
      <w:szCs w:val="20"/>
      <w:lang w:eastAsia="en-US"/>
    </w:rPr>
  </w:style>
  <w:style w:type="paragraph" w:customStyle="1" w:styleId="11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118">
    <w:name w:val="Char Char Char1 Char"/>
    <w:basedOn w:val="1"/>
    <w:qFormat/>
    <w:uiPriority w:val="0"/>
    <w:pPr>
      <w:tabs>
        <w:tab w:val="left" w:pos="425"/>
      </w:tabs>
      <w:ind w:left="425" w:hanging="425"/>
    </w:pPr>
    <w:rPr>
      <w:rFonts w:eastAsia="仿宋_GB2312"/>
      <w:kern w:val="24"/>
      <w:sz w:val="24"/>
    </w:rPr>
  </w:style>
  <w:style w:type="paragraph" w:customStyle="1" w:styleId="119">
    <w:name w:val="Char Char Char Char Char1 Char"/>
    <w:basedOn w:val="1"/>
    <w:qFormat/>
    <w:uiPriority w:val="0"/>
    <w:rPr>
      <w:rFonts w:ascii="Tahoma" w:hAnsi="Tahoma"/>
      <w:sz w:val="24"/>
      <w:szCs w:val="20"/>
    </w:rPr>
  </w:style>
  <w:style w:type="paragraph" w:customStyle="1" w:styleId="120">
    <w:name w:val="Char Char Char Char Char Char Char Char Char Char"/>
    <w:basedOn w:val="1"/>
    <w:qFormat/>
    <w:uiPriority w:val="0"/>
    <w:pPr>
      <w:widowControl/>
      <w:snapToGrid w:val="0"/>
      <w:spacing w:before="120" w:after="160" w:line="360" w:lineRule="auto"/>
      <w:ind w:right="-360"/>
      <w:jc w:val="left"/>
    </w:pPr>
    <w:rPr>
      <w:sz w:val="24"/>
      <w:szCs w:val="20"/>
    </w:rPr>
  </w:style>
  <w:style w:type="paragraph" w:customStyle="1" w:styleId="12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4"/>
    </w:rPr>
  </w:style>
  <w:style w:type="paragraph" w:customStyle="1" w:styleId="122">
    <w:name w:val="Char Char Char1"/>
    <w:basedOn w:val="15"/>
    <w:qFormat/>
    <w:uiPriority w:val="0"/>
    <w:pPr>
      <w:spacing w:line="436" w:lineRule="exact"/>
    </w:pPr>
    <w:rPr>
      <w:rFonts w:ascii="Tahoma" w:hAnsi="Tahoma"/>
      <w:b/>
      <w:sz w:val="24"/>
    </w:rPr>
  </w:style>
  <w:style w:type="paragraph" w:customStyle="1" w:styleId="123">
    <w:name w:val="样式 首行缩进:  2 字符"/>
    <w:basedOn w:val="1"/>
    <w:qFormat/>
    <w:uiPriority w:val="0"/>
    <w:pPr>
      <w:ind w:firstLine="600" w:firstLineChars="200"/>
    </w:pPr>
    <w:rPr>
      <w:rFonts w:cs="宋体"/>
      <w:sz w:val="28"/>
      <w:szCs w:val="20"/>
    </w:rPr>
  </w:style>
  <w:style w:type="paragraph" w:customStyle="1" w:styleId="124">
    <w:name w:val="正文_2"/>
    <w:qFormat/>
    <w:uiPriority w:val="0"/>
    <w:rPr>
      <w:rFonts w:ascii="Times New Roman" w:hAnsi="Times New Roman" w:eastAsia="宋体" w:cs="Times New Roman"/>
      <w:sz w:val="21"/>
      <w:lang w:val="en-US" w:eastAsia="zh-CN" w:bidi="ar-SA"/>
    </w:rPr>
  </w:style>
  <w:style w:type="character" w:customStyle="1" w:styleId="125">
    <w:name w:val="p141_0"/>
    <w:qFormat/>
    <w:uiPriority w:val="0"/>
    <w:rPr>
      <w:sz w:val="21"/>
      <w:szCs w:val="21"/>
    </w:rPr>
  </w:style>
  <w:style w:type="paragraph" w:customStyle="1" w:styleId="126">
    <w:name w:val="正文2"/>
    <w:qFormat/>
    <w:uiPriority w:val="0"/>
    <w:pPr>
      <w:widowControl w:val="0"/>
      <w:jc w:val="both"/>
    </w:pPr>
    <w:rPr>
      <w:rFonts w:hint="eastAsia" w:ascii="Calibri" w:hAnsi="Calibri" w:eastAsia="宋体" w:cs="Times New Roman"/>
      <w:kern w:val="2"/>
      <w:sz w:val="21"/>
      <w:lang w:val="en-US" w:eastAsia="zh-CN" w:bidi="ar-SA"/>
    </w:rPr>
  </w:style>
  <w:style w:type="paragraph" w:customStyle="1" w:styleId="127">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28">
    <w:name w:val="表格文字"/>
    <w:basedOn w:val="1"/>
    <w:qFormat/>
    <w:uiPriority w:val="0"/>
    <w:pPr>
      <w:spacing w:before="25" w:after="25"/>
      <w:jc w:val="left"/>
    </w:pPr>
    <w:rPr>
      <w:bCs/>
      <w:spacing w:val="10"/>
      <w:kern w:val="0"/>
      <w:sz w:val="24"/>
      <w:szCs w:val="20"/>
    </w:rPr>
  </w:style>
  <w:style w:type="paragraph" w:customStyle="1" w:styleId="129">
    <w:name w:val="_Style 128"/>
    <w:basedOn w:val="1"/>
    <w:next w:val="99"/>
    <w:qFormat/>
    <w:uiPriority w:val="0"/>
    <w:pPr>
      <w:ind w:firstLine="420" w:firstLineChars="200"/>
    </w:pPr>
    <w:rPr>
      <w:rFonts w:ascii="Tahoma" w:hAnsi="Tahoma"/>
      <w:sz w:val="24"/>
    </w:rPr>
  </w:style>
  <w:style w:type="character" w:customStyle="1" w:styleId="130">
    <w:name w:val="纯文本 字符1"/>
    <w:qFormat/>
    <w:uiPriority w:val="0"/>
    <w:rPr>
      <w:rFonts w:ascii="宋体" w:hAnsi="Courier New" w:cs="Courier New"/>
      <w:szCs w:val="21"/>
    </w:rPr>
  </w:style>
  <w:style w:type="character" w:customStyle="1" w:styleId="131">
    <w:name w:val="正文文本 字符"/>
    <w:semiHidden/>
    <w:qFormat/>
    <w:uiPriority w:val="0"/>
    <w:rPr>
      <w:kern w:val="2"/>
      <w:sz w:val="18"/>
    </w:rPr>
  </w:style>
  <w:style w:type="character" w:customStyle="1" w:styleId="132">
    <w:name w:val="NormalCharacter"/>
    <w:semiHidden/>
    <w:qFormat/>
    <w:uiPriority w:val="0"/>
  </w:style>
  <w:style w:type="paragraph" w:customStyle="1" w:styleId="133">
    <w:name w:val="样式 首行缩进: 2 字符"/>
    <w:basedOn w:val="1"/>
    <w:qFormat/>
    <w:uiPriority w:val="0"/>
    <w:pPr>
      <w:adjustRightInd w:val="0"/>
      <w:spacing w:line="560" w:lineRule="exact"/>
      <w:ind w:firstLine="600" w:firstLineChars="200"/>
      <w:textAlignment w:val="baseline"/>
    </w:pPr>
    <w:rPr>
      <w:rFonts w:ascii="Calibri" w:hAnsi="Calibri" w:eastAsia="仿宋_GB2312"/>
      <w:kern w:val="0"/>
      <w:sz w:val="28"/>
      <w:szCs w:val="28"/>
    </w:rPr>
  </w:style>
  <w:style w:type="paragraph" w:customStyle="1" w:styleId="134">
    <w:name w:val="普通(网站)1"/>
    <w:basedOn w:val="1"/>
    <w:qFormat/>
    <w:uiPriority w:val="0"/>
    <w:pPr>
      <w:widowControl/>
      <w:spacing w:before="100" w:beforeAutospacing="1" w:after="100" w:afterAutospacing="1"/>
      <w:jc w:val="left"/>
    </w:pPr>
    <w:rPr>
      <w:rFonts w:ascii="宋体" w:hAnsi="宋体"/>
      <w:sz w:val="24"/>
    </w:rPr>
  </w:style>
  <w:style w:type="paragraph" w:customStyle="1" w:styleId="135">
    <w:name w:val="head"/>
    <w:basedOn w:val="1"/>
    <w:qFormat/>
    <w:uiPriority w:val="0"/>
    <w:pPr>
      <w:widowControl/>
      <w:spacing w:before="100" w:beforeAutospacing="1" w:after="100" w:afterAutospacing="1"/>
      <w:jc w:val="center"/>
    </w:pPr>
    <w:rPr>
      <w:rFonts w:ascii="黑体" w:hAnsi="宋体" w:eastAsia="黑体"/>
      <w:b/>
      <w:bCs/>
      <w:sz w:val="28"/>
      <w:szCs w:val="28"/>
    </w:rPr>
  </w:style>
  <w:style w:type="paragraph" w:customStyle="1" w:styleId="136">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137">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13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44</Pages>
  <Words>4931</Words>
  <Characters>28109</Characters>
  <Lines>234</Lines>
  <Paragraphs>65</Paragraphs>
  <TotalTime>1</TotalTime>
  <ScaleCrop>false</ScaleCrop>
  <LinksUpToDate>false</LinksUpToDate>
  <CharactersWithSpaces>32975</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2023-09-07T08:52:00Z</dcterms:created>
  <dc:creator>admin</dc:creator>
  <cp:lastModifiedBy>代理机构</cp:lastModifiedBy>
  <cp:lastPrinted>2022-12-02T19:03:00Z</cp:lastPrinted>
  <dcterms:modified xsi:type="dcterms:W3CDTF">2023-09-13T01:07:47Z</dcterms:modified>
  <dc:title>广州市政府采购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C8418768E2B54A54A59A9DC1B2485117_13</vt:lpwstr>
  </property>
</Properties>
</file>