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17D222">
      <w:pPr>
        <w:spacing w:line="360" w:lineRule="auto"/>
        <w:jc w:val="center"/>
        <w:outlineLvl w:val="0"/>
        <w:rPr>
          <w:b/>
          <w:sz w:val="36"/>
          <w:szCs w:val="36"/>
          <w:highlight w:val="none"/>
        </w:rPr>
      </w:pPr>
      <w:bookmarkStart w:id="0" w:name="_GoBack"/>
      <w:r>
        <w:rPr>
          <w:b/>
          <w:sz w:val="36"/>
          <w:szCs w:val="36"/>
          <w:highlight w:val="none"/>
        </w:rPr>
        <w:t>采购需求</w:t>
      </w:r>
      <w:bookmarkEnd w:id="0"/>
    </w:p>
    <w:p w14:paraId="12265343">
      <w:pPr>
        <w:spacing w:line="360" w:lineRule="auto"/>
        <w:contextualSpacing/>
        <w:rPr>
          <w:sz w:val="24"/>
          <w:highlight w:val="none"/>
        </w:rPr>
      </w:pPr>
    </w:p>
    <w:p w14:paraId="0C13DFF9">
      <w:pPr>
        <w:pStyle w:val="7"/>
        <w:numPr>
          <w:ilvl w:val="0"/>
          <w:numId w:val="1"/>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采购标的</w:t>
      </w:r>
    </w:p>
    <w:p w14:paraId="42A41627">
      <w:pPr>
        <w:spacing w:line="360" w:lineRule="auto"/>
        <w:contextualSpacing/>
        <w:rPr>
          <w:rFonts w:eastAsiaTheme="minorEastAsia"/>
          <w:bCs/>
          <w:sz w:val="24"/>
        </w:rPr>
      </w:pPr>
      <w:r>
        <w:rPr>
          <w:rFonts w:eastAsiaTheme="minorEastAsia"/>
          <w:bCs/>
          <w:sz w:val="24"/>
        </w:rPr>
        <w:t>1. 采购标的</w:t>
      </w:r>
    </w:p>
    <w:p w14:paraId="5207D63C">
      <w:pPr>
        <w:pStyle w:val="3"/>
        <w:spacing w:line="360" w:lineRule="auto"/>
        <w:rPr>
          <w:rFonts w:ascii="Times New Roman" w:hAnsi="Times New Roman"/>
          <w:sz w:val="24"/>
          <w:szCs w:val="24"/>
          <w:highlight w:val="none"/>
        </w:rPr>
      </w:pPr>
      <w:r>
        <w:rPr>
          <w:rFonts w:ascii="Times New Roman" w:hAnsi="Times New Roman"/>
          <w:sz w:val="24"/>
          <w:szCs w:val="24"/>
          <w:highlight w:val="none"/>
        </w:rPr>
        <w:t>1 场地及周围情况</w:t>
      </w:r>
    </w:p>
    <w:p w14:paraId="5F288BAE">
      <w:pPr>
        <w:pStyle w:val="3"/>
        <w:numPr>
          <w:ilvl w:val="1"/>
          <w:numId w:val="2"/>
        </w:numPr>
        <w:spacing w:line="360" w:lineRule="auto"/>
        <w:rPr>
          <w:rFonts w:ascii="Times New Roman" w:hAnsi="Times New Roman"/>
          <w:sz w:val="24"/>
          <w:szCs w:val="24"/>
          <w:highlight w:val="none"/>
        </w:rPr>
      </w:pPr>
      <w:r>
        <w:rPr>
          <w:rFonts w:ascii="Times New Roman" w:hAnsi="Times New Roman"/>
          <w:sz w:val="24"/>
          <w:szCs w:val="24"/>
          <w:highlight w:val="none"/>
        </w:rPr>
        <w:t>本工程为</w:t>
      </w:r>
      <w:r>
        <w:rPr>
          <w:rFonts w:hint="eastAsia" w:ascii="Times New Roman" w:hAnsi="Times New Roman"/>
          <w:sz w:val="24"/>
          <w:szCs w:val="24"/>
          <w:highlight w:val="none"/>
          <w:lang w:eastAsia="zh-CN"/>
        </w:rPr>
        <w:t>中国中医科学院望京医院科研医疗配套用房暨医疗废弃物智慧转运处置站建设项目</w:t>
      </w:r>
      <w:r>
        <w:rPr>
          <w:rFonts w:ascii="Times New Roman" w:hAnsi="Times New Roman"/>
          <w:sz w:val="24"/>
          <w:szCs w:val="24"/>
          <w:highlight w:val="none"/>
        </w:rPr>
        <w:t>，</w:t>
      </w:r>
    </w:p>
    <w:p w14:paraId="4B3ADF29">
      <w:pPr>
        <w:pStyle w:val="3"/>
        <w:numPr>
          <w:ilvl w:val="1"/>
          <w:numId w:val="2"/>
        </w:numPr>
        <w:spacing w:line="360" w:lineRule="auto"/>
        <w:rPr>
          <w:rFonts w:ascii="Times New Roman" w:hAnsi="Times New Roman"/>
          <w:sz w:val="24"/>
          <w:szCs w:val="24"/>
          <w:highlight w:val="none"/>
        </w:rPr>
      </w:pPr>
      <w:r>
        <w:rPr>
          <w:rFonts w:ascii="Times New Roman" w:hAnsi="Times New Roman"/>
          <w:sz w:val="24"/>
          <w:szCs w:val="24"/>
          <w:highlight w:val="none"/>
        </w:rPr>
        <w:t>建设地点：</w:t>
      </w:r>
      <w:r>
        <w:rPr>
          <w:rFonts w:hint="eastAsia" w:ascii="Times New Roman" w:hAnsi="Times New Roman"/>
          <w:sz w:val="24"/>
          <w:szCs w:val="24"/>
          <w:highlight w:val="none"/>
        </w:rPr>
        <w:t>北京市朝阳区望京中环南路6号</w:t>
      </w:r>
      <w:r>
        <w:rPr>
          <w:rFonts w:hint="eastAsia" w:ascii="Times New Roman" w:hAnsi="Times New Roman"/>
          <w:sz w:val="24"/>
          <w:szCs w:val="24"/>
          <w:highlight w:val="none"/>
          <w:lang w:eastAsia="zh-CN"/>
        </w:rPr>
        <w:t>，中国中医科学院望京医院</w:t>
      </w:r>
      <w:r>
        <w:rPr>
          <w:rFonts w:hint="eastAsia" w:ascii="Times New Roman" w:hAnsi="Times New Roman"/>
          <w:sz w:val="24"/>
          <w:szCs w:val="24"/>
          <w:highlight w:val="none"/>
          <w:lang w:val="en-US" w:eastAsia="zh-CN"/>
        </w:rPr>
        <w:t>院内</w:t>
      </w:r>
      <w:r>
        <w:rPr>
          <w:rFonts w:ascii="Times New Roman" w:hAnsi="Times New Roman"/>
          <w:sz w:val="24"/>
          <w:szCs w:val="24"/>
          <w:highlight w:val="none"/>
        </w:rPr>
        <w:t>；</w:t>
      </w:r>
    </w:p>
    <w:p w14:paraId="45E3B8E3">
      <w:pPr>
        <w:spacing w:line="360" w:lineRule="auto"/>
        <w:contextualSpacing/>
        <w:rPr>
          <w:rFonts w:hAnsi="宋体" w:cs="宋体"/>
          <w:sz w:val="24"/>
          <w:szCs w:val="24"/>
          <w:highlight w:val="none"/>
        </w:rPr>
      </w:pPr>
      <w:r>
        <w:rPr>
          <w:rFonts w:ascii="Times New Roman" w:hAnsi="Times New Roman"/>
          <w:sz w:val="24"/>
          <w:szCs w:val="24"/>
          <w:highlight w:val="none"/>
        </w:rPr>
        <w:t>资金情况：</w:t>
      </w:r>
      <w:r>
        <w:rPr>
          <w:rFonts w:hAnsi="宋体" w:cs="宋体"/>
          <w:sz w:val="24"/>
          <w:szCs w:val="24"/>
          <w:highlight w:val="none"/>
        </w:rPr>
        <w:t>本工程控制价为：</w:t>
      </w:r>
      <w:r>
        <w:rPr>
          <w:rFonts w:hint="eastAsia" w:hAnsi="宋体" w:cs="宋体"/>
          <w:sz w:val="24"/>
          <w:szCs w:val="24"/>
          <w:highlight w:val="none"/>
        </w:rPr>
        <w:t xml:space="preserve"> 3949398.53</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其中：分部分项工程合价为：</w:t>
      </w:r>
      <w:r>
        <w:rPr>
          <w:rFonts w:hint="eastAsia" w:hAnsi="宋体" w:cs="宋体"/>
          <w:sz w:val="24"/>
          <w:szCs w:val="24"/>
          <w:highlight w:val="none"/>
        </w:rPr>
        <w:t>3065596.43</w:t>
      </w:r>
      <w:r>
        <w:rPr>
          <w:rFonts w:hAnsi="宋体" w:cs="宋体"/>
          <w:sz w:val="24"/>
          <w:szCs w:val="24"/>
          <w:highlight w:val="none"/>
        </w:rPr>
        <w:t>元； </w:t>
      </w:r>
      <w:r>
        <w:rPr>
          <w:rFonts w:hAnsi="宋体" w:cs="宋体"/>
          <w:sz w:val="24"/>
          <w:szCs w:val="24"/>
          <w:highlight w:val="none"/>
        </w:rPr>
        <w:br w:type="textWrapping"/>
      </w:r>
      <w:r>
        <w:rPr>
          <w:rFonts w:hAnsi="宋体" w:cs="宋体"/>
          <w:sz w:val="24"/>
          <w:szCs w:val="24"/>
          <w:highlight w:val="none"/>
        </w:rPr>
        <w:t>措施项目合价为：</w:t>
      </w:r>
      <w:r>
        <w:rPr>
          <w:rFonts w:hint="eastAsia" w:hAnsi="宋体" w:cs="宋体"/>
          <w:sz w:val="24"/>
          <w:szCs w:val="24"/>
          <w:highlight w:val="none"/>
        </w:rPr>
        <w:t>465961.85</w:t>
      </w:r>
      <w:r>
        <w:rPr>
          <w:rFonts w:hAnsi="宋体" w:cs="宋体"/>
          <w:sz w:val="24"/>
          <w:szCs w:val="24"/>
          <w:highlight w:val="none"/>
        </w:rPr>
        <w:t>元；</w:t>
      </w:r>
    </w:p>
    <w:p w14:paraId="11F95931">
      <w:pPr>
        <w:spacing w:line="360" w:lineRule="auto"/>
        <w:contextualSpacing/>
        <w:rPr>
          <w:rFonts w:hint="eastAsia" w:hAnsi="宋体" w:eastAsia="宋体" w:cs="宋体"/>
          <w:sz w:val="24"/>
          <w:szCs w:val="24"/>
          <w:highlight w:val="none"/>
          <w:lang w:eastAsia="zh-CN"/>
        </w:rPr>
      </w:pPr>
      <w:r>
        <w:rPr>
          <w:rFonts w:hAnsi="宋体" w:cs="宋体"/>
          <w:sz w:val="24"/>
          <w:szCs w:val="24"/>
          <w:highlight w:val="none"/>
        </w:rPr>
        <w:t>其他项目合价为：</w:t>
      </w:r>
      <w:r>
        <w:rPr>
          <w:rFonts w:hint="eastAsia" w:hAnsi="宋体" w:cs="宋体"/>
          <w:sz w:val="24"/>
          <w:szCs w:val="24"/>
          <w:highlight w:val="none"/>
        </w:rPr>
        <w:t>91743.12</w:t>
      </w:r>
      <w:r>
        <w:rPr>
          <w:rFonts w:hAnsi="宋体" w:cs="宋体"/>
          <w:sz w:val="24"/>
          <w:szCs w:val="24"/>
          <w:highlight w:val="none"/>
        </w:rPr>
        <w:t>元；</w:t>
      </w:r>
      <w:r>
        <w:rPr>
          <w:rFonts w:hAnsi="宋体" w:cs="宋体"/>
          <w:sz w:val="24"/>
          <w:szCs w:val="24"/>
          <w:highlight w:val="none"/>
        </w:rPr>
        <w:br w:type="textWrapping"/>
      </w:r>
      <w:r>
        <w:rPr>
          <w:rFonts w:hint="eastAsia" w:hAnsi="宋体" w:cs="宋体"/>
          <w:sz w:val="24"/>
          <w:szCs w:val="24"/>
          <w:highlight w:val="none"/>
          <w:lang w:val="en-US" w:eastAsia="zh-CN"/>
        </w:rPr>
        <w:t>增值税税金</w:t>
      </w:r>
      <w:r>
        <w:rPr>
          <w:rFonts w:hAnsi="宋体" w:cs="宋体"/>
          <w:sz w:val="24"/>
          <w:szCs w:val="24"/>
          <w:highlight w:val="none"/>
        </w:rPr>
        <w:t>的合价为：</w:t>
      </w:r>
      <w:r>
        <w:rPr>
          <w:rFonts w:hint="eastAsia" w:hAnsi="宋体" w:cs="宋体"/>
          <w:sz w:val="24"/>
          <w:szCs w:val="24"/>
          <w:highlight w:val="none"/>
        </w:rPr>
        <w:t>326097.13</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其他说明：专业工程暂估价（含税）合计金额：</w:t>
      </w:r>
      <w:r>
        <w:rPr>
          <w:rFonts w:hint="eastAsia" w:hAnsi="宋体" w:cs="宋体"/>
          <w:sz w:val="24"/>
          <w:szCs w:val="24"/>
          <w:highlight w:val="none"/>
          <w:lang w:eastAsia="zh-CN"/>
        </w:rPr>
        <w:t>/</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材料和工程设备暂估价(含税)合计金额：</w:t>
      </w:r>
      <w:r>
        <w:rPr>
          <w:rFonts w:hint="eastAsia" w:hAnsi="宋体" w:cs="宋体"/>
          <w:sz w:val="24"/>
          <w:szCs w:val="24"/>
          <w:highlight w:val="none"/>
          <w:lang w:eastAsia="zh-CN"/>
        </w:rPr>
        <w:t>/</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暂列金额（不含计日工）（含税）合计金额：</w:t>
      </w:r>
      <w:r>
        <w:rPr>
          <w:rFonts w:hint="eastAsia" w:hAnsi="宋体" w:cs="宋体"/>
          <w:sz w:val="24"/>
          <w:szCs w:val="24"/>
          <w:highlight w:val="none"/>
        </w:rPr>
        <w:t>100000</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安全文明施工费（含税）合计金额：</w:t>
      </w:r>
      <w:r>
        <w:rPr>
          <w:rFonts w:hint="default" w:hAnsi="宋体" w:cs="宋体"/>
          <w:sz w:val="24"/>
          <w:szCs w:val="24"/>
          <w:highlight w:val="none"/>
        </w:rPr>
        <w:t>233939.06</w:t>
      </w:r>
      <w:r>
        <w:rPr>
          <w:rFonts w:hAnsi="宋体" w:cs="宋体"/>
          <w:sz w:val="24"/>
          <w:szCs w:val="24"/>
          <w:highlight w:val="none"/>
        </w:rPr>
        <w:t>元；</w:t>
      </w:r>
      <w:r>
        <w:rPr>
          <w:rFonts w:hAnsi="宋体" w:cs="宋体"/>
          <w:sz w:val="24"/>
          <w:szCs w:val="24"/>
          <w:highlight w:val="none"/>
        </w:rPr>
        <w:br w:type="textWrapping"/>
      </w:r>
      <w:r>
        <w:rPr>
          <w:rFonts w:hAnsi="宋体" w:cs="宋体"/>
          <w:sz w:val="24"/>
          <w:szCs w:val="24"/>
          <w:highlight w:val="none"/>
        </w:rPr>
        <w:t>赶工增加费（含税）合计金额（如有）：</w:t>
      </w:r>
      <w:r>
        <w:rPr>
          <w:rFonts w:hint="eastAsia" w:hAnsi="宋体" w:cs="宋体"/>
          <w:sz w:val="24"/>
          <w:szCs w:val="24"/>
          <w:highlight w:val="none"/>
          <w:lang w:val="en-US" w:eastAsia="zh-CN"/>
        </w:rPr>
        <w:t>/</w:t>
      </w:r>
      <w:r>
        <w:rPr>
          <w:rFonts w:hAnsi="宋体" w:cs="宋体"/>
          <w:sz w:val="24"/>
          <w:szCs w:val="24"/>
          <w:highlight w:val="none"/>
        </w:rPr>
        <w:t>元</w:t>
      </w:r>
      <w:r>
        <w:rPr>
          <w:rFonts w:hint="eastAsia" w:hAnsi="宋体" w:cs="宋体"/>
          <w:sz w:val="24"/>
          <w:szCs w:val="24"/>
          <w:highlight w:val="none"/>
          <w:lang w:eastAsia="zh-CN"/>
        </w:rPr>
        <w:t>。</w:t>
      </w:r>
    </w:p>
    <w:p w14:paraId="7A1414CD">
      <w:pPr>
        <w:spacing w:line="360" w:lineRule="auto"/>
        <w:ind w:firstLine="482"/>
        <w:contextualSpacing/>
        <w:rPr>
          <w:rFonts w:eastAsiaTheme="minorEastAsia"/>
          <w:b/>
          <w:sz w:val="24"/>
        </w:rPr>
      </w:pPr>
    </w:p>
    <w:p w14:paraId="47A419EA">
      <w:pPr>
        <w:pStyle w:val="7"/>
        <w:numPr>
          <w:ilvl w:val="0"/>
          <w:numId w:val="1"/>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商务要求</w:t>
      </w:r>
    </w:p>
    <w:p w14:paraId="68E3BCF5">
      <w:pPr>
        <w:spacing w:line="360" w:lineRule="auto"/>
        <w:contextualSpacing/>
        <w:rPr>
          <w:rFonts w:eastAsiaTheme="minorEastAsia"/>
          <w:i/>
          <w:sz w:val="24"/>
          <w:highlight w:val="none"/>
        </w:rPr>
      </w:pPr>
      <w:r>
        <w:rPr>
          <w:rFonts w:eastAsiaTheme="minorEastAsia"/>
          <w:sz w:val="24"/>
          <w:highlight w:val="none"/>
        </w:rPr>
        <w:t>1. 交付（实施）的时间（期限）和地点（范围）</w:t>
      </w:r>
    </w:p>
    <w:p w14:paraId="101BB347">
      <w:pPr>
        <w:spacing w:line="360" w:lineRule="auto"/>
        <w:contextualSpacing/>
        <w:rPr>
          <w:rFonts w:hint="eastAsia"/>
          <w:iCs/>
          <w:sz w:val="24"/>
          <w:highlight w:val="none"/>
        </w:rPr>
      </w:pPr>
      <w:r>
        <w:rPr>
          <w:rFonts w:hint="eastAsia"/>
          <w:iCs/>
          <w:sz w:val="24"/>
          <w:highlight w:val="none"/>
        </w:rPr>
        <w:t>工期要求：270日历天；</w:t>
      </w:r>
    </w:p>
    <w:p w14:paraId="6736EA98">
      <w:pPr>
        <w:spacing w:line="360" w:lineRule="auto"/>
        <w:contextualSpacing/>
        <w:rPr>
          <w:rFonts w:hint="eastAsia"/>
          <w:iCs/>
          <w:sz w:val="24"/>
          <w:highlight w:val="none"/>
        </w:rPr>
      </w:pPr>
      <w:r>
        <w:rPr>
          <w:rFonts w:hint="eastAsia"/>
          <w:iCs/>
          <w:sz w:val="24"/>
          <w:highlight w:val="none"/>
        </w:rPr>
        <w:t>计划开工日期：202</w:t>
      </w:r>
      <w:r>
        <w:rPr>
          <w:rFonts w:hint="eastAsia"/>
          <w:iCs/>
          <w:sz w:val="24"/>
          <w:highlight w:val="none"/>
          <w:lang w:val="en-US" w:eastAsia="zh-CN"/>
        </w:rPr>
        <w:t>6</w:t>
      </w:r>
      <w:r>
        <w:rPr>
          <w:rFonts w:hint="eastAsia"/>
          <w:iCs/>
          <w:sz w:val="24"/>
          <w:highlight w:val="none"/>
        </w:rPr>
        <w:t>年</w:t>
      </w:r>
      <w:r>
        <w:rPr>
          <w:rFonts w:hint="eastAsia"/>
          <w:iCs/>
          <w:sz w:val="24"/>
          <w:highlight w:val="none"/>
          <w:lang w:val="en-US" w:eastAsia="zh-CN"/>
        </w:rPr>
        <w:t>6</w:t>
      </w:r>
      <w:r>
        <w:rPr>
          <w:rFonts w:hint="eastAsia"/>
          <w:iCs/>
          <w:sz w:val="24"/>
          <w:highlight w:val="none"/>
        </w:rPr>
        <w:t>月</w:t>
      </w:r>
      <w:r>
        <w:rPr>
          <w:rFonts w:hint="eastAsia"/>
          <w:iCs/>
          <w:sz w:val="24"/>
          <w:highlight w:val="none"/>
          <w:lang w:val="en-US" w:eastAsia="zh-CN"/>
        </w:rPr>
        <w:t>15</w:t>
      </w:r>
      <w:r>
        <w:rPr>
          <w:rFonts w:hint="eastAsia"/>
          <w:iCs/>
          <w:sz w:val="24"/>
          <w:highlight w:val="none"/>
        </w:rPr>
        <w:t>日</w:t>
      </w:r>
    </w:p>
    <w:p w14:paraId="42AF3144">
      <w:pPr>
        <w:spacing w:line="360" w:lineRule="auto"/>
        <w:contextualSpacing/>
        <w:rPr>
          <w:rFonts w:hint="eastAsia"/>
          <w:iCs/>
          <w:sz w:val="24"/>
          <w:highlight w:val="none"/>
        </w:rPr>
      </w:pPr>
      <w:r>
        <w:rPr>
          <w:rFonts w:hint="eastAsia"/>
          <w:iCs/>
          <w:sz w:val="24"/>
          <w:highlight w:val="none"/>
        </w:rPr>
        <w:t>计划竣工日期：</w:t>
      </w:r>
      <w:r>
        <w:rPr>
          <w:rFonts w:ascii="宋体" w:hAnsi="宋体" w:eastAsia="宋体" w:cs="宋体"/>
          <w:sz w:val="24"/>
          <w:szCs w:val="24"/>
          <w:highlight w:val="none"/>
        </w:rPr>
        <w:t>2027 年 03 月 11 日</w:t>
      </w:r>
    </w:p>
    <w:p w14:paraId="432E7411">
      <w:pPr>
        <w:spacing w:line="360" w:lineRule="auto"/>
        <w:contextualSpacing/>
        <w:rPr>
          <w:rFonts w:hint="eastAsia" w:eastAsia="宋体"/>
          <w:iCs/>
          <w:sz w:val="24"/>
          <w:highlight w:val="none"/>
          <w:lang w:eastAsia="zh-CN"/>
        </w:rPr>
      </w:pPr>
      <w:r>
        <w:rPr>
          <w:rFonts w:hint="eastAsia"/>
          <w:iCs/>
          <w:sz w:val="24"/>
          <w:highlight w:val="none"/>
        </w:rPr>
        <w:t>其他：</w:t>
      </w:r>
      <w:r>
        <w:rPr>
          <w:rFonts w:hint="eastAsia"/>
          <w:iCs/>
          <w:sz w:val="24"/>
          <w:highlight w:val="none"/>
          <w:lang w:val="en-US" w:eastAsia="zh-CN"/>
        </w:rPr>
        <w:t>/</w:t>
      </w:r>
    </w:p>
    <w:p w14:paraId="25E46C85">
      <w:pPr>
        <w:spacing w:line="360" w:lineRule="auto"/>
        <w:contextualSpacing/>
        <w:rPr>
          <w:rFonts w:hint="eastAsia"/>
          <w:iCs/>
          <w:sz w:val="24"/>
          <w:highlight w:val="none"/>
        </w:rPr>
      </w:pPr>
      <w:r>
        <w:rPr>
          <w:rFonts w:hint="eastAsia"/>
          <w:iCs/>
          <w:sz w:val="24"/>
          <w:highlight w:val="none"/>
        </w:rPr>
        <w:t>建设地点：</w:t>
      </w:r>
      <w:r>
        <w:rPr>
          <w:rFonts w:hint="eastAsia" w:ascii="Times New Roman" w:hAnsi="Times New Roman"/>
          <w:sz w:val="24"/>
          <w:szCs w:val="24"/>
          <w:highlight w:val="none"/>
          <w:lang w:eastAsia="zh-CN"/>
        </w:rPr>
        <w:t>中国中医科学院望京医院</w:t>
      </w:r>
      <w:r>
        <w:rPr>
          <w:rFonts w:hint="eastAsia" w:ascii="Times New Roman" w:hAnsi="Times New Roman"/>
          <w:sz w:val="24"/>
          <w:szCs w:val="24"/>
          <w:highlight w:val="none"/>
          <w:lang w:val="en-US" w:eastAsia="zh-CN"/>
        </w:rPr>
        <w:t>院内</w:t>
      </w:r>
    </w:p>
    <w:p w14:paraId="6171E100">
      <w:pPr>
        <w:spacing w:line="360" w:lineRule="auto"/>
        <w:contextualSpacing/>
        <w:rPr>
          <w:rFonts w:eastAsiaTheme="minorEastAsia"/>
          <w:i/>
          <w:sz w:val="24"/>
          <w:highlight w:val="none"/>
        </w:rPr>
      </w:pPr>
    </w:p>
    <w:p w14:paraId="05D87F9C">
      <w:pPr>
        <w:spacing w:line="360" w:lineRule="auto"/>
        <w:contextualSpacing/>
        <w:rPr>
          <w:rFonts w:eastAsiaTheme="minorEastAsia"/>
          <w:sz w:val="24"/>
          <w:highlight w:val="none"/>
        </w:rPr>
      </w:pPr>
      <w:r>
        <w:rPr>
          <w:rFonts w:eastAsiaTheme="minorEastAsia"/>
          <w:sz w:val="24"/>
          <w:highlight w:val="none"/>
        </w:rPr>
        <w:t>2. 付款条件（进度和方式）</w:t>
      </w:r>
    </w:p>
    <w:p w14:paraId="4582EA57">
      <w:pPr>
        <w:spacing w:line="360" w:lineRule="auto"/>
        <w:ind w:firstLine="480" w:firstLineChars="200"/>
        <w:contextualSpacing/>
        <w:rPr>
          <w:rFonts w:hint="eastAsia"/>
          <w:bCs/>
          <w:sz w:val="24"/>
        </w:rPr>
      </w:pPr>
      <w:r>
        <w:rPr>
          <w:sz w:val="24"/>
          <w:szCs w:val="24"/>
          <w:lang w:val="zh-TW" w:eastAsia="zh-TW" w:bidi="zh-TW"/>
        </w:rPr>
        <w:t>合同签订后7日发包方支付承包方工程承包价款的30%</w:t>
      </w:r>
      <w:r>
        <w:rPr>
          <w:rFonts w:hint="eastAsia"/>
          <w:sz w:val="24"/>
          <w:szCs w:val="24"/>
          <w:lang w:val="zh-TW" w:eastAsia="zh-CN" w:bidi="zh-TW"/>
        </w:rPr>
        <w:t>，</w:t>
      </w:r>
      <w:r>
        <w:rPr>
          <w:sz w:val="24"/>
          <w:szCs w:val="24"/>
          <w:lang w:bidi="en-US"/>
        </w:rPr>
        <w:t>发包人或发包人委托单位应在收到承包人递交的竣工结算文件30天内审核完毕，并出具经发包方盖章签字的正式审核报告。竣工结算审核完成后14天内，支付至工程审核结算价的</w:t>
      </w:r>
      <w:r>
        <w:rPr>
          <w:sz w:val="24"/>
          <w:szCs w:val="24"/>
          <w:u w:val="single"/>
          <w:lang w:bidi="en-US"/>
        </w:rPr>
        <w:t>97%</w:t>
      </w:r>
      <w:r>
        <w:rPr>
          <w:sz w:val="24"/>
          <w:szCs w:val="24"/>
          <w:lang w:bidi="en-US"/>
        </w:rPr>
        <w:t>;</w:t>
      </w:r>
      <w:r>
        <w:rPr>
          <w:sz w:val="24"/>
          <w:szCs w:val="24"/>
          <w:lang w:val="zh-TW" w:eastAsia="zh-TW" w:bidi="zh-TW"/>
        </w:rPr>
        <w:t>保留</w:t>
      </w:r>
      <w:r>
        <w:rPr>
          <w:sz w:val="24"/>
          <w:szCs w:val="24"/>
          <w:u w:val="single"/>
          <w:lang w:bidi="zh-TW"/>
        </w:rPr>
        <w:t>3</w:t>
      </w:r>
      <w:r>
        <w:rPr>
          <w:sz w:val="24"/>
          <w:szCs w:val="24"/>
          <w:u w:val="single"/>
          <w:lang w:val="zh-TW" w:eastAsia="zh-TW" w:bidi="zh-TW"/>
        </w:rPr>
        <w:t>%</w:t>
      </w:r>
      <w:r>
        <w:rPr>
          <w:sz w:val="24"/>
          <w:szCs w:val="24"/>
          <w:lang w:val="zh-TW" w:eastAsia="zh-TW" w:bidi="zh-TW"/>
        </w:rPr>
        <w:t>的质保金。</w:t>
      </w:r>
    </w:p>
    <w:p w14:paraId="287D69A9">
      <w:pPr>
        <w:spacing w:line="360" w:lineRule="auto"/>
        <w:contextualSpacing/>
        <w:rPr>
          <w:rFonts w:eastAsiaTheme="minorEastAsia"/>
          <w:bCs/>
          <w:sz w:val="24"/>
        </w:rPr>
      </w:pPr>
    </w:p>
    <w:p w14:paraId="049B95C1">
      <w:pPr>
        <w:spacing w:line="360" w:lineRule="auto"/>
        <w:contextualSpacing/>
        <w:rPr>
          <w:rFonts w:eastAsiaTheme="minorEastAsia"/>
          <w:sz w:val="24"/>
        </w:rPr>
      </w:pPr>
      <w:r>
        <w:rPr>
          <w:rFonts w:eastAsiaTheme="minorEastAsia"/>
          <w:sz w:val="24"/>
        </w:rPr>
        <w:t>3. 包装和运输（如适用，须满足《关于印发&lt;商品包装政府采购需求标准（试行）&gt;、&lt;快递包装政府采购需求标准（试行）&gt;的通知》（财办库﹝2020﹞123号））</w:t>
      </w:r>
    </w:p>
    <w:p w14:paraId="0E92BBB8">
      <w:pPr>
        <w:spacing w:line="360" w:lineRule="auto"/>
        <w:contextualSpacing/>
        <w:rPr>
          <w:rFonts w:hint="eastAsia"/>
          <w:iCs/>
          <w:sz w:val="24"/>
        </w:rPr>
      </w:pPr>
      <w:r>
        <w:rPr>
          <w:rFonts w:hint="eastAsia"/>
          <w:iCs/>
          <w:sz w:val="24"/>
        </w:rPr>
        <w:t>本项目不适用</w:t>
      </w:r>
    </w:p>
    <w:p w14:paraId="182321CE">
      <w:pPr>
        <w:spacing w:line="360" w:lineRule="auto"/>
        <w:contextualSpacing/>
        <w:rPr>
          <w:rFonts w:eastAsiaTheme="minorEastAsia"/>
          <w:sz w:val="24"/>
        </w:rPr>
      </w:pPr>
    </w:p>
    <w:p w14:paraId="2BBEB41D">
      <w:pPr>
        <w:spacing w:line="360" w:lineRule="auto"/>
        <w:contextualSpacing/>
        <w:rPr>
          <w:rFonts w:eastAsiaTheme="minorEastAsia"/>
          <w:sz w:val="24"/>
        </w:rPr>
      </w:pPr>
      <w:r>
        <w:rPr>
          <w:rFonts w:hint="eastAsia" w:eastAsiaTheme="minorEastAsia"/>
          <w:sz w:val="24"/>
          <w:lang w:val="en-US" w:eastAsia="zh-CN"/>
        </w:rPr>
        <w:t>4</w:t>
      </w:r>
      <w:r>
        <w:rPr>
          <w:rFonts w:eastAsiaTheme="minorEastAsia"/>
          <w:sz w:val="24"/>
        </w:rPr>
        <w:t>. 保险</w:t>
      </w:r>
    </w:p>
    <w:p w14:paraId="7C737A34">
      <w:pPr>
        <w:spacing w:line="360" w:lineRule="auto"/>
        <w:contextualSpacing/>
        <w:rPr>
          <w:rFonts w:eastAsiaTheme="minorEastAsia"/>
          <w:b/>
          <w:i/>
          <w:sz w:val="24"/>
        </w:rPr>
      </w:pPr>
      <w:r>
        <w:rPr>
          <w:sz w:val="24"/>
        </w:rPr>
        <w:t>需执行的国家相关标准、行业标准、地方标准或者其他标准、规范</w:t>
      </w:r>
      <w:r>
        <w:rPr>
          <w:rFonts w:hint="eastAsia"/>
          <w:sz w:val="24"/>
        </w:rPr>
        <w:t>，包括但不限于农民工工伤保险等。</w:t>
      </w:r>
    </w:p>
    <w:p w14:paraId="0A908672">
      <w:pPr>
        <w:spacing w:line="360" w:lineRule="auto"/>
        <w:contextualSpacing/>
        <w:rPr>
          <w:rFonts w:eastAsiaTheme="minorEastAsia"/>
          <w:b/>
          <w:i/>
          <w:sz w:val="24"/>
        </w:rPr>
      </w:pPr>
    </w:p>
    <w:p w14:paraId="4880DDA0">
      <w:pPr>
        <w:pStyle w:val="7"/>
        <w:numPr>
          <w:ilvl w:val="0"/>
          <w:numId w:val="1"/>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技术要求</w:t>
      </w:r>
    </w:p>
    <w:p w14:paraId="121D6822">
      <w:pPr>
        <w:spacing w:line="360" w:lineRule="auto"/>
        <w:contextualSpacing/>
        <w:rPr>
          <w:rFonts w:eastAsiaTheme="minorEastAsia"/>
          <w:sz w:val="24"/>
        </w:rPr>
      </w:pPr>
      <w:r>
        <w:rPr>
          <w:rFonts w:hint="eastAsia" w:eastAsiaTheme="minorEastAsia"/>
          <w:sz w:val="24"/>
          <w:lang w:val="en-US" w:eastAsia="zh-CN"/>
        </w:rPr>
        <w:t>1</w:t>
      </w:r>
      <w:r>
        <w:rPr>
          <w:rFonts w:eastAsiaTheme="minorEastAsia"/>
          <w:sz w:val="24"/>
        </w:rPr>
        <w:t xml:space="preserve"> </w:t>
      </w:r>
      <w:r>
        <w:rPr>
          <w:rFonts w:hint="eastAsia" w:eastAsiaTheme="minorEastAsia"/>
          <w:sz w:val="24"/>
          <w:lang w:val="en-US" w:eastAsia="zh-CN"/>
        </w:rPr>
        <w:t>工程范围</w:t>
      </w:r>
      <w:r>
        <w:rPr>
          <w:rFonts w:eastAsiaTheme="minorEastAsia"/>
          <w:sz w:val="24"/>
        </w:rPr>
        <w:t>及要求</w:t>
      </w:r>
    </w:p>
    <w:p w14:paraId="7B58FBA0">
      <w:pPr>
        <w:widowControl/>
        <w:spacing w:line="360" w:lineRule="auto"/>
        <w:ind w:firstLine="480" w:firstLineChars="200"/>
        <w:jc w:val="left"/>
        <w:rPr>
          <w:rFonts w:hint="eastAsia" w:ascii="宋体" w:hAnsi="宋体" w:cs="宋体"/>
          <w:sz w:val="24"/>
        </w:rPr>
      </w:pPr>
      <w:r>
        <w:rPr>
          <w:rFonts w:hint="eastAsia" w:ascii="宋体" w:hAnsi="宋体" w:cs="宋体"/>
          <w:sz w:val="24"/>
          <w:lang w:eastAsia="zh-CN"/>
        </w:rPr>
        <w:t>1.</w:t>
      </w:r>
      <w:r>
        <w:rPr>
          <w:rFonts w:hint="eastAsia" w:ascii="宋体" w:hAnsi="宋体" w:cs="宋体"/>
          <w:sz w:val="24"/>
        </w:rPr>
        <w:t>1</w:t>
      </w:r>
      <w:r>
        <w:rPr>
          <w:rFonts w:hint="eastAsia" w:ascii="宋体" w:hAnsi="宋体" w:cs="宋体"/>
          <w:sz w:val="24"/>
          <w:lang w:val="en-US" w:eastAsia="zh-CN"/>
        </w:rPr>
        <w:t xml:space="preserve"> </w:t>
      </w:r>
      <w:r>
        <w:rPr>
          <w:rFonts w:hint="eastAsia" w:ascii="宋体" w:hAnsi="宋体" w:cs="宋体"/>
          <w:sz w:val="24"/>
        </w:rPr>
        <w:t>工程招标范围：本项目拟建建筑檐高6.6米，包括房屋拆除工程，钢结构框架，建筑及装修工程，强弱电工程，给排水工程，采暖通风工程，消防工程等完成项目所需全部工作内容，具体范围详见招标技术纲要。</w:t>
      </w:r>
    </w:p>
    <w:p w14:paraId="1084164F">
      <w:pPr>
        <w:tabs>
          <w:tab w:val="left" w:pos="1995"/>
        </w:tabs>
        <w:spacing w:line="360" w:lineRule="auto"/>
        <w:ind w:firstLine="480" w:firstLineChars="200"/>
        <w:rPr>
          <w:rFonts w:hint="eastAsia" w:ascii="宋体" w:hAnsi="宋体" w:cs="宋体"/>
          <w:sz w:val="24"/>
        </w:rPr>
      </w:pPr>
      <w:r>
        <w:rPr>
          <w:rFonts w:hint="eastAsia" w:ascii="宋体" w:hAnsi="宋体" w:cs="宋体"/>
          <w:sz w:val="24"/>
          <w:lang w:eastAsia="zh-CN"/>
        </w:rPr>
        <w:t>1.</w:t>
      </w:r>
      <w:r>
        <w:rPr>
          <w:rFonts w:hint="eastAsia" w:ascii="宋体" w:hAnsi="宋体" w:cs="宋体"/>
          <w:sz w:val="24"/>
        </w:rPr>
        <w:t>2</w:t>
      </w:r>
      <w:r>
        <w:rPr>
          <w:rFonts w:hint="eastAsia" w:ascii="宋体" w:hAnsi="宋体" w:cs="宋体"/>
          <w:sz w:val="24"/>
          <w:lang w:val="en-US" w:eastAsia="zh-CN"/>
        </w:rPr>
        <w:t xml:space="preserve"> </w:t>
      </w:r>
      <w:r>
        <w:rPr>
          <w:rFonts w:hint="eastAsia" w:ascii="宋体" w:hAnsi="宋体" w:cs="宋体"/>
          <w:sz w:val="24"/>
        </w:rPr>
        <w:t>工程量清单编制依据</w:t>
      </w:r>
    </w:p>
    <w:p w14:paraId="6F108188">
      <w:pPr>
        <w:numPr>
          <w:ilvl w:val="0"/>
          <w:numId w:val="0"/>
        </w:numPr>
        <w:spacing w:line="360" w:lineRule="auto"/>
        <w:ind w:left="420" w:leftChars="200" w:firstLine="420" w:firstLineChars="175"/>
        <w:contextualSpacing/>
        <w:rPr>
          <w:rFonts w:hint="eastAsia"/>
          <w:sz w:val="24"/>
          <w:szCs w:val="24"/>
          <w:lang w:val="en-US" w:eastAsia="zh-CN"/>
        </w:rPr>
      </w:pPr>
      <w:r>
        <w:rPr>
          <w:rFonts w:hint="eastAsia" w:ascii="宋体" w:hAnsi="宋体" w:cs="宋体"/>
          <w:sz w:val="24"/>
          <w:lang w:eastAsia="zh-CN"/>
        </w:rPr>
        <w:t>1.2</w:t>
      </w:r>
      <w:r>
        <w:rPr>
          <w:rFonts w:hint="eastAsia" w:ascii="宋体" w:hAnsi="宋体" w:cs="宋体"/>
          <w:sz w:val="24"/>
          <w:lang w:val="en-US" w:eastAsia="zh-CN"/>
        </w:rPr>
        <w:t>.1</w:t>
      </w:r>
      <w:r>
        <w:rPr>
          <w:rFonts w:hint="eastAsia"/>
          <w:sz w:val="24"/>
          <w:szCs w:val="24"/>
          <w:lang w:val="en-US" w:eastAsia="zh-CN"/>
        </w:rPr>
        <w:t xml:space="preserve"> 《建设工程工程量清单计价规范（GB50500-2024)》、《房屋建筑与装饰工程工程量计算标准（GB/T50854-2024）》、《仿古建筑工程工程量计算标准（GB/T50855-2024）》、《通用安装工程工程量计算标准（GB/T50856-2024）》、《市政工程工程量计算标准（GB/T50857-2024）》、《园林绿化工程工程量计算标准（GB/T50858-2024）》、《构筑物工程工程量计算标准（GB/T50860-2024）》、《房屋修缮工程工程量清单计价规范（DB11/T 638-2023北京）》；</w:t>
      </w:r>
    </w:p>
    <w:p w14:paraId="16D229E4">
      <w:pPr>
        <w:numPr>
          <w:ilvl w:val="0"/>
          <w:numId w:val="0"/>
        </w:numPr>
        <w:spacing w:line="360" w:lineRule="auto"/>
        <w:ind w:left="420" w:leftChars="200" w:firstLine="420" w:firstLineChars="175"/>
        <w:contextualSpacing/>
        <w:rPr>
          <w:rFonts w:hint="eastAsia"/>
          <w:sz w:val="24"/>
          <w:szCs w:val="24"/>
          <w:lang w:val="en-US" w:eastAsia="zh-CN"/>
        </w:rPr>
      </w:pPr>
      <w:r>
        <w:rPr>
          <w:rFonts w:hint="eastAsia" w:ascii="宋体" w:hAnsi="宋体" w:cs="宋体"/>
          <w:sz w:val="24"/>
          <w:lang w:eastAsia="zh-CN"/>
        </w:rPr>
        <w:t>1.2</w:t>
      </w:r>
      <w:r>
        <w:rPr>
          <w:rFonts w:hint="eastAsia" w:ascii="宋体" w:hAnsi="宋体" w:cs="宋体"/>
          <w:sz w:val="24"/>
          <w:lang w:val="en-US" w:eastAsia="zh-CN"/>
        </w:rPr>
        <w:t>.2</w:t>
      </w:r>
      <w:r>
        <w:rPr>
          <w:rFonts w:hint="eastAsia"/>
          <w:sz w:val="24"/>
          <w:szCs w:val="24"/>
          <w:lang w:val="en-US" w:eastAsia="zh-CN"/>
        </w:rPr>
        <w:t xml:space="preserve"> 2021年《北京市房屋修缮工程计价依据——预算消耗量标准》及动态调整文件；</w:t>
      </w:r>
    </w:p>
    <w:p w14:paraId="6D0743A0">
      <w:pPr>
        <w:numPr>
          <w:ilvl w:val="0"/>
          <w:numId w:val="0"/>
        </w:numPr>
        <w:spacing w:line="360" w:lineRule="auto"/>
        <w:ind w:left="420" w:leftChars="200" w:firstLine="420" w:firstLineChars="175"/>
        <w:contextualSpacing/>
        <w:rPr>
          <w:rFonts w:hint="eastAsia"/>
          <w:sz w:val="24"/>
          <w:szCs w:val="24"/>
          <w:lang w:val="en-US" w:eastAsia="zh-CN"/>
        </w:rPr>
      </w:pPr>
      <w:r>
        <w:rPr>
          <w:rFonts w:hint="eastAsia" w:ascii="宋体" w:hAnsi="宋体" w:cs="宋体"/>
          <w:sz w:val="24"/>
          <w:lang w:eastAsia="zh-CN"/>
        </w:rPr>
        <w:t>1.2</w:t>
      </w:r>
      <w:r>
        <w:rPr>
          <w:rFonts w:hint="eastAsia" w:ascii="宋体" w:hAnsi="宋体" w:cs="宋体"/>
          <w:sz w:val="24"/>
          <w:lang w:val="en-US" w:eastAsia="zh-CN"/>
        </w:rPr>
        <w:t>.3</w:t>
      </w:r>
      <w:r>
        <w:rPr>
          <w:rFonts w:hint="eastAsia"/>
          <w:sz w:val="24"/>
          <w:szCs w:val="24"/>
          <w:lang w:val="en-US" w:eastAsia="zh-CN"/>
        </w:rPr>
        <w:t xml:space="preserve"> 北京市《建设工程施工消耗量标准》（DB11/T2382-2024)及动态调整文件；</w:t>
      </w:r>
    </w:p>
    <w:p w14:paraId="52E0D109">
      <w:pPr>
        <w:numPr>
          <w:ilvl w:val="0"/>
          <w:numId w:val="0"/>
        </w:numPr>
        <w:spacing w:line="360" w:lineRule="auto"/>
        <w:ind w:left="420" w:leftChars="200" w:firstLine="420" w:firstLineChars="175"/>
        <w:contextualSpacing/>
        <w:rPr>
          <w:rFonts w:hint="eastAsia"/>
          <w:sz w:val="24"/>
          <w:szCs w:val="24"/>
          <w:lang w:val="en-US" w:eastAsia="zh-CN"/>
        </w:rPr>
      </w:pPr>
      <w:r>
        <w:rPr>
          <w:rFonts w:hint="eastAsia" w:ascii="宋体" w:hAnsi="宋体" w:cs="宋体"/>
          <w:sz w:val="24"/>
          <w:lang w:eastAsia="zh-CN"/>
        </w:rPr>
        <w:t>1.2</w:t>
      </w:r>
      <w:r>
        <w:rPr>
          <w:rFonts w:hint="eastAsia" w:ascii="宋体" w:hAnsi="宋体" w:cs="宋体"/>
          <w:sz w:val="24"/>
          <w:lang w:val="en-US" w:eastAsia="zh-CN"/>
        </w:rPr>
        <w:t>.4</w:t>
      </w:r>
      <w:r>
        <w:rPr>
          <w:rFonts w:hint="eastAsia"/>
          <w:sz w:val="24"/>
          <w:szCs w:val="24"/>
          <w:lang w:val="en-US" w:eastAsia="zh-CN"/>
        </w:rPr>
        <w:t xml:space="preserve"> 委托方提供的施工图纸及拟改造工程量确认单</w:t>
      </w:r>
    </w:p>
    <w:p w14:paraId="5463F032">
      <w:pPr>
        <w:numPr>
          <w:ilvl w:val="0"/>
          <w:numId w:val="0"/>
        </w:numPr>
        <w:spacing w:line="360" w:lineRule="auto"/>
        <w:ind w:left="420" w:leftChars="200" w:firstLine="420" w:firstLineChars="175"/>
        <w:contextualSpacing/>
        <w:rPr>
          <w:rFonts w:hint="eastAsia"/>
          <w:sz w:val="24"/>
          <w:szCs w:val="24"/>
          <w:lang w:val="en-US" w:eastAsia="zh-CN"/>
        </w:rPr>
      </w:pPr>
      <w:r>
        <w:rPr>
          <w:rFonts w:hint="eastAsia" w:ascii="宋体" w:hAnsi="宋体" w:cs="宋体"/>
          <w:sz w:val="24"/>
          <w:lang w:eastAsia="zh-CN"/>
        </w:rPr>
        <w:t>1.</w:t>
      </w:r>
      <w:r>
        <w:rPr>
          <w:rFonts w:hint="eastAsia" w:ascii="宋体" w:hAnsi="宋体" w:cs="宋体"/>
          <w:sz w:val="24"/>
        </w:rPr>
        <w:t>2</w:t>
      </w:r>
      <w:r>
        <w:rPr>
          <w:rFonts w:hint="eastAsia" w:ascii="宋体" w:hAnsi="宋体" w:cs="宋体"/>
          <w:sz w:val="24"/>
          <w:lang w:val="en-US" w:eastAsia="zh-CN"/>
        </w:rPr>
        <w:t>.5</w:t>
      </w:r>
      <w:r>
        <w:rPr>
          <w:rFonts w:hint="eastAsia"/>
          <w:sz w:val="24"/>
          <w:szCs w:val="24"/>
          <w:lang w:val="en-US" w:eastAsia="zh-CN"/>
        </w:rPr>
        <w:t xml:space="preserve"> 人材机价格参照2026年02月《北京建设工程造价信息》及市场行情，有价格区间的按中间价考虑；</w:t>
      </w:r>
    </w:p>
    <w:p w14:paraId="156C891E">
      <w:pPr>
        <w:numPr>
          <w:ilvl w:val="0"/>
          <w:numId w:val="0"/>
        </w:numPr>
        <w:spacing w:line="360" w:lineRule="auto"/>
        <w:ind w:left="420" w:leftChars="200" w:firstLine="420" w:firstLineChars="175"/>
        <w:contextualSpacing/>
        <w:rPr>
          <w:rFonts w:hint="eastAsia"/>
          <w:sz w:val="24"/>
          <w:szCs w:val="24"/>
          <w:lang w:val="en-US" w:eastAsia="zh-CN"/>
        </w:rPr>
      </w:pPr>
      <w:r>
        <w:rPr>
          <w:rFonts w:hint="eastAsia" w:ascii="宋体" w:hAnsi="宋体" w:cs="宋体"/>
          <w:sz w:val="24"/>
          <w:lang w:eastAsia="zh-CN"/>
        </w:rPr>
        <w:t>1.2</w:t>
      </w:r>
      <w:r>
        <w:rPr>
          <w:rFonts w:hint="eastAsia" w:ascii="宋体" w:hAnsi="宋体" w:cs="宋体"/>
          <w:sz w:val="24"/>
          <w:lang w:val="en-US" w:eastAsia="zh-CN"/>
        </w:rPr>
        <w:t>.6</w:t>
      </w:r>
      <w:r>
        <w:rPr>
          <w:rFonts w:hint="eastAsia"/>
          <w:sz w:val="24"/>
          <w:szCs w:val="24"/>
          <w:lang w:val="en-US" w:eastAsia="zh-CN"/>
        </w:rPr>
        <w:t xml:space="preserve"> 企业管理费、利润及其他总价总价措施费等费用选取编制期相应费用的中等水平；</w:t>
      </w:r>
    </w:p>
    <w:p w14:paraId="6AE238CD">
      <w:pPr>
        <w:numPr>
          <w:ilvl w:val="0"/>
          <w:numId w:val="0"/>
        </w:numPr>
        <w:spacing w:line="360" w:lineRule="auto"/>
        <w:ind w:left="420" w:leftChars="200" w:firstLine="420" w:firstLineChars="175"/>
        <w:contextualSpacing/>
        <w:rPr>
          <w:rFonts w:hint="eastAsia"/>
          <w:sz w:val="24"/>
          <w:szCs w:val="24"/>
          <w:lang w:val="en-US" w:eastAsia="zh-CN"/>
        </w:rPr>
      </w:pPr>
      <w:r>
        <w:rPr>
          <w:rFonts w:hint="eastAsia" w:ascii="宋体" w:hAnsi="宋体" w:cs="宋体"/>
          <w:sz w:val="24"/>
          <w:lang w:eastAsia="zh-CN"/>
        </w:rPr>
        <w:t>1.2</w:t>
      </w:r>
      <w:r>
        <w:rPr>
          <w:rFonts w:hint="eastAsia" w:ascii="宋体" w:hAnsi="宋体" w:cs="宋体"/>
          <w:sz w:val="24"/>
          <w:lang w:val="en-US" w:eastAsia="zh-CN"/>
        </w:rPr>
        <w:t>.7</w:t>
      </w:r>
      <w:r>
        <w:rPr>
          <w:rFonts w:hint="eastAsia"/>
          <w:sz w:val="24"/>
          <w:szCs w:val="24"/>
          <w:lang w:val="en-US" w:eastAsia="zh-CN"/>
        </w:rPr>
        <w:t xml:space="preserve"> 常态化疫情防控措施费按京建发〔2022〕190号《北京市住房和城乡建设委员会关于明确安全文明施工费中常态化疫情防控措施费用标准的通知》中的相关规定计取。</w:t>
      </w:r>
    </w:p>
    <w:p w14:paraId="0E4AE78C">
      <w:pPr>
        <w:numPr>
          <w:ilvl w:val="0"/>
          <w:numId w:val="0"/>
        </w:numPr>
        <w:spacing w:line="360" w:lineRule="auto"/>
        <w:ind w:leftChars="375"/>
        <w:contextualSpacing/>
        <w:rPr>
          <w:rFonts w:hint="eastAsia"/>
          <w:sz w:val="24"/>
          <w:szCs w:val="24"/>
          <w:lang w:val="en-US" w:eastAsia="zh-CN"/>
        </w:rPr>
      </w:pPr>
      <w:r>
        <w:rPr>
          <w:rFonts w:hint="eastAsia" w:ascii="宋体" w:hAnsi="宋体" w:cs="宋体"/>
          <w:sz w:val="24"/>
          <w:lang w:eastAsia="zh-CN"/>
        </w:rPr>
        <w:t>1.2</w:t>
      </w:r>
      <w:r>
        <w:rPr>
          <w:rFonts w:hint="eastAsia" w:ascii="宋体" w:hAnsi="宋体" w:cs="宋体"/>
          <w:sz w:val="24"/>
          <w:lang w:val="en-US" w:eastAsia="zh-CN"/>
        </w:rPr>
        <w:t xml:space="preserve">.8 </w:t>
      </w:r>
      <w:r>
        <w:rPr>
          <w:rFonts w:hint="eastAsia"/>
          <w:sz w:val="24"/>
          <w:szCs w:val="24"/>
          <w:lang w:val="en-US" w:eastAsia="zh-CN"/>
        </w:rPr>
        <w:t>规费按当期发布的水平计入。</w:t>
      </w:r>
    </w:p>
    <w:p w14:paraId="3984644D">
      <w:pPr>
        <w:numPr>
          <w:ilvl w:val="0"/>
          <w:numId w:val="0"/>
        </w:numPr>
        <w:spacing w:line="360" w:lineRule="auto"/>
        <w:ind w:firstLine="240" w:firstLineChars="100"/>
        <w:contextualSpacing/>
        <w:rPr>
          <w:rFonts w:hint="eastAsia"/>
          <w:sz w:val="24"/>
        </w:rPr>
      </w:pPr>
      <w:r>
        <w:rPr>
          <w:rFonts w:hint="eastAsia"/>
          <w:sz w:val="24"/>
          <w:szCs w:val="24"/>
          <w:lang w:val="en-US" w:eastAsia="zh-CN"/>
        </w:rPr>
        <w:t>2.</w:t>
      </w:r>
      <w:r>
        <w:rPr>
          <w:rFonts w:ascii="Times New Roman" w:hAnsi="Times New Roman"/>
          <w:sz w:val="24"/>
          <w:szCs w:val="24"/>
        </w:rPr>
        <w:t>质量标准</w:t>
      </w:r>
    </w:p>
    <w:p w14:paraId="191C30DE">
      <w:pPr>
        <w:pStyle w:val="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 xml:space="preserve">2.1 </w:t>
      </w:r>
      <w:r>
        <w:rPr>
          <w:rFonts w:ascii="Times New Roman" w:hAnsi="Times New Roman"/>
          <w:sz w:val="24"/>
          <w:szCs w:val="24"/>
        </w:rPr>
        <w:t>本工程要求的质量标准为：合格，符合现行国家有关工程施工验收规范和标准的要求。</w:t>
      </w:r>
    </w:p>
    <w:p w14:paraId="70E517B2">
      <w:pPr>
        <w:spacing w:line="360" w:lineRule="auto"/>
        <w:ind w:firstLine="240" w:firstLineChars="100"/>
        <w:rPr>
          <w:rFonts w:hint="eastAsia" w:ascii="宋体" w:hAnsi="宋体"/>
          <w:sz w:val="24"/>
        </w:rPr>
      </w:pPr>
      <w:r>
        <w:rPr>
          <w:rFonts w:hint="eastAsia" w:ascii="宋体" w:hAnsi="宋体"/>
          <w:sz w:val="24"/>
          <w:lang w:val="en-US" w:eastAsia="zh-CN"/>
        </w:rPr>
        <w:t xml:space="preserve">2.2 </w:t>
      </w:r>
      <w:r>
        <w:rPr>
          <w:rFonts w:hint="eastAsia" w:ascii="宋体" w:hAnsi="宋体"/>
          <w:sz w:val="24"/>
        </w:rPr>
        <w:t>本工程安全生产标准化管理目标等级按“达标”考虑</w:t>
      </w:r>
    </w:p>
    <w:p w14:paraId="5A2925A1">
      <w:pPr>
        <w:widowControl/>
        <w:spacing w:line="360" w:lineRule="auto"/>
        <w:ind w:firstLine="240" w:firstLineChars="100"/>
        <w:contextualSpacing/>
        <w:rPr>
          <w:rFonts w:hint="eastAsia"/>
          <w:bCs/>
          <w:sz w:val="24"/>
        </w:rPr>
      </w:pPr>
      <w:r>
        <w:rPr>
          <w:rFonts w:hint="eastAsia" w:ascii="宋体" w:hAnsi="宋体"/>
          <w:sz w:val="24"/>
          <w:lang w:val="en-US" w:eastAsia="zh-CN"/>
        </w:rPr>
        <w:t xml:space="preserve">2.3 </w:t>
      </w:r>
      <w:r>
        <w:rPr>
          <w:rFonts w:hint="eastAsia"/>
          <w:bCs/>
          <w:sz w:val="24"/>
        </w:rPr>
        <w:t>购买材料需满足以下条件：1.产品出厂合格证</w:t>
      </w:r>
      <w:r>
        <w:rPr>
          <w:rFonts w:hint="eastAsia"/>
          <w:bCs/>
          <w:sz w:val="24"/>
          <w:lang w:eastAsia="zh-CN"/>
        </w:rPr>
        <w:t>；</w:t>
      </w:r>
      <w:r>
        <w:rPr>
          <w:rFonts w:hint="eastAsia"/>
          <w:bCs/>
          <w:sz w:val="24"/>
        </w:rPr>
        <w:t>2.质量保证书</w:t>
      </w:r>
      <w:r>
        <w:rPr>
          <w:rFonts w:hint="eastAsia"/>
          <w:bCs/>
          <w:sz w:val="24"/>
          <w:lang w:eastAsia="zh-CN"/>
        </w:rPr>
        <w:t>；</w:t>
      </w:r>
      <w:r>
        <w:rPr>
          <w:rFonts w:hint="eastAsia"/>
          <w:bCs/>
          <w:sz w:val="24"/>
        </w:rPr>
        <w:t>3.出厂检测报告</w:t>
      </w:r>
      <w:r>
        <w:rPr>
          <w:rFonts w:hint="eastAsia"/>
          <w:bCs/>
          <w:sz w:val="24"/>
          <w:lang w:eastAsia="zh-CN"/>
        </w:rPr>
        <w:t>；</w:t>
      </w:r>
      <w:r>
        <w:rPr>
          <w:rFonts w:hint="eastAsia"/>
          <w:bCs/>
          <w:sz w:val="24"/>
        </w:rPr>
        <w:t>4.复检报告</w:t>
      </w:r>
      <w:r>
        <w:rPr>
          <w:rFonts w:hint="eastAsia"/>
          <w:bCs/>
          <w:sz w:val="24"/>
          <w:lang w:eastAsia="zh-CN"/>
        </w:rPr>
        <w:t>；</w:t>
      </w:r>
      <w:r>
        <w:rPr>
          <w:rFonts w:hint="eastAsia"/>
          <w:bCs/>
          <w:sz w:val="24"/>
        </w:rPr>
        <w:t>5.材料到场后，需有发包人现场对比和验收，对于不合格的及不满足条件的材料进行无条件退回。</w:t>
      </w:r>
    </w:p>
    <w:p w14:paraId="764DC2BF">
      <w:pPr>
        <w:widowControl/>
        <w:spacing w:line="360" w:lineRule="auto"/>
        <w:ind w:firstLine="240" w:firstLineChars="100"/>
        <w:contextualSpacing/>
        <w:rPr>
          <w:rFonts w:hint="eastAsia"/>
          <w:bCs/>
          <w:sz w:val="24"/>
        </w:rPr>
      </w:pPr>
    </w:p>
    <w:p w14:paraId="62656561">
      <w:pPr>
        <w:pStyle w:val="8"/>
        <w:numPr>
          <w:ilvl w:val="0"/>
          <w:numId w:val="3"/>
        </w:num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适用规范和标准</w:t>
      </w:r>
    </w:p>
    <w:p w14:paraId="2933644A">
      <w:pPr>
        <w:pStyle w:val="3"/>
        <w:spacing w:line="360" w:lineRule="auto"/>
        <w:rPr>
          <w:rFonts w:hint="eastAsia" w:ascii="Times New Roman" w:hAnsi="Times New Roman" w:eastAsia="宋体"/>
          <w:sz w:val="24"/>
          <w:szCs w:val="24"/>
          <w:lang w:eastAsia="zh-CN"/>
        </w:rPr>
      </w:pPr>
      <w:r>
        <w:rPr>
          <w:rFonts w:ascii="Times New Roman" w:hAnsi="Times New Roman"/>
          <w:sz w:val="24"/>
          <w:szCs w:val="24"/>
        </w:rPr>
        <w:t>包括但不限于以下规范及图集</w:t>
      </w:r>
      <w:r>
        <w:rPr>
          <w:rFonts w:hint="eastAsia" w:ascii="Times New Roman" w:hAnsi="Times New Roman"/>
          <w:sz w:val="24"/>
          <w:szCs w:val="24"/>
          <w:lang w:eastAsia="zh-CN"/>
        </w:rPr>
        <w:t>：</w:t>
      </w:r>
    </w:p>
    <w:p w14:paraId="50B17A75">
      <w:pPr>
        <w:pStyle w:val="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1</w:t>
      </w:r>
      <w:r>
        <w:rPr>
          <w:rFonts w:hint="eastAsia" w:ascii="Times New Roman" w:hAnsi="Times New Roman"/>
          <w:sz w:val="24"/>
          <w:szCs w:val="24"/>
          <w:lang w:val="en-US" w:eastAsia="zh-CN"/>
        </w:rPr>
        <w:t xml:space="preserve"> </w:t>
      </w:r>
      <w:r>
        <w:rPr>
          <w:rFonts w:ascii="Times New Roman" w:hAnsi="Times New Roman"/>
          <w:sz w:val="24"/>
          <w:szCs w:val="24"/>
        </w:rPr>
        <w:t>适用的规范、标准和规程</w:t>
      </w:r>
    </w:p>
    <w:p w14:paraId="0F6BD538">
      <w:pPr>
        <w:pStyle w:val="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2</w:t>
      </w:r>
      <w:r>
        <w:rPr>
          <w:rFonts w:hint="eastAsia" w:ascii="Times New Roman" w:hAnsi="Times New Roman"/>
          <w:sz w:val="24"/>
          <w:szCs w:val="24"/>
          <w:lang w:val="en-US" w:eastAsia="zh-CN"/>
        </w:rPr>
        <w:t xml:space="preserve"> </w:t>
      </w:r>
      <w:r>
        <w:rPr>
          <w:rFonts w:ascii="Times New Roman" w:hAnsi="Times New Roman"/>
          <w:sz w:val="24"/>
          <w:szCs w:val="24"/>
        </w:rPr>
        <w:t>除合同另有约定外，本工程适用现行国家、行业和地方规范、标准和规程，按最新规范为准。构成合同文件的任何内容与适用的规范、标准和规程之间出现矛盾，承包人应书面要求监理人予以澄清，除监理人有特别指示外，承包人应按照其中要求最严格的标准执行。</w:t>
      </w:r>
    </w:p>
    <w:p w14:paraId="34AA7A95">
      <w:pPr>
        <w:pStyle w:val="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3</w:t>
      </w:r>
      <w:r>
        <w:rPr>
          <w:rFonts w:hint="eastAsia" w:ascii="Times New Roman" w:hAnsi="Times New Roman"/>
          <w:sz w:val="24"/>
          <w:szCs w:val="24"/>
          <w:lang w:val="en-US" w:eastAsia="zh-CN"/>
        </w:rPr>
        <w:t xml:space="preserve"> </w:t>
      </w:r>
      <w:r>
        <w:rPr>
          <w:rFonts w:ascii="Times New Roman" w:hAnsi="Times New Roman"/>
          <w:sz w:val="24"/>
          <w:szCs w:val="24"/>
        </w:rPr>
        <w:t>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14:paraId="22C1D340">
      <w:pPr>
        <w:pStyle w:val="3"/>
        <w:spacing w:line="360" w:lineRule="auto"/>
        <w:ind w:firstLine="240" w:firstLineChars="100"/>
        <w:rPr>
          <w:rFonts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4</w:t>
      </w:r>
      <w:r>
        <w:rPr>
          <w:rFonts w:hint="eastAsia" w:ascii="Times New Roman" w:hAnsi="Times New Roman"/>
          <w:sz w:val="24"/>
          <w:szCs w:val="24"/>
          <w:lang w:val="en-US" w:eastAsia="zh-CN"/>
        </w:rPr>
        <w:t xml:space="preserve"> </w:t>
      </w:r>
      <w:r>
        <w:rPr>
          <w:rFonts w:ascii="Times New Roman" w:hAnsi="Times New Roman"/>
          <w:sz w:val="24"/>
          <w:szCs w:val="24"/>
        </w:rPr>
        <w:t>国内目前可以直接引用其索引号的主要施工验收规范</w:t>
      </w:r>
    </w:p>
    <w:p w14:paraId="16C4621C">
      <w:pPr>
        <w:pStyle w:val="8"/>
        <w:ind w:firstLine="0" w:firstLineChars="0"/>
        <w:rPr>
          <w:rFonts w:hint="eastAsia" w:ascii="宋体" w:hAnsi="宋体" w:eastAsia="宋体" w:cs="宋体"/>
          <w:sz w:val="24"/>
          <w:szCs w:val="24"/>
        </w:rPr>
      </w:pPr>
    </w:p>
    <w:p w14:paraId="6C82531F">
      <w:pPr>
        <w:pStyle w:val="8"/>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.相关责任与要求</w:t>
      </w:r>
    </w:p>
    <w:p w14:paraId="52067BC8">
      <w:pPr>
        <w:pStyle w:val="8"/>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相关责任</w:t>
      </w:r>
    </w:p>
    <w:p w14:paraId="6B8AB671">
      <w:pPr>
        <w:pStyle w:val="8"/>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对承包人进行工作面的交接验收完成后，发生的质量问题，由</w:t>
      </w:r>
      <w:r>
        <w:rPr>
          <w:rFonts w:hint="eastAsia" w:ascii="宋体" w:hAnsi="宋体" w:eastAsia="宋体" w:cs="宋体"/>
          <w:sz w:val="24"/>
          <w:szCs w:val="24"/>
          <w:lang w:eastAsia="zh-CN"/>
        </w:rPr>
        <w:t>中标人</w:t>
      </w:r>
      <w:r>
        <w:rPr>
          <w:rFonts w:hint="eastAsia" w:ascii="宋体" w:hAnsi="宋体" w:eastAsia="宋体" w:cs="宋体"/>
          <w:sz w:val="24"/>
          <w:szCs w:val="24"/>
        </w:rPr>
        <w:t>自行解决，费用不予增加、工期不予顺延；</w:t>
      </w:r>
    </w:p>
    <w:p w14:paraId="1A281D5E">
      <w:pPr>
        <w:pStyle w:val="8"/>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中标人</w:t>
      </w:r>
      <w:r>
        <w:rPr>
          <w:rFonts w:hint="eastAsia" w:ascii="宋体" w:hAnsi="宋体" w:eastAsia="宋体" w:cs="宋体"/>
          <w:sz w:val="24"/>
          <w:szCs w:val="24"/>
        </w:rPr>
        <w:t>需对现场设备设施进行成品保护，负责对其作业面内所有的成品及半成品保护工作，并直至完成成品验收交接后为止；因</w:t>
      </w:r>
      <w:r>
        <w:rPr>
          <w:rFonts w:hint="eastAsia" w:ascii="宋体" w:hAnsi="宋体" w:eastAsia="宋体" w:cs="宋体"/>
          <w:sz w:val="24"/>
          <w:szCs w:val="24"/>
          <w:lang w:eastAsia="zh-CN"/>
        </w:rPr>
        <w:t>中标人</w:t>
      </w:r>
      <w:r>
        <w:rPr>
          <w:rFonts w:hint="eastAsia" w:ascii="宋体" w:hAnsi="宋体" w:eastAsia="宋体" w:cs="宋体"/>
          <w:sz w:val="24"/>
          <w:szCs w:val="24"/>
        </w:rPr>
        <w:t>原因造成损失的，由</w:t>
      </w:r>
      <w:r>
        <w:rPr>
          <w:rFonts w:hint="eastAsia" w:ascii="宋体" w:hAnsi="宋体" w:eastAsia="宋体" w:cs="宋体"/>
          <w:sz w:val="24"/>
          <w:szCs w:val="24"/>
          <w:lang w:eastAsia="zh-CN"/>
        </w:rPr>
        <w:t>中标人</w:t>
      </w:r>
      <w:r>
        <w:rPr>
          <w:rFonts w:hint="eastAsia" w:ascii="宋体" w:hAnsi="宋体" w:eastAsia="宋体" w:cs="宋体"/>
          <w:sz w:val="24"/>
          <w:szCs w:val="24"/>
        </w:rPr>
        <w:t>承担相应责任；</w:t>
      </w:r>
    </w:p>
    <w:p w14:paraId="48B84768">
      <w:pPr>
        <w:pStyle w:val="8"/>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供应商投标前，应确认其投标书已全面理解且符合本</w:t>
      </w:r>
      <w:r>
        <w:rPr>
          <w:rFonts w:hint="eastAsia" w:ascii="宋体" w:hAnsi="宋体" w:eastAsia="宋体" w:cs="宋体"/>
          <w:sz w:val="24"/>
          <w:szCs w:val="24"/>
          <w:lang w:eastAsia="zh-CN"/>
        </w:rPr>
        <w:t>招标文件</w:t>
      </w:r>
      <w:r>
        <w:rPr>
          <w:rFonts w:hint="eastAsia" w:ascii="宋体" w:hAnsi="宋体" w:eastAsia="宋体" w:cs="宋体"/>
          <w:sz w:val="24"/>
          <w:szCs w:val="24"/>
        </w:rPr>
        <w:t>的内容和要求，响应文件一旦提交，采购人认为其报价已包括本</w:t>
      </w:r>
      <w:r>
        <w:rPr>
          <w:rFonts w:hint="eastAsia" w:ascii="宋体" w:hAnsi="宋体" w:eastAsia="宋体" w:cs="宋体"/>
          <w:sz w:val="24"/>
          <w:szCs w:val="24"/>
          <w:lang w:eastAsia="zh-CN"/>
        </w:rPr>
        <w:t>招标文件</w:t>
      </w:r>
      <w:r>
        <w:rPr>
          <w:rFonts w:hint="eastAsia" w:ascii="宋体" w:hAnsi="宋体" w:eastAsia="宋体" w:cs="宋体"/>
          <w:sz w:val="24"/>
          <w:szCs w:val="24"/>
        </w:rPr>
        <w:t>所包含的全部磋商范围内容。供应商应在现场踏勘时充分了解现场情况，响应文件中对现场差异情况除非有明确证明，否则采购人认为供应商在投标报价中已充分考虑到并不再进行调整。</w:t>
      </w:r>
    </w:p>
    <w:p w14:paraId="2E869BFC">
      <w:pPr>
        <w:pStyle w:val="8"/>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lang w:eastAsia="zh-CN"/>
        </w:rPr>
        <w:t>4.</w:t>
      </w: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洽商变更等变动必须以书面形式通知采购人各相关专业的负责人，同时在洽商变更中必须考虑好相关专业的工序和设备</w:t>
      </w:r>
      <w:r>
        <w:rPr>
          <w:rFonts w:hint="eastAsia" w:ascii="宋体" w:hAnsi="宋体" w:eastAsia="宋体" w:cs="宋体"/>
          <w:sz w:val="24"/>
          <w:szCs w:val="24"/>
          <w:highlight w:val="none"/>
        </w:rPr>
        <w:t>是否影响功能性要求，美观要求，是否能够实现。</w:t>
      </w:r>
    </w:p>
    <w:p w14:paraId="4C2E63DA">
      <w:pPr>
        <w:pStyle w:val="8"/>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资料的整理与规范填写，必须按实际日期填写，以免造成资料填写的日期时间前后颠倒。</w:t>
      </w:r>
    </w:p>
    <w:p w14:paraId="34C3E138">
      <w:pPr>
        <w:pStyle w:val="8"/>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装修所选用的材料必须符合图纸设计和图集的相关要求，满足相关的环保、防火要求，提供需要复试材料的检测报告（原件），保证验收的顺利通过。</w:t>
      </w:r>
    </w:p>
    <w:p w14:paraId="3B55BEEC">
      <w:pPr>
        <w:pStyle w:val="8"/>
        <w:spacing w:line="360" w:lineRule="auto"/>
        <w:ind w:firstLine="240" w:firstLineChars="1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4.8  治安保卫</w:t>
      </w:r>
    </w:p>
    <w:p w14:paraId="4E50DF53">
      <w:pPr>
        <w:pStyle w:val="8"/>
        <w:spacing w:line="360" w:lineRule="auto"/>
        <w:ind w:firstLine="240" w:firstLineChars="1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4.8.1</w:t>
      </w:r>
      <w:r>
        <w:rPr>
          <w:rFonts w:hint="default" w:ascii="宋体" w:hAnsi="宋体" w:eastAsia="宋体" w:cs="宋体"/>
          <w:sz w:val="24"/>
          <w:szCs w:val="24"/>
          <w:highlight w:val="none"/>
          <w:lang w:val="en-US" w:eastAsia="zh-CN"/>
        </w:rPr>
        <w:t xml:space="preserve"> 突发治安事件紧急预案的要求：满足施工现场实际需要，承包人成立治安小组，明确责任，落实到人</w:t>
      </w:r>
      <w:r>
        <w:rPr>
          <w:rFonts w:hint="eastAsia" w:ascii="宋体" w:hAnsi="宋体" w:eastAsia="宋体" w:cs="宋体"/>
          <w:sz w:val="24"/>
          <w:szCs w:val="24"/>
          <w:highlight w:val="none"/>
          <w:lang w:val="en-US" w:eastAsia="zh-CN"/>
        </w:rPr>
        <w:t>，不能影响医院的正常开展工作，避免由项目引起的医患问题</w:t>
      </w:r>
      <w:r>
        <w:rPr>
          <w:rFonts w:hint="default" w:ascii="宋体" w:hAnsi="宋体" w:eastAsia="宋体" w:cs="宋体"/>
          <w:sz w:val="24"/>
          <w:szCs w:val="24"/>
          <w:highlight w:val="none"/>
          <w:lang w:val="en-US" w:eastAsia="zh-CN"/>
        </w:rPr>
        <w:t>。 承包人由于环保、噪声、污染、非法临时占地等原因造成</w:t>
      </w:r>
      <w:r>
        <w:rPr>
          <w:rFonts w:hint="eastAsia" w:ascii="宋体" w:hAnsi="宋体" w:eastAsia="宋体" w:cs="宋体"/>
          <w:sz w:val="24"/>
          <w:szCs w:val="24"/>
          <w:highlight w:val="none"/>
          <w:lang w:val="en-US" w:eastAsia="zh-CN"/>
        </w:rPr>
        <w:t>病患、附近居民等的</w:t>
      </w:r>
      <w:r>
        <w:rPr>
          <w:rFonts w:hint="default" w:ascii="宋体" w:hAnsi="宋体" w:eastAsia="宋体" w:cs="宋体"/>
          <w:sz w:val="24"/>
          <w:szCs w:val="24"/>
          <w:highlight w:val="none"/>
          <w:lang w:val="en-US" w:eastAsia="zh-CN"/>
        </w:rPr>
        <w:t xml:space="preserve">上访或12345投诉，一经查实按违约事项处理，并要接诉即办，立即沟通、整改、回复，未按期整改回复，每逾期1天，处以2000元/天违约金。                                                                          </w:t>
      </w:r>
      <w:r>
        <w:rPr>
          <w:rFonts w:hint="eastAsia" w:ascii="宋体" w:hAnsi="宋体" w:eastAsia="宋体" w:cs="宋体"/>
          <w:sz w:val="24"/>
          <w:szCs w:val="24"/>
          <w:highlight w:val="none"/>
          <w:lang w:val="en-US" w:eastAsia="zh-CN"/>
        </w:rPr>
        <w:t xml:space="preserve">       </w:t>
      </w:r>
    </w:p>
    <w:p w14:paraId="35D20DEA">
      <w:pPr>
        <w:pStyle w:val="8"/>
        <w:spacing w:line="360" w:lineRule="auto"/>
        <w:ind w:firstLine="240" w:firstLineChars="10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4.8.2</w:t>
      </w:r>
      <w:r>
        <w:rPr>
          <w:rFonts w:hint="default" w:ascii="宋体" w:hAnsi="宋体" w:eastAsia="宋体" w:cs="宋体"/>
          <w:sz w:val="24"/>
          <w:szCs w:val="24"/>
          <w:highlight w:val="none"/>
          <w:lang w:val="en-US" w:eastAsia="zh-CN"/>
        </w:rPr>
        <w:t>治安保卫管理方面的其他要求：提前7天将演练方案报监理人及发包人驻现场安全工程师，积极配合并接受发包人驻现场安全工程师的部署、指导性建议； 承包人定期组织突发治安事件应急演练，逐步完善应急预案。</w:t>
      </w:r>
    </w:p>
    <w:p w14:paraId="197EFF1E">
      <w:pPr>
        <w:pStyle w:val="8"/>
        <w:spacing w:line="360" w:lineRule="auto"/>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4.9地上、地下设施和周边建筑物的临时保护要求：根据施工现场制定临时保护措施。</w:t>
      </w:r>
    </w:p>
    <w:p w14:paraId="641D5128">
      <w:pPr>
        <w:spacing w:line="360" w:lineRule="auto"/>
        <w:contextualSpacing/>
        <w:rPr>
          <w:sz w:val="24"/>
        </w:rPr>
      </w:pPr>
    </w:p>
    <w:p w14:paraId="4C1131A5">
      <w:pPr>
        <w:spacing w:line="360" w:lineRule="auto"/>
        <w:contextualSpacing/>
        <w:rPr>
          <w:i/>
          <w:iCs/>
          <w:sz w:val="24"/>
        </w:rPr>
      </w:pPr>
      <w:r>
        <w:rPr>
          <w:rFonts w:hint="eastAsia"/>
          <w:sz w:val="24"/>
          <w:lang w:val="en-US" w:eastAsia="zh-CN"/>
        </w:rPr>
        <w:t>5</w:t>
      </w:r>
      <w:r>
        <w:rPr>
          <w:sz w:val="24"/>
        </w:rPr>
        <w:t>. 验收标准</w:t>
      </w:r>
    </w:p>
    <w:p w14:paraId="5D999AF7">
      <w:pPr>
        <w:widowControl/>
        <w:spacing w:line="360" w:lineRule="auto"/>
        <w:ind w:firstLine="240" w:firstLineChars="100"/>
        <w:contextualSpacing/>
        <w:rPr>
          <w:rFonts w:hint="eastAsia"/>
          <w:bCs/>
          <w:sz w:val="24"/>
        </w:rPr>
      </w:pPr>
      <w:r>
        <w:rPr>
          <w:rFonts w:hint="eastAsia"/>
          <w:bCs/>
          <w:sz w:val="24"/>
          <w:lang w:val="en-US" w:eastAsia="zh-CN"/>
        </w:rPr>
        <w:t>5.1</w:t>
      </w:r>
      <w:r>
        <w:rPr>
          <w:rFonts w:hint="eastAsia"/>
          <w:bCs/>
          <w:sz w:val="24"/>
        </w:rPr>
        <w:t>本工程所使用的主要材料应满足国家规定。</w:t>
      </w:r>
    </w:p>
    <w:p w14:paraId="2E7E2AB1">
      <w:pPr>
        <w:spacing w:line="360" w:lineRule="auto"/>
        <w:contextualSpacing/>
        <w:rPr>
          <w:rFonts w:hint="eastAsia"/>
          <w:sz w:val="24"/>
        </w:rPr>
      </w:pPr>
    </w:p>
    <w:p w14:paraId="5AD6E332">
      <w:pPr>
        <w:spacing w:line="360" w:lineRule="auto"/>
        <w:contextualSpacing/>
        <w:rPr>
          <w:rFonts w:hint="eastAsia" w:eastAsia="宋体"/>
          <w:sz w:val="24"/>
          <w:lang w:val="en-US" w:eastAsia="zh-CN"/>
        </w:rPr>
      </w:pPr>
      <w:r>
        <w:rPr>
          <w:rFonts w:hint="eastAsia"/>
          <w:sz w:val="24"/>
          <w:lang w:val="en-US" w:eastAsia="zh-CN"/>
        </w:rPr>
        <w:t>6</w:t>
      </w:r>
      <w:r>
        <w:rPr>
          <w:sz w:val="24"/>
        </w:rPr>
        <w:t xml:space="preserve">. </w:t>
      </w:r>
      <w:r>
        <w:rPr>
          <w:rFonts w:hint="eastAsia" w:ascii="Times New Roman" w:hAnsi="Times New Roman"/>
          <w:sz w:val="24"/>
          <w:szCs w:val="24"/>
        </w:rPr>
        <w:t>绩效考评目标</w:t>
      </w:r>
      <w:r>
        <w:rPr>
          <w:rFonts w:hint="eastAsia"/>
          <w:sz w:val="24"/>
          <w:szCs w:val="24"/>
          <w:lang w:val="en-US" w:eastAsia="zh-CN"/>
        </w:rPr>
        <w:t>要求</w:t>
      </w:r>
    </w:p>
    <w:p w14:paraId="5FDB5708">
      <w:pPr>
        <w:pStyle w:val="7"/>
        <w:adjustRightInd w:val="0"/>
        <w:spacing w:line="360" w:lineRule="auto"/>
        <w:ind w:left="0" w:leftChars="0" w:firstLine="218" w:firstLineChars="91"/>
        <w:contextualSpacing/>
        <w:jc w:val="left"/>
        <w:rPr>
          <w:rFonts w:hint="eastAsia" w:ascii="Times New Roman" w:hAnsi="Times New Roman"/>
          <w:sz w:val="24"/>
          <w:szCs w:val="24"/>
        </w:rPr>
      </w:pPr>
      <w:r>
        <w:rPr>
          <w:rFonts w:hint="eastAsia" w:ascii="Times New Roman" w:hAnsi="Times New Roman"/>
          <w:sz w:val="24"/>
          <w:szCs w:val="24"/>
          <w:lang w:val="en-US" w:eastAsia="zh-CN"/>
        </w:rPr>
        <w:t xml:space="preserve">6.1 </w:t>
      </w:r>
      <w:r>
        <w:rPr>
          <w:rFonts w:hint="eastAsia" w:ascii="Times New Roman" w:hAnsi="Times New Roman"/>
          <w:sz w:val="24"/>
          <w:szCs w:val="24"/>
        </w:rPr>
        <w:t>施工资料档案完整度100%。主要包括招投标资料、施工合同、施工方案、验收资料等相关材料；</w:t>
      </w:r>
    </w:p>
    <w:p w14:paraId="20DCEA25">
      <w:pPr>
        <w:pStyle w:val="7"/>
        <w:adjustRightInd w:val="0"/>
        <w:spacing w:line="360" w:lineRule="auto"/>
        <w:ind w:left="0" w:leftChars="0" w:firstLine="218" w:firstLineChars="91"/>
        <w:contextualSpacing/>
        <w:jc w:val="left"/>
        <w:rPr>
          <w:rFonts w:hint="eastAsia" w:ascii="Times New Roman" w:hAnsi="Times New Roman"/>
          <w:sz w:val="24"/>
          <w:szCs w:val="24"/>
        </w:rPr>
      </w:pPr>
      <w:r>
        <w:rPr>
          <w:rFonts w:hint="eastAsia" w:ascii="Times New Roman" w:hAnsi="Times New Roman"/>
          <w:sz w:val="24"/>
          <w:szCs w:val="24"/>
          <w:lang w:val="en-US" w:eastAsia="zh-CN"/>
        </w:rPr>
        <w:t xml:space="preserve">6.2 </w:t>
      </w:r>
      <w:r>
        <w:rPr>
          <w:rFonts w:hint="eastAsia" w:ascii="Times New Roman" w:hAnsi="Times New Roman"/>
          <w:sz w:val="24"/>
          <w:szCs w:val="24"/>
        </w:rPr>
        <w:t>保证施工安全，无任何人员伤亡和财产损失；</w:t>
      </w:r>
    </w:p>
    <w:p w14:paraId="4A82A1EC">
      <w:pPr>
        <w:widowControl/>
        <w:spacing w:line="360" w:lineRule="auto"/>
        <w:contextualSpacing/>
        <w:rPr>
          <w:rFonts w:hint="eastAsia"/>
          <w:b/>
          <w:sz w:val="24"/>
          <w:lang w:val="en-US" w:eastAsia="zh-CN"/>
        </w:rPr>
      </w:pPr>
    </w:p>
    <w:p w14:paraId="659BE75E">
      <w:pPr>
        <w:pStyle w:val="4"/>
        <w:numPr>
          <w:ilvl w:val="0"/>
          <w:numId w:val="4"/>
        </w:numPr>
        <w:rPr>
          <w:rFonts w:hint="eastAsia"/>
          <w:b/>
          <w:sz w:val="24"/>
          <w:lang w:val="en-US" w:eastAsia="zh-CN"/>
        </w:rPr>
      </w:pPr>
      <w:r>
        <w:rPr>
          <w:rFonts w:hint="eastAsia"/>
          <w:b/>
          <w:sz w:val="24"/>
          <w:lang w:val="en-US" w:eastAsia="zh-CN"/>
        </w:rPr>
        <w:t>其他说明</w:t>
      </w:r>
    </w:p>
    <w:p w14:paraId="687CBE64">
      <w:pPr>
        <w:pStyle w:val="7"/>
        <w:adjustRightInd w:val="0"/>
        <w:spacing w:line="360" w:lineRule="auto"/>
        <w:ind w:left="0" w:leftChars="0" w:firstLine="458" w:firstLineChars="191"/>
        <w:contextualSpacing/>
        <w:jc w:val="left"/>
        <w:rPr>
          <w:rFonts w:hint="default" w:ascii="Times New Roman" w:hAnsi="Times New Roman"/>
          <w:sz w:val="24"/>
          <w:szCs w:val="24"/>
          <w:highlight w:val="none"/>
          <w:lang w:val="en-US" w:eastAsia="zh-CN"/>
        </w:rPr>
      </w:pPr>
      <w:r>
        <w:rPr>
          <w:rFonts w:hint="eastAsia" w:ascii="Times New Roman" w:hAnsi="Times New Roman"/>
          <w:sz w:val="24"/>
          <w:szCs w:val="24"/>
          <w:lang w:val="en-US" w:eastAsia="zh-CN"/>
        </w:rPr>
        <w:t>7.1</w:t>
      </w:r>
      <w:r>
        <w:rPr>
          <w:rFonts w:hint="default" w:ascii="Times New Roman" w:hAnsi="Times New Roman"/>
          <w:sz w:val="24"/>
          <w:szCs w:val="24"/>
          <w:lang w:val="en-US" w:eastAsia="zh-CN"/>
        </w:rPr>
        <w:t>在</w:t>
      </w:r>
      <w:r>
        <w:rPr>
          <w:rFonts w:hint="eastAsia" w:ascii="Times New Roman" w:hAnsi="Times New Roman"/>
          <w:sz w:val="24"/>
          <w:szCs w:val="24"/>
          <w:lang w:val="en-US" w:eastAsia="zh-CN"/>
        </w:rPr>
        <w:t>符合性审查环节</w:t>
      </w:r>
      <w:r>
        <w:rPr>
          <w:rFonts w:hint="default" w:ascii="Times New Roman" w:hAnsi="Times New Roman"/>
          <w:sz w:val="24"/>
          <w:szCs w:val="24"/>
          <w:lang w:val="en-US" w:eastAsia="zh-CN"/>
        </w:rPr>
        <w:t>，通过资格</w:t>
      </w:r>
      <w:r>
        <w:rPr>
          <w:rFonts w:hint="eastAsia" w:ascii="Times New Roman" w:hAnsi="Times New Roman"/>
          <w:sz w:val="24"/>
          <w:szCs w:val="24"/>
          <w:lang w:val="en-US" w:eastAsia="zh-CN"/>
        </w:rPr>
        <w:t>审查</w:t>
      </w:r>
      <w:r>
        <w:rPr>
          <w:rFonts w:hint="default" w:ascii="Times New Roman" w:hAnsi="Times New Roman"/>
          <w:sz w:val="24"/>
          <w:szCs w:val="24"/>
          <w:lang w:val="en-US" w:eastAsia="zh-CN"/>
        </w:rPr>
        <w:t>的</w:t>
      </w:r>
      <w:r>
        <w:rPr>
          <w:rFonts w:hint="eastAsia" w:ascii="Times New Roman" w:hAnsi="Times New Roman"/>
          <w:sz w:val="24"/>
          <w:szCs w:val="24"/>
          <w:lang w:val="en-US" w:eastAsia="zh-CN"/>
        </w:rPr>
        <w:t>供应商</w:t>
      </w:r>
      <w:r>
        <w:rPr>
          <w:rFonts w:hint="default" w:ascii="Times New Roman" w:hAnsi="Times New Roman"/>
          <w:sz w:val="24"/>
          <w:szCs w:val="24"/>
          <w:lang w:val="en-US" w:eastAsia="zh-CN"/>
        </w:rPr>
        <w:t>使用资质标注为异常的，招标人应</w:t>
      </w:r>
      <w:r>
        <w:rPr>
          <w:rFonts w:hint="default" w:ascii="Times New Roman" w:hAnsi="Times New Roman"/>
          <w:sz w:val="24"/>
          <w:szCs w:val="24"/>
          <w:highlight w:val="none"/>
          <w:lang w:val="en-US" w:eastAsia="zh-CN"/>
        </w:rPr>
        <w:t>取消其投标资格，</w:t>
      </w:r>
      <w:r>
        <w:rPr>
          <w:rFonts w:hint="eastAsia" w:ascii="Times New Roman" w:hAnsi="Times New Roman"/>
          <w:sz w:val="24"/>
          <w:szCs w:val="24"/>
          <w:highlight w:val="none"/>
          <w:lang w:val="en-US" w:eastAsia="zh-CN"/>
        </w:rPr>
        <w:t>其投标按无效投标处理</w:t>
      </w:r>
      <w:r>
        <w:rPr>
          <w:rFonts w:hint="default" w:ascii="Times New Roman" w:hAnsi="Times New Roman"/>
          <w:sz w:val="24"/>
          <w:szCs w:val="24"/>
          <w:highlight w:val="none"/>
          <w:lang w:val="en-US" w:eastAsia="zh-CN"/>
        </w:rPr>
        <w:t>。</w:t>
      </w:r>
    </w:p>
    <w:p w14:paraId="5EE0FAD4">
      <w:pPr>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7.2</w:t>
      </w:r>
      <w:r>
        <w:rPr>
          <w:rFonts w:hint="eastAsia" w:ascii="宋体" w:hAnsi="宋体" w:eastAsia="宋体" w:cs="宋体"/>
          <w:sz w:val="24"/>
          <w:szCs w:val="24"/>
          <w:highlight w:val="none"/>
        </w:rPr>
        <w:t>投标人的投标报价低于（不含）以下限度的或评标委员会认为投标报价组成明显不合理的：招标控制价下浮</w:t>
      </w:r>
      <w:r>
        <w:rPr>
          <w:rFonts w:hint="eastAsia" w:ascii="宋体" w:hAnsi="宋体" w:eastAsia="宋体" w:cs="宋体"/>
          <w:sz w:val="24"/>
          <w:szCs w:val="24"/>
          <w:highlight w:val="none"/>
          <w:u w:val="single"/>
        </w:rPr>
        <w:t xml:space="preserve">   6   </w:t>
      </w:r>
      <w:r>
        <w:rPr>
          <w:rFonts w:hint="eastAsia" w:ascii="宋体" w:hAnsi="宋体" w:eastAsia="宋体" w:cs="宋体"/>
          <w:sz w:val="24"/>
          <w:szCs w:val="24"/>
          <w:highlight w:val="none"/>
        </w:rPr>
        <w:t>%；（适用于房屋建设工程）</w:t>
      </w:r>
    </w:p>
    <w:p w14:paraId="4616495A">
      <w:pPr>
        <w:spacing w:line="360" w:lineRule="auto"/>
        <w:ind w:firstLine="484" w:firstLineChars="20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对于评标委员会认为投标报价组成明显不合理的，启动质疑程序后投标人须按评标委员会要求进行合理说明或补正或提供相关证明材料的，如未提供按</w:t>
      </w:r>
      <w:r>
        <w:rPr>
          <w:rFonts w:hint="eastAsia" w:ascii="宋体" w:hAnsi="宋体" w:eastAsia="宋体" w:cs="宋体"/>
          <w:b/>
          <w:bCs/>
          <w:sz w:val="24"/>
          <w:szCs w:val="24"/>
          <w:highlight w:val="none"/>
          <w:lang w:val="en-US" w:eastAsia="zh-CN"/>
        </w:rPr>
        <w:t>无效投标处理</w:t>
      </w:r>
      <w:r>
        <w:rPr>
          <w:rFonts w:hint="eastAsia" w:ascii="宋体" w:hAnsi="宋体" w:eastAsia="宋体" w:cs="宋体"/>
          <w:sz w:val="24"/>
          <w:szCs w:val="24"/>
          <w:highlight w:val="none"/>
          <w:lang w:val="en-US" w:eastAsia="zh-CN"/>
        </w:rPr>
        <w:t>。</w:t>
      </w:r>
    </w:p>
    <w:p w14:paraId="1E314A7A">
      <w:pPr>
        <w:pStyle w:val="2"/>
        <w:ind w:firstLine="480" w:firstLineChars="200"/>
        <w:rPr>
          <w:rFonts w:hint="eastAsia" w:cs="宋体"/>
          <w:sz w:val="24"/>
          <w:szCs w:val="24"/>
          <w:highlight w:val="none"/>
          <w:lang w:val="en-US" w:eastAsia="zh-CN"/>
        </w:rPr>
      </w:pPr>
      <w:r>
        <w:rPr>
          <w:rFonts w:hint="eastAsia" w:cs="宋体"/>
          <w:sz w:val="24"/>
          <w:szCs w:val="24"/>
          <w:highlight w:val="none"/>
          <w:lang w:val="en-US" w:eastAsia="zh-CN"/>
        </w:rPr>
        <w:t>7.3施工图纸及清单工程项目中所列项日有些无法以图纸形式表达的工作内容由投</w:t>
      </w:r>
    </w:p>
    <w:p w14:paraId="2CFBF922">
      <w:pPr>
        <w:pStyle w:val="2"/>
        <w:rPr>
          <w:rFonts w:hint="default"/>
          <w:highlight w:val="none"/>
          <w:lang w:val="en-US" w:eastAsia="zh-CN"/>
        </w:rPr>
      </w:pPr>
      <w:r>
        <w:rPr>
          <w:rFonts w:hint="eastAsia" w:cs="宋体"/>
          <w:sz w:val="24"/>
          <w:szCs w:val="24"/>
          <w:highlight w:val="none"/>
          <w:lang w:val="en-US" w:eastAsia="zh-CN"/>
        </w:rPr>
        <w:t>标人视现场情况结合图纸综合考虑。</w:t>
      </w:r>
    </w:p>
    <w:p w14:paraId="6E94E7CE">
      <w:pPr>
        <w:pStyle w:val="7"/>
        <w:adjustRightInd w:val="0"/>
        <w:spacing w:line="360" w:lineRule="auto"/>
        <w:ind w:left="0" w:leftChars="0" w:firstLine="218" w:firstLineChars="91"/>
        <w:contextualSpacing/>
        <w:jc w:val="left"/>
        <w:rPr>
          <w:rFonts w:hint="default" w:ascii="Times New Roman" w:hAnsi="Times New Roman"/>
          <w:sz w:val="24"/>
          <w:szCs w:val="24"/>
          <w:lang w:val="en-US" w:eastAsia="zh-CN"/>
        </w:rPr>
      </w:pPr>
    </w:p>
    <w:p w14:paraId="6565B1E5">
      <w:pPr>
        <w:autoSpaceDE w:val="0"/>
        <w:autoSpaceDN w:val="0"/>
        <w:rPr>
          <w:rFonts w:hint="eastAsia"/>
          <w:b/>
          <w:sz w:val="24"/>
          <w:lang w:val="en-US" w:eastAsia="zh-CN"/>
        </w:rPr>
      </w:pPr>
    </w:p>
    <w:p w14:paraId="6BBE992E">
      <w:pPr>
        <w:autoSpaceDE w:val="0"/>
        <w:autoSpaceDN w:val="0"/>
        <w:rPr>
          <w:rFonts w:eastAsiaTheme="minorEastAsia"/>
        </w:rPr>
      </w:pPr>
      <w:r>
        <w:rPr>
          <w:rFonts w:hint="eastAsia"/>
          <w:b/>
          <w:sz w:val="24"/>
          <w:lang w:val="en-US" w:eastAsia="zh-CN"/>
        </w:rPr>
        <w:t>8.</w:t>
      </w:r>
      <w:r>
        <w:rPr>
          <w:b/>
          <w:sz w:val="24"/>
        </w:rPr>
        <w:t>工程量清单</w:t>
      </w:r>
      <w:r>
        <w:rPr>
          <w:rFonts w:hint="eastAsia"/>
          <w:b/>
          <w:sz w:val="24"/>
          <w:lang w:eastAsia="zh-CN"/>
        </w:rPr>
        <w:t>、</w:t>
      </w:r>
      <w:r>
        <w:rPr>
          <w:rFonts w:hint="eastAsia"/>
          <w:b/>
          <w:sz w:val="24"/>
          <w:lang w:val="en-US" w:eastAsia="zh-CN"/>
        </w:rPr>
        <w:t>图纸</w:t>
      </w:r>
      <w:r>
        <w:rPr>
          <w:rFonts w:hint="eastAsia"/>
          <w:b/>
          <w:sz w:val="24"/>
          <w:lang w:eastAsia="zh-CN"/>
        </w:rPr>
        <w:t>（</w:t>
      </w:r>
      <w:r>
        <w:rPr>
          <w:rFonts w:hint="eastAsia"/>
          <w:b/>
          <w:sz w:val="24"/>
          <w:lang w:val="en-US" w:eastAsia="zh-CN"/>
        </w:rPr>
        <w:t>详见招标文件</w:t>
      </w:r>
      <w:r>
        <w:rPr>
          <w:rFonts w:hint="eastAsia"/>
          <w:b/>
          <w:sz w:val="24"/>
          <w:lang w:eastAsia="zh-CN"/>
        </w:rPr>
        <w:t>）</w:t>
      </w:r>
    </w:p>
    <w:p w14:paraId="4FFEA8A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915850"/>
    <w:multiLevelType w:val="singleLevel"/>
    <w:tmpl w:val="AB915850"/>
    <w:lvl w:ilvl="0" w:tentative="0">
      <w:start w:val="7"/>
      <w:numFmt w:val="decimal"/>
      <w:lvlText w:val="%1."/>
      <w:lvlJc w:val="left"/>
      <w:pPr>
        <w:tabs>
          <w:tab w:val="left" w:pos="312"/>
        </w:tabs>
      </w:pPr>
    </w:lvl>
  </w:abstractNum>
  <w:abstractNum w:abstractNumId="1">
    <w:nsid w:val="013EFAFF"/>
    <w:multiLevelType w:val="multilevel"/>
    <w:tmpl w:val="013EFAF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23C1AFD"/>
    <w:multiLevelType w:val="singleLevel"/>
    <w:tmpl w:val="723C1AFD"/>
    <w:lvl w:ilvl="0" w:tentative="0">
      <w:start w:val="3"/>
      <w:numFmt w:val="decimal"/>
      <w:suff w:val="space"/>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F50F34"/>
    <w:rsid w:val="25F50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tabs>
        <w:tab w:val="left" w:pos="567"/>
      </w:tabs>
      <w:spacing w:before="120" w:line="22" w:lineRule="atLeast"/>
    </w:pPr>
    <w:rPr>
      <w:rFonts w:ascii="宋体" w:hAnsi="宋体"/>
      <w:sz w:val="24"/>
    </w:rPr>
  </w:style>
  <w:style w:type="paragraph" w:styleId="3">
    <w:name w:val="Plain Text"/>
    <w:basedOn w:val="1"/>
    <w:next w:val="1"/>
    <w:qFormat/>
    <w:uiPriority w:val="0"/>
    <w:rPr>
      <w:rFonts w:hint="eastAsia" w:ascii="宋体" w:hAnsi="Courier New"/>
      <w:szCs w:val="20"/>
    </w:rPr>
  </w:style>
  <w:style w:type="paragraph" w:styleId="4">
    <w:name w:val="toc 1"/>
    <w:basedOn w:val="1"/>
    <w:next w:val="1"/>
    <w:qFormat/>
    <w:uiPriority w:val="39"/>
    <w:pPr>
      <w:tabs>
        <w:tab w:val="left" w:pos="1050"/>
        <w:tab w:val="right" w:leader="dot" w:pos="8937"/>
      </w:tabs>
      <w:spacing w:line="300" w:lineRule="auto"/>
    </w:pPr>
    <w:rPr>
      <w:rFonts w:ascii="宋体" w:hAnsi="宋体"/>
      <w:b/>
      <w:sz w:val="24"/>
    </w:rPr>
  </w:style>
  <w:style w:type="paragraph" w:customStyle="1" w:styleId="7">
    <w:name w:val="List Paragraph"/>
    <w:basedOn w:val="1"/>
    <w:qFormat/>
    <w:uiPriority w:val="34"/>
    <w:pPr>
      <w:ind w:firstLine="420" w:firstLineChars="200"/>
    </w:pPr>
    <w:rPr>
      <w:rFonts w:ascii="Calibri" w:hAnsi="Calibri"/>
      <w:szCs w:val="22"/>
    </w:rPr>
  </w:style>
  <w:style w:type="paragraph" w:customStyle="1" w:styleId="8">
    <w:name w:val="公文"/>
    <w:basedOn w:val="1"/>
    <w:qFormat/>
    <w:uiPriority w:val="0"/>
    <w:pPr>
      <w:spacing w:line="560" w:lineRule="exact"/>
      <w:ind w:firstLine="200" w:firstLineChars="200"/>
    </w:pPr>
    <w:rPr>
      <w:rFonts w:ascii="Calibri" w:hAnsi="Calibri" w:eastAsia="仿宋_GB2312" w:cs="黑体"/>
      <w:sz w:val="3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2692</Words>
  <Characters>3014</Characters>
  <Lines>0</Lines>
  <Paragraphs>0</Paragraphs>
  <TotalTime>1</TotalTime>
  <ScaleCrop>false</ScaleCrop>
  <LinksUpToDate>false</LinksUpToDate>
  <CharactersWithSpaces>3149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2026-05-11T09:43:00Z</dcterms:created>
  <dc:creator>陈思</dc:creator>
  <cp:lastModifiedBy>陈思</cp:lastModifiedBy>
  <dcterms:modified xsi:type="dcterms:W3CDTF">2026-05-11T09:45:30Z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805EA5302F87436991515CE433A31DBE_11</vt:lpwstr>
  </property>
  <property fmtid="{D5CDD505-2E9C-101B-9397-08002B2CF9AE}" pid="4" name="KSOTemplateDocerSaveRecord">
    <vt:lpwstr>eyJoZGlkIjoiMzQ2Nzk1NjIxZTk2NmY5OWJmODA5MzM1MWVmMjVmM2YiLCJ1c2VySWQiOiI0MjkxNzQ0ODAifQ==</vt:lpwstr>
  </property>
</Properties>
</file>