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120" w:afterLines="50"/>
        <w:jc w:val="center"/>
        <w:rPr>
          <w:rStyle w:val="8"/>
          <w:rFonts w:hint="default" w:ascii="宋体" w:hAnsi="宋体" w:eastAsia="宋体" w:cs="宋体"/>
          <w:b/>
          <w:bCs/>
          <w:color w:val="000000" w:themeColor="text1"/>
          <w:kern w:val="0"/>
          <w:sz w:val="28"/>
          <w:szCs w:val="21"/>
          <w:highlight w:val="none"/>
          <w:lang w:val="en-US" w:eastAsia="zh-CN" w:bidi="ar-SA"/>
          <w14:textFill>
            <w14:solidFill>
              <w14:schemeClr w14:val="tx1"/>
            </w14:solidFill>
          </w14:textFill>
        </w:rPr>
      </w:pPr>
      <w:r>
        <w:rPr>
          <w:rStyle w:val="8"/>
          <w:rFonts w:hint="eastAsia" w:ascii="宋体" w:hAnsi="宋体" w:cs="宋体"/>
          <w:b/>
          <w:bCs/>
          <w:color w:val="000000" w:themeColor="text1"/>
          <w:kern w:val="0"/>
          <w:sz w:val="28"/>
          <w:szCs w:val="21"/>
          <w:highlight w:val="none"/>
          <w:lang w:val="en-US" w:eastAsia="zh-CN" w:bidi="ar-SA"/>
          <w14:textFill>
            <w14:solidFill>
              <w14:schemeClr w14:val="tx1"/>
            </w14:solidFill>
          </w14:textFill>
        </w:rPr>
        <w:t>采购需求</w:t>
      </w:r>
    </w:p>
    <w:p>
      <w:pPr>
        <w:pStyle w:val="3"/>
        <w:shd w:val="clear"/>
        <w:spacing w:before="0" w:after="120" w:afterLines="50"/>
        <w:rPr>
          <w:rStyle w:val="8"/>
          <w:rFonts w:hint="eastAsia" w:ascii="宋体" w:hAnsi="宋体" w:eastAsia="宋体" w:cs="宋体"/>
          <w:b/>
          <w:bCs/>
          <w:color w:val="auto"/>
          <w:kern w:val="0"/>
          <w:sz w:val="24"/>
          <w:highlight w:val="none"/>
          <w:lang w:eastAsia="zh-TW"/>
        </w:rPr>
      </w:pPr>
      <w:r>
        <w:rPr>
          <w:rStyle w:val="8"/>
          <w:rFonts w:hint="eastAsia" w:ascii="宋体" w:hAnsi="宋体" w:eastAsia="宋体" w:cs="宋体"/>
          <w:b/>
          <w:bCs/>
          <w:color w:val="auto"/>
          <w:kern w:val="0"/>
          <w:sz w:val="24"/>
          <w:highlight w:val="none"/>
          <w:lang w:val="en-US" w:eastAsia="zh-CN" w:bidi="ar-SA"/>
        </w:rPr>
        <w:t>一、</w:t>
      </w:r>
      <w:r>
        <w:rPr>
          <w:rStyle w:val="8"/>
          <w:rFonts w:hint="eastAsia" w:ascii="宋体" w:hAnsi="宋体" w:eastAsia="宋体" w:cs="宋体"/>
          <w:b/>
          <w:bCs/>
          <w:color w:val="auto"/>
          <w:kern w:val="0"/>
          <w:sz w:val="24"/>
          <w:highlight w:val="none"/>
          <w:lang w:eastAsia="zh-TW"/>
        </w:rPr>
        <w:t>特别说明：</w:t>
      </w:r>
    </w:p>
    <w:p>
      <w:pPr>
        <w:shd w:val="clear"/>
        <w:spacing w:line="360" w:lineRule="auto"/>
        <w:ind w:firstLine="482" w:firstLineChars="200"/>
        <w:rPr>
          <w:rStyle w:val="8"/>
          <w:rFonts w:hint="eastAsia" w:ascii="宋体" w:hAnsi="宋体" w:eastAsia="宋体" w:cs="宋体"/>
          <w:b/>
          <w:bCs/>
          <w:color w:val="auto"/>
          <w:kern w:val="0"/>
          <w:sz w:val="24"/>
          <w:highlight w:val="none"/>
          <w:lang w:eastAsia="zh-TW"/>
        </w:rPr>
      </w:pPr>
      <w:r>
        <w:rPr>
          <w:rStyle w:val="8"/>
          <w:rFonts w:hint="eastAsia" w:ascii="宋体" w:hAnsi="宋体" w:eastAsia="宋体" w:cs="宋体"/>
          <w:b/>
          <w:bCs/>
          <w:color w:val="auto"/>
          <w:kern w:val="0"/>
          <w:sz w:val="24"/>
          <w:highlight w:val="none"/>
          <w:lang w:eastAsia="zh-TW"/>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pPr>
        <w:shd w:val="clear"/>
        <w:spacing w:line="360" w:lineRule="auto"/>
        <w:ind w:firstLine="482" w:firstLineChars="200"/>
        <w:rPr>
          <w:rFonts w:hint="eastAsia" w:ascii="宋体" w:hAnsi="宋体" w:eastAsia="宋体" w:cs="宋体"/>
          <w:b/>
          <w:bCs/>
          <w:color w:val="auto"/>
          <w:sz w:val="24"/>
          <w:szCs w:val="24"/>
          <w:highlight w:val="none"/>
        </w:rPr>
      </w:pPr>
      <w:r>
        <w:rPr>
          <w:rStyle w:val="8"/>
          <w:rFonts w:hint="eastAsia" w:ascii="宋体" w:hAnsi="宋体" w:eastAsia="宋体" w:cs="宋体"/>
          <w:b/>
          <w:bCs/>
          <w:color w:val="auto"/>
          <w:kern w:val="0"/>
          <w:sz w:val="24"/>
          <w:highlight w:val="none"/>
          <w:lang w:eastAsia="zh-TW"/>
        </w:rPr>
        <w:t>2、为了落实公告要求，采购人将技术参数中的标准代号调整为XF。目前，参考资料、检测报告等相关资料，在实际投标中，使用代号GA标准仍有效。</w:t>
      </w:r>
    </w:p>
    <w:p>
      <w:pPr>
        <w:shd w:val="clea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样品要求：</w:t>
      </w:r>
    </w:p>
    <w:p>
      <w:pPr>
        <w:pStyle w:val="2"/>
        <w:shd w:val="clear"/>
        <w:rPr>
          <w:rFonts w:hint="default"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1、投标人按照以下要求提供样品：</w:t>
      </w:r>
    </w:p>
    <w:tbl>
      <w:tblPr>
        <w:tblStyle w:val="6"/>
        <w:tblW w:w="51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9"/>
        <w:gridCol w:w="1733"/>
        <w:gridCol w:w="1133"/>
        <w:gridCol w:w="3611"/>
        <w:gridCol w:w="2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5" w:hRule="atLeast"/>
        </w:trPr>
        <w:tc>
          <w:tcPr>
            <w:tcW w:w="560" w:type="pct"/>
            <w:tcBorders>
              <w:tl2br w:val="nil"/>
              <w:tr2bl w:val="nil"/>
            </w:tcBorders>
            <w:noWrap/>
            <w:vAlign w:val="center"/>
          </w:tcPr>
          <w:p>
            <w:pPr>
              <w:widowControl/>
              <w:shd w:val="clea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标</w:t>
            </w:r>
            <w:r>
              <w:rPr>
                <w:rFonts w:hint="eastAsia" w:ascii="宋体" w:hAnsi="宋体" w:eastAsia="宋体" w:cs="宋体"/>
                <w:b/>
                <w:bCs/>
                <w:color w:val="auto"/>
                <w:kern w:val="0"/>
                <w:sz w:val="24"/>
                <w:szCs w:val="24"/>
                <w:highlight w:val="none"/>
                <w:lang w:bidi="ar"/>
              </w:rPr>
              <w:t>包号</w:t>
            </w:r>
          </w:p>
        </w:tc>
        <w:tc>
          <w:tcPr>
            <w:tcW w:w="838"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bidi="ar"/>
              </w:rPr>
              <w:t>样品</w:t>
            </w:r>
            <w:r>
              <w:rPr>
                <w:rFonts w:hint="eastAsia" w:ascii="宋体" w:hAnsi="宋体" w:eastAsia="宋体" w:cs="宋体"/>
                <w:b/>
                <w:bCs/>
                <w:color w:val="auto"/>
                <w:kern w:val="0"/>
                <w:sz w:val="24"/>
                <w:szCs w:val="24"/>
                <w:highlight w:val="none"/>
                <w:lang w:bidi="ar"/>
              </w:rPr>
              <w:t>名称</w:t>
            </w:r>
          </w:p>
        </w:tc>
        <w:tc>
          <w:tcPr>
            <w:tcW w:w="547"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0"/>
                <w:sz w:val="24"/>
                <w:szCs w:val="24"/>
                <w:highlight w:val="none"/>
                <w:lang w:val="en-US" w:eastAsia="zh-CN" w:bidi="ar"/>
              </w:rPr>
              <w:t>数量</w:t>
            </w:r>
          </w:p>
        </w:tc>
        <w:tc>
          <w:tcPr>
            <w:tcW w:w="1745"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样品要求</w:t>
            </w:r>
          </w:p>
        </w:tc>
        <w:tc>
          <w:tcPr>
            <w:tcW w:w="1308" w:type="pct"/>
            <w:tcBorders>
              <w:tl2br w:val="nil"/>
              <w:tr2bl w:val="nil"/>
            </w:tcBorders>
            <w:noWrap w:val="0"/>
            <w:vAlign w:val="center"/>
          </w:tcPr>
          <w:p>
            <w:pPr>
              <w:widowControl/>
              <w:shd w:val="clear"/>
              <w:jc w:val="center"/>
              <w:textAlignment w:val="center"/>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是否随样品提供检测报告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trPr>
        <w:tc>
          <w:tcPr>
            <w:tcW w:w="560" w:type="pct"/>
            <w:tcBorders>
              <w:tl2br w:val="nil"/>
              <w:tr2bl w:val="nil"/>
            </w:tcBorders>
            <w:noWrap/>
            <w:vAlign w:val="center"/>
          </w:tcPr>
          <w:p>
            <w:pPr>
              <w:widowControl/>
              <w:shd w:val="clear"/>
              <w:spacing w:line="348" w:lineRule="auto"/>
              <w:jc w:val="center"/>
              <w:textAlignment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eastAsia="zh-CN" w:bidi="ar"/>
              </w:rPr>
              <w:t>（信息通信</w:t>
            </w:r>
            <w:r>
              <w:rPr>
                <w:rFonts w:hint="eastAsia" w:ascii="宋体" w:hAnsi="宋体" w:eastAsia="宋体" w:cs="宋体"/>
                <w:color w:val="auto"/>
                <w:kern w:val="0"/>
                <w:sz w:val="24"/>
                <w:szCs w:val="24"/>
                <w:highlight w:val="none"/>
                <w:lang w:val="en-US" w:eastAsia="zh-CN" w:bidi="ar"/>
              </w:rPr>
              <w:t>类一</w:t>
            </w:r>
            <w:r>
              <w:rPr>
                <w:rFonts w:hint="eastAsia" w:ascii="宋体" w:hAnsi="宋体" w:eastAsia="宋体" w:cs="宋体"/>
                <w:color w:val="auto"/>
                <w:kern w:val="0"/>
                <w:sz w:val="24"/>
                <w:szCs w:val="24"/>
                <w:highlight w:val="none"/>
                <w:lang w:eastAsia="zh-CN" w:bidi="ar"/>
              </w:rPr>
              <w:t>）</w:t>
            </w:r>
          </w:p>
        </w:tc>
        <w:tc>
          <w:tcPr>
            <w:tcW w:w="838" w:type="pct"/>
            <w:tcBorders>
              <w:tl2br w:val="nil"/>
              <w:tr2bl w:val="nil"/>
            </w:tcBorders>
            <w:noWrap w:val="0"/>
            <w:vAlign w:val="center"/>
          </w:tcPr>
          <w:p>
            <w:pPr>
              <w:widowControl/>
              <w:shd w:val="clear"/>
              <w:spacing w:line="348" w:lineRule="auto"/>
              <w:jc w:val="center"/>
              <w:textAlignment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i w:val="0"/>
                <w:iCs w:val="0"/>
                <w:color w:val="auto"/>
                <w:kern w:val="0"/>
                <w:sz w:val="24"/>
                <w:szCs w:val="24"/>
                <w:highlight w:val="none"/>
                <w:u w:val="none"/>
                <w:lang w:val="en-US" w:eastAsia="zh-CN" w:bidi="ar"/>
              </w:rPr>
              <w:t>无线中继台</w:t>
            </w:r>
          </w:p>
        </w:tc>
        <w:tc>
          <w:tcPr>
            <w:tcW w:w="547" w:type="pct"/>
            <w:tcBorders>
              <w:tl2br w:val="nil"/>
              <w:tr2bl w:val="nil"/>
            </w:tcBorders>
            <w:noWrap w:val="0"/>
            <w:vAlign w:val="center"/>
          </w:tcPr>
          <w:p>
            <w:pPr>
              <w:widowControl/>
              <w:shd w:val="clear"/>
              <w:jc w:val="center"/>
              <w:textAlignment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1745" w:type="pct"/>
            <w:tcBorders>
              <w:tl2br w:val="nil"/>
              <w:tr2bl w:val="nil"/>
            </w:tcBorders>
            <w:noWrap w:val="0"/>
            <w:vAlign w:val="center"/>
          </w:tcPr>
          <w:p>
            <w:pPr>
              <w:widowControl/>
              <w:shd w:val="clear"/>
              <w:jc w:val="center"/>
              <w:textAlignment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zh-CN"/>
              </w:rPr>
              <w:t>详见第六章“</w:t>
            </w:r>
            <w:r>
              <w:rPr>
                <w:rFonts w:hint="eastAsia" w:ascii="宋体" w:hAnsi="宋体" w:eastAsia="宋体" w:cs="宋体"/>
                <w:color w:val="auto"/>
                <w:kern w:val="0"/>
                <w:sz w:val="24"/>
                <w:highlight w:val="none"/>
                <w:lang w:val="en-US" w:eastAsia="zh-CN"/>
              </w:rPr>
              <w:t>三</w:t>
            </w:r>
            <w:r>
              <w:rPr>
                <w:rFonts w:hint="eastAsia" w:ascii="宋体" w:hAnsi="宋体" w:eastAsia="宋体" w:cs="宋体"/>
                <w:color w:val="auto"/>
                <w:kern w:val="0"/>
                <w:sz w:val="24"/>
                <w:highlight w:val="none"/>
                <w:lang w:val="zh-CN"/>
              </w:rPr>
              <w:t>、技术参数要求”以及</w:t>
            </w:r>
            <w:r>
              <w:rPr>
                <w:rFonts w:hint="eastAsia" w:ascii="宋体" w:hAnsi="宋体" w:cs="宋体"/>
                <w:color w:val="auto"/>
                <w:kern w:val="0"/>
                <w:sz w:val="24"/>
                <w:highlight w:val="none"/>
                <w:lang w:val="en-US" w:eastAsia="zh-CN"/>
              </w:rPr>
              <w:t>按</w:t>
            </w:r>
            <w:r>
              <w:rPr>
                <w:rFonts w:hint="eastAsia" w:ascii="宋体" w:hAnsi="宋体" w:eastAsia="宋体" w:cs="宋体"/>
                <w:color w:val="auto"/>
                <w:kern w:val="0"/>
                <w:sz w:val="24"/>
                <w:highlight w:val="none"/>
                <w:lang w:val="zh-CN"/>
              </w:rPr>
              <w:t>第七章</w:t>
            </w:r>
            <w:r>
              <w:rPr>
                <w:rFonts w:hint="eastAsia" w:ascii="宋体" w:hAnsi="宋体" w:cs="宋体"/>
                <w:color w:val="auto"/>
                <w:kern w:val="0"/>
                <w:sz w:val="24"/>
                <w:highlight w:val="none"/>
                <w:lang w:val="en-US" w:eastAsia="zh-CN"/>
              </w:rPr>
              <w:t>本</w:t>
            </w:r>
            <w:r>
              <w:rPr>
                <w:rFonts w:hint="eastAsia" w:ascii="宋体" w:hAnsi="宋体" w:eastAsia="宋体" w:cs="宋体"/>
                <w:color w:val="auto"/>
                <w:kern w:val="0"/>
                <w:sz w:val="24"/>
                <w:highlight w:val="none"/>
                <w:lang w:val="zh-CN"/>
              </w:rPr>
              <w:t>包综合评分明细表“样品”评分标准要求制作。</w:t>
            </w:r>
          </w:p>
        </w:tc>
        <w:tc>
          <w:tcPr>
            <w:tcW w:w="1308" w:type="pct"/>
            <w:tcBorders>
              <w:tl2br w:val="nil"/>
              <w:tr2bl w:val="nil"/>
            </w:tcBorders>
            <w:noWrap w:val="0"/>
            <w:vAlign w:val="center"/>
          </w:tcPr>
          <w:p>
            <w:pPr>
              <w:widowControl/>
              <w:shd w:val="clear"/>
              <w:jc w:val="center"/>
              <w:textAlignment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560" w:type="pct"/>
            <w:tcBorders>
              <w:tl2br w:val="nil"/>
              <w:tr2bl w:val="nil"/>
            </w:tcBorders>
            <w:noWrap/>
            <w:vAlign w:val="center"/>
          </w:tcPr>
          <w:p>
            <w:pPr>
              <w:widowControl/>
              <w:shd w:val="clear"/>
              <w:spacing w:line="348"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照明类</w:t>
            </w:r>
            <w:r>
              <w:rPr>
                <w:rFonts w:hint="eastAsia" w:ascii="宋体" w:hAnsi="宋体" w:eastAsia="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 xml:space="preserve"> </w:t>
            </w:r>
          </w:p>
        </w:tc>
        <w:tc>
          <w:tcPr>
            <w:tcW w:w="838" w:type="pct"/>
            <w:tcBorders>
              <w:tl2br w:val="nil"/>
              <w:tr2bl w:val="nil"/>
            </w:tcBorders>
            <w:noWrap w:val="0"/>
            <w:vAlign w:val="center"/>
          </w:tcPr>
          <w:p>
            <w:pPr>
              <w:keepNext w:val="0"/>
              <w:keepLines w:val="0"/>
              <w:pageBreakBefore w:val="0"/>
              <w:widowControl/>
              <w:suppressLineNumbers w:val="0"/>
              <w:shd w:val="clear"/>
              <w:kinsoku/>
              <w:wordWrap/>
              <w:overflowPunct/>
              <w:topLinePunct w:val="0"/>
              <w:autoSpaceDE/>
              <w:autoSpaceDN/>
              <w:bidi w:val="0"/>
              <w:adjustRightInd/>
              <w:spacing w:line="348"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小型移动照明灯组</w:t>
            </w:r>
          </w:p>
        </w:tc>
        <w:tc>
          <w:tcPr>
            <w:tcW w:w="547" w:type="pct"/>
            <w:tcBorders>
              <w:tl2br w:val="nil"/>
              <w:tr2bl w:val="nil"/>
            </w:tcBorders>
            <w:noWrap w:val="0"/>
            <w:vAlign w:val="center"/>
          </w:tcPr>
          <w:p>
            <w:pPr>
              <w:widowControl/>
              <w:shd w:val="clear"/>
              <w:jc w:val="center"/>
              <w:textAlignment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1745" w:type="pct"/>
            <w:tcBorders>
              <w:tl2br w:val="nil"/>
              <w:tr2bl w:val="nil"/>
            </w:tcBorders>
            <w:noWrap w:val="0"/>
            <w:vAlign w:val="center"/>
          </w:tcPr>
          <w:p>
            <w:pPr>
              <w:widowControl/>
              <w:shd w:val="clear"/>
              <w:jc w:val="center"/>
              <w:textAlignment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详见第六章“</w:t>
            </w:r>
            <w:r>
              <w:rPr>
                <w:rFonts w:hint="eastAsia" w:ascii="宋体" w:hAnsi="宋体" w:eastAsia="宋体" w:cs="宋体"/>
                <w:color w:val="auto"/>
                <w:kern w:val="0"/>
                <w:sz w:val="24"/>
                <w:highlight w:val="none"/>
                <w:lang w:val="en-US" w:eastAsia="zh-CN"/>
              </w:rPr>
              <w:t>三</w:t>
            </w:r>
            <w:r>
              <w:rPr>
                <w:rFonts w:hint="eastAsia" w:ascii="宋体" w:hAnsi="宋体" w:eastAsia="宋体" w:cs="宋体"/>
                <w:color w:val="auto"/>
                <w:kern w:val="0"/>
                <w:sz w:val="24"/>
                <w:highlight w:val="none"/>
                <w:lang w:val="zh-CN"/>
              </w:rPr>
              <w:t>、技术参数要求”以及</w:t>
            </w:r>
            <w:r>
              <w:rPr>
                <w:rFonts w:hint="eastAsia" w:ascii="宋体" w:hAnsi="宋体" w:cs="宋体"/>
                <w:color w:val="auto"/>
                <w:kern w:val="0"/>
                <w:sz w:val="24"/>
                <w:highlight w:val="none"/>
                <w:lang w:val="en-US" w:eastAsia="zh-CN"/>
              </w:rPr>
              <w:t>按</w:t>
            </w:r>
            <w:bookmarkStart w:id="1" w:name="_GoBack"/>
            <w:bookmarkEnd w:id="1"/>
            <w:r>
              <w:rPr>
                <w:rFonts w:hint="eastAsia" w:ascii="宋体" w:hAnsi="宋体" w:eastAsia="宋体" w:cs="宋体"/>
                <w:color w:val="auto"/>
                <w:kern w:val="0"/>
                <w:sz w:val="24"/>
                <w:highlight w:val="none"/>
                <w:lang w:val="zh-CN"/>
              </w:rPr>
              <w:t>第七章</w:t>
            </w:r>
            <w:r>
              <w:rPr>
                <w:rFonts w:hint="eastAsia" w:ascii="宋体" w:hAnsi="宋体" w:eastAsia="宋体" w:cs="宋体"/>
                <w:color w:val="auto"/>
                <w:kern w:val="0"/>
                <w:sz w:val="24"/>
                <w:highlight w:val="none"/>
                <w:lang w:val="en-US" w:eastAsia="zh-CN"/>
              </w:rPr>
              <w:t>本</w:t>
            </w:r>
            <w:r>
              <w:rPr>
                <w:rFonts w:hint="eastAsia" w:ascii="宋体" w:hAnsi="宋体" w:eastAsia="宋体" w:cs="宋体"/>
                <w:color w:val="auto"/>
                <w:kern w:val="0"/>
                <w:sz w:val="24"/>
                <w:highlight w:val="none"/>
                <w:lang w:val="zh-CN"/>
              </w:rPr>
              <w:t>包综合评分明细表“样品”评分标准要求制作。</w:t>
            </w:r>
          </w:p>
        </w:tc>
        <w:tc>
          <w:tcPr>
            <w:tcW w:w="1308" w:type="pct"/>
            <w:tcBorders>
              <w:tl2br w:val="nil"/>
              <w:tr2bl w:val="nil"/>
            </w:tcBorders>
            <w:noWrap w:val="0"/>
            <w:vAlign w:val="center"/>
          </w:tcPr>
          <w:p>
            <w:pPr>
              <w:widowControl/>
              <w:shd w:val="clear"/>
              <w:jc w:val="center"/>
              <w:textAlignment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否 </w:t>
            </w:r>
          </w:p>
        </w:tc>
      </w:tr>
    </w:tbl>
    <w:p>
      <w:pPr>
        <w:pStyle w:val="2"/>
        <w:shd w:val="clear"/>
        <w:rPr>
          <w:rFonts w:hint="eastAsia"/>
          <w:color w:val="auto"/>
          <w:highlight w:val="none"/>
        </w:rPr>
      </w:pPr>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投标人须按照技术参数要求提供样品。</w:t>
      </w:r>
    </w:p>
    <w:p>
      <w:pPr>
        <w:shd w:val="clear"/>
        <w:tabs>
          <w:tab w:val="left" w:pos="312"/>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投标人的样品制作、搬运、损耗等相关费用由投标人承担。</w:t>
      </w:r>
    </w:p>
    <w:p>
      <w:pPr>
        <w:pStyle w:val="5"/>
        <w:shd w:val="clear"/>
        <w:spacing w:after="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样品递交截止时间详见招标文件约定的递交截止时间，否则不予接收。</w:t>
      </w:r>
    </w:p>
    <w:p>
      <w:pPr>
        <w:shd w:val="clear"/>
        <w:spacing w:line="360" w:lineRule="auto"/>
        <w:ind w:firstLine="482" w:firstLineChars="200"/>
        <w:rPr>
          <w:rFonts w:hint="eastAsia" w:ascii="宋体" w:hAnsi="宋体" w:eastAsia="宋体" w:cs="宋体"/>
          <w:color w:val="auto"/>
          <w:highlight w:val="none"/>
        </w:rPr>
      </w:pP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投标人递交样品时，需随投标样品提供样品清单（详见第九章附件），需写明样品明细，包括样品所属包号、样品名称，注明投标人名称。</w:t>
      </w:r>
    </w:p>
    <w:p>
      <w:pPr>
        <w:shd w:val="clea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6</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本项目样品评审采用“盲样”，即投标样品中不能出现生产厂商的文字、logo、图文等信息，必须由投标人自行进行粘贴覆盖。</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未中标人提供的样品在项目质疑投诉期结束，并接到代理机构工作人员通知后可自行处理封样样品。</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中标人提供的样品由采购人保管，在验收完成后退还。</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样品移交、退还时，投标人按代理机构工作人员指定的时间、地点办理退还，因样品逾期未撤离而产生的废品处置费，由投标人承担。</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lang w:eastAsia="zh-CN"/>
        </w:rPr>
        <w:t>、</w:t>
      </w:r>
      <w:r>
        <w:rPr>
          <w:rFonts w:hint="eastAsia" w:ascii="宋体" w:hAnsi="宋体" w:cs="宋体"/>
          <w:color w:val="auto"/>
          <w:sz w:val="24"/>
          <w:highlight w:val="none"/>
        </w:rPr>
        <w:t>中标人提供的样品由采购人保管，作为履约验收依据，在</w:t>
      </w:r>
      <w:r>
        <w:rPr>
          <w:rFonts w:hint="eastAsia" w:ascii="宋体" w:hAnsi="宋体" w:cs="宋体"/>
          <w:color w:val="auto"/>
          <w:sz w:val="24"/>
          <w:highlight w:val="none"/>
          <w:lang w:eastAsia="zh-Hans"/>
        </w:rPr>
        <w:t>履约</w:t>
      </w:r>
      <w:r>
        <w:rPr>
          <w:rFonts w:hint="eastAsia" w:ascii="宋体" w:hAnsi="宋体" w:cs="宋体"/>
          <w:color w:val="auto"/>
          <w:sz w:val="24"/>
          <w:highlight w:val="none"/>
        </w:rPr>
        <w:t>验收完成后退还。中标人最终提供的货物外观质量、制作工艺等不得低于样品的相关标准,且应完全满足合同对货物的要求和标准的约定</w:t>
      </w:r>
      <w:r>
        <w:rPr>
          <w:rFonts w:hint="eastAsia" w:ascii="宋体" w:hAnsi="宋体" w:eastAsia="宋体" w:cs="宋体"/>
          <w:bCs/>
          <w:color w:val="auto"/>
          <w:sz w:val="24"/>
          <w:szCs w:val="24"/>
          <w:highlight w:val="none"/>
        </w:rPr>
        <w:t>。</w:t>
      </w:r>
    </w:p>
    <w:p>
      <w:pPr>
        <w:shd w:val="clea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、技术参数及要求</w:t>
      </w:r>
    </w:p>
    <w:tbl>
      <w:tblPr>
        <w:tblStyle w:val="6"/>
        <w:tblW w:w="493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0"/>
        <w:gridCol w:w="1192"/>
        <w:gridCol w:w="772"/>
        <w:gridCol w:w="773"/>
        <w:gridCol w:w="61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503" w:type="pct"/>
            <w:tcBorders>
              <w:tl2br w:val="nil"/>
              <w:tr2bl w:val="nil"/>
            </w:tcBorders>
            <w:noWrap/>
            <w:vAlign w:val="center"/>
          </w:tcPr>
          <w:p>
            <w:pPr>
              <w:widowControl/>
              <w:shd w:val="clear"/>
              <w:jc w:val="center"/>
              <w:textAlignment w:val="center"/>
              <w:rPr>
                <w:rFonts w:hint="eastAsia" w:ascii="宋体" w:hAnsi="宋体" w:eastAsia="宋体" w:cs="宋体"/>
                <w:b/>
                <w:bCs/>
                <w:color w:val="auto"/>
                <w:sz w:val="24"/>
                <w:szCs w:val="24"/>
                <w:highlight w:val="none"/>
              </w:rPr>
            </w:pPr>
            <w:bookmarkStart w:id="0" w:name="_Hlt101846155"/>
            <w:bookmarkEnd w:id="0"/>
            <w:r>
              <w:rPr>
                <w:rFonts w:hint="eastAsia" w:ascii="宋体" w:hAnsi="宋体" w:eastAsia="宋体" w:cs="宋体"/>
                <w:b/>
                <w:bCs/>
                <w:color w:val="auto"/>
                <w:kern w:val="0"/>
                <w:sz w:val="24"/>
                <w:szCs w:val="24"/>
                <w:highlight w:val="none"/>
                <w:lang w:val="en-US" w:eastAsia="zh-CN" w:bidi="ar"/>
              </w:rPr>
              <w:t>标</w:t>
            </w:r>
            <w:r>
              <w:rPr>
                <w:rFonts w:hint="eastAsia" w:ascii="宋体" w:hAnsi="宋体" w:eastAsia="宋体" w:cs="宋体"/>
                <w:b/>
                <w:bCs/>
                <w:color w:val="auto"/>
                <w:kern w:val="0"/>
                <w:sz w:val="24"/>
                <w:szCs w:val="24"/>
                <w:highlight w:val="none"/>
                <w:lang w:bidi="ar"/>
              </w:rPr>
              <w:t>包号</w:t>
            </w:r>
          </w:p>
        </w:tc>
        <w:tc>
          <w:tcPr>
            <w:tcW w:w="606"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名称</w:t>
            </w:r>
          </w:p>
        </w:tc>
        <w:tc>
          <w:tcPr>
            <w:tcW w:w="392"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0"/>
                <w:sz w:val="24"/>
                <w:szCs w:val="24"/>
                <w:highlight w:val="none"/>
                <w:lang w:val="en-US" w:eastAsia="zh-CN" w:bidi="ar"/>
              </w:rPr>
              <w:t>数量</w:t>
            </w:r>
          </w:p>
        </w:tc>
        <w:tc>
          <w:tcPr>
            <w:tcW w:w="392" w:type="pct"/>
            <w:tcBorders>
              <w:tl2br w:val="nil"/>
              <w:tr2bl w:val="nil"/>
            </w:tcBorders>
            <w:noWrap w:val="0"/>
            <w:vAlign w:val="center"/>
          </w:tcPr>
          <w:p>
            <w:pPr>
              <w:widowControl/>
              <w:shd w:val="clear"/>
              <w:jc w:val="center"/>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
              </w:rPr>
              <w:t>单位</w:t>
            </w:r>
          </w:p>
        </w:tc>
        <w:tc>
          <w:tcPr>
            <w:tcW w:w="3104" w:type="pct"/>
            <w:tcBorders>
              <w:tl2br w:val="nil"/>
              <w:tr2bl w:val="nil"/>
            </w:tcBorders>
            <w:noWrap w:val="0"/>
            <w:vAlign w:val="center"/>
          </w:tcPr>
          <w:p>
            <w:pPr>
              <w:widowControl/>
              <w:shd w:val="clear"/>
              <w:jc w:val="center"/>
              <w:textAlignment w:val="center"/>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技术参数要求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503" w:type="pct"/>
            <w:vMerge w:val="restart"/>
            <w:tcBorders>
              <w:tl2br w:val="nil"/>
              <w:tr2bl w:val="nil"/>
            </w:tcBorders>
            <w:noWrap/>
            <w:vAlign w:val="center"/>
          </w:tcPr>
          <w:p>
            <w:pPr>
              <w:widowControl/>
              <w:shd w:val="clear"/>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eastAsia="zh-CN" w:bidi="ar"/>
              </w:rPr>
              <w:t>（信息通信</w:t>
            </w:r>
            <w:r>
              <w:rPr>
                <w:rFonts w:hint="eastAsia" w:ascii="宋体" w:hAnsi="宋体" w:eastAsia="宋体" w:cs="宋体"/>
                <w:color w:val="auto"/>
                <w:kern w:val="0"/>
                <w:sz w:val="24"/>
                <w:szCs w:val="24"/>
                <w:highlight w:val="none"/>
                <w:lang w:val="en-US" w:eastAsia="zh-CN" w:bidi="ar"/>
              </w:rPr>
              <w:t>类一</w:t>
            </w:r>
            <w:r>
              <w:rPr>
                <w:rFonts w:hint="eastAsia" w:ascii="宋体" w:hAnsi="宋体" w:eastAsia="宋体" w:cs="宋体"/>
                <w:color w:val="auto"/>
                <w:kern w:val="0"/>
                <w:sz w:val="24"/>
                <w:szCs w:val="24"/>
                <w:highlight w:val="none"/>
                <w:lang w:eastAsia="zh-CN" w:bidi="ar"/>
              </w:rPr>
              <w:t>）</w:t>
            </w: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便携指挥箱</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104" w:type="pct"/>
            <w:tcBorders>
              <w:tl2br w:val="nil"/>
              <w:tr2bl w:val="nil"/>
            </w:tcBorders>
            <w:noWrap/>
            <w:vAlign w:val="top"/>
          </w:tcPr>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1、一体化拉杆箱滚轮设计。设备尺寸≤600×360×240mm，重量≤25kg，可单兵拉杆携行，可车载运输；</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整机集成前方指挥部常用的指挥视频终端、调度台、音视频矩阵、电话、话筒、音箱、网络、锂电池等模块，满足视频指挥调度、视频切换、语音通信、显示控制、音源编组、电话值守、信息展示、信息记录等常见应用需求；（提供承诺函）</w:t>
            </w:r>
          </w:p>
          <w:p>
            <w:pPr>
              <w:pStyle w:val="4"/>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3、集成调度台和指挥终端双主控模块，主控模块应采用可插拔设计，处理器主频</w:t>
            </w:r>
            <w:r>
              <w:rPr>
                <w:rFonts w:hint="eastAsia" w:ascii="宋体" w:hAnsi="宋体" w:eastAsia="宋体" w:cs="宋体"/>
                <w:bCs/>
                <w:color w:val="auto"/>
                <w:kern w:val="0"/>
                <w:sz w:val="24"/>
                <w:highlight w:val="none"/>
              </w:rPr>
              <w:t>≥2.3G，≥八核</w:t>
            </w:r>
            <w:r>
              <w:rPr>
                <w:rFonts w:hint="eastAsia" w:ascii="宋体" w:hAnsi="宋体" w:eastAsia="宋体" w:cs="宋体"/>
                <w:color w:val="auto"/>
                <w:sz w:val="24"/>
                <w:highlight w:val="none"/>
              </w:rPr>
              <w:t>，内存≥32GB，硬盘容量≥1TB。指挥终端能够对消防指挥视频系统内部图像资源的自由调度和对讲，满足对接入资源的视频码率、分辨率、帧率的基本参数的远程调节；</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★支持终端注册到消防图像综合管理平台，在平台图像资源树上呈现，指挥中心可直接调度终端进行双向音视频通话和双流数据共享，终端也可获取平台内授权的图像资源，并可调看；（提供承诺函）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支持视频调度、语音调度、视频会商、地图调度和远程录像等可视化指挥调度功能。支持在终端上直接创建和召开调度会议，并支持调度会议模板设置、音视频广播、视频轮询、云台控制、会议录像等会控功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、支持电话呼入呼出功能，支持呼叫手机、座机、卫星电话等语音设备；可以将各种制式的数字集群、模拟集群、短波、超短波等接入到系统中，与无线集群系统手持台之间语音通信；（提供功能截图）</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、视频支持H.265、H.264 BP、H.264 HP，音频支持G.711/G722/G.722.1/G.729/G.719/OPUS；</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、支持4K、1080P、1080i、720P、VGA、AUTO；帧率支持1/5/10/15/30/60Fps可选；</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、折叠三联屏设计，单个液晶屏屏幕≥15英寸，分辨率≥ 1920×1080，三个显示屏图像能够进行灵活切换，可以同时显示现场视频调度、GIS地图和业务调度画面，并支持将制定屏幕画面按需投影至前方指挥部大屏系统显示；</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、集成触摸控制屏，屏幕尺寸≥8.8英寸；</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、具备鹅颈麦，便于通信员值班调度、视频点名、会前测试等场景；具备无线麦，便于指挥员将灾害现场情况、救援进展等快速汇报给后方指挥中心；</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、音频输入接口至少支持1×RCA输入，1×3.5mm输入，1×卡侬输入；音频输出接口至少支持2×RCA输出,1×3.5mm输出；（提供实物背板图）</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、视频输入接口至少支持8路HDMI或SDI；视频输出接口至少支持6路HDMI。需内置1路1080P高清摄像头，水平270°和垂直105°旋转，能够采集现场指挥员及周边的图像信息；（提供产品技术白皮书或则官网彩页，并加盖</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公章）</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、支持MESH自组网、卫星网络、指挥调度网络接入，内置4G/5G通信模块,支持5G全网通，支持多种VPN协议（满足但不限于L2TP、IPSec、VPN、APN）；千兆速率的LAN口≥3个；</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、支持在≤1Mbps带宽的消防卫星网络条件下，即可将任意4路图像传输回三级指挥中心（支队、总队、国家局），且图像分辨率≥1080P，视频效果稳定流畅；</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、不少于：4×USB接口；2×4G/5G天线接口；1×SIM接口；1×对讲机接口，可按采购人对讲机制式定制线材；</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、内置大容量锂电池，续航时间≥2h。支持AC/DC转换电路，电源转换功率≥350W，输入电压范围90V-246VAC。18.SIM卡接口≥2个，支持全网通4G/5G；</w:t>
            </w:r>
          </w:p>
          <w:p>
            <w:pPr>
              <w:widowControl/>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设备自带散热机制，工作温度至少满足-10℃~55℃</w:t>
            </w:r>
            <w:r>
              <w:rPr>
                <w:rFonts w:hint="eastAsia" w:ascii="宋体" w:hAnsi="宋体" w:cs="宋体"/>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5G单兵图传</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104" w:type="pct"/>
            <w:tcBorders>
              <w:tl2br w:val="nil"/>
              <w:tr2bl w:val="nil"/>
            </w:tcBorders>
            <w:noWrap/>
            <w:vAlign w:val="top"/>
          </w:tcPr>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1、整体结构：一体化设计，集成音视频硬件编码、4G/5G网络、北斗、存储、锂电池等模块的视频编码设备；</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★兼容性要求：支持注册到消防图像综合管理平台，在平台图像资源树上呈现并可调看，可被管理平台实时调取，并支持双向语音对讲，获取定位信息；（提供承诺函）</w:t>
            </w:r>
          </w:p>
          <w:p>
            <w:pPr>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、网络支持：支持双卡</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5G/4G(FDD-LTE/TD-LTE/WCDMA/EVDO/TD-SCDMA)全网通通讯，支持Wifi通讯；</w:t>
            </w:r>
          </w:p>
          <w:p>
            <w:pPr>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、视频特性：支持1路HDMI高清视频采集，清晰度≥1080P，支持1080P、720P、D1、VGA、CIF，帧率5~60帧可选； </w:t>
            </w:r>
          </w:p>
          <w:p>
            <w:pPr>
              <w:shd w:val="clear"/>
              <w:spacing w:line="360" w:lineRule="auto"/>
              <w:jc w:val="lef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音频特性：保证各环境下音频通话清晰，提供1×3.5mm耳麦一体接口，支持PPT有线耳机接入；且需内置蓝牙模块蓝牙耳机连接；支持HDMI音频输入，共三种音频接入</w:t>
            </w:r>
            <w:r>
              <w:rPr>
                <w:rFonts w:hint="eastAsia" w:ascii="宋体" w:hAnsi="宋体" w:cs="宋体"/>
                <w:color w:val="auto"/>
                <w:sz w:val="24"/>
                <w:highlight w:val="none"/>
                <w:lang w:eastAsia="zh-CN"/>
              </w:rPr>
              <w:t>；</w:t>
            </w:r>
          </w:p>
          <w:p>
            <w:pPr>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、其他接口：1×microSD卡卡槽，1×SIM卡双卡槽，1×USB Type-C接口； </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★卫星定位：内置北斗，仅支持北斗定位，定位信息以OSD方式上报；（提供承诺函）</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、外形尺寸120*75*53mm（允许±5%偏离)</w:t>
            </w:r>
            <w:r>
              <w:rPr>
                <w:rFonts w:hint="eastAsia" w:ascii="宋体" w:hAnsi="宋体" w:cs="宋体"/>
                <w:color w:val="auto"/>
                <w:sz w:val="24"/>
                <w:highlight w:val="none"/>
                <w:lang w:eastAsia="zh-CN"/>
              </w:rPr>
              <w:t>；</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、采用嵌入式系统，非Android系统；（提供承诺函）</w:t>
            </w:r>
          </w:p>
          <w:p>
            <w:pPr>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、支持DV摄像机的热靴安装；</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、设备配件：HDMI视频连接线×2,充电器×1，USB转Type-C×1,蓝牙耳机×1，PPT有线耳机×1，热靴支架×1，安全箱×1 、DV摄像机1个、三脚架、防雨套及保温套</w:t>
            </w:r>
            <w:r>
              <w:rPr>
                <w:rFonts w:hint="eastAsia" w:ascii="宋体" w:hAnsi="宋体" w:cs="宋体"/>
                <w:color w:val="auto"/>
                <w:sz w:val="24"/>
                <w:highlight w:val="none"/>
                <w:lang w:eastAsia="zh-CN"/>
              </w:rPr>
              <w:t>；</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、DV摄像机：≥1000万像素，≥1920×1080P高清动态图像录像功能；</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、录像存储：配备≥1张512GB,TF内存卡，支持TF内存卡，单卡最大存储容量≥512G；</w:t>
            </w:r>
          </w:p>
          <w:p>
            <w:pPr>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、2根单兵视频备用线、2根耳机备用线、提供中文说明书及操作、维护保养视频</w:t>
            </w:r>
            <w:r>
              <w:rPr>
                <w:rFonts w:hint="eastAsia" w:ascii="宋体" w:hAnsi="宋体" w:cs="宋体"/>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音视频布控球</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104" w:type="pct"/>
            <w:tcBorders>
              <w:tl2br w:val="nil"/>
              <w:tr2bl w:val="nil"/>
            </w:tcBorders>
            <w:noWrap/>
            <w:vAlign w:val="top"/>
          </w:tcPr>
          <w:p>
            <w:pPr>
              <w:widowControl/>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整体结构：一体化结构设计，集成高清云台摄像机、无线编码器、大容量电池、卫星定位、阵列红外灯组等模块</w:t>
            </w:r>
            <w:r>
              <w:rPr>
                <w:rFonts w:hint="eastAsia" w:ascii="宋体" w:hAnsi="宋体" w:cs="宋体"/>
                <w:color w:val="auto"/>
                <w:sz w:val="24"/>
                <w:highlight w:val="none"/>
                <w:lang w:eastAsia="zh-CN"/>
              </w:rPr>
              <w:t>。</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★兼容性要求：支持注册到消防图像综合管理平台，在平台图像资源树上呈现并可调看，可被管理平台实时调取，并支持双向语音对讲，获取定位信息；（提供承诺函）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视频码流：支持双码流，分辨率支持1080P、720P，帧率≥25帧/</w:t>
            </w:r>
            <w:r>
              <w:rPr>
                <w:rFonts w:hint="eastAsia" w:ascii="宋体" w:hAnsi="宋体" w:cs="宋体"/>
                <w:color w:val="auto"/>
                <w:sz w:val="24"/>
                <w:highlight w:val="none"/>
                <w:lang w:val="en-US" w:eastAsia="zh-CN"/>
              </w:rPr>
              <w:t>s</w:t>
            </w:r>
            <w:r>
              <w:rPr>
                <w:rFonts w:hint="eastAsia" w:ascii="宋体" w:hAnsi="宋体" w:eastAsia="宋体" w:cs="宋体"/>
                <w:color w:val="auto"/>
                <w:sz w:val="24"/>
                <w:highlight w:val="none"/>
              </w:rPr>
              <w:t>；</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摄像机机芯：高清机芯CMOS≥1/2.8″；光学变倍≥30倍，数字变倍≥16倍；</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最低照度：彩色≤0.0007Lux（F1.2 AGC ON），黑白≤0.0003Lux(F1.2 AGC ON)；</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摄像机功能：除雾、自动聚焦、自动白平衡等功能；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夜视功能：夜视距离≥100m；</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摄像机云台：水平旋转范围360°，垂直旋转范围-15°~90°；</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★定位：单北斗定位；（提供承诺函）</w:t>
            </w:r>
          </w:p>
          <w:p>
            <w:pPr>
              <w:widowControl/>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机芯水平方向：60°～2°（远望-广角）</w:t>
            </w:r>
            <w:r>
              <w:rPr>
                <w:rFonts w:hint="eastAsia" w:ascii="宋体" w:hAnsi="宋体" w:cs="宋体"/>
                <w:color w:val="auto"/>
                <w:sz w:val="24"/>
                <w:highlight w:val="none"/>
                <w:lang w:eastAsia="zh-CN"/>
              </w:rPr>
              <w:t>；</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无线专网：支持APN和VPDN；</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状态显示：内置OLCD屏显示5G信号强弱、北斗信号、内外置电池容量、服务器网址；OSD可调取显示，设备名称、时间、蓝牙、网络、电量字符叠加；</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供电电源：内置锂电池,工作续航时间≥8h；</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设备重量：≤2.5kg；</w:t>
            </w:r>
          </w:p>
          <w:p>
            <w:pPr>
              <w:widowControl/>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设备配件：安全箱×1，接口线×1，三脚架×1，三脚架固定圆盘×1，蓝牙耳机×1，手咪×1，车载充电器×1。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指挥视频终端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104" w:type="pct"/>
            <w:tcBorders>
              <w:tl2br w:val="nil"/>
              <w:tr2bl w:val="nil"/>
            </w:tcBorders>
            <w:noWrap/>
            <w:vAlign w:val="top"/>
          </w:tcPr>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1、视频输入接口：至少支持1×HDMI 4K超高清输入，1×DVI 1080P高清输入，1×SDI 1080P高清输入；（提供承诺函）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2、视频输出接口：至少4× HDMI 4K超高清解码输出，支持四显同时输出；（提供承诺函）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3、多路编解码能力：至少支持1路4K30Fps和2路1080P编码；支持12路4K30Fps的解码或者32路1080P的解码；（提供承诺函）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4、音频输入接口：至少支持2路音频输入，1×3.5接口，1×RCA接口；（提供承诺函）</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5、音频输出接口：至少支持2路音频输出，1×3.5接口，1×RCA接口；（提供承诺函）</w:t>
            </w:r>
          </w:p>
          <w:p>
            <w:pPr>
              <w:widowControl/>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可接入消防现有图像综合管理平台；实现与部局、总队、支队各级指挥中心的双向音视频互通，满足作战指挥调度应用需求。终端也可获取平台内授权的图像资源并可调看，上级平台可获取下级平台的资源目录，并可调度任意多路下级平台图像资源。同时上级和下级可通过视频终端进行指挥调度（卫星图像资源、4G\5G单兵、4G\5G布控球图像资源，营区监控资源等其他视频资源）、视频点名和视频会商。（提供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无线中继台</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center"/>
          </w:tcPr>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支持一键式开机、随地架设；</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单跳无线传输速率≥80Mbps，级联6跳之后最末带宽≥8Mbps；</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支持512-582MHz与1420-1520MHz工作频段。中心频点可调，10MHz和20MHz频宽可调，支持频段内自动跳频选择干净频点；</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通视场景下，单跳可实现100公里的远距离通信；</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发射功率：≥10W，支持双发双收；</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可接入1.4GHz与500MHz单兵终端，且与每个单兵终端的数据吞吐量≥80Mbps；</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7</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一体化防水接口要求：设备主机同时具备一体化铠甲防水双芯光口≥2个，一体化防水航空网口≥1个，支持WiFi和4G/5G公网；</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▲8</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支持有线（光口、网口）与无线混合组网：基站间可通过有线互联，且终端可在基站间平滑切换，业务不中断，光口为设备主机一体化，不能通过外置的光电转换装置实现；</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▲9</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基站主机内置≥2.4英寸的液晶显示屏幕，可以查看设备状态、链路状态、与相邻基站或终端的直线距离等，支持通过屏幕按钮快速配置；</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防护等级：≥IP67；</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11</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整机重量（包含电池）：≤6kg；</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12</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工作温度：-30℃~+65℃；</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13</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工作时长：≥12h，待机时长≥24h；</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设备关机状态下，可以快速检查电池剩余电量；</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15</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提供移动端APP和PC端WEB管理工具，支持拓扑呈现、设备和链路状态监测、数据配置等功能</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支持单北斗定位，支持上报位置数据到国家消防救援局综合定位服务平台；</w:t>
            </w:r>
            <w:r>
              <w:rPr>
                <w:rFonts w:hint="eastAsia" w:ascii="宋体" w:hAnsi="宋体" w:eastAsia="宋体" w:cs="宋体"/>
                <w:color w:val="auto"/>
                <w:sz w:val="24"/>
                <w:highlight w:val="none"/>
              </w:rPr>
              <w:t>（提供承诺函）</w:t>
            </w:r>
          </w:p>
          <w:p>
            <w:pPr>
              <w:widowControl/>
              <w:shd w:val="clear"/>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产品可以通过《现场联合作战关键通信装备检查核验》，达到快速组网及便捷交互能力测试、通信距离和传输带宽测试、有/无线混合组网能力测试要求。</w:t>
            </w:r>
            <w:r>
              <w:rPr>
                <w:rFonts w:hint="eastAsia" w:ascii="宋体" w:hAnsi="宋体" w:eastAsia="宋体" w:cs="宋体"/>
                <w:color w:val="auto"/>
                <w:sz w:val="24"/>
                <w:highlight w:val="none"/>
              </w:rPr>
              <w:t>（提供承诺函）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restart"/>
            <w:tcBorders>
              <w:tl2br w:val="nil"/>
              <w:tr2bl w:val="nil"/>
            </w:tcBorders>
            <w:noWrap/>
            <w:vAlign w:val="center"/>
          </w:tcPr>
          <w:p>
            <w:pPr>
              <w:widowControl/>
              <w:shd w:val="clear"/>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eastAsia="zh-CN" w:bidi="ar"/>
              </w:rPr>
              <w:t>（信息通信</w:t>
            </w:r>
            <w:r>
              <w:rPr>
                <w:rFonts w:hint="eastAsia" w:ascii="宋体" w:hAnsi="宋体" w:eastAsia="宋体" w:cs="宋体"/>
                <w:color w:val="auto"/>
                <w:kern w:val="0"/>
                <w:sz w:val="24"/>
                <w:szCs w:val="24"/>
                <w:highlight w:val="none"/>
                <w:lang w:val="en-US" w:eastAsia="zh-CN" w:bidi="ar"/>
              </w:rPr>
              <w:t>类二</w:t>
            </w:r>
            <w:r>
              <w:rPr>
                <w:rFonts w:hint="eastAsia" w:ascii="宋体" w:hAnsi="宋体" w:eastAsia="宋体" w:cs="宋体"/>
                <w:color w:val="auto"/>
                <w:kern w:val="0"/>
                <w:sz w:val="24"/>
                <w:szCs w:val="24"/>
                <w:highlight w:val="none"/>
                <w:lang w:eastAsia="zh-CN" w:bidi="ar"/>
              </w:rPr>
              <w:t>）</w:t>
            </w:r>
          </w:p>
        </w:tc>
        <w:tc>
          <w:tcPr>
            <w:tcW w:w="1146" w:type="dxa"/>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卫星电话</w:t>
            </w:r>
          </w:p>
        </w:tc>
        <w:tc>
          <w:tcPr>
            <w:tcW w:w="741" w:type="dxa"/>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742" w:type="dxa"/>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部</w:t>
            </w:r>
          </w:p>
        </w:tc>
        <w:tc>
          <w:tcPr>
            <w:tcW w:w="5861" w:type="dxa"/>
            <w:tcBorders>
              <w:tl2br w:val="nil"/>
              <w:tr2bl w:val="nil"/>
            </w:tcBorders>
            <w:noWrap/>
            <w:vAlign w:val="top"/>
          </w:tcPr>
          <w:p>
            <w:pPr>
              <w:pStyle w:val="9"/>
              <w:widowControl/>
              <w:shd w:val="clear"/>
              <w:spacing w:line="360" w:lineRule="auto"/>
              <w:ind w:firstLine="0" w:firstLineChars="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1、支持卫星移动语音、短信功能；工作频段：发送频段：1980MHz~2010MHz；接收频段：2170MHz~2200MHz；语音速率：1.2kbps/2.4kbps/4kbps；</w:t>
            </w:r>
          </w:p>
          <w:p>
            <w:pPr>
              <w:pStyle w:val="9"/>
              <w:widowControl/>
              <w:shd w:val="clear"/>
              <w:spacing w:line="360" w:lineRule="auto"/>
              <w:ind w:firstLine="0" w:firstLineChars="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2、支持地面4G/5G全网通网络，支持POC公网对讲，支持SOS紧急呼救，支持软件OTA在线升级，具有独立的PTT按键、SOS按键；</w:t>
            </w:r>
          </w:p>
          <w:p>
            <w:pPr>
              <w:pStyle w:val="9"/>
              <w:widowControl/>
              <w:shd w:val="clear"/>
              <w:spacing w:line="360" w:lineRule="auto"/>
              <w:ind w:firstLine="0" w:firstLineChars="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★支持单北斗卫星导航</w:t>
            </w:r>
            <w:r>
              <w:rPr>
                <w:rFonts w:hint="eastAsia" w:ascii="宋体" w:hAnsi="宋体" w:cs="宋体"/>
                <w:color w:val="auto"/>
                <w:kern w:val="0"/>
                <w:sz w:val="24"/>
                <w:highlight w:val="none"/>
                <w:lang w:eastAsia="zh-CN"/>
              </w:rPr>
              <w:t>；</w:t>
            </w:r>
            <w:r>
              <w:rPr>
                <w:rFonts w:hint="eastAsia" w:ascii="宋体" w:hAnsi="宋体" w:eastAsia="宋体" w:cs="宋体"/>
                <w:color w:val="auto"/>
                <w:sz w:val="24"/>
                <w:highlight w:val="none"/>
              </w:rPr>
              <w:t>（提供承诺函）</w:t>
            </w:r>
          </w:p>
          <w:p>
            <w:pPr>
              <w:pStyle w:val="9"/>
              <w:widowControl/>
              <w:shd w:val="clear"/>
              <w:spacing w:line="360" w:lineRule="auto"/>
              <w:ind w:firstLine="0" w:firstLineChars="0"/>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支持蓝牙5.0和WiFi；</w:t>
            </w:r>
          </w:p>
          <w:p>
            <w:pPr>
              <w:pStyle w:val="9"/>
              <w:widowControl/>
              <w:shd w:val="clear"/>
              <w:spacing w:line="360" w:lineRule="auto"/>
              <w:ind w:firstLine="0" w:firstLineChars="0"/>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、具备辅助寻星功能；</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、屏幕尺寸≥6.3英寸；AMOLED水滴全面屏，支持多点触控；屏幕分辨率≥2340*1080；</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、摄像头：采用后置双摄，自动对焦、LED补光，前置800万像素，后置1300万像素+500万像素；</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、存储：≥4GB(RAM)+64GB(ROM)，支持TF扩展≥256G；</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、国产应用处理器： 核心数≥8，主频≥2.0GHz；</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9</w:t>
            </w:r>
            <w:r>
              <w:rPr>
                <w:rFonts w:hint="eastAsia" w:ascii="宋体" w:hAnsi="宋体" w:eastAsia="宋体" w:cs="宋体"/>
                <w:color w:val="auto"/>
                <w:kern w:val="0"/>
                <w:sz w:val="24"/>
                <w:highlight w:val="none"/>
              </w:rPr>
              <w:t>、操作系统≥Android 10以上；</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、支持≥18W快充；</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rPr>
              <w:t>、整机尺寸：≤170*85*16.8mm、整机重量≤330g；</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、电池：≥5200mAh；连续通话时长≥7h，待机时长≥290h；</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、支持光线传感器、重力传感器、距离传感器、地磁传感器、温度传感器、陀螺仪、高度传感器（气压计）等传感器；</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、接口：支持Type-c接口（集充电、OTG、模拟耳机功能于一体），支持Pogopin扩展接口；</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、工作温度：工作温度：-20℃～60℃；存储温度：-40℃～80℃；</w:t>
            </w:r>
          </w:p>
          <w:p>
            <w:pPr>
              <w:widowControl/>
              <w:shd w:val="clear"/>
              <w:spacing w:line="360" w:lineRule="auto"/>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16</w:t>
            </w:r>
            <w:r>
              <w:rPr>
                <w:rFonts w:hint="eastAsia" w:ascii="宋体" w:hAnsi="宋体" w:eastAsia="宋体" w:cs="宋体"/>
                <w:color w:val="auto"/>
                <w:kern w:val="0"/>
                <w:sz w:val="24"/>
                <w:highlight w:val="none"/>
              </w:rPr>
              <w:t xml:space="preserve">、防护等级：≥IP67； </w:t>
            </w:r>
          </w:p>
          <w:p>
            <w:pPr>
              <w:widowControl/>
              <w:shd w:val="clea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、全向天线1根；有线耳机1条；</w:t>
            </w:r>
          </w:p>
          <w:p>
            <w:pPr>
              <w:widowControl/>
              <w:shd w:val="clea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、包含1年720分钟通话时长套餐</w:t>
            </w:r>
            <w:r>
              <w:rPr>
                <w:rFonts w:hint="eastAsia" w:ascii="宋体" w:hAnsi="宋体" w:cs="宋体"/>
                <w:color w:val="auto"/>
                <w:kern w:val="0"/>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卫星便携站</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widowControl/>
              <w:shd w:val="clear"/>
              <w:spacing w:line="360" w:lineRule="auto"/>
              <w:jc w:val="left"/>
              <w:textAlignment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一、卫星便携站天线</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▲1、天线形态：高增益微带喇叭平板天线；</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▲2、重量：≤1</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kg；</w:t>
            </w:r>
          </w:p>
          <w:p>
            <w:pPr>
              <w:widowControl/>
              <w:numPr>
                <w:ilvl w:val="0"/>
                <w:numId w:val="0"/>
              </w:numPr>
              <w:shd w:val="clear"/>
              <w:spacing w:line="360" w:lineRule="auto"/>
              <w:jc w:val="left"/>
              <w:textAlignment w:val="center"/>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接口：RJ45业务与控制接口（10/100/1000BaseT 802.1q）*1（具备扩展功能）；</w:t>
            </w:r>
          </w:p>
          <w:p>
            <w:pPr>
              <w:widowControl/>
              <w:numPr>
                <w:ilvl w:val="0"/>
                <w:numId w:val="0"/>
              </w:numPr>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4、供电航插接口*1、N型射频接头（内阴）、电源开关*1、wifi*1；</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、公网、专网融合：支持内置专网、公网双调制解调器，公网、专网一键切换；</w:t>
            </w:r>
          </w:p>
          <w:p>
            <w:pPr>
              <w:widowControl/>
              <w:shd w:val="clear"/>
              <w:spacing w:line="360" w:lineRule="auto"/>
              <w:jc w:val="left"/>
              <w:textAlignment w:val="center"/>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、控制方式：本地OLED触控屏、WEB控制、手机APP控制；</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★定位方式：单北斗定位；</w:t>
            </w:r>
            <w:r>
              <w:rPr>
                <w:rFonts w:hint="eastAsia" w:ascii="宋体" w:hAnsi="宋体" w:eastAsia="宋体" w:cs="宋体"/>
                <w:color w:val="auto"/>
                <w:sz w:val="24"/>
                <w:highlight w:val="none"/>
              </w:rPr>
              <w:t>（提供承诺函）</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、功放、LNB：内置≥16W功放;  LNB：内置PLL Ku频段LNB</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调制解调器：支持内置公网、专网双调制解调器；专网支持网管和业务双通道，支持网管信令加密传输；支持ku高通量调制解调器和国产卫星调制解调器，国产卫星调制解调器支持FDMA/SCPC/DAMA通信体制，调制方式至少支持QPSK、BPSK、16APSK；数据速率:发射:≥16Mbps，接收:≥30Mbps；</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9</w:t>
            </w:r>
            <w:r>
              <w:rPr>
                <w:rFonts w:hint="eastAsia" w:ascii="宋体" w:hAnsi="宋体" w:eastAsia="宋体" w:cs="宋体"/>
                <w:color w:val="auto"/>
                <w:kern w:val="0"/>
                <w:sz w:val="24"/>
                <w:highlight w:val="none"/>
              </w:rPr>
              <w:t>、外接调制解调器：具备外接调制解调器的接口，内外置调制解调器可通过软件一键切换；</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10</w:t>
            </w:r>
            <w:r>
              <w:rPr>
                <w:rFonts w:hint="eastAsia" w:ascii="宋体" w:hAnsi="宋体" w:eastAsia="宋体" w:cs="宋体"/>
                <w:color w:val="auto"/>
                <w:kern w:val="0"/>
                <w:sz w:val="24"/>
                <w:highlight w:val="none"/>
              </w:rPr>
              <w:t>、等效口径：≤0.6m；</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rPr>
              <w:t>、工作发射频率： 13.75~14.50GHz</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、工作接收频率： 10.7~12.75GHz</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、天线发射增益：≥36.8dBi@14.5GHz；</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、天线接收增益：≥35.6dBi@12.75GHz；</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、寻星方式：支持自动对星、手动辅助对星、一键对星、一键收藏；</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、寻星时间：≤2min；</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、收藏尺寸：≤500mm*450mm*</w:t>
            </w:r>
            <w:r>
              <w:rPr>
                <w:rFonts w:hint="eastAsia" w:ascii="宋体" w:hAnsi="宋体" w:cs="宋体"/>
                <w:color w:val="auto"/>
                <w:kern w:val="0"/>
                <w:sz w:val="24"/>
                <w:highlight w:val="none"/>
                <w:lang w:val="en-US" w:eastAsia="zh-CN"/>
              </w:rPr>
              <w:t>85</w:t>
            </w:r>
            <w:r>
              <w:rPr>
                <w:rFonts w:hint="eastAsia" w:ascii="宋体" w:hAnsi="宋体" w:eastAsia="宋体" w:cs="宋体"/>
                <w:color w:val="auto"/>
                <w:kern w:val="0"/>
                <w:sz w:val="24"/>
                <w:highlight w:val="none"/>
              </w:rPr>
              <w:t>mm（长宽高）</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、供电：支持交流90～264V供电、直流12～32V供电；</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19</w:t>
            </w:r>
            <w:r>
              <w:rPr>
                <w:rFonts w:hint="eastAsia" w:ascii="宋体" w:hAnsi="宋体" w:eastAsia="宋体" w:cs="宋体"/>
                <w:color w:val="auto"/>
                <w:kern w:val="0"/>
                <w:sz w:val="24"/>
                <w:highlight w:val="none"/>
              </w:rPr>
              <w:t>、内置100WH电池*2可拆卸，电池供电工作时间≥4.0h，另配备两块备用电源；</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20</w:t>
            </w:r>
            <w:r>
              <w:rPr>
                <w:rFonts w:hint="eastAsia" w:ascii="宋体" w:hAnsi="宋体" w:eastAsia="宋体" w:cs="宋体"/>
                <w:color w:val="auto"/>
                <w:kern w:val="0"/>
                <w:sz w:val="24"/>
                <w:highlight w:val="none"/>
              </w:rPr>
              <w:t>、防护等级：≥IP67；</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rPr>
              <w:t>便携站抗振能力符合GB/T2423.10标准；</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便携站冲击能力符合GB/T2423.5标准.；</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具备双星双模功能，内置双调制解调器，支持软件切换；</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、抗风能力：≥7级</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25</w:t>
            </w:r>
            <w:r>
              <w:rPr>
                <w:rFonts w:hint="eastAsia" w:ascii="宋体" w:hAnsi="宋体" w:eastAsia="宋体" w:cs="宋体"/>
                <w:color w:val="auto"/>
                <w:kern w:val="0"/>
                <w:sz w:val="24"/>
                <w:highlight w:val="none"/>
              </w:rPr>
              <w:t>、运输要求：为满足应急装备空运需求，内置电池应提供危险物品航空运输条件</w:t>
            </w:r>
            <w:r>
              <w:rPr>
                <w:rFonts w:hint="eastAsia" w:ascii="宋体" w:hAnsi="宋体" w:cs="宋体"/>
                <w:color w:val="auto"/>
                <w:kern w:val="0"/>
                <w:sz w:val="24"/>
                <w:highlight w:val="none"/>
                <w:lang w:val="en-US" w:eastAsia="zh-CN"/>
              </w:rPr>
              <w:t>。</w:t>
            </w:r>
          </w:p>
          <w:p>
            <w:pPr>
              <w:widowControl/>
              <w:shd w:val="clear"/>
              <w:spacing w:line="360" w:lineRule="auto"/>
              <w:jc w:val="left"/>
              <w:textAlignment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二、其他设备</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配置专网卫星调制解调器，可接入国家消防救援局专网卫星主站网管系统，提供消防专网卫星通信服务</w:t>
            </w:r>
            <w:r>
              <w:rPr>
                <w:rFonts w:hint="eastAsia" w:ascii="宋体" w:hAnsi="宋体" w:cs="宋体"/>
                <w:color w:val="auto"/>
                <w:kern w:val="0"/>
                <w:sz w:val="24"/>
                <w:highlight w:val="none"/>
                <w:lang w:eastAsia="zh-CN"/>
              </w:rPr>
              <w:t>；</w:t>
            </w:r>
            <w:r>
              <w:rPr>
                <w:rFonts w:hint="eastAsia" w:ascii="宋体" w:hAnsi="宋体" w:eastAsia="宋体" w:cs="宋体"/>
                <w:color w:val="auto"/>
                <w:sz w:val="24"/>
                <w:highlight w:val="none"/>
              </w:rPr>
              <w:t>（提供承诺函）</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26、</w:t>
            </w:r>
            <w:r>
              <w:rPr>
                <w:rFonts w:hint="eastAsia" w:ascii="宋体" w:hAnsi="宋体" w:eastAsia="宋体" w:cs="宋体"/>
                <w:color w:val="auto"/>
                <w:kern w:val="0"/>
                <w:sz w:val="24"/>
                <w:highlight w:val="none"/>
              </w:rPr>
              <w:t>LTE基站：支持外接LTE基站，提供运营商4G通信服务</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便携视频指挥箱：支持卫星、4G、WIFI、有线网络，集成指挥视频终端、高清显示屏、高清摄像机、云台控制器、麦克风，采用大容量电池供电，具有视频回传、指挥调度、视频会商、卫星定位、视频录像等功能，可接入国家消防救援局图像综合管理平台</w:t>
            </w:r>
            <w:r>
              <w:rPr>
                <w:rFonts w:hint="eastAsia" w:ascii="宋体" w:hAnsi="宋体" w:eastAsia="宋体" w:cs="宋体"/>
                <w:color w:val="auto"/>
                <w:sz w:val="24"/>
                <w:highlight w:val="none"/>
              </w:rPr>
              <w:t>（提供承诺函）</w:t>
            </w:r>
          </w:p>
          <w:p>
            <w:pPr>
              <w:widowControl/>
              <w:shd w:val="clear"/>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highlight w:val="none"/>
                <w:lang w:val="en-US" w:eastAsia="zh-CN"/>
              </w:rPr>
              <w:t>27</w:t>
            </w:r>
            <w:r>
              <w:rPr>
                <w:rFonts w:hint="eastAsia" w:ascii="宋体" w:hAnsi="宋体" w:eastAsia="宋体" w:cs="宋体"/>
                <w:color w:val="auto"/>
                <w:kern w:val="0"/>
                <w:sz w:val="24"/>
                <w:highlight w:val="none"/>
              </w:rPr>
              <w:t>、卫星公网流量：3年卫星流量（≥60G/年）</w:t>
            </w:r>
            <w:r>
              <w:rPr>
                <w:rFonts w:hint="eastAsia" w:ascii="宋体" w:hAnsi="宋体" w:cs="宋体"/>
                <w:color w:val="auto"/>
                <w:kern w:val="0"/>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北斗有源终端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▲1、机身尺寸(mm) ≤200*100*20； CPU主频≥2.3GHz；</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2、支持4G全网通，北三短报文、北二短报文；操作系统安卓10及以上</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▲3、主屏尺寸≥6寸；分辨率≥ FHD+IPS 1080*2160</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▲4、前置≥1300W摄像头,后置≥4800W主摄和≥1300W夜视摄像头</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定位仅支持北斗定位功能；</w:t>
            </w:r>
            <w:r>
              <w:rPr>
                <w:rFonts w:hint="eastAsia" w:ascii="宋体" w:hAnsi="宋体" w:eastAsia="宋体" w:cs="宋体"/>
                <w:color w:val="auto"/>
                <w:sz w:val="24"/>
                <w:highlight w:val="none"/>
              </w:rPr>
              <w:t>（提供承诺函）</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、支持指南针功能</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、机身电池容量：≥7700mAh</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、防护等级≥IP68；</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、机身内存：≥6GB RAM+128GB ROM</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9</w:t>
            </w:r>
            <w:r>
              <w:rPr>
                <w:rFonts w:hint="eastAsia" w:ascii="宋体" w:hAnsi="宋体" w:eastAsia="宋体" w:cs="宋体"/>
                <w:color w:val="auto"/>
                <w:kern w:val="0"/>
                <w:sz w:val="24"/>
                <w:highlight w:val="none"/>
              </w:rPr>
              <w:t>、大喇叭≥3W，智能功放</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0</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短报文长度≤1000汉字 根据卡的等级</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WIFI: IEEE 802.11a/b/g/n/ac，支持双频2.4/5.8G，AP功能</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USB:TYPE-C接口，（9V2A）USB2.0,与充电口复用，支持OTG和耳机,北斗数据读取</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蓝牙：支持蓝牙5.0（BLE）</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NFC：支持</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消噪功能：支持</w:t>
            </w:r>
            <w:r>
              <w:rPr>
                <w:rFonts w:hint="eastAsia" w:ascii="宋体" w:hAnsi="宋体" w:cs="宋体"/>
                <w:color w:val="auto"/>
                <w:kern w:val="0"/>
                <w:sz w:val="24"/>
                <w:highlight w:val="none"/>
                <w:lang w:eastAsia="zh-CN"/>
              </w:rPr>
              <w:t>；</w:t>
            </w:r>
          </w:p>
          <w:p>
            <w:pPr>
              <w:widowControl/>
              <w:shd w:val="clear"/>
              <w:spacing w:line="360" w:lineRule="auto"/>
              <w:jc w:val="left"/>
              <w:textAlignment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协助办理相关流量卡并包含1年流量套餐；</w:t>
            </w:r>
          </w:p>
          <w:p>
            <w:pPr>
              <w:widowControl/>
              <w:shd w:val="clear"/>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接入国家消防救援局定位平台</w:t>
            </w:r>
            <w:r>
              <w:rPr>
                <w:rFonts w:hint="eastAsia" w:ascii="宋体" w:hAnsi="宋体" w:eastAsia="宋体" w:cs="宋体"/>
                <w:color w:val="auto"/>
                <w:sz w:val="24"/>
                <w:highlight w:val="none"/>
              </w:rPr>
              <w:t>（提供承诺函）</w:t>
            </w:r>
            <w:r>
              <w:rPr>
                <w:rFonts w:hint="eastAsia" w:ascii="宋体" w:hAnsi="宋体" w:eastAsia="宋体" w:cs="宋体"/>
                <w:color w:val="auto"/>
                <w:kern w:val="0"/>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侦查无人机</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widowControl/>
              <w:numPr>
                <w:ilvl w:val="0"/>
                <w:numId w:val="0"/>
              </w:numPr>
              <w:shd w:val="clear"/>
              <w:spacing w:line="360"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rPr>
              <w:t>对角线轴距≤670mm；</w:t>
            </w:r>
          </w:p>
          <w:p>
            <w:pPr>
              <w:pStyle w:val="5"/>
              <w:shd w:val="clear"/>
              <w:spacing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飞行器重量≤3780g；</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 FPV 镜头分辨率≥1080p；</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最大飞行速度≥23m/s；</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最大可承受风速≥15m/s；</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最大起飞海拔≥7000m；</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最大飞行时间≥40min；</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最大控制距离≥6km；</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飞行器防护等级≥IP55；</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飞行器避障系统方向≥6个方向；</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RTK位置精度（在 RTK FIX 时）：1cm + 1ppm（水平），1.5cm + 1ppm （垂直）；</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飞行器自带LED补光灯，有效照明距离≥5m；</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变焦相机像素≥4800万；</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变焦相机焦距：21-75mm；</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红外相机焦距≥9mm；</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红外相机测温精度：±2℃或±2%，取较大值；</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激光测距模块测量范围：3-1200 m（0.5×12 m、20%反射率的垂直反射面）；</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飞行器智能电池容量≥5880mAh，飞行器智能电池重量≤690g ，无人机电池应有过充电保护、过放电保护、短路保护，电池在过充电、过放电、短路情况下，不泄漏、不泄气、不破裂、不起火和不爆炸；</w:t>
            </w:r>
          </w:p>
          <w:p>
            <w:pPr>
              <w:widowControl/>
              <w:shd w:val="clear"/>
              <w:spacing w:line="360" w:lineRule="auto"/>
              <w:jc w:val="left"/>
              <w:textAlignment w:val="center"/>
              <w:rPr>
                <w:rFonts w:ascii="宋体" w:hAnsi="宋体" w:eastAsia="宋体" w:cs="宋体"/>
                <w:color w:val="auto"/>
                <w:kern w:val="0"/>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kern w:val="0"/>
                <w:sz w:val="24"/>
                <w:szCs w:val="24"/>
                <w:highlight w:val="none"/>
              </w:rPr>
              <w:t>支持单北斗卫星导航；</w:t>
            </w:r>
            <w:r>
              <w:rPr>
                <w:rFonts w:hint="eastAsia" w:ascii="宋体" w:hAnsi="宋体" w:eastAsia="宋体" w:cs="宋体"/>
                <w:color w:val="auto"/>
                <w:sz w:val="24"/>
                <w:highlight w:val="none"/>
              </w:rPr>
              <w:t>（提供承诺函）</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19</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智能充电器重量≤4kg ；</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0</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智能充电器防护等级≥IP55（电池箱盖子需合上）；</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智能充电器支持防倒灌保护、短路保护、过压保护、过温保护等保护功能；</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遥控器显示屏幕尺寸≥7英寸；</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遥控器显示屏分辨率≥1920×1200 ，显示器亮度≥1100cd/m²；</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遥控器续航时间≥3h；</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遥控器防护等级≥IP54；</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无人机在常温常湿条件下，设备在每次通断电循环后应保证每次启动设备，各模块能正常启动，不能出现无法启动或个别模块工作异常现象；</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在正常工作下，无人机外壳温度不应超过65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，机内发热部件连续工作4h后，其温升不应超过该部件的规定值；</w:t>
            </w:r>
          </w:p>
          <w:p>
            <w:pPr>
              <w:pStyle w:val="5"/>
              <w:shd w:val="clear"/>
              <w:spacing w:beforeAutospacing="0" w:after="0" w:afterLines="0" w:afterAutospacing="0" w:line="360" w:lineRule="auto"/>
              <w:rPr>
                <w:rFonts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28、</w:t>
            </w:r>
            <w:r>
              <w:rPr>
                <w:rFonts w:hint="eastAsia" w:ascii="宋体" w:hAnsi="宋体" w:eastAsia="宋体" w:cs="宋体"/>
                <w:color w:val="auto"/>
                <w:kern w:val="0"/>
                <w:sz w:val="24"/>
                <w:szCs w:val="24"/>
                <w:highlight w:val="none"/>
              </w:rPr>
              <w:t>配套3年无人机保险，保险内容需包含两次置换服务（只需要支付相应的手续费）；</w:t>
            </w:r>
          </w:p>
          <w:p>
            <w:pPr>
              <w:pStyle w:val="5"/>
              <w:shd w:val="clear"/>
              <w:spacing w:beforeAutospacing="0" w:after="0" w:afterLines="0" w:afterAutospacing="0"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29、</w:t>
            </w:r>
            <w:r>
              <w:rPr>
                <w:rFonts w:hint="eastAsia" w:ascii="宋体" w:hAnsi="宋体" w:eastAsia="宋体" w:cs="宋体"/>
                <w:color w:val="auto"/>
                <w:kern w:val="0"/>
                <w:sz w:val="24"/>
                <w:szCs w:val="24"/>
                <w:highlight w:val="none"/>
              </w:rPr>
              <w:t>无人机标配2个电池、1个充电箱，同时配备4块备用电池。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restart"/>
            <w:tcBorders>
              <w:tl2br w:val="nil"/>
              <w:tr2bl w:val="nil"/>
            </w:tcBorders>
            <w:noWrap/>
            <w:vAlign w:val="center"/>
          </w:tcPr>
          <w:p>
            <w:pPr>
              <w:widowControl/>
              <w:shd w:val="clear"/>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照明类</w:t>
            </w:r>
            <w:r>
              <w:rPr>
                <w:rFonts w:hint="eastAsia" w:ascii="宋体" w:hAnsi="宋体" w:eastAsia="宋体" w:cs="宋体"/>
                <w:color w:val="auto"/>
                <w:kern w:val="0"/>
                <w:sz w:val="24"/>
                <w:szCs w:val="24"/>
                <w:highlight w:val="none"/>
                <w:lang w:eastAsia="zh-CN" w:bidi="ar"/>
              </w:rPr>
              <w:t>）</w:t>
            </w: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移动照明灯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1、采用LED灯珠，锂电池供电，并可通过充电器对灯具充电</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、具备聚光、泛光及强光弱光可调节功能</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、具备红蓝交替闪烁的信号灯功能，可当警示灯使用</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、满足手提、肩挎的携带方式</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、电量显示装置</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、有两个可收纳的支撑脚</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、额定电压：≥DC22V</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、电池容量：≥10Ah</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、防爆标志：Ex de ib mb IIC T6 Gb</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提供防爆合格证</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、灯头功率：≥50W</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、防护等级：≥IP66</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、最大升起高度：≥1.25m</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、最高表面温度：≤52℃</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、灯头调节角度：垂直≥0-100°，水平≥0-360°</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、信号灯可视距离：≥200m</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、放电时间：强光聚光放电时间应≥10h、强光泛光放电时间应≥10h、工作光聚光放电时间应≥16h、工作光泛光放电时间应≥16h</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、充电时间：≤6h</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、照度：≥1900</w:t>
            </w:r>
            <w:r>
              <w:rPr>
                <w:rFonts w:hint="eastAsia" w:ascii="宋体" w:hAnsi="宋体" w:cs="宋体"/>
                <w:color w:val="auto"/>
                <w:sz w:val="24"/>
                <w:highlight w:val="none"/>
                <w:lang w:val="en-US" w:eastAsia="zh-CN"/>
              </w:rPr>
              <w:t>L</w:t>
            </w:r>
            <w:r>
              <w:rPr>
                <w:rFonts w:hint="eastAsia" w:ascii="宋体" w:hAnsi="宋体" w:eastAsia="宋体" w:cs="宋体"/>
                <w:color w:val="auto"/>
                <w:sz w:val="24"/>
                <w:highlight w:val="none"/>
              </w:rPr>
              <w:t>x</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、重量：≤6.5Kg</w:t>
            </w:r>
            <w:r>
              <w:rPr>
                <w:rFonts w:hint="eastAsia" w:ascii="宋体" w:hAnsi="宋体" w:cs="宋体"/>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泛光灯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numPr>
                <w:ilvl w:val="255"/>
                <w:numId w:val="0"/>
              </w:num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★产品检测依据需符合GB26755-2011标准</w:t>
            </w:r>
            <w:r>
              <w:rPr>
                <w:rFonts w:hint="eastAsia" w:ascii="宋体" w:hAnsi="宋体" w:cs="宋体"/>
                <w:color w:val="auto"/>
                <w:sz w:val="24"/>
                <w:highlight w:val="none"/>
                <w:lang w:eastAsia="zh-CN"/>
              </w:rPr>
              <w:t>；</w:t>
            </w:r>
          </w:p>
          <w:p>
            <w:pPr>
              <w:numPr>
                <w:ilvl w:val="255"/>
                <w:numId w:val="0"/>
              </w:num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非车载式照明装置在10m处照度应不小于400Lx</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、额定电压：≥22V；额定容量：≥10Ah；额定功率：≥50W；重量：≤6.5</w:t>
            </w:r>
            <w:r>
              <w:rPr>
                <w:rFonts w:hint="eastAsia" w:ascii="宋体" w:hAnsi="宋体" w:cs="宋体"/>
                <w:color w:val="auto"/>
                <w:sz w:val="24"/>
                <w:highlight w:val="none"/>
                <w:lang w:val="en-US" w:eastAsia="zh-CN"/>
              </w:rPr>
              <w:t>kg</w:t>
            </w:r>
            <w:r>
              <w:rPr>
                <w:rFonts w:hint="eastAsia" w:ascii="宋体" w:hAnsi="宋体" w:cs="宋体"/>
                <w:color w:val="auto"/>
                <w:sz w:val="24"/>
                <w:highlight w:val="none"/>
                <w:lang w:eastAsia="zh-CN"/>
              </w:rPr>
              <w:t>；</w:t>
            </w:r>
          </w:p>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、防爆型式：Ex db eb ib mb IIC T6 Gb（</w:t>
            </w:r>
            <w:r>
              <w:rPr>
                <w:rFonts w:hint="eastAsia" w:ascii="宋体" w:hAnsi="宋体" w:cs="宋体"/>
                <w:color w:val="auto"/>
                <w:sz w:val="24"/>
                <w:highlight w:val="none"/>
                <w:lang w:val="en-US" w:eastAsia="zh-CN"/>
              </w:rPr>
              <w:t>提供</w:t>
            </w:r>
            <w:r>
              <w:rPr>
                <w:rFonts w:hint="eastAsia" w:ascii="宋体" w:hAnsi="宋体" w:eastAsia="宋体" w:cs="宋体"/>
                <w:color w:val="auto"/>
                <w:sz w:val="24"/>
                <w:highlight w:val="none"/>
              </w:rPr>
              <w:t>防爆合格证）；</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、防护等级：≥IP66</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、采用锂电池供电，工作时间：强光≥10h；工作光≥16h；充电时间：≤6h</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、LED光源，高亮度：灯具光通量强光≥3800lm</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、升降杆的固定方式为快锁结构，可升高到≥1.2m作为固定照明使用，亦可折叠作为探照灯使用</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、升起时灯头可水平360度旋转，上下调节角度≥130度,底部配有两个稳定支脚</w:t>
            </w:r>
            <w:r>
              <w:rPr>
                <w:rFonts w:hint="eastAsia" w:ascii="宋体" w:hAnsi="宋体" w:cs="宋体"/>
                <w:color w:val="auto"/>
                <w:sz w:val="24"/>
                <w:highlight w:val="none"/>
                <w:lang w:eastAsia="zh-CN"/>
              </w:rPr>
              <w:t>；</w:t>
            </w:r>
          </w:p>
          <w:p>
            <w:pPr>
              <w:numPr>
                <w:ilvl w:val="255"/>
                <w:numId w:val="0"/>
              </w:numPr>
              <w:shd w:val="clear"/>
              <w:spacing w:line="360" w:lineRule="auto"/>
              <w:ind w:left="0" w:lef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、灯具具有聚光、泛光、聚泛同开照明，灯头背后有红蓝警示灯，灯体电量显示功能。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月球灯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1、灯具采用高亮度LED光源，三灯头折叠设计，可360°环照，亦可单向投光照明，具有强光、工作光、弱光三挡模式；</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2、灯具可单独接适配器长期照明使用，电源包（锂电池）可市电充电、车载充电、太阳能充电、Type-C 接口充电与电源包组合强光：≥6h；工作光：≥9h；弱光：≥12h</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3、灯具和三脚架收缩尺寸≤200*200*1300mm，升起高度≥1950mm</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▲4、强光模式50m处照度值≥10</w:t>
            </w:r>
            <w:r>
              <w:rPr>
                <w:rFonts w:hint="eastAsia" w:ascii="宋体" w:hAnsi="宋体" w:cs="宋体"/>
                <w:color w:val="auto"/>
                <w:sz w:val="24"/>
                <w:highlight w:val="none"/>
                <w:lang w:val="en-US" w:eastAsia="zh-CN"/>
              </w:rPr>
              <w:t>L</w:t>
            </w:r>
            <w:r>
              <w:rPr>
                <w:rFonts w:hint="eastAsia" w:ascii="宋体" w:hAnsi="宋体" w:eastAsia="宋体" w:cs="宋体"/>
                <w:color w:val="auto"/>
                <w:sz w:val="24"/>
                <w:highlight w:val="none"/>
              </w:rPr>
              <w:t>x</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▲5、灯具升至最高，在2m高处对灯头中心轴施加水平12.6N的力，实验中灯头无倾倒，试验后升降杆没有出现变形断裂</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▲6、灯具重量（不含电源包）≤5kg、电源包≤5kg，易携带，在-20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低温环境正常工作</w:t>
            </w:r>
            <w:r>
              <w:rPr>
                <w:rFonts w:hint="eastAsia" w:ascii="宋体" w:hAnsi="宋体" w:cs="宋体"/>
                <w:color w:val="auto"/>
                <w:sz w:val="24"/>
                <w:highlight w:val="none"/>
                <w:lang w:eastAsia="zh-CN"/>
              </w:rPr>
              <w:t>；</w:t>
            </w:r>
          </w:p>
          <w:p>
            <w:pPr>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▲7、防护等级：≥IP65，抗风等级：≥6级。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气柱灯</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1、由灯头、发电机、升降杆、可移动底盘、控制面板组成</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2、灯头采用金属卤素灯或同等质量光源≥1000W，平均使用寿命≥10000h，光通量≥100000lm</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3、360度防眩目配光设计，能实现360度环绕式发光，发光角度无死角</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4、可以通无线遥控或者手动开关控制灯的开关及升降，升降高度≥4.5m</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5、当使用无线遥控控制时，遥控距离≥50m</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6、发电机组底盘装有可移动的万向轮和定向轮，万向轮设置有刹车装置</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7、灯具灯盘、气缸和发电机组为整体可拆卸式结构，使用时可以现场组装，重量≤120</w:t>
            </w: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rPr>
              <w:t>g</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8、可直接使用功率2KW汽油发电机组供电，也可接通220V市电长时间照明</w:t>
            </w:r>
            <w:r>
              <w:rPr>
                <w:rFonts w:hint="eastAsia" w:ascii="宋体" w:hAnsi="宋体" w:cs="宋体"/>
                <w:color w:val="auto"/>
                <w:sz w:val="24"/>
                <w:highlight w:val="none"/>
                <w:lang w:eastAsia="zh-CN"/>
              </w:rPr>
              <w:t>；</w:t>
            </w:r>
          </w:p>
          <w:p>
            <w:pPr>
              <w:shd w:val="clea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9、采用发电机组供电时，发电机油箱容量应≥15L，一次注满燃油连续工作时间≥13h。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静音发电机</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1、额定功率≥3.5KW；</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2、最大功率≥3.7KW；</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3、频率50Hz（±5）；</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4、相数单相；</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5、额定电压220V（±10v）；</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6、额定电流≥15A；</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7、功率因数：1.0；</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8、启动方式手启动/电启动；</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9、发动机排量≥223cc；</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10、待载负荷噪音（7m）≤77dBA；</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11、机油容积≤0.6L；</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12、油箱容积≥12L；                                                                    13、油耗（g/kw.h）≤425；</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14、直流输出：点烟器直流≤12v 8.3A 手机充电直流≤5V 1A/2.1A；</w:t>
            </w:r>
          </w:p>
          <w:p>
            <w:pPr>
              <w:widowControl/>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15、燃油类型</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汽油。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大功率发电机</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1、燃油箱容积，≥45L；</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2、额定功率连续运行时间≥7h；</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3、50%额定功率连续运行时间≥12h；</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4、外形尺寸(长×宽×高）(mm)≤850X680X850；</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5、净重≤160(kg)；</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6、交流电输出参数 频率,50Hz（±5）；</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7、最大功率：≥12</w:t>
            </w: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rPr>
              <w:t xml:space="preserve">W； </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8、额定功率:≥11</w:t>
            </w: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rPr>
              <w:t>W；</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9、额定电压:220/400V（±10v）；</w:t>
            </w:r>
          </w:p>
          <w:p>
            <w:pPr>
              <w:widowControl/>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 xml:space="preserve">0、直流电输出参数电压≥12V； </w:t>
            </w:r>
          </w:p>
          <w:p>
            <w:pPr>
              <w:pStyle w:val="4"/>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11、电流每相≥45A/15；</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12、纯直流模式加载功率≥100W； </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13、机组额定负载耐久使用寿命，≥1000h；</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14、电压调节方式：AVR；</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15、等功率；</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16、动力型式≥双缸 4 冲程、风冷、气门顶置、电启动；</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17、缸径≥（</w:t>
            </w:r>
            <w:r>
              <w:rPr>
                <w:rFonts w:hint="eastAsia" w:ascii="宋体" w:hAnsi="宋体" w:cs="宋体"/>
                <w:color w:val="auto"/>
                <w:sz w:val="24"/>
                <w:highlight w:val="none"/>
                <w:lang w:val="en-US" w:eastAsia="zh-CN"/>
              </w:rPr>
              <w:t>mm</w:t>
            </w:r>
            <w:r>
              <w:rPr>
                <w:rFonts w:hint="eastAsia" w:ascii="宋体" w:hAnsi="宋体" w:eastAsia="宋体" w:cs="宋体"/>
                <w:color w:val="auto"/>
                <w:sz w:val="24"/>
                <w:highlight w:val="none"/>
              </w:rPr>
              <w:t>）×行程（</w:t>
            </w:r>
            <w:r>
              <w:rPr>
                <w:rFonts w:hint="eastAsia" w:ascii="宋体" w:hAnsi="宋体" w:cs="宋体"/>
                <w:color w:val="auto"/>
                <w:sz w:val="24"/>
                <w:highlight w:val="none"/>
                <w:lang w:val="en-US" w:eastAsia="zh-CN"/>
              </w:rPr>
              <w:t>mm</w:t>
            </w:r>
            <w:r>
              <w:rPr>
                <w:rFonts w:hint="eastAsia" w:ascii="宋体" w:hAnsi="宋体" w:eastAsia="宋体" w:cs="宋体"/>
                <w:color w:val="auto"/>
                <w:sz w:val="24"/>
                <w:highlight w:val="none"/>
              </w:rPr>
              <w:t>）75×70；</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18、排 量≥740cc；</w:t>
            </w:r>
          </w:p>
          <w:p>
            <w:pPr>
              <w:widowControl/>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19、压缩比：8.5±1；</w:t>
            </w:r>
          </w:p>
          <w:p>
            <w:pPr>
              <w:widowControl/>
              <w:shd w:val="clear"/>
              <w:spacing w:line="360" w:lineRule="auto"/>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20、最大输出功率：16.8/3600kW (r/min) ；                                          21、油耗（g/kw.h）≤</w:t>
            </w:r>
            <w:r>
              <w:rPr>
                <w:rFonts w:hint="eastAsia" w:ascii="宋体" w:hAnsi="宋体" w:cs="宋体"/>
                <w:color w:val="auto"/>
                <w:sz w:val="24"/>
                <w:highlight w:val="none"/>
                <w:lang w:val="en-US" w:eastAsia="zh-CN"/>
              </w:rPr>
              <w:t>430</w:t>
            </w:r>
            <w:r>
              <w:rPr>
                <w:rFonts w:hint="eastAsia" w:ascii="宋体" w:hAnsi="宋体" w:eastAsia="宋体" w:cs="宋体"/>
                <w:color w:val="auto"/>
                <w:sz w:val="24"/>
                <w:highlight w:val="none"/>
              </w:rPr>
              <w:t>；                                                   22、待载噪音（7m）≤88dBA</w:t>
            </w:r>
            <w:r>
              <w:rPr>
                <w:rFonts w:hint="eastAsia" w:ascii="宋体" w:hAnsi="宋体" w:cs="宋体"/>
                <w:color w:val="auto"/>
                <w:sz w:val="24"/>
                <w:highlight w:val="none"/>
                <w:lang w:eastAsia="zh-CN"/>
              </w:rPr>
              <w:t>；</w:t>
            </w:r>
          </w:p>
          <w:p>
            <w:pPr>
              <w:widowControl/>
              <w:shd w:val="clear"/>
              <w:spacing w:line="360" w:lineRule="auto"/>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标配车轮、扶手</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移动照明灯组</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shd w:val="clea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★应</w:t>
            </w:r>
            <w:r>
              <w:rPr>
                <w:rStyle w:val="11"/>
                <w:rFonts w:hint="default"/>
                <w:color w:val="auto"/>
                <w:sz w:val="24"/>
                <w:szCs w:val="24"/>
                <w:highlight w:val="none"/>
              </w:rPr>
              <w:t>符合GB26755-2011《消防移动照明装置》标准要求。</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1、由发电机、升降杆、灯头、脚轮、基座组成；</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2、发电机应为变频数码静音汽油发电机；</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3、照明灯组的移动底盘装有轮子，满足推行需求；</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4、可使用手动开关控制灯的开启和升降，也可以通过无线遥控控制灯的开启和升降；</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5、应为一键升降模式,可在任意高度停止，最大升起高度≥5m，最低收起高度≤1.5m；</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6、升降杆在达到最大高度后,1h内下滑≤1cm，5h内升降杆下滑≤3cm；</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7、照明灯组灯头采用2个150WLED光源,LED光源寿命100000h，光通量≥36000lm；</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8、灯头防护等级≥IP66；</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▲9、距离光源中心50m照度应≥50lux；</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10、重量≤55kg；</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▲11、灯组电源开关有开关状态指示灯，开启状态下指示灯亮，关闭状态下指示灯灭、开关应有防雨设计；</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12、配备水平仪方便水平校准；</w:t>
            </w:r>
          </w:p>
          <w:p>
            <w:pPr>
              <w:shd w:val="clea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13、应具备≥3个手动调节的支撑脚,并可单独调节支撑脚的高低；</w:t>
            </w:r>
          </w:p>
          <w:p>
            <w:pPr>
              <w:shd w:val="clea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▲14、带电端子和外壳之间应能承受电压1500V±100V，历时1min的介电强度试验。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503" w:type="pct"/>
            <w:vMerge w:val="continue"/>
            <w:tcBorders>
              <w:tl2br w:val="nil"/>
              <w:tr2bl w:val="nil"/>
            </w:tcBorders>
            <w:noWrap/>
            <w:vAlign w:val="center"/>
          </w:tcPr>
          <w:p>
            <w:pPr>
              <w:shd w:val="clear"/>
              <w:jc w:val="center"/>
              <w:rPr>
                <w:rFonts w:hint="eastAsia" w:ascii="宋体" w:hAnsi="宋体" w:eastAsia="宋体" w:cs="宋体"/>
                <w:color w:val="auto"/>
                <w:sz w:val="24"/>
                <w:szCs w:val="24"/>
                <w:highlight w:val="none"/>
              </w:rPr>
            </w:pPr>
          </w:p>
        </w:tc>
        <w:tc>
          <w:tcPr>
            <w:tcW w:w="606" w:type="pct"/>
            <w:tcBorders>
              <w:tl2br w:val="nil"/>
              <w:tr2bl w:val="nil"/>
            </w:tcBorders>
            <w:noWrap w:val="0"/>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小型移动照明灯组</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92" w:type="pct"/>
            <w:tcBorders>
              <w:tl2br w:val="nil"/>
              <w:tr2bl w:val="nil"/>
            </w:tcBorders>
            <w:noWrap/>
            <w:vAlign w:val="center"/>
          </w:tcPr>
          <w:p>
            <w:pPr>
              <w:keepNext w:val="0"/>
              <w:keepLines w:val="0"/>
              <w:widowControl/>
              <w:suppressLineNumbers w:val="0"/>
              <w:shd w:val="clear"/>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104" w:type="pct"/>
            <w:tcBorders>
              <w:tl2br w:val="nil"/>
              <w:tr2bl w:val="nil"/>
            </w:tcBorders>
            <w:noWrap/>
            <w:vAlign w:val="top"/>
          </w:tcPr>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▲1、防爆标志：</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Ex eb ib mb IIC T5 Gb；（提供防爆证</w:t>
            </w:r>
            <w:r>
              <w:rPr>
                <w:rFonts w:hint="eastAsia" w:ascii="宋体" w:hAnsi="宋体" w:cs="宋体"/>
                <w:color w:val="auto"/>
                <w:sz w:val="24"/>
                <w:highlight w:val="none"/>
                <w:lang w:val="en-US" w:eastAsia="zh-CN"/>
              </w:rPr>
              <w:t>合格证</w:t>
            </w:r>
            <w:r>
              <w:rPr>
                <w:rFonts w:hint="eastAsia" w:ascii="宋体" w:hAnsi="宋体" w:eastAsia="宋体" w:cs="宋体"/>
                <w:color w:val="auto"/>
                <w:sz w:val="24"/>
                <w:highlight w:val="none"/>
              </w:rPr>
              <w:t>）；</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2、升降高度高、照明范围广：升降高度≥2.2m，满足中等范围照明效果，同时避免低高度灯具在使用时直射人员导致炫目，同时可实现单面照明或者三面照明；</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3、黄色及疏导警示灯，警示效果明显：明显黄色警示灯；</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▲4、额定电压：DC22.2V；额定容量：3*5Ah；光源功率：100W；</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可在城市道路及高速路斜坡使用：灯具支撑腿或升降杆可进行调节；</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6、多种控制方式：具备手动、APP多种控制方式；</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▲7、10m中心照度（单向）≥480LX；</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8、连续放电时间：≥4h（强光）、≥8h（中光）、≥12h（工作光）；充电时间：≤6h；</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9、防护等级≥IP66；</w:t>
            </w:r>
          </w:p>
          <w:p>
            <w:pPr>
              <w:numPr>
                <w:ilvl w:val="255"/>
                <w:numId w:val="0"/>
              </w:numPr>
              <w:shd w:val="clea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▲10、方便携带：重量≤10</w:t>
            </w: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rPr>
              <w:t>g，收起高度≤1m；</w:t>
            </w:r>
          </w:p>
          <w:p>
            <w:pPr>
              <w:numPr>
                <w:ilvl w:val="255"/>
                <w:numId w:val="0"/>
              </w:numPr>
              <w:shd w:val="clear"/>
              <w:spacing w:line="360" w:lineRule="auto"/>
              <w:ind w:left="0" w:lef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highlight w:val="none"/>
              </w:rPr>
              <w:t>11、抗风等级≥5级。</w:t>
            </w:r>
          </w:p>
        </w:tc>
      </w:tr>
    </w:tbl>
    <w:p>
      <w:pPr>
        <w:shd w:val="clear"/>
        <w:spacing w:line="360" w:lineRule="auto"/>
        <w:rPr>
          <w:rFonts w:hint="eastAsia" w:ascii="宋体" w:hAnsi="宋体" w:eastAsia="宋体" w:cs="宋体"/>
          <w:b/>
          <w:bCs/>
          <w:color w:val="auto"/>
          <w:sz w:val="24"/>
          <w:szCs w:val="24"/>
          <w:highlight w:val="none"/>
        </w:rPr>
      </w:pPr>
    </w:p>
    <w:p>
      <w:pPr>
        <w:shd w:val="clea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备注：技术参数中要求提供的产品第三方检测机构出具证书（检测、认证、测试等），除在投标文件中一并提供外，投标人还可提供在线查询途径。</w:t>
      </w:r>
    </w:p>
    <w:p>
      <w:pPr>
        <w:shd w:val="clea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b/>
          <w:bCs/>
          <w:color w:val="auto"/>
          <w:sz w:val="24"/>
          <w:szCs w:val="24"/>
          <w:highlight w:val="none"/>
          <w:lang w:val="en-US" w:eastAsia="zh-CN"/>
        </w:rPr>
        <w:t>四</w:t>
      </w:r>
      <w:r>
        <w:rPr>
          <w:rFonts w:hint="eastAsia" w:ascii="宋体" w:hAnsi="宋体" w:eastAsia="宋体" w:cs="宋体"/>
          <w:b/>
          <w:color w:val="auto"/>
          <w:sz w:val="24"/>
          <w:szCs w:val="24"/>
          <w:highlight w:val="none"/>
        </w:rPr>
        <w:t>、商务要求</w:t>
      </w:r>
    </w:p>
    <w:p>
      <w:pPr>
        <w:numPr>
          <w:ilvl w:val="0"/>
          <w:numId w:val="1"/>
        </w:numPr>
        <w:shd w:val="clear"/>
        <w:spacing w:line="360" w:lineRule="auto"/>
        <w:rPr>
          <w:rFonts w:hint="eastAsia" w:ascii="宋体" w:hAnsi="宋体" w:eastAsia="宋体" w:cs="宋体"/>
          <w:color w:val="auto"/>
          <w:kern w:val="0"/>
          <w:sz w:val="24"/>
          <w:szCs w:val="24"/>
          <w:highlight w:val="none"/>
          <w:lang w:eastAsia="zh-Hans" w:bidi="ar"/>
        </w:rPr>
      </w:pPr>
      <w:r>
        <w:rPr>
          <w:rFonts w:hint="eastAsia" w:ascii="宋体" w:hAnsi="宋体" w:eastAsia="宋体" w:cs="宋体"/>
          <w:b/>
          <w:bCs/>
          <w:color w:val="auto"/>
          <w:sz w:val="24"/>
          <w:szCs w:val="24"/>
          <w:highlight w:val="none"/>
        </w:rPr>
        <w:t>交货时间：</w:t>
      </w:r>
      <w:r>
        <w:rPr>
          <w:rFonts w:hint="eastAsia" w:ascii="宋体" w:hAnsi="宋体" w:eastAsia="宋体" w:cs="宋体"/>
          <w:bCs/>
          <w:color w:val="auto"/>
          <w:kern w:val="0"/>
          <w:sz w:val="24"/>
          <w:szCs w:val="24"/>
          <w:highlight w:val="none"/>
        </w:rPr>
        <w:t>合同签订后60天内。若遇不可抗力或其他特殊情况，经采购人确认后可适当延迟，最多不超过合同签订后120天。交货时需提供由国家消防救援局“消防装备物资信息采集系统”统一发行的装备物资二维码（或RFID，进行永久标识或相对固定标识）</w:t>
      </w:r>
    </w:p>
    <w:p>
      <w:pPr>
        <w:numPr>
          <w:ilvl w:val="0"/>
          <w:numId w:val="1"/>
        </w:num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交货地点：</w:t>
      </w:r>
      <w:r>
        <w:rPr>
          <w:rFonts w:hint="eastAsia" w:ascii="宋体" w:hAnsi="宋体" w:eastAsia="宋体" w:cs="宋体"/>
          <w:color w:val="auto"/>
          <w:kern w:val="0"/>
          <w:sz w:val="24"/>
          <w:szCs w:val="24"/>
          <w:highlight w:val="none"/>
        </w:rPr>
        <w:t>采购人</w:t>
      </w:r>
      <w:r>
        <w:rPr>
          <w:rFonts w:hint="eastAsia" w:ascii="宋体" w:hAnsi="宋体" w:eastAsia="宋体" w:cs="宋体"/>
          <w:color w:val="auto"/>
          <w:sz w:val="24"/>
          <w:szCs w:val="24"/>
          <w:highlight w:val="none"/>
        </w:rPr>
        <w:t>指定</w:t>
      </w:r>
      <w:r>
        <w:rPr>
          <w:rFonts w:hint="eastAsia" w:ascii="宋体" w:hAnsi="宋体" w:eastAsia="宋体" w:cs="宋体"/>
          <w:color w:val="auto"/>
          <w:sz w:val="24"/>
          <w:szCs w:val="24"/>
          <w:highlight w:val="none"/>
          <w:lang w:val="en-US" w:eastAsia="zh-CN"/>
        </w:rPr>
        <w:t>攀枝花市市</w:t>
      </w:r>
      <w:r>
        <w:rPr>
          <w:rFonts w:hint="eastAsia" w:ascii="宋体" w:hAnsi="宋体" w:eastAsia="宋体" w:cs="宋体"/>
          <w:color w:val="auto"/>
          <w:sz w:val="24"/>
          <w:szCs w:val="24"/>
          <w:highlight w:val="none"/>
        </w:rPr>
        <w:t>内地点。</w:t>
      </w:r>
    </w:p>
    <w:p>
      <w:pPr>
        <w:numPr>
          <w:ilvl w:val="0"/>
          <w:numId w:val="1"/>
        </w:numPr>
        <w:shd w:val="clea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交货资料:投标时提供的佐证材料复印件和其他投标文件要求的材料。</w:t>
      </w:r>
    </w:p>
    <w:p>
      <w:pPr>
        <w:pStyle w:val="12"/>
        <w:shd w:val="clear"/>
        <w:spacing w:line="360" w:lineRule="auto"/>
        <w:jc w:val="both"/>
        <w:rPr>
          <w:rFonts w:hint="eastAsia" w:ascii="宋体" w:hAnsi="宋体" w:eastAsia="宋体" w:cs="宋体"/>
          <w:bCs/>
          <w:color w:val="auto"/>
          <w:kern w:val="2"/>
          <w:sz w:val="24"/>
          <w:szCs w:val="24"/>
          <w:highlight w:val="none"/>
          <w:lang w:val="zh-CN"/>
        </w:rPr>
      </w:pPr>
      <w:r>
        <w:rPr>
          <w:rFonts w:hint="eastAsia" w:ascii="宋体" w:hAnsi="宋体" w:eastAsia="宋体" w:cs="宋体"/>
          <w:b/>
          <w:color w:val="auto"/>
          <w:kern w:val="2"/>
          <w:sz w:val="24"/>
          <w:szCs w:val="24"/>
          <w:highlight w:val="none"/>
        </w:rPr>
        <w:t>（四）履约保证金：</w:t>
      </w:r>
      <w:r>
        <w:rPr>
          <w:rFonts w:hint="eastAsia" w:ascii="宋体" w:hAnsi="宋体" w:eastAsia="宋体" w:cs="宋体"/>
          <w:bCs/>
          <w:color w:val="auto"/>
          <w:kern w:val="2"/>
          <w:sz w:val="24"/>
          <w:szCs w:val="24"/>
          <w:highlight w:val="none"/>
          <w:lang w:val="zh-CN"/>
        </w:rPr>
        <w:t>金额：采购合同总金额的</w:t>
      </w:r>
      <w:r>
        <w:rPr>
          <w:rFonts w:hint="eastAsia" w:ascii="宋体" w:hAnsi="宋体" w:eastAsia="宋体" w:cs="宋体"/>
          <w:bCs/>
          <w:color w:val="auto"/>
          <w:kern w:val="2"/>
          <w:sz w:val="24"/>
          <w:szCs w:val="24"/>
          <w:highlight w:val="none"/>
        </w:rPr>
        <w:t>3</w:t>
      </w:r>
      <w:r>
        <w:rPr>
          <w:rFonts w:hint="eastAsia" w:ascii="宋体" w:hAnsi="宋体" w:eastAsia="宋体" w:cs="宋体"/>
          <w:bCs/>
          <w:color w:val="auto"/>
          <w:kern w:val="2"/>
          <w:sz w:val="24"/>
          <w:szCs w:val="24"/>
          <w:highlight w:val="none"/>
          <w:lang w:val="zh-CN"/>
        </w:rPr>
        <w:t>%。</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交款方式：履约保证金可以以支票、汇票、本票或者</w:t>
      </w:r>
      <w:r>
        <w:rPr>
          <w:rFonts w:hint="eastAsia" w:cs="宋体"/>
          <w:bCs/>
          <w:color w:val="auto"/>
          <w:kern w:val="2"/>
          <w:sz w:val="24"/>
          <w:szCs w:val="24"/>
          <w:highlight w:val="none"/>
          <w:lang w:val="en-US" w:eastAsia="zh-CN"/>
        </w:rPr>
        <w:t>担保</w:t>
      </w:r>
      <w:r>
        <w:rPr>
          <w:rFonts w:hint="eastAsia" w:ascii="宋体" w:hAnsi="宋体" w:eastAsia="宋体" w:cs="宋体"/>
          <w:bCs/>
          <w:color w:val="auto"/>
          <w:kern w:val="2"/>
          <w:sz w:val="24"/>
          <w:szCs w:val="24"/>
          <w:highlight w:val="none"/>
          <w:lang w:val="zh-CN"/>
        </w:rPr>
        <w:t>机构出具的保函等非现金形式提交（包括网银转账，电汇等方式）。</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收款单位：攀枝花市消防救援支队。</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交款时间：中标通知书发放后，</w:t>
      </w:r>
      <w:r>
        <w:rPr>
          <w:rFonts w:hint="eastAsia" w:ascii="宋体" w:hAnsi="宋体" w:eastAsia="宋体" w:cs="宋体"/>
          <w:bCs/>
          <w:color w:val="auto"/>
          <w:kern w:val="2"/>
          <w:sz w:val="24"/>
          <w:szCs w:val="24"/>
          <w:highlight w:val="none"/>
          <w:lang w:val="en-US" w:eastAsia="zh-CN"/>
        </w:rPr>
        <w:t>政府采购</w:t>
      </w:r>
      <w:r>
        <w:rPr>
          <w:rFonts w:hint="eastAsia" w:ascii="宋体" w:hAnsi="宋体" w:eastAsia="宋体" w:cs="宋体"/>
          <w:bCs/>
          <w:color w:val="auto"/>
          <w:kern w:val="2"/>
          <w:sz w:val="24"/>
          <w:szCs w:val="24"/>
          <w:highlight w:val="none"/>
          <w:lang w:val="zh-CN"/>
        </w:rPr>
        <w:t>合同签订前。</w:t>
      </w:r>
    </w:p>
    <w:p>
      <w:pPr>
        <w:pStyle w:val="12"/>
        <w:shd w:val="clea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采用</w:t>
      </w:r>
      <w:r>
        <w:rPr>
          <w:rFonts w:hint="eastAsia" w:cs="宋体"/>
          <w:color w:val="auto"/>
          <w:sz w:val="24"/>
          <w:szCs w:val="24"/>
          <w:highlight w:val="none"/>
          <w:lang w:val="en-US" w:eastAsia="zh-CN" w:bidi="ar"/>
        </w:rPr>
        <w:t>担保</w:t>
      </w:r>
      <w:r>
        <w:rPr>
          <w:rFonts w:hint="eastAsia" w:ascii="宋体" w:hAnsi="宋体" w:eastAsia="宋体" w:cs="宋体"/>
          <w:color w:val="auto"/>
          <w:sz w:val="24"/>
          <w:szCs w:val="24"/>
          <w:highlight w:val="none"/>
          <w:lang w:bidi="ar"/>
        </w:rPr>
        <w:t>机构出具的保函方式提交履约保证金的，保函必须符合以下规定：</w:t>
      </w:r>
    </w:p>
    <w:p>
      <w:pPr>
        <w:pStyle w:val="12"/>
        <w:shd w:val="clea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a.保函应为</w:t>
      </w:r>
      <w:r>
        <w:rPr>
          <w:rFonts w:hint="eastAsia" w:cs="宋体"/>
          <w:color w:val="auto"/>
          <w:sz w:val="24"/>
          <w:szCs w:val="24"/>
          <w:highlight w:val="none"/>
          <w:lang w:val="en-US" w:eastAsia="zh-CN" w:bidi="ar"/>
        </w:rPr>
        <w:t>担保机构</w:t>
      </w:r>
      <w:r>
        <w:rPr>
          <w:rFonts w:hint="eastAsia" w:ascii="宋体" w:hAnsi="宋体" w:eastAsia="宋体" w:cs="宋体"/>
          <w:color w:val="auto"/>
          <w:sz w:val="24"/>
          <w:szCs w:val="24"/>
          <w:highlight w:val="none"/>
          <w:lang w:bidi="ar"/>
        </w:rPr>
        <w:t>出具的合法保函，且应为无条件保函，并有详细明显的验证方法；</w:t>
      </w:r>
    </w:p>
    <w:p>
      <w:pPr>
        <w:pStyle w:val="12"/>
        <w:shd w:val="clea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b.保函的受益人为</w:t>
      </w:r>
      <w:r>
        <w:rPr>
          <w:rFonts w:hint="eastAsia" w:ascii="宋体" w:hAnsi="宋体" w:eastAsia="宋体" w:cs="宋体"/>
          <w:bCs/>
          <w:color w:val="auto"/>
          <w:kern w:val="2"/>
          <w:sz w:val="24"/>
          <w:szCs w:val="24"/>
          <w:highlight w:val="none"/>
          <w:lang w:val="zh-CN"/>
        </w:rPr>
        <w:t>攀枝花市消防救援支队</w:t>
      </w:r>
      <w:r>
        <w:rPr>
          <w:rFonts w:hint="eastAsia" w:ascii="宋体" w:hAnsi="宋体" w:eastAsia="宋体" w:cs="宋体"/>
          <w:color w:val="auto"/>
          <w:sz w:val="24"/>
          <w:szCs w:val="24"/>
          <w:highlight w:val="none"/>
          <w:lang w:bidi="ar"/>
        </w:rPr>
        <w:t>；</w:t>
      </w:r>
    </w:p>
    <w:p>
      <w:pPr>
        <w:pStyle w:val="12"/>
        <w:shd w:val="clea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c.保函的内容包括但不限于</w:t>
      </w:r>
      <w:r>
        <w:rPr>
          <w:rFonts w:hint="eastAsia"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名称、项目名称（如有分包，载明分包号）、项目编号、履约金额、保函的有效期</w:t>
      </w:r>
      <w:r>
        <w:rPr>
          <w:rFonts w:hint="eastAsia" w:ascii="宋体" w:hAnsi="宋体" w:eastAsia="宋体" w:cs="宋体"/>
          <w:color w:val="auto"/>
          <w:sz w:val="24"/>
          <w:szCs w:val="24"/>
          <w:highlight w:val="none"/>
          <w:lang w:val="zh-CN"/>
        </w:rPr>
        <w:t>（考虑到交货、验收等不确定因素，采用保函形式提交履约保证金的，保函有效期应不短于2年）</w:t>
      </w:r>
      <w:r>
        <w:rPr>
          <w:rFonts w:hint="eastAsia" w:ascii="宋体" w:hAnsi="宋体" w:eastAsia="宋体" w:cs="宋体"/>
          <w:color w:val="auto"/>
          <w:sz w:val="24"/>
          <w:szCs w:val="24"/>
          <w:highlight w:val="none"/>
          <w:lang w:bidi="ar"/>
        </w:rPr>
        <w:t>、担保的内容（即：如因</w:t>
      </w:r>
      <w:r>
        <w:rPr>
          <w:rFonts w:hint="eastAsia"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原因发生法律法规或合同规定的</w:t>
      </w:r>
      <w:r>
        <w:rPr>
          <w:rFonts w:hint="eastAsia" w:ascii="宋体" w:hAnsi="宋体" w:eastAsia="宋体" w:cs="宋体"/>
          <w:bCs/>
          <w:color w:val="auto"/>
          <w:kern w:val="2"/>
          <w:sz w:val="24"/>
          <w:szCs w:val="24"/>
          <w:highlight w:val="none"/>
        </w:rPr>
        <w:t>履约</w:t>
      </w:r>
      <w:r>
        <w:rPr>
          <w:rFonts w:hint="eastAsia" w:ascii="宋体" w:hAnsi="宋体" w:eastAsia="宋体" w:cs="宋体"/>
          <w:color w:val="auto"/>
          <w:sz w:val="24"/>
          <w:szCs w:val="24"/>
          <w:highlight w:val="none"/>
          <w:lang w:bidi="ar"/>
        </w:rPr>
        <w:t>保证金不予退还或扣除的情况，由</w:t>
      </w:r>
      <w:r>
        <w:rPr>
          <w:rFonts w:hint="eastAsia" w:cs="宋体"/>
          <w:color w:val="auto"/>
          <w:sz w:val="24"/>
          <w:szCs w:val="24"/>
          <w:highlight w:val="none"/>
          <w:lang w:val="en-US" w:eastAsia="zh-CN" w:bidi="ar"/>
        </w:rPr>
        <w:t>担保机构</w:t>
      </w:r>
      <w:r>
        <w:rPr>
          <w:rFonts w:hint="eastAsia" w:ascii="宋体" w:hAnsi="宋体" w:eastAsia="宋体" w:cs="宋体"/>
          <w:color w:val="auto"/>
          <w:sz w:val="24"/>
          <w:szCs w:val="24"/>
          <w:highlight w:val="none"/>
          <w:lang w:bidi="ar"/>
        </w:rPr>
        <w:t>向受益人足额支付履约保证金）；</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履约保证金退还方式：①以网银转账、电汇等方式提交的，履约保证金以网银转账、电汇等方式退至转款账户；②以保函方式提交的，退还保函原件。</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zh-CN"/>
        </w:rPr>
        <w:t>履约保证金退还时间：验收合格后</w:t>
      </w:r>
      <w:r>
        <w:rPr>
          <w:rFonts w:hint="eastAsia" w:ascii="宋体" w:hAnsi="宋体" w:eastAsia="宋体" w:cs="宋体"/>
          <w:bCs/>
          <w:color w:val="auto"/>
          <w:kern w:val="2"/>
          <w:sz w:val="24"/>
          <w:szCs w:val="24"/>
          <w:highlight w:val="none"/>
        </w:rPr>
        <w:t>18个月</w:t>
      </w:r>
      <w:r>
        <w:rPr>
          <w:rFonts w:hint="eastAsia" w:ascii="宋体" w:hAnsi="宋体" w:eastAsia="宋体" w:cs="宋体"/>
          <w:bCs/>
          <w:color w:val="auto"/>
          <w:kern w:val="2"/>
          <w:sz w:val="24"/>
          <w:szCs w:val="24"/>
          <w:highlight w:val="none"/>
          <w:lang w:val="zh-CN"/>
        </w:rPr>
        <w:t>，</w:t>
      </w:r>
      <w:r>
        <w:rPr>
          <w:rFonts w:hint="eastAsia" w:ascii="宋体" w:hAnsi="宋体" w:eastAsia="宋体" w:cs="宋体"/>
          <w:bCs/>
          <w:color w:val="auto"/>
          <w:kern w:val="2"/>
          <w:sz w:val="24"/>
          <w:szCs w:val="24"/>
          <w:highlight w:val="none"/>
        </w:rPr>
        <w:t>乙方提出退款申请之日起</w:t>
      </w:r>
      <w:r>
        <w:rPr>
          <w:rFonts w:hint="eastAsia" w:ascii="宋体" w:hAnsi="宋体" w:eastAsia="宋体" w:cs="宋体"/>
          <w:bCs/>
          <w:color w:val="auto"/>
          <w:kern w:val="2"/>
          <w:sz w:val="24"/>
          <w:szCs w:val="24"/>
          <w:highlight w:val="none"/>
          <w:lang w:val="zh-CN"/>
        </w:rPr>
        <w:t>，</w:t>
      </w:r>
      <w:r>
        <w:rPr>
          <w:rFonts w:hint="eastAsia" w:ascii="宋体" w:hAnsi="宋体" w:eastAsia="宋体" w:cs="宋体"/>
          <w:bCs/>
          <w:color w:val="auto"/>
          <w:kern w:val="2"/>
          <w:sz w:val="24"/>
          <w:szCs w:val="24"/>
          <w:highlight w:val="none"/>
        </w:rPr>
        <w:t>15</w:t>
      </w:r>
      <w:r>
        <w:rPr>
          <w:rFonts w:hint="eastAsia" w:ascii="宋体" w:hAnsi="宋体" w:eastAsia="宋体" w:cs="宋体"/>
          <w:bCs/>
          <w:color w:val="auto"/>
          <w:kern w:val="2"/>
          <w:sz w:val="24"/>
          <w:szCs w:val="24"/>
          <w:highlight w:val="none"/>
          <w:lang w:val="zh-CN"/>
        </w:rPr>
        <w:t>个工作日内无息退还。采购人逾期退还</w:t>
      </w:r>
      <w:r>
        <w:rPr>
          <w:rFonts w:hint="eastAsia" w:ascii="宋体" w:hAnsi="宋体" w:eastAsia="宋体" w:cs="宋体"/>
          <w:bCs/>
          <w:color w:val="auto"/>
          <w:kern w:val="2"/>
          <w:sz w:val="24"/>
          <w:szCs w:val="24"/>
          <w:highlight w:val="none"/>
        </w:rPr>
        <w:t>的</w:t>
      </w:r>
      <w:r>
        <w:rPr>
          <w:rFonts w:hint="eastAsia" w:ascii="宋体" w:hAnsi="宋体" w:eastAsia="宋体" w:cs="宋体"/>
          <w:bCs/>
          <w:color w:val="auto"/>
          <w:kern w:val="2"/>
          <w:sz w:val="24"/>
          <w:szCs w:val="24"/>
          <w:highlight w:val="none"/>
          <w:lang w:val="zh-CN"/>
        </w:rPr>
        <w:t>，将承担应退还金额</w:t>
      </w:r>
      <w:r>
        <w:rPr>
          <w:rFonts w:hint="eastAsia" w:ascii="宋体" w:hAnsi="宋体" w:eastAsia="宋体" w:cs="宋体"/>
          <w:bCs/>
          <w:color w:val="auto"/>
          <w:kern w:val="2"/>
          <w:sz w:val="24"/>
          <w:szCs w:val="24"/>
          <w:highlight w:val="none"/>
        </w:rPr>
        <w:t>万</w:t>
      </w:r>
      <w:r>
        <w:rPr>
          <w:rFonts w:hint="eastAsia" w:ascii="宋体" w:hAnsi="宋体" w:eastAsia="宋体" w:cs="宋体"/>
          <w:bCs/>
          <w:color w:val="auto"/>
          <w:kern w:val="2"/>
          <w:sz w:val="24"/>
          <w:szCs w:val="24"/>
          <w:highlight w:val="none"/>
          <w:lang w:val="zh-CN"/>
        </w:rPr>
        <w:t>分之一每天的违约金。</w:t>
      </w:r>
      <w:r>
        <w:rPr>
          <w:rFonts w:hint="eastAsia" w:ascii="宋体" w:hAnsi="宋体" w:eastAsia="宋体" w:cs="宋体"/>
          <w:bCs/>
          <w:color w:val="auto"/>
          <w:sz w:val="24"/>
          <w:szCs w:val="24"/>
          <w:highlight w:val="none"/>
        </w:rPr>
        <w:t>若遇项目单位因财务结算等原因封账而导致无法支付相应价款的，顺延至具备支付条件</w:t>
      </w:r>
      <w:r>
        <w:rPr>
          <w:rFonts w:hint="eastAsia" w:ascii="宋体" w:hAnsi="宋体" w:eastAsia="宋体" w:cs="宋体"/>
          <w:color w:val="auto"/>
          <w:sz w:val="24"/>
          <w:szCs w:val="24"/>
          <w:highlight w:val="none"/>
        </w:rPr>
        <w:t>之日起15个工作日内</w:t>
      </w:r>
      <w:r>
        <w:rPr>
          <w:rFonts w:hint="eastAsia" w:ascii="宋体" w:hAnsi="宋体" w:eastAsia="宋体" w:cs="宋体"/>
          <w:bCs/>
          <w:color w:val="auto"/>
          <w:sz w:val="24"/>
          <w:szCs w:val="24"/>
          <w:highlight w:val="none"/>
        </w:rPr>
        <w:t>，且不视为采购人违约。</w:t>
      </w:r>
    </w:p>
    <w:p>
      <w:pPr>
        <w:pStyle w:val="12"/>
        <w:shd w:val="clear"/>
        <w:spacing w:line="360" w:lineRule="auto"/>
        <w:ind w:firstLine="480" w:firstLineChars="200"/>
        <w:jc w:val="both"/>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履约保证金不予退还情形：出现合同约定的不予退还情形。</w:t>
      </w:r>
    </w:p>
    <w:p>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履约保证金不予退还的，将按照有关规定上缴国库。逾期退还履约保证金的，将依法</w:t>
      </w:r>
      <w:r>
        <w:rPr>
          <w:rFonts w:hint="eastAsia" w:ascii="宋体" w:hAnsi="宋体" w:eastAsia="宋体" w:cs="宋体"/>
          <w:color w:val="auto"/>
          <w:sz w:val="24"/>
          <w:szCs w:val="24"/>
          <w:highlight w:val="none"/>
          <w:lang w:val="zh-CN"/>
        </w:rPr>
        <w:t>承担法律责任，并赔偿</w:t>
      </w:r>
      <w:r>
        <w:rPr>
          <w:rFonts w:hint="eastAsia" w:ascii="宋体" w:hAnsi="宋体" w:cs="宋体"/>
          <w:color w:val="auto"/>
          <w:sz w:val="24"/>
          <w:szCs w:val="24"/>
          <w:highlight w:val="none"/>
          <w:lang w:val="zh-CN"/>
        </w:rPr>
        <w:t>投标人</w:t>
      </w:r>
      <w:r>
        <w:rPr>
          <w:rFonts w:hint="eastAsia" w:ascii="宋体" w:hAnsi="宋体" w:eastAsia="宋体" w:cs="宋体"/>
          <w:color w:val="auto"/>
          <w:sz w:val="24"/>
          <w:szCs w:val="24"/>
          <w:highlight w:val="none"/>
          <w:lang w:val="zh-CN"/>
        </w:rPr>
        <w:t>损失。</w:t>
      </w:r>
    </w:p>
    <w:p>
      <w:pPr>
        <w:shd w:val="clea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（五）付款方式及时间：</w:t>
      </w:r>
    </w:p>
    <w:p>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1、合同签订前，</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向采购人支付合同总额3%的履约保证金；</w:t>
      </w:r>
    </w:p>
    <w:p>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2、合同生效后15个工作日内，</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在收到</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提供的合法合规发票及相关凭证资料后，</w:t>
      </w:r>
      <w:r>
        <w:rPr>
          <w:rFonts w:hint="eastAsia" w:ascii="宋体" w:hAnsi="宋体" w:cs="宋体"/>
          <w:color w:val="auto"/>
          <w:sz w:val="24"/>
          <w:szCs w:val="24"/>
          <w:highlight w:val="none"/>
          <w:lang w:val="en-US" w:eastAsia="zh-CN"/>
        </w:rPr>
        <w:t>以银行转账方式</w:t>
      </w:r>
      <w:r>
        <w:rPr>
          <w:rFonts w:hint="eastAsia" w:ascii="宋体" w:hAnsi="宋体" w:eastAsia="宋体" w:cs="宋体"/>
          <w:color w:val="auto"/>
          <w:sz w:val="24"/>
          <w:szCs w:val="24"/>
          <w:highlight w:val="none"/>
        </w:rPr>
        <w:t>支付合同总金额的30%合同款（以合同约定为准）；在货物验收合格后15个工作日内，</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在收到</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提供的合法合规发票及相关凭证资料后，</w:t>
      </w:r>
      <w:r>
        <w:rPr>
          <w:rFonts w:hint="eastAsia" w:ascii="宋体" w:hAnsi="宋体" w:cs="宋体"/>
          <w:color w:val="auto"/>
          <w:sz w:val="24"/>
          <w:szCs w:val="24"/>
          <w:highlight w:val="none"/>
          <w:lang w:val="en-US" w:eastAsia="zh-CN"/>
        </w:rPr>
        <w:t>以银行转账方式</w:t>
      </w:r>
      <w:r>
        <w:rPr>
          <w:rFonts w:hint="eastAsia"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至</w:t>
      </w:r>
      <w:r>
        <w:rPr>
          <w:rFonts w:hint="eastAsia" w:ascii="宋体" w:hAnsi="宋体" w:eastAsia="宋体" w:cs="宋体"/>
          <w:color w:val="auto"/>
          <w:sz w:val="24"/>
          <w:szCs w:val="24"/>
          <w:highlight w:val="none"/>
        </w:rPr>
        <w:t>合同总金额的100%合同款（以合同约定为准）。</w:t>
      </w:r>
    </w:p>
    <w:p>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（六）售后服务</w:t>
      </w:r>
    </w:p>
    <w:p>
      <w:pPr>
        <w:pStyle w:val="5"/>
        <w:shd w:val="clear"/>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1、保修期：不少于3年。保修期期内提供7×24小时维修电话服务。易损配件及零件储备期不少于5年。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技术参数中另有要求的除外</w:t>
      </w:r>
      <w:r>
        <w:rPr>
          <w:rFonts w:hint="eastAsia" w:ascii="宋体" w:hAnsi="宋体" w:cs="宋体"/>
          <w:color w:val="auto"/>
          <w:sz w:val="24"/>
          <w:szCs w:val="24"/>
          <w:highlight w:val="none"/>
          <w:lang w:eastAsia="zh-CN"/>
        </w:rPr>
        <w:t>）</w:t>
      </w:r>
    </w:p>
    <w:p>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2、支持重大故障或特殊故障的紧急远程或现场抢修。一般故障，30分钟响应、4小时内到场、24小时内维修完毕；重大故障或特殊故障，30分钟响应、4小时内到场、72小时维修完毕。</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3、未经采购人同意，维修维护使用的备品备件及易损件，不得为非原厂件。</w:t>
      </w:r>
    </w:p>
    <w:p>
      <w:pPr>
        <w:shd w:val="clea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rPr>
        <w:t>需建立相应的售后维护档案，每次故障维修提交报告，并提出预防性维护措施，记录每次故障响应服务和预防性维护的详细情况。</w:t>
      </w:r>
    </w:p>
    <w:p>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rPr>
        <w:t>需建立专门的回访制度，设立专职服务人员，为</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提供至少每季度一次的回访、技术咨询和技术培训等服务。</w:t>
      </w:r>
    </w:p>
    <w:p>
      <w:pPr>
        <w:shd w:val="clea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（七）验收要求</w:t>
      </w:r>
    </w:p>
    <w:p>
      <w:pPr>
        <w:shd w:val="clea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在合同约定内容全部履行完毕后，采购人按验收标准进行验收。</w:t>
      </w:r>
    </w:p>
    <w:p>
      <w:pPr>
        <w:pStyle w:val="5"/>
        <w:shd w:val="clear"/>
        <w:spacing w:after="0" w:afterLines="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验收内容如下：</w:t>
      </w:r>
    </w:p>
    <w:p>
      <w:pPr>
        <w:numPr>
          <w:ilvl w:val="0"/>
          <w:numId w:val="0"/>
        </w:numPr>
        <w:shd w:val="clear"/>
        <w:spacing w:beforeAutospacing="0"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履约验收主体：</w:t>
      </w:r>
      <w:r>
        <w:rPr>
          <w:rFonts w:hint="eastAsia" w:ascii="宋体" w:hAnsi="宋体" w:eastAsia="宋体" w:cs="宋体"/>
          <w:color w:val="auto"/>
          <w:kern w:val="0"/>
          <w:sz w:val="24"/>
          <w:szCs w:val="24"/>
          <w:highlight w:val="none"/>
          <w:lang w:val="en-US" w:eastAsia="zh-CN"/>
        </w:rPr>
        <w:t>攀枝花市</w:t>
      </w:r>
      <w:r>
        <w:rPr>
          <w:rFonts w:hint="eastAsia" w:ascii="宋体" w:hAnsi="宋体" w:eastAsia="宋体" w:cs="宋体"/>
          <w:color w:val="auto"/>
          <w:kern w:val="0"/>
          <w:sz w:val="24"/>
          <w:szCs w:val="24"/>
          <w:highlight w:val="none"/>
        </w:rPr>
        <w:t>消防救援支队</w:t>
      </w:r>
    </w:p>
    <w:p>
      <w:pPr>
        <w:numPr>
          <w:ilvl w:val="0"/>
          <w:numId w:val="0"/>
        </w:numPr>
        <w:shd w:val="clea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履约验收时间：合同履约完成后15日内。</w:t>
      </w:r>
    </w:p>
    <w:p>
      <w:pPr>
        <w:numPr>
          <w:ilvl w:val="0"/>
          <w:numId w:val="0"/>
        </w:numPr>
        <w:shd w:val="clea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验收组织方式：自行验收</w:t>
      </w:r>
    </w:p>
    <w:p>
      <w:pPr>
        <w:numPr>
          <w:ilvl w:val="0"/>
          <w:numId w:val="0"/>
        </w:numPr>
        <w:shd w:val="clea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履约验收程序：一次性验收</w:t>
      </w:r>
    </w:p>
    <w:p>
      <w:pPr>
        <w:numPr>
          <w:ilvl w:val="0"/>
          <w:numId w:val="0"/>
        </w:numPr>
        <w:shd w:val="clea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服务履约验收内容：按照本项目招标文件中“技术参数要求”及中标人投标文件进行验收。</w:t>
      </w:r>
    </w:p>
    <w:p>
      <w:pPr>
        <w:numPr>
          <w:ilvl w:val="0"/>
          <w:numId w:val="0"/>
        </w:numPr>
        <w:shd w:val="clea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商务履约验收内容：按照本项目招标文件中“商务要求”及中标人投标文件进行验收。</w:t>
      </w:r>
    </w:p>
    <w:p>
      <w:pPr>
        <w:shd w:val="clea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履约验收标准：按照《财政部关于进一步加强政府采购需求和履约验收管理的指导意见》（财库〔2016〕205号）等政府采购相关法律法规的要求进行。</w:t>
      </w:r>
    </w:p>
    <w:p>
      <w:pPr>
        <w:shd w:val="clear"/>
        <w:spacing w:line="360" w:lineRule="auto"/>
        <w:ind w:firstLine="480" w:firstLineChars="200"/>
        <w:rPr>
          <w:rFonts w:hint="eastAsia" w:ascii="宋体" w:hAnsi="宋体" w:eastAsia="宋体" w:cs="宋体"/>
          <w:color w:val="auto"/>
          <w:sz w:val="24"/>
          <w:szCs w:val="24"/>
          <w:highlight w:val="none"/>
        </w:rPr>
      </w:pPr>
    </w:p>
    <w:p>
      <w:pPr>
        <w:shd w:val="clea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（八）其他要求</w:t>
      </w:r>
    </w:p>
    <w:p>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2、政府采购合同签订前，中标人须将投标文件中关于技术参数的佐证材料原件交于采购人复核，若未在规定时间内提供的，采购人将以投标人涉嫌虚假响应报告财政部门。</w:t>
      </w:r>
    </w:p>
    <w:p>
      <w:pPr>
        <w:shd w:val="clear"/>
        <w:spacing w:line="360" w:lineRule="auto"/>
        <w:rPr>
          <w:rFonts w:hint="eastAsia" w:ascii="宋体" w:hAnsi="宋体" w:eastAsia="宋体" w:cs="宋体"/>
          <w:b/>
          <w:bCs/>
          <w:color w:val="auto"/>
          <w:sz w:val="24"/>
          <w:szCs w:val="24"/>
          <w:highlight w:val="none"/>
        </w:rPr>
      </w:pPr>
    </w:p>
    <w:p>
      <w:pPr>
        <w:pStyle w:val="5"/>
        <w:keepNext w:val="0"/>
        <w:keepLines w:val="0"/>
        <w:pageBreakBefore w:val="0"/>
        <w:widowControl w:val="0"/>
        <w:shd w:val="clear"/>
        <w:kinsoku/>
        <w:wordWrap/>
        <w:overflowPunct/>
        <w:topLinePunct w:val="0"/>
        <w:bidi w:val="0"/>
        <w:snapToGrid/>
        <w:spacing w:after="0" w:line="348"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注：1、★项为实质性要求，不允许负偏离，</w:t>
      </w:r>
      <w:r>
        <w:rPr>
          <w:rFonts w:hint="eastAsia" w:ascii="宋体" w:hAnsi="宋体" w:cs="宋体"/>
          <w:b/>
          <w:bCs/>
          <w:color w:val="auto"/>
          <w:sz w:val="24"/>
          <w:szCs w:val="24"/>
          <w:highlight w:val="none"/>
          <w:lang w:eastAsia="zh-CN"/>
        </w:rPr>
        <w:t>技术</w:t>
      </w:r>
      <w:r>
        <w:rPr>
          <w:rFonts w:hint="eastAsia" w:ascii="宋体" w:hAnsi="宋体" w:cs="宋体"/>
          <w:b/>
          <w:bCs/>
          <w:color w:val="auto"/>
          <w:sz w:val="24"/>
          <w:szCs w:val="24"/>
          <w:highlight w:val="none"/>
          <w:lang w:val="en-US" w:eastAsia="zh-CN"/>
        </w:rPr>
        <w:t>参数中有要求提供证明材料的，还应按要求提供证明材料，</w:t>
      </w:r>
      <w:r>
        <w:rPr>
          <w:rFonts w:hint="eastAsia" w:ascii="宋体" w:hAnsi="宋体" w:cs="宋体"/>
          <w:b/>
          <w:bCs/>
          <w:color w:val="auto"/>
          <w:sz w:val="24"/>
          <w:szCs w:val="24"/>
          <w:highlight w:val="none"/>
        </w:rPr>
        <w:t>否则作无效投标处理；▲项为重要参数，无标记项为一般参数</w:t>
      </w:r>
      <w:r>
        <w:rPr>
          <w:rFonts w:hint="eastAsia" w:ascii="宋体" w:hAnsi="宋体" w:cs="宋体"/>
          <w:b/>
          <w:bCs/>
          <w:color w:val="auto"/>
          <w:sz w:val="24"/>
          <w:szCs w:val="24"/>
          <w:highlight w:val="none"/>
          <w:lang w:eastAsia="zh-CN"/>
        </w:rPr>
        <w:t>（技术</w:t>
      </w:r>
      <w:r>
        <w:rPr>
          <w:rFonts w:hint="eastAsia" w:ascii="宋体" w:hAnsi="宋体" w:cs="宋体"/>
          <w:b/>
          <w:bCs/>
          <w:color w:val="auto"/>
          <w:sz w:val="24"/>
          <w:szCs w:val="24"/>
          <w:highlight w:val="none"/>
          <w:lang w:val="en-US" w:eastAsia="zh-CN"/>
        </w:rPr>
        <w:t>参数中有要求提供证明材料的，还应按要求提供证明材料</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，若为负偏离将作不同分值的扣分(详见各标包评分明细表)。</w:t>
      </w:r>
    </w:p>
    <w:p>
      <w:pPr>
        <w:keepNext w:val="0"/>
        <w:keepLines w:val="0"/>
        <w:pageBreakBefore w:val="0"/>
        <w:widowControl w:val="0"/>
        <w:shd w:val="clear"/>
        <w:kinsoku/>
        <w:wordWrap/>
        <w:overflowPunct/>
        <w:topLinePunct w:val="0"/>
        <w:bidi w:val="0"/>
        <w:snapToGrid/>
        <w:spacing w:line="348"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2、带有“▲”标志的技术参数指标，</w:t>
      </w:r>
      <w:r>
        <w:rPr>
          <w:rFonts w:hint="eastAsia" w:ascii="宋体" w:hAnsi="宋体" w:cs="宋体"/>
          <w:b/>
          <w:bCs/>
          <w:color w:val="auto"/>
          <w:sz w:val="24"/>
          <w:szCs w:val="24"/>
          <w:highlight w:val="none"/>
          <w:lang w:val="en-US" w:eastAsia="zh-CN"/>
        </w:rPr>
        <w:t>需</w:t>
      </w:r>
      <w:r>
        <w:rPr>
          <w:rFonts w:hint="eastAsia" w:ascii="宋体" w:hAnsi="宋体" w:cs="宋体"/>
          <w:b/>
          <w:bCs/>
          <w:color w:val="auto"/>
          <w:sz w:val="24"/>
          <w:szCs w:val="24"/>
          <w:highlight w:val="none"/>
        </w:rPr>
        <w:t>提供国家认可的具备相关资质的第三方检测机构出具的检测检验报告佐证（技术参数中另有要求提供其它证明材料的除外），所提供的检测（检验）报告应完整有效</w:t>
      </w:r>
      <w:r>
        <w:rPr>
          <w:rFonts w:hint="eastAsia" w:ascii="宋体" w:hAnsi="宋体" w:cs="宋体"/>
          <w:b/>
          <w:bCs/>
          <w:color w:val="auto"/>
          <w:sz w:val="24"/>
          <w:szCs w:val="24"/>
          <w:highlight w:val="none"/>
          <w:lang w:eastAsia="zh-CN"/>
        </w:rPr>
        <w:t>。</w:t>
      </w:r>
    </w:p>
    <w:p>
      <w:pPr>
        <w:keepNext w:val="0"/>
        <w:keepLines w:val="0"/>
        <w:pageBreakBefore w:val="0"/>
        <w:widowControl w:val="0"/>
        <w:shd w:val="clear"/>
        <w:kinsoku/>
        <w:wordWrap/>
        <w:overflowPunct/>
        <w:topLinePunct w:val="0"/>
        <w:bidi w:val="0"/>
        <w:snapToGrid/>
        <w:spacing w:line="348" w:lineRule="auto"/>
        <w:ind w:firstLine="482" w:firstLineChars="200"/>
        <w:textAlignment w:val="auto"/>
        <w:rPr>
          <w:rFonts w:hint="eastAsia" w:ascii="宋体" w:hAnsi="宋体" w:eastAsia="宋体" w:cs="宋体"/>
          <w:color w:val="auto"/>
          <w:highlight w:val="none"/>
        </w:rPr>
      </w:pPr>
      <w:r>
        <w:rPr>
          <w:rFonts w:hint="eastAsia" w:ascii="宋体" w:hAnsi="宋体" w:cs="宋体"/>
          <w:b/>
          <w:bCs/>
          <w:color w:val="auto"/>
          <w:sz w:val="24"/>
          <w:szCs w:val="24"/>
          <w:highlight w:val="none"/>
        </w:rPr>
        <w:t>3、响应内容与所提供检测报告不一致的内容，以检测</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检验</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报告为准。</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AF7A38"/>
    <w:multiLevelType w:val="singleLevel"/>
    <w:tmpl w:val="39AF7A38"/>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mMjllYzllOTMzZGNhM2U3NDRlY2QwMmQ2ZDRjNmMifQ=="/>
  </w:docVars>
  <w:rsids>
    <w:rsidRoot w:val="117935E8"/>
    <w:rsid w:val="0CF034BF"/>
    <w:rsid w:val="10D16290"/>
    <w:rsid w:val="117935E8"/>
    <w:rsid w:val="35D97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5"/>
    <w:basedOn w:val="1"/>
    <w:next w:val="1"/>
    <w:qFormat/>
    <w:uiPriority w:val="0"/>
    <w:pPr>
      <w:keepNext/>
      <w:keepLines/>
      <w:adjustRightInd w:val="0"/>
      <w:spacing w:before="280" w:beforeLines="0" w:after="290" w:afterLines="0" w:line="376" w:lineRule="atLeast"/>
      <w:textAlignment w:val="baseline"/>
      <w:outlineLvl w:val="4"/>
    </w:pPr>
    <w:rPr>
      <w:b/>
      <w:kern w:val="0"/>
      <w:sz w:val="28"/>
    </w:rPr>
  </w:style>
  <w:style w:type="character" w:default="1" w:styleId="7">
    <w:name w:val="Default Paragraph Font"/>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pPr>
  </w:style>
  <w:style w:type="paragraph" w:styleId="4">
    <w:name w:val="annotation text"/>
    <w:basedOn w:val="1"/>
    <w:autoRedefine/>
    <w:qFormat/>
    <w:uiPriority w:val="99"/>
    <w:pPr>
      <w:adjustRightInd w:val="0"/>
      <w:spacing w:line="315" w:lineRule="atLeast"/>
      <w:jc w:val="left"/>
      <w:textAlignment w:val="baseline"/>
    </w:pPr>
    <w:rPr>
      <w:rFonts w:ascii="宋体"/>
      <w:kern w:val="0"/>
    </w:rPr>
  </w:style>
  <w:style w:type="paragraph" w:styleId="5">
    <w:name w:val="Body Text"/>
    <w:basedOn w:val="1"/>
    <w:next w:val="1"/>
    <w:autoRedefine/>
    <w:qFormat/>
    <w:uiPriority w:val="0"/>
    <w:pPr>
      <w:spacing w:after="120" w:afterLines="0"/>
    </w:pPr>
  </w:style>
  <w:style w:type="character" w:customStyle="1" w:styleId="8">
    <w:name w:val="无"/>
    <w:autoRedefine/>
    <w:qFormat/>
    <w:uiPriority w:val="0"/>
  </w:style>
  <w:style w:type="paragraph" w:customStyle="1" w:styleId="9">
    <w:name w:val="_Style 24"/>
    <w:basedOn w:val="1"/>
    <w:next w:val="10"/>
    <w:autoRedefine/>
    <w:qFormat/>
    <w:uiPriority w:val="34"/>
    <w:pPr>
      <w:ind w:firstLine="420" w:firstLineChars="200"/>
    </w:pPr>
  </w:style>
  <w:style w:type="paragraph" w:styleId="10">
    <w:name w:val="List Paragraph"/>
    <w:basedOn w:val="1"/>
    <w:autoRedefine/>
    <w:qFormat/>
    <w:uiPriority w:val="34"/>
    <w:pPr>
      <w:ind w:firstLine="420" w:firstLineChars="200"/>
    </w:pPr>
    <w:rPr>
      <w:rFonts w:ascii="Calibri" w:hAnsi="Calibri"/>
      <w:szCs w:val="22"/>
    </w:rPr>
  </w:style>
  <w:style w:type="character" w:customStyle="1" w:styleId="11">
    <w:name w:val="font21"/>
    <w:basedOn w:val="7"/>
    <w:autoRedefine/>
    <w:qFormat/>
    <w:uiPriority w:val="0"/>
    <w:rPr>
      <w:rFonts w:hint="eastAsia" w:ascii="宋体" w:hAnsi="宋体" w:eastAsia="宋体"/>
      <w:color w:val="000000"/>
      <w:sz w:val="20"/>
      <w:szCs w:val="20"/>
      <w:u w:val="none"/>
    </w:rPr>
  </w:style>
  <w:style w:type="paragraph" w:customStyle="1" w:styleId="12">
    <w:name w:val="样式"/>
    <w:autoRedefine/>
    <w:qFormat/>
    <w:uiPriority w:val="0"/>
    <w:pPr>
      <w:widowControl w:val="0"/>
      <w:autoSpaceDE w:val="0"/>
      <w:autoSpaceDN w:val="0"/>
      <w:adjustRightInd w:val="0"/>
    </w:pPr>
    <w:rPr>
      <w:rFonts w:ascii="宋体" w:hAnsi="宋体" w:eastAsia="宋体" w:cs="Times New Roman"/>
      <w:sz w:val="24"/>
      <w:szCs w:val="24"/>
      <w:lang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2024-04-30T13:20:00Z</dcterms:created>
  <dc:creator>彭君</dc:creator>
  <cp:lastModifiedBy>xiaolu</cp:lastModifiedBy>
  <dcterms:modified xsi:type="dcterms:W3CDTF">2024-04-30T13:40:42Z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CA6E7FABE3344D7281252E794F75B96C_13</vt:lpwstr>
  </property>
</Properties>
</file>