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tabs>
          <w:tab w:val="left" w:pos="1283"/>
        </w:tabs>
        <w:ind w:right="18"/>
        <w:jc w:val="center"/>
        <w:outlineLvl w:val="0"/>
        <w:rPr>
          <w:rFonts w:hint="eastAsia" w:asciiTheme="minorEastAsia" w:hAnsiTheme="minorEastAsia" w:eastAsiaTheme="minorEastAsia" w:cstheme="minorEastAsia"/>
          <w:sz w:val="32"/>
          <w:szCs w:val="32"/>
        </w:rPr>
      </w:pPr>
      <w:bookmarkStart w:id="0" w:name="_TOC_250056"/>
      <w:bookmarkEnd w:id="0"/>
      <w:bookmarkStart w:id="1" w:name="_Toc7623"/>
      <w:r>
        <w:rPr>
          <w:rFonts w:hint="eastAsia" w:asciiTheme="minorEastAsia" w:hAnsiTheme="minorEastAsia" w:eastAsiaTheme="minorEastAsia" w:cstheme="minorEastAsia"/>
          <w:sz w:val="32"/>
          <w:szCs w:val="32"/>
          <w:lang w:val="zh-CN" w:eastAsia="zh-CN"/>
        </w:rPr>
        <w:t>电镀集控区污水处理厂化验室重金属检测（全谱直读电感耦合等离子体发射光谱仪）设备采购项目</w:t>
      </w:r>
      <w:r>
        <w:rPr>
          <w:rFonts w:hint="eastAsia" w:asciiTheme="minorEastAsia" w:hAnsiTheme="minorEastAsia" w:eastAsiaTheme="minorEastAsia" w:cstheme="minorEastAsia"/>
          <w:sz w:val="32"/>
          <w:szCs w:val="32"/>
        </w:rPr>
        <w:t>采购需求</w:t>
      </w:r>
      <w:bookmarkEnd w:id="1"/>
    </w:p>
    <w:p>
      <w:pPr>
        <w:spacing w:before="39"/>
        <w:ind w:left="472" w:right="0" w:firstLine="0"/>
        <w:jc w:val="left"/>
        <w:rPr>
          <w:rFonts w:hint="eastAsia" w:asciiTheme="minorEastAsia" w:hAnsiTheme="minorEastAsia" w:eastAsiaTheme="minorEastAsia" w:cstheme="minorEastAsia"/>
          <w:sz w:val="24"/>
          <w:szCs w:val="24"/>
        </w:rPr>
      </w:pPr>
      <w:bookmarkStart w:id="6" w:name="_GoBack"/>
      <w:bookmarkEnd w:id="6"/>
    </w:p>
    <w:p>
      <w:pPr>
        <w:keepNext w:val="0"/>
        <w:keepLines w:val="0"/>
        <w:pageBreakBefore w:val="0"/>
        <w:widowControl w:val="0"/>
        <w:kinsoku/>
        <w:wordWrap/>
        <w:overflowPunct/>
        <w:topLinePunct w:val="0"/>
        <w:autoSpaceDE w:val="0"/>
        <w:autoSpaceDN w:val="0"/>
        <w:bidi w:val="0"/>
        <w:adjustRightInd/>
        <w:snapToGrid/>
        <w:spacing w:before="0" w:line="360" w:lineRule="auto"/>
        <w:ind w:left="0" w:leftChars="0" w:firstLine="0" w:firstLineChars="0"/>
        <w:jc w:val="center"/>
        <w:textAlignment w:val="auto"/>
        <w:outlineLvl w:val="1"/>
        <w:rPr>
          <w:rFonts w:hint="eastAsia" w:asciiTheme="minorEastAsia" w:hAnsiTheme="minorEastAsia" w:eastAsiaTheme="minorEastAsia" w:cstheme="minorEastAsia"/>
          <w:b/>
          <w:bCs/>
          <w:sz w:val="24"/>
          <w:szCs w:val="24"/>
          <w:lang w:val="en-US" w:eastAsia="zh-CN"/>
        </w:rPr>
      </w:pPr>
      <w:bookmarkStart w:id="2" w:name="_Toc14283"/>
      <w:bookmarkStart w:id="3" w:name="_Toc25277"/>
      <w:r>
        <w:rPr>
          <w:rFonts w:hint="eastAsia" w:asciiTheme="minorEastAsia" w:hAnsiTheme="minorEastAsia" w:eastAsiaTheme="minorEastAsia" w:cstheme="minorEastAsia"/>
          <w:b/>
          <w:bCs/>
          <w:sz w:val="24"/>
          <w:szCs w:val="24"/>
          <w:lang w:val="en-US" w:eastAsia="zh-CN"/>
        </w:rPr>
        <w:t>一、采购清单</w:t>
      </w:r>
      <w:bookmarkEnd w:id="2"/>
    </w:p>
    <w:tbl>
      <w:tblPr>
        <w:tblStyle w:val="19"/>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1"/>
        <w:gridCol w:w="4587"/>
        <w:gridCol w:w="1288"/>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51" w:type="dxa"/>
            <w:noWrap w:val="0"/>
            <w:vAlign w:val="center"/>
          </w:tcPr>
          <w:p>
            <w:pPr>
              <w:keepNext w:val="0"/>
              <w:keepLines w:val="0"/>
              <w:pageBreakBefore w:val="0"/>
              <w:widowControl w:val="0"/>
              <w:kinsoku/>
              <w:wordWrap/>
              <w:overflowPunct/>
              <w:topLinePunct w:val="0"/>
              <w:autoSpaceDE/>
              <w:autoSpaceDN/>
              <w:bidi w:val="0"/>
              <w:adjustRightInd/>
              <w:snapToGrid/>
              <w:spacing w:before="0" w:line="240" w:lineRule="auto"/>
              <w:jc w:val="center"/>
              <w:textAlignment w:val="auto"/>
              <w:rPr>
                <w:rFonts w:hint="eastAsia" w:asciiTheme="minorEastAsia" w:hAnsiTheme="minorEastAsia" w:eastAsiaTheme="minorEastAsia" w:cstheme="minorEastAsia"/>
                <w:b/>
                <w:bCs/>
                <w:sz w:val="24"/>
                <w:szCs w:val="24"/>
                <w:highlight w:val="none"/>
              </w:rPr>
            </w:pPr>
            <w:bookmarkStart w:id="4" w:name="_Toc28361"/>
            <w:r>
              <w:rPr>
                <w:rFonts w:hint="eastAsia" w:asciiTheme="minorEastAsia" w:hAnsiTheme="minorEastAsia" w:eastAsiaTheme="minorEastAsia" w:cstheme="minorEastAsia"/>
                <w:b/>
                <w:bCs/>
                <w:sz w:val="24"/>
                <w:szCs w:val="24"/>
                <w:highlight w:val="none"/>
                <w:lang w:val="en-US" w:eastAsia="zh-CN"/>
              </w:rPr>
              <w:t>序号</w:t>
            </w:r>
          </w:p>
        </w:tc>
        <w:tc>
          <w:tcPr>
            <w:tcW w:w="4587" w:type="dxa"/>
            <w:noWrap w:val="0"/>
            <w:vAlign w:val="center"/>
          </w:tcPr>
          <w:p>
            <w:pPr>
              <w:keepNext w:val="0"/>
              <w:keepLines w:val="0"/>
              <w:pageBreakBefore w:val="0"/>
              <w:widowControl w:val="0"/>
              <w:kinsoku/>
              <w:wordWrap/>
              <w:overflowPunct/>
              <w:topLinePunct w:val="0"/>
              <w:autoSpaceDE/>
              <w:autoSpaceDN/>
              <w:bidi w:val="0"/>
              <w:adjustRightInd/>
              <w:snapToGrid/>
              <w:spacing w:before="0" w:line="240" w:lineRule="auto"/>
              <w:jc w:val="center"/>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采购内容</w:t>
            </w:r>
          </w:p>
        </w:tc>
        <w:tc>
          <w:tcPr>
            <w:tcW w:w="1288" w:type="dxa"/>
            <w:noWrap w:val="0"/>
            <w:vAlign w:val="center"/>
          </w:tcPr>
          <w:p>
            <w:pPr>
              <w:keepNext w:val="0"/>
              <w:keepLines w:val="0"/>
              <w:pageBreakBefore w:val="0"/>
              <w:widowControl w:val="0"/>
              <w:kinsoku/>
              <w:wordWrap/>
              <w:overflowPunct/>
              <w:topLinePunct w:val="0"/>
              <w:autoSpaceDE/>
              <w:autoSpaceDN/>
              <w:bidi w:val="0"/>
              <w:adjustRightInd/>
              <w:snapToGrid/>
              <w:spacing w:before="0" w:line="240" w:lineRule="auto"/>
              <w:jc w:val="center"/>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单位</w:t>
            </w:r>
          </w:p>
        </w:tc>
        <w:tc>
          <w:tcPr>
            <w:tcW w:w="1732" w:type="dxa"/>
            <w:noWrap w:val="0"/>
            <w:vAlign w:val="center"/>
          </w:tcPr>
          <w:p>
            <w:pPr>
              <w:keepNext w:val="0"/>
              <w:keepLines w:val="0"/>
              <w:pageBreakBefore w:val="0"/>
              <w:widowControl w:val="0"/>
              <w:kinsoku/>
              <w:wordWrap/>
              <w:overflowPunct/>
              <w:topLinePunct w:val="0"/>
              <w:autoSpaceDE/>
              <w:autoSpaceDN/>
              <w:bidi w:val="0"/>
              <w:adjustRightInd/>
              <w:snapToGrid/>
              <w:spacing w:before="0" w:line="240" w:lineRule="auto"/>
              <w:jc w:val="center"/>
              <w:textAlignment w:val="auto"/>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1151" w:type="dxa"/>
            <w:noWrap w:val="0"/>
            <w:vAlign w:val="center"/>
          </w:tcPr>
          <w:p>
            <w:pPr>
              <w:keepNext w:val="0"/>
              <w:keepLines w:val="0"/>
              <w:pageBreakBefore w:val="0"/>
              <w:widowControl w:val="0"/>
              <w:kinsoku/>
              <w:wordWrap/>
              <w:overflowPunct/>
              <w:topLinePunct w:val="0"/>
              <w:autoSpaceDE/>
              <w:autoSpaceDN/>
              <w:bidi w:val="0"/>
              <w:adjustRightInd/>
              <w:snapToGrid/>
              <w:spacing w:before="0" w:line="240" w:lineRule="auto"/>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w:t>
            </w:r>
          </w:p>
        </w:tc>
        <w:tc>
          <w:tcPr>
            <w:tcW w:w="4587"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line="500" w:lineRule="exact"/>
              <w:ind w:left="960" w:right="0" w:hanging="960" w:hangingChars="4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eastAsia="zh-CN"/>
              </w:rPr>
              <w:t>重金属检测（全谱直读电感耦合等离子体发射光谱仪）设备</w:t>
            </w:r>
          </w:p>
        </w:tc>
        <w:tc>
          <w:tcPr>
            <w:tcW w:w="1288"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732"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line="500" w:lineRule="exact"/>
              <w:ind w:right="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台</w:t>
            </w:r>
          </w:p>
        </w:tc>
      </w:tr>
    </w:tbl>
    <w:p>
      <w:pPr>
        <w:keepNext w:val="0"/>
        <w:keepLines w:val="0"/>
        <w:pageBreakBefore w:val="0"/>
        <w:kinsoku/>
        <w:wordWrap/>
        <w:overflowPunct/>
        <w:topLinePunct w:val="0"/>
        <w:bidi w:val="0"/>
        <w:spacing w:before="0" w:line="360" w:lineRule="auto"/>
        <w:rPr>
          <w:rFonts w:hint="eastAsia" w:asciiTheme="minorEastAsia" w:hAnsiTheme="minorEastAsia" w:eastAsiaTheme="minorEastAsia" w:cstheme="minorEastAsia"/>
          <w:sz w:val="24"/>
          <w:szCs w:val="24"/>
          <w:highlight w:val="none"/>
          <w:lang w:val="en-US" w:eastAsia="zh-CN"/>
        </w:rPr>
      </w:pPr>
    </w:p>
    <w:p>
      <w:pPr>
        <w:pStyle w:val="3"/>
        <w:keepNext w:val="0"/>
        <w:keepLines w:val="0"/>
        <w:pageBreakBefore w:val="0"/>
        <w:numPr>
          <w:ilvl w:val="0"/>
          <w:numId w:val="0"/>
        </w:numPr>
        <w:kinsoku/>
        <w:wordWrap/>
        <w:overflowPunct/>
        <w:topLinePunct w:val="0"/>
        <w:bidi w:val="0"/>
        <w:spacing w:before="0" w:line="360" w:lineRule="auto"/>
        <w:ind w:right="22" w:rightChars="0"/>
        <w:jc w:val="center"/>
        <w:outlineLvl w:val="1"/>
        <w:rPr>
          <w:rFonts w:hint="eastAsia" w:asciiTheme="minorEastAsia" w:hAnsiTheme="minorEastAsia" w:eastAsiaTheme="minorEastAsia" w:cstheme="minorEastAsia"/>
          <w:b/>
          <w:bCs/>
          <w:sz w:val="24"/>
          <w:szCs w:val="24"/>
          <w:lang w:val="en-US" w:eastAsia="zh-CN" w:bidi="zh-CN"/>
        </w:rPr>
      </w:pPr>
      <w:bookmarkStart w:id="5" w:name="_Toc16711"/>
      <w:r>
        <w:rPr>
          <w:rFonts w:hint="eastAsia" w:asciiTheme="minorEastAsia" w:hAnsiTheme="minorEastAsia" w:eastAsiaTheme="minorEastAsia" w:cstheme="minorEastAsia"/>
          <w:b/>
          <w:bCs/>
          <w:sz w:val="24"/>
          <w:szCs w:val="24"/>
          <w:lang w:val="en-US" w:eastAsia="zh-CN" w:bidi="zh-CN"/>
        </w:rPr>
        <w:t>二、采购要求</w:t>
      </w:r>
      <w:bookmarkEnd w:id="4"/>
      <w:bookmarkEnd w:id="5"/>
    </w:p>
    <w:bookmarkEnd w:id="3"/>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1.总体要求</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该仪器广泛应用于水质、土壤、大气颗粒物、固废、食品、动植物、食品接触材料、化妆品、半导体、高纯材料、矿产、石油化工、工业品、纺织等领域，且符合相关国家标准分析方法的要求。</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2.技术要求</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进样系统：</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 小体积旋流型雾化室，死体积小，低记忆效应。</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2.1.2 标配高效石英雾化器进样系统，并支持耐高盐、耐氢氟酸、耐有机物等多种进样系统可选。</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2.1.3 分体设计的可拆卸式石英炬管，预准直的炬管座内置式气路连接，易操作的卡式推入炬管设计，方便日常更换维护而无需拆卸气体管路。</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 多种中心管可选，可根据需要配置耐高盐、耐HF中心管等不同类型，与炬管分离式设计，方便更换与维护。</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 xml:space="preserve"> 集成气路全自动控制，采用精密质量流量控制器控制多路气体流量，最多可控制五路，包括雾化气、辅助气、冷却气和可扩展的附加气体（O2和Ar），精度0.01L /min。</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 检测器：带高效半导体制冷的科研级防溢出面阵CCD检测器</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检测单元：百万像素；</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光学系统：恒温驱气型中阶梯分光系统   </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单色器：全反射成像光路，石英棱镜二维色散系统；</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光室：精密恒温36℃±0.1℃，驱氩气或氮气；</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2.3.3</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焦距:380mm；</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2.3.4</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波长范围：165-870nm，全波长覆盖，可测Al 167.120nm；</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2.3.5</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全谱波长实时校正:每次点火，仅用C、N、Ar谱线，自动进行光谱位置校正，保证分析波长的正确性，无须波长校正溶液，无须汞灯校准的预热和耗材问题；</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2.3.6</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吹扫型光室：对189nm以下波长测定，选择氩气进行光路吹扫，不得使用真空泵，防止真空返油，污染光室；</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2.3.7</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杂散光：≤2.0mg/L（10000mg/L Ca溶液在As 188.980nm处测定）；</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2.3.8</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光学分辨率（FWHM）：≤7pm @200 nm（分辨率和检出限须在相同条件获得）。</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 等离子体：</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RF发生器：全固态发生器，直接耦合、自动调谐，水冷。自激式电源匹配速度快，功率负载能力强，可以直接分析100%的甲苯样品。</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RF功率：700-1350W，连续可调，最大可达1600W，计算机控制进行功率调节。</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软件要求：</w:t>
      </w:r>
      <w:r>
        <w:rPr>
          <w:rFonts w:hint="eastAsia" w:asciiTheme="minorEastAsia" w:hAnsiTheme="minorEastAsia" w:eastAsiaTheme="minorEastAsia" w:cstheme="minorEastAsia"/>
          <w:sz w:val="24"/>
          <w:szCs w:val="24"/>
        </w:rPr>
        <w:tab/>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具有同时记录所有元素谱线全谱数据采集功能，数据可安全存储，支持分析数据保存和检索功能，方便日后再分析。</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具有50000条以上的谱线库，每条谱线至少可以选择30个象素点进行测量。</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2.5.3</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具有全谱采集功能，软件上可直接获取完整全谱图，了解样品光谱及光谱干扰状态。</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2.5.4</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具有多种干扰校正方法和实时背景扣除功能：如标准比较法、内标法、干扰元素校正系数法（IEC）、标准加入曲线法等，丰富了用户多种分析研究的手段。</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性能要求：</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分析速度：约每分钟200条谱线；</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2.6.2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样品消耗量：不超过2ml；</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2.6.3</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测定谱线的线性动态范围：≥105（以Mn257.6nm 来测定，相关系数≥0.999）；</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2.6.4</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精密度：测定1ppm或10ppm多元素混合标准溶液，重复测定十次的RSD≤0.5%；</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2.6.5</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稳定性：测定1ppm或10ppm多元素混合标准溶液，连续测定2小时的长时间稳定性RSD≤1%，4小时的长时间稳定性RSD≤2%；</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2.6.6</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检出限：(单位ug/L，按JJG768-2005规定的元素)</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Zn213.856</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Ni231.604</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Mn257.610</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Cr267.716</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Cu324.754</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Ba455.403</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2.5</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5</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2.5</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5</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5</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0.5</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2.6.7</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可对分析元素的任何一条谱线进行定性、半定量和定量分析，支持内标法、标准加入法、干扰元素校正等方法；</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2.6.8</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预热时间：从待机状态到等离子体点燃时间小于20分钟。</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3.配置要求</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电感耦合等离子体光谱仪，包括：</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3.1.1 分光器单元。</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射频发生器。</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3.1.3</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检测器。</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3.1.4</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三通道蠕动泵。</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3.1.5</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减压阀。</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3.1.6</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旋流雾化室组件。</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3.1.7</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石英同心雾化器组件。</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3.1.8</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R型石英矩管中心管组件。</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ICP专用分析软件及在线帮助系统。</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4.其它配套配置要求</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计算机系统</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≥4GB内存，≥500G硬盘，配DVD和键盘鼠标。</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冷却循环水系统</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制冷量1490W，温度范围5-35℃。</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激光打印机</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4.4 额外配送耗材包</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22"/>
        <w:gridCol w:w="15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5222" w:type="dxa"/>
            <w:vAlign w:val="center"/>
          </w:tcPr>
          <w:p>
            <w:pPr>
              <w:keepNext w:val="0"/>
              <w:keepLines w:val="0"/>
              <w:pageBreakBefore w:val="0"/>
              <w:widowControl w:val="0"/>
              <w:kinsoku/>
              <w:wordWrap/>
              <w:overflowPunct/>
              <w:topLinePunct w:val="0"/>
              <w:autoSpaceDE w:val="0"/>
              <w:autoSpaceDN w:val="0"/>
              <w:bidi w:val="0"/>
              <w:adjustRightInd/>
              <w:snapToGrid w:val="0"/>
              <w:spacing w:before="0" w:line="240" w:lineRule="auto"/>
              <w:ind w:right="0"/>
              <w:jc w:val="center"/>
              <w:textAlignment w:val="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配件名称</w:t>
            </w:r>
          </w:p>
        </w:tc>
        <w:tc>
          <w:tcPr>
            <w:tcW w:w="1517" w:type="dxa"/>
            <w:vAlign w:val="center"/>
          </w:tcPr>
          <w:p>
            <w:pPr>
              <w:keepNext w:val="0"/>
              <w:keepLines w:val="0"/>
              <w:pageBreakBefore w:val="0"/>
              <w:widowControl w:val="0"/>
              <w:kinsoku/>
              <w:wordWrap/>
              <w:overflowPunct/>
              <w:topLinePunct w:val="0"/>
              <w:autoSpaceDE w:val="0"/>
              <w:autoSpaceDN w:val="0"/>
              <w:bidi w:val="0"/>
              <w:adjustRightInd/>
              <w:snapToGrid w:val="0"/>
              <w:spacing w:before="0" w:line="240" w:lineRule="auto"/>
              <w:ind w:right="0"/>
              <w:jc w:val="center"/>
              <w:textAlignment w:val="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5222" w:type="dxa"/>
            <w:vAlign w:val="center"/>
          </w:tcPr>
          <w:p>
            <w:pPr>
              <w:keepNext w:val="0"/>
              <w:keepLines w:val="0"/>
              <w:pageBreakBefore w:val="0"/>
              <w:widowControl w:val="0"/>
              <w:kinsoku/>
              <w:wordWrap/>
              <w:overflowPunct/>
              <w:topLinePunct w:val="0"/>
              <w:autoSpaceDE w:val="0"/>
              <w:autoSpaceDN w:val="0"/>
              <w:bidi w:val="0"/>
              <w:adjustRightInd/>
              <w:snapToGrid w:val="0"/>
              <w:spacing w:before="0" w:line="240" w:lineRule="auto"/>
              <w:ind w:right="0"/>
              <w:jc w:val="center"/>
              <w:textAlignment w:val="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R型石英矩管</w:t>
            </w:r>
          </w:p>
        </w:tc>
        <w:tc>
          <w:tcPr>
            <w:tcW w:w="1517" w:type="dxa"/>
            <w:vAlign w:val="center"/>
          </w:tcPr>
          <w:p>
            <w:pPr>
              <w:keepNext w:val="0"/>
              <w:keepLines w:val="0"/>
              <w:pageBreakBefore w:val="0"/>
              <w:widowControl w:val="0"/>
              <w:kinsoku/>
              <w:wordWrap/>
              <w:overflowPunct/>
              <w:topLinePunct w:val="0"/>
              <w:autoSpaceDE w:val="0"/>
              <w:autoSpaceDN w:val="0"/>
              <w:bidi w:val="0"/>
              <w:adjustRightInd/>
              <w:snapToGrid w:val="0"/>
              <w:spacing w:before="0" w:line="240" w:lineRule="auto"/>
              <w:ind w:right="0"/>
              <w:jc w:val="center"/>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5222" w:type="dxa"/>
            <w:vAlign w:val="center"/>
          </w:tcPr>
          <w:p>
            <w:pPr>
              <w:keepNext w:val="0"/>
              <w:keepLines w:val="0"/>
              <w:pageBreakBefore w:val="0"/>
              <w:widowControl w:val="0"/>
              <w:kinsoku/>
              <w:wordWrap/>
              <w:overflowPunct/>
              <w:topLinePunct w:val="0"/>
              <w:autoSpaceDE w:val="0"/>
              <w:autoSpaceDN w:val="0"/>
              <w:bidi w:val="0"/>
              <w:adjustRightInd/>
              <w:snapToGrid w:val="0"/>
              <w:spacing w:before="0" w:line="240" w:lineRule="auto"/>
              <w:ind w:right="0"/>
              <w:jc w:val="center"/>
              <w:textAlignment w:val="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石英中心管</w:t>
            </w:r>
          </w:p>
        </w:tc>
        <w:tc>
          <w:tcPr>
            <w:tcW w:w="1517" w:type="dxa"/>
            <w:vAlign w:val="center"/>
          </w:tcPr>
          <w:p>
            <w:pPr>
              <w:keepNext w:val="0"/>
              <w:keepLines w:val="0"/>
              <w:pageBreakBefore w:val="0"/>
              <w:widowControl w:val="0"/>
              <w:kinsoku/>
              <w:wordWrap/>
              <w:overflowPunct/>
              <w:topLinePunct w:val="0"/>
              <w:autoSpaceDE w:val="0"/>
              <w:autoSpaceDN w:val="0"/>
              <w:bidi w:val="0"/>
              <w:adjustRightInd/>
              <w:snapToGrid w:val="0"/>
              <w:spacing w:before="0" w:line="240" w:lineRule="auto"/>
              <w:ind w:right="0"/>
              <w:jc w:val="center"/>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5222" w:type="dxa"/>
            <w:vAlign w:val="center"/>
          </w:tcPr>
          <w:p>
            <w:pPr>
              <w:keepNext w:val="0"/>
              <w:keepLines w:val="0"/>
              <w:pageBreakBefore w:val="0"/>
              <w:widowControl w:val="0"/>
              <w:kinsoku/>
              <w:wordWrap/>
              <w:overflowPunct/>
              <w:topLinePunct w:val="0"/>
              <w:autoSpaceDE w:val="0"/>
              <w:autoSpaceDN w:val="0"/>
              <w:bidi w:val="0"/>
              <w:adjustRightInd/>
              <w:snapToGrid w:val="0"/>
              <w:spacing w:before="0" w:line="240" w:lineRule="auto"/>
              <w:ind w:right="0"/>
              <w:jc w:val="center"/>
              <w:textAlignment w:val="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泵管连接管</w:t>
            </w:r>
          </w:p>
        </w:tc>
        <w:tc>
          <w:tcPr>
            <w:tcW w:w="1517" w:type="dxa"/>
            <w:vAlign w:val="center"/>
          </w:tcPr>
          <w:p>
            <w:pPr>
              <w:keepNext w:val="0"/>
              <w:keepLines w:val="0"/>
              <w:pageBreakBefore w:val="0"/>
              <w:widowControl w:val="0"/>
              <w:kinsoku/>
              <w:wordWrap/>
              <w:overflowPunct/>
              <w:topLinePunct w:val="0"/>
              <w:autoSpaceDE w:val="0"/>
              <w:autoSpaceDN w:val="0"/>
              <w:bidi w:val="0"/>
              <w:adjustRightInd/>
              <w:snapToGrid w:val="0"/>
              <w:spacing w:before="0" w:line="240" w:lineRule="auto"/>
              <w:ind w:right="0"/>
              <w:jc w:val="center"/>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5222" w:type="dxa"/>
            <w:vAlign w:val="center"/>
          </w:tcPr>
          <w:p>
            <w:pPr>
              <w:keepNext w:val="0"/>
              <w:keepLines w:val="0"/>
              <w:pageBreakBefore w:val="0"/>
              <w:widowControl w:val="0"/>
              <w:kinsoku/>
              <w:wordWrap/>
              <w:overflowPunct/>
              <w:topLinePunct w:val="0"/>
              <w:autoSpaceDE w:val="0"/>
              <w:autoSpaceDN w:val="0"/>
              <w:bidi w:val="0"/>
              <w:adjustRightInd/>
              <w:snapToGrid w:val="0"/>
              <w:spacing w:before="0" w:line="240" w:lineRule="auto"/>
              <w:ind w:right="0"/>
              <w:jc w:val="center"/>
              <w:textAlignment w:val="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15ml样品管</w:t>
            </w:r>
          </w:p>
        </w:tc>
        <w:tc>
          <w:tcPr>
            <w:tcW w:w="1517" w:type="dxa"/>
            <w:vAlign w:val="center"/>
          </w:tcPr>
          <w:p>
            <w:pPr>
              <w:keepNext w:val="0"/>
              <w:keepLines w:val="0"/>
              <w:pageBreakBefore w:val="0"/>
              <w:widowControl w:val="0"/>
              <w:kinsoku/>
              <w:wordWrap/>
              <w:overflowPunct/>
              <w:topLinePunct w:val="0"/>
              <w:autoSpaceDE w:val="0"/>
              <w:autoSpaceDN w:val="0"/>
              <w:bidi w:val="0"/>
              <w:adjustRightInd/>
              <w:snapToGrid w:val="0"/>
              <w:spacing w:before="0" w:line="240" w:lineRule="auto"/>
              <w:ind w:right="0"/>
              <w:jc w:val="center"/>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5222" w:type="dxa"/>
            <w:vAlign w:val="center"/>
          </w:tcPr>
          <w:p>
            <w:pPr>
              <w:keepNext w:val="0"/>
              <w:keepLines w:val="0"/>
              <w:pageBreakBefore w:val="0"/>
              <w:widowControl w:val="0"/>
              <w:kinsoku/>
              <w:wordWrap/>
              <w:overflowPunct/>
              <w:topLinePunct w:val="0"/>
              <w:autoSpaceDE w:val="0"/>
              <w:autoSpaceDN w:val="0"/>
              <w:bidi w:val="0"/>
              <w:adjustRightInd/>
              <w:snapToGrid w:val="0"/>
              <w:spacing w:before="0" w:line="240" w:lineRule="auto"/>
              <w:ind w:right="0"/>
              <w:jc w:val="center"/>
              <w:textAlignment w:val="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O型圈套组件</w:t>
            </w:r>
          </w:p>
        </w:tc>
        <w:tc>
          <w:tcPr>
            <w:tcW w:w="1517" w:type="dxa"/>
            <w:vAlign w:val="center"/>
          </w:tcPr>
          <w:p>
            <w:pPr>
              <w:keepNext w:val="0"/>
              <w:keepLines w:val="0"/>
              <w:pageBreakBefore w:val="0"/>
              <w:widowControl w:val="0"/>
              <w:kinsoku/>
              <w:wordWrap/>
              <w:overflowPunct/>
              <w:topLinePunct w:val="0"/>
              <w:autoSpaceDE w:val="0"/>
              <w:autoSpaceDN w:val="0"/>
              <w:bidi w:val="0"/>
              <w:adjustRightInd/>
              <w:snapToGrid w:val="0"/>
              <w:spacing w:before="0" w:line="240" w:lineRule="auto"/>
              <w:ind w:right="0"/>
              <w:jc w:val="center"/>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5222" w:type="dxa"/>
            <w:vAlign w:val="center"/>
          </w:tcPr>
          <w:p>
            <w:pPr>
              <w:keepNext w:val="0"/>
              <w:keepLines w:val="0"/>
              <w:pageBreakBefore w:val="0"/>
              <w:widowControl w:val="0"/>
              <w:kinsoku/>
              <w:wordWrap/>
              <w:overflowPunct/>
              <w:topLinePunct w:val="0"/>
              <w:autoSpaceDE w:val="0"/>
              <w:autoSpaceDN w:val="0"/>
              <w:bidi w:val="0"/>
              <w:adjustRightInd/>
              <w:snapToGrid w:val="0"/>
              <w:spacing w:before="0" w:line="240" w:lineRule="auto"/>
              <w:ind w:right="0"/>
              <w:jc w:val="center"/>
              <w:textAlignment w:val="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蠕动泵排液管（不带扩口 12根/包）</w:t>
            </w:r>
          </w:p>
        </w:tc>
        <w:tc>
          <w:tcPr>
            <w:tcW w:w="1517" w:type="dxa"/>
            <w:vAlign w:val="center"/>
          </w:tcPr>
          <w:p>
            <w:pPr>
              <w:keepNext w:val="0"/>
              <w:keepLines w:val="0"/>
              <w:pageBreakBefore w:val="0"/>
              <w:widowControl w:val="0"/>
              <w:kinsoku/>
              <w:wordWrap/>
              <w:overflowPunct/>
              <w:topLinePunct w:val="0"/>
              <w:autoSpaceDE w:val="0"/>
              <w:autoSpaceDN w:val="0"/>
              <w:bidi w:val="0"/>
              <w:adjustRightInd/>
              <w:snapToGrid w:val="0"/>
              <w:spacing w:before="0" w:line="240" w:lineRule="auto"/>
              <w:ind w:right="0"/>
              <w:jc w:val="center"/>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5222" w:type="dxa"/>
            <w:vAlign w:val="center"/>
          </w:tcPr>
          <w:p>
            <w:pPr>
              <w:keepNext w:val="0"/>
              <w:keepLines w:val="0"/>
              <w:pageBreakBefore w:val="0"/>
              <w:widowControl w:val="0"/>
              <w:kinsoku/>
              <w:wordWrap/>
              <w:overflowPunct/>
              <w:topLinePunct w:val="0"/>
              <w:autoSpaceDE w:val="0"/>
              <w:autoSpaceDN w:val="0"/>
              <w:bidi w:val="0"/>
              <w:adjustRightInd/>
              <w:snapToGrid w:val="0"/>
              <w:spacing w:before="0" w:line="240" w:lineRule="auto"/>
              <w:ind w:right="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蠕动泵进样管（不带扩口 12根/包）</w:t>
            </w:r>
          </w:p>
        </w:tc>
        <w:tc>
          <w:tcPr>
            <w:tcW w:w="1517" w:type="dxa"/>
            <w:vAlign w:val="center"/>
          </w:tcPr>
          <w:p>
            <w:pPr>
              <w:keepNext w:val="0"/>
              <w:keepLines w:val="0"/>
              <w:pageBreakBefore w:val="0"/>
              <w:widowControl w:val="0"/>
              <w:kinsoku/>
              <w:wordWrap/>
              <w:overflowPunct/>
              <w:topLinePunct w:val="0"/>
              <w:autoSpaceDE w:val="0"/>
              <w:autoSpaceDN w:val="0"/>
              <w:bidi w:val="0"/>
              <w:adjustRightInd/>
              <w:snapToGrid w:val="0"/>
              <w:spacing w:before="0" w:line="240" w:lineRule="auto"/>
              <w:ind w:right="0"/>
              <w:jc w:val="center"/>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w:t>
            </w:r>
          </w:p>
        </w:tc>
      </w:tr>
    </w:tbl>
    <w:p>
      <w:pPr>
        <w:pStyle w:val="25"/>
        <w:keepNext w:val="0"/>
        <w:keepLines w:val="0"/>
        <w:pageBreakBefore w:val="0"/>
        <w:widowControl w:val="0"/>
        <w:kinsoku/>
        <w:wordWrap/>
        <w:overflowPunct/>
        <w:topLinePunct w:val="0"/>
        <w:autoSpaceDE w:val="0"/>
        <w:autoSpaceDN w:val="0"/>
        <w:bidi w:val="0"/>
        <w:adjustRightInd/>
        <w:snapToGrid/>
        <w:spacing w:before="0" w:line="360" w:lineRule="auto"/>
        <w:ind w:left="0" w:right="0"/>
        <w:textAlignment w:val="auto"/>
        <w:rPr>
          <w:rFonts w:hint="eastAsia" w:asciiTheme="minorEastAsia" w:hAnsiTheme="minorEastAsia" w:eastAsiaTheme="minorEastAsia" w:cstheme="minorEastAsia"/>
          <w:b/>
          <w:bCs/>
          <w:color w:val="FF0000"/>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2" w:firstLineChars="200"/>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5.其他要求</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1、电感耦合等离子体光谱仪作为新一代无机分析系统，为保证仪器自动化程度仪器可搭同一生产厂家全自动超级微波化学工作站系统，可实现“一键式”完成样品消解到样品分析全过程，把分析人员从大量的重复性工作中解放出来</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b/>
          <w:bCs/>
          <w:sz w:val="24"/>
          <w:szCs w:val="24"/>
        </w:rPr>
        <w:t>（</w:t>
      </w:r>
      <w:r>
        <w:rPr>
          <w:rFonts w:hint="eastAsia" w:asciiTheme="minorEastAsia" w:hAnsiTheme="minorEastAsia" w:eastAsiaTheme="minorEastAsia" w:cstheme="minorEastAsia"/>
          <w:b/>
          <w:bCs/>
          <w:sz w:val="24"/>
          <w:szCs w:val="24"/>
          <w:lang w:val="en-US" w:eastAsia="zh-CN"/>
        </w:rPr>
        <w:t>提供参数确认函加盖厂家</w:t>
      </w:r>
      <w:r>
        <w:rPr>
          <w:rFonts w:hint="eastAsia" w:asciiTheme="minorEastAsia" w:hAnsiTheme="minorEastAsia" w:eastAsiaTheme="minorEastAsia" w:cstheme="minorEastAsia"/>
          <w:b/>
          <w:bCs/>
          <w:sz w:val="24"/>
          <w:szCs w:val="24"/>
          <w:highlight w:val="yellow"/>
          <w:lang w:val="en-US" w:eastAsia="zh-CN"/>
        </w:rPr>
        <w:t>原色</w:t>
      </w:r>
      <w:r>
        <w:rPr>
          <w:rFonts w:hint="eastAsia" w:asciiTheme="minorEastAsia" w:hAnsiTheme="minorEastAsia" w:eastAsiaTheme="minorEastAsia" w:cstheme="minorEastAsia"/>
          <w:b/>
          <w:bCs/>
          <w:sz w:val="24"/>
          <w:szCs w:val="24"/>
          <w:lang w:val="en-US" w:eastAsia="zh-CN"/>
        </w:rPr>
        <w:t>公章</w:t>
      </w:r>
      <w:r>
        <w:rPr>
          <w:rFonts w:hint="eastAsia" w:asciiTheme="minorEastAsia" w:hAnsiTheme="minorEastAsia" w:eastAsiaTheme="minorEastAsia" w:cstheme="minorEastAsia"/>
          <w:b/>
          <w:bCs/>
          <w:sz w:val="24"/>
          <w:szCs w:val="24"/>
        </w:rPr>
        <w:t>)</w:t>
      </w:r>
    </w:p>
    <w:p>
      <w:pPr>
        <w:pStyle w:val="2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80" w:firstLineChars="200"/>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val="0"/>
          <w:bCs w:val="0"/>
          <w:color w:val="auto"/>
          <w:sz w:val="24"/>
          <w:szCs w:val="24"/>
        </w:rPr>
        <w:t>2</w:t>
      </w:r>
      <w:r>
        <w:rPr>
          <w:rFonts w:hint="eastAsia" w:asciiTheme="minorEastAsia" w:hAnsiTheme="minorEastAsia" w:eastAsiaTheme="minorEastAsia" w:cstheme="minorEastAsia"/>
          <w:b w:val="0"/>
          <w:bCs w:val="0"/>
          <w:color w:val="auto"/>
          <w:sz w:val="24"/>
          <w:szCs w:val="24"/>
          <w:lang w:eastAsia="zh-CN"/>
        </w:rPr>
        <w:t>、</w:t>
      </w:r>
      <w:r>
        <w:rPr>
          <w:rFonts w:hint="eastAsia" w:asciiTheme="minorEastAsia" w:hAnsiTheme="minorEastAsia" w:eastAsiaTheme="minorEastAsia" w:cstheme="minorEastAsia"/>
          <w:b w:val="0"/>
          <w:bCs w:val="0"/>
          <w:color w:val="auto"/>
          <w:spacing w:val="-2"/>
          <w:sz w:val="24"/>
          <w:szCs w:val="24"/>
        </w:rPr>
        <w:t xml:space="preserve">高精度 </w:t>
      </w:r>
      <w:r>
        <w:rPr>
          <w:rFonts w:hint="eastAsia" w:asciiTheme="minorEastAsia" w:hAnsiTheme="minorEastAsia" w:eastAsiaTheme="minorEastAsia" w:cstheme="minorEastAsia"/>
          <w:b w:val="0"/>
          <w:bCs w:val="0"/>
          <w:color w:val="auto"/>
          <w:sz w:val="24"/>
          <w:szCs w:val="24"/>
        </w:rPr>
        <w:t>12</w:t>
      </w:r>
      <w:r>
        <w:rPr>
          <w:rFonts w:hint="eastAsia" w:asciiTheme="minorEastAsia" w:hAnsiTheme="minorEastAsia" w:eastAsiaTheme="minorEastAsia" w:cstheme="minorEastAsia"/>
          <w:b w:val="0"/>
          <w:bCs w:val="0"/>
          <w:color w:val="auto"/>
          <w:spacing w:val="-15"/>
          <w:sz w:val="24"/>
          <w:szCs w:val="24"/>
        </w:rPr>
        <w:t xml:space="preserve"> 转子，</w:t>
      </w:r>
      <w:r>
        <w:rPr>
          <w:rFonts w:hint="eastAsia" w:asciiTheme="minorEastAsia" w:hAnsiTheme="minorEastAsia" w:eastAsiaTheme="minorEastAsia" w:cstheme="minorEastAsia"/>
          <w:b w:val="0"/>
          <w:bCs w:val="0"/>
          <w:color w:val="auto"/>
          <w:sz w:val="24"/>
          <w:szCs w:val="24"/>
        </w:rPr>
        <w:t>4</w:t>
      </w:r>
      <w:r>
        <w:rPr>
          <w:rFonts w:hint="eastAsia" w:asciiTheme="minorEastAsia" w:hAnsiTheme="minorEastAsia" w:eastAsiaTheme="minorEastAsia" w:cstheme="minorEastAsia"/>
          <w:b w:val="0"/>
          <w:bCs w:val="0"/>
          <w:color w:val="auto"/>
          <w:spacing w:val="-9"/>
          <w:sz w:val="24"/>
          <w:szCs w:val="24"/>
        </w:rPr>
        <w:t xml:space="preserve"> 通道蠕动泵。确保稳定进样的同时，可根据需求加入内标溶液，标准加入溶液等有利于复杂样</w:t>
      </w:r>
      <w:r>
        <w:rPr>
          <w:rFonts w:hint="eastAsia" w:asciiTheme="minorEastAsia" w:hAnsiTheme="minorEastAsia" w:eastAsiaTheme="minorEastAsia" w:cstheme="minorEastAsia"/>
          <w:b w:val="0"/>
          <w:bCs w:val="0"/>
          <w:color w:val="auto"/>
          <w:spacing w:val="-13"/>
          <w:sz w:val="24"/>
          <w:szCs w:val="24"/>
        </w:rPr>
        <w:t>品分析。</w:t>
      </w:r>
      <w:r>
        <w:rPr>
          <w:rFonts w:hint="eastAsia" w:asciiTheme="minorEastAsia" w:hAnsiTheme="minorEastAsia" w:eastAsiaTheme="minorEastAsia" w:cstheme="minorEastAsia"/>
          <w:b/>
          <w:bCs/>
          <w:color w:val="auto"/>
          <w:spacing w:val="-1"/>
          <w:sz w:val="24"/>
          <w:szCs w:val="24"/>
        </w:rPr>
        <w:t>（</w:t>
      </w:r>
      <w:r>
        <w:rPr>
          <w:rFonts w:hint="eastAsia" w:asciiTheme="minorEastAsia" w:hAnsiTheme="minorEastAsia" w:eastAsiaTheme="minorEastAsia" w:cstheme="minorEastAsia"/>
          <w:b/>
          <w:bCs/>
          <w:color w:val="auto"/>
          <w:spacing w:val="-10"/>
          <w:sz w:val="24"/>
          <w:szCs w:val="24"/>
          <w:lang w:val="en-US" w:eastAsia="zh-CN"/>
        </w:rPr>
        <w:t>提供参数确认函加盖厂家</w:t>
      </w:r>
      <w:r>
        <w:rPr>
          <w:rFonts w:hint="eastAsia" w:asciiTheme="minorEastAsia" w:hAnsiTheme="minorEastAsia" w:eastAsiaTheme="minorEastAsia" w:cstheme="minorEastAsia"/>
          <w:b/>
          <w:bCs/>
          <w:sz w:val="24"/>
          <w:szCs w:val="24"/>
          <w:highlight w:val="yellow"/>
          <w:lang w:val="en-US" w:eastAsia="zh-CN"/>
        </w:rPr>
        <w:t>原色</w:t>
      </w:r>
      <w:r>
        <w:rPr>
          <w:rFonts w:hint="eastAsia" w:asciiTheme="minorEastAsia" w:hAnsiTheme="minorEastAsia" w:eastAsiaTheme="minorEastAsia" w:cstheme="minorEastAsia"/>
          <w:b/>
          <w:bCs/>
          <w:color w:val="auto"/>
          <w:spacing w:val="-10"/>
          <w:sz w:val="24"/>
          <w:szCs w:val="24"/>
          <w:lang w:val="en-US" w:eastAsia="zh-CN"/>
        </w:rPr>
        <w:t>公章</w:t>
      </w:r>
      <w:r>
        <w:rPr>
          <w:rFonts w:hint="eastAsia" w:asciiTheme="minorEastAsia" w:hAnsiTheme="minorEastAsia" w:eastAsiaTheme="minorEastAsia" w:cstheme="minorEastAsia"/>
          <w:b/>
          <w:bCs/>
          <w:color w:val="auto"/>
          <w:sz w:val="24"/>
          <w:szCs w:val="24"/>
        </w:rPr>
        <w:t>）</w:t>
      </w:r>
    </w:p>
    <w:p>
      <w:pPr>
        <w:pStyle w:val="2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80" w:firstLineChars="200"/>
        <w:textAlignment w:val="auto"/>
        <w:rPr>
          <w:rFonts w:hint="eastAsia" w:asciiTheme="minorEastAsia" w:hAnsiTheme="minorEastAsia" w:eastAsiaTheme="minorEastAsia" w:cstheme="minorEastAsia"/>
          <w:b/>
          <w:bCs/>
          <w:color w:val="auto"/>
          <w:spacing w:val="-6"/>
          <w:sz w:val="24"/>
          <w:szCs w:val="24"/>
          <w:highlight w:val="none"/>
        </w:rPr>
      </w:pPr>
      <w:r>
        <w:rPr>
          <w:rFonts w:hint="eastAsia" w:asciiTheme="minorEastAsia" w:hAnsiTheme="minorEastAsia" w:eastAsiaTheme="minorEastAsia" w:cstheme="minorEastAsia"/>
          <w:b w:val="0"/>
          <w:bCs w:val="0"/>
          <w:color w:val="auto"/>
          <w:spacing w:val="0"/>
          <w:sz w:val="24"/>
          <w:szCs w:val="24"/>
          <w:lang w:val="en-US" w:eastAsia="zh-CN"/>
        </w:rPr>
        <w:t>3、</w:t>
      </w:r>
      <w:r>
        <w:rPr>
          <w:rFonts w:hint="eastAsia" w:asciiTheme="minorEastAsia" w:hAnsiTheme="minorEastAsia" w:eastAsiaTheme="minorEastAsia" w:cstheme="minorEastAsia"/>
          <w:b w:val="0"/>
          <w:bCs w:val="0"/>
          <w:color w:val="auto"/>
          <w:spacing w:val="0"/>
          <w:sz w:val="24"/>
          <w:szCs w:val="24"/>
        </w:rPr>
        <w:t>冷却系统：高效半导体制冷（三级TEC），制冷温度可达 -45℃</w:t>
      </w:r>
      <w:r>
        <w:rPr>
          <w:rFonts w:hint="eastAsia" w:asciiTheme="minorEastAsia" w:hAnsiTheme="minorEastAsia" w:eastAsiaTheme="minorEastAsia" w:cstheme="minorEastAsia"/>
          <w:b w:val="0"/>
          <w:bCs w:val="0"/>
          <w:color w:val="auto"/>
          <w:spacing w:val="0"/>
          <w:sz w:val="24"/>
          <w:szCs w:val="24"/>
          <w:lang w:eastAsia="zh-CN"/>
        </w:rPr>
        <w:t>。</w:t>
      </w:r>
      <w:r>
        <w:rPr>
          <w:rFonts w:hint="eastAsia" w:asciiTheme="minorEastAsia" w:hAnsiTheme="minorEastAsia" w:eastAsiaTheme="minorEastAsia" w:cstheme="minorEastAsia"/>
          <w:b/>
          <w:bCs/>
          <w:color w:val="auto"/>
          <w:spacing w:val="-6"/>
          <w:sz w:val="24"/>
          <w:szCs w:val="24"/>
          <w:highlight w:val="none"/>
        </w:rPr>
        <w:t>（</w:t>
      </w:r>
      <w:r>
        <w:rPr>
          <w:rFonts w:hint="eastAsia" w:asciiTheme="minorEastAsia" w:hAnsiTheme="minorEastAsia" w:eastAsiaTheme="minorEastAsia" w:cstheme="minorEastAsia"/>
          <w:b/>
          <w:bCs/>
          <w:color w:val="auto"/>
          <w:spacing w:val="-6"/>
          <w:sz w:val="24"/>
          <w:szCs w:val="24"/>
          <w:highlight w:val="none"/>
          <w:lang w:val="en-US" w:eastAsia="zh-CN"/>
        </w:rPr>
        <w:t>提供参数确认函加盖厂家</w:t>
      </w:r>
      <w:r>
        <w:rPr>
          <w:rFonts w:hint="eastAsia" w:asciiTheme="minorEastAsia" w:hAnsiTheme="minorEastAsia" w:eastAsiaTheme="minorEastAsia" w:cstheme="minorEastAsia"/>
          <w:b/>
          <w:bCs/>
          <w:sz w:val="24"/>
          <w:szCs w:val="24"/>
          <w:highlight w:val="yellow"/>
          <w:lang w:val="en-US" w:eastAsia="zh-CN"/>
        </w:rPr>
        <w:t>原色</w:t>
      </w:r>
      <w:r>
        <w:rPr>
          <w:rFonts w:hint="eastAsia" w:asciiTheme="minorEastAsia" w:hAnsiTheme="minorEastAsia" w:eastAsiaTheme="minorEastAsia" w:cstheme="minorEastAsia"/>
          <w:b/>
          <w:bCs/>
          <w:color w:val="auto"/>
          <w:spacing w:val="-6"/>
          <w:sz w:val="24"/>
          <w:szCs w:val="24"/>
          <w:highlight w:val="none"/>
          <w:lang w:val="en-US" w:eastAsia="zh-CN"/>
        </w:rPr>
        <w:t>公章</w:t>
      </w:r>
      <w:r>
        <w:rPr>
          <w:rFonts w:hint="eastAsia" w:asciiTheme="minorEastAsia" w:hAnsiTheme="minorEastAsia" w:eastAsiaTheme="minorEastAsia" w:cstheme="minorEastAsia"/>
          <w:b/>
          <w:bCs/>
          <w:color w:val="auto"/>
          <w:spacing w:val="-6"/>
          <w:sz w:val="24"/>
          <w:szCs w:val="24"/>
          <w:highlight w:val="none"/>
        </w:rPr>
        <w:t>）</w:t>
      </w:r>
    </w:p>
    <w:p>
      <w:pPr>
        <w:keepNext w:val="0"/>
        <w:keepLines w:val="0"/>
        <w:widowControl/>
        <w:suppressLineNumbers w:val="0"/>
        <w:spacing w:line="360" w:lineRule="auto"/>
        <w:ind w:firstLine="480" w:firstLineChars="200"/>
        <w:jc w:val="left"/>
        <w:rPr>
          <w:rFonts w:hint="default" w:asciiTheme="minorEastAsia" w:hAnsiTheme="minorEastAsia" w:eastAsiaTheme="minorEastAsia" w:cstheme="minorEastAsia"/>
          <w:b/>
          <w:bCs/>
          <w:color w:val="auto"/>
          <w:sz w:val="24"/>
          <w:szCs w:val="24"/>
          <w:highlight w:val="none"/>
          <w:lang w:val="en-US"/>
        </w:rPr>
      </w:pPr>
      <w:r>
        <w:rPr>
          <w:rFonts w:hint="eastAsia" w:asciiTheme="minorEastAsia" w:hAnsiTheme="minorEastAsia" w:eastAsiaTheme="minorEastAsia" w:cstheme="minorEastAsia"/>
          <w:b w:val="0"/>
          <w:bCs w:val="0"/>
          <w:color w:val="auto"/>
          <w:sz w:val="24"/>
          <w:szCs w:val="24"/>
          <w:lang w:val="en-US" w:eastAsia="zh-CN"/>
        </w:rPr>
        <w:t>4、</w:t>
      </w:r>
      <w:r>
        <w:rPr>
          <w:rFonts w:hint="eastAsia" w:asciiTheme="minorEastAsia" w:hAnsiTheme="minorEastAsia" w:eastAsiaTheme="minorEastAsia" w:cstheme="minorEastAsia"/>
          <w:b w:val="0"/>
          <w:bCs w:val="0"/>
          <w:color w:val="auto"/>
          <w:spacing w:val="-3"/>
          <w:sz w:val="24"/>
          <w:szCs w:val="24"/>
        </w:rPr>
        <w:t>全谱实时校准技术：利用无干扰的氖特征谱线，对</w:t>
      </w:r>
      <w:r>
        <w:rPr>
          <w:rFonts w:hint="eastAsia" w:asciiTheme="minorEastAsia" w:hAnsiTheme="minorEastAsia" w:eastAsiaTheme="minorEastAsia" w:cstheme="minorEastAsia"/>
          <w:b w:val="0"/>
          <w:bCs w:val="0"/>
          <w:color w:val="auto"/>
          <w:spacing w:val="-8"/>
          <w:sz w:val="24"/>
          <w:szCs w:val="24"/>
        </w:rPr>
        <w:t>光谱的细微偏移进行实时校正，实现光谱的最优积分，确保长</w:t>
      </w:r>
      <w:r>
        <w:rPr>
          <w:rFonts w:hint="eastAsia" w:asciiTheme="minorEastAsia" w:hAnsiTheme="minorEastAsia" w:eastAsiaTheme="minorEastAsia" w:cstheme="minorEastAsia"/>
          <w:b w:val="0"/>
          <w:bCs w:val="0"/>
          <w:color w:val="auto"/>
          <w:spacing w:val="-7"/>
          <w:sz w:val="24"/>
          <w:szCs w:val="24"/>
        </w:rPr>
        <w:t>期稳定性，良好消除光谱漂移对于测量的影响</w:t>
      </w:r>
      <w:r>
        <w:rPr>
          <w:rFonts w:hint="eastAsia" w:asciiTheme="minorEastAsia" w:hAnsiTheme="minorEastAsia" w:eastAsiaTheme="minorEastAsia" w:cstheme="minorEastAsia"/>
          <w:b w:val="0"/>
          <w:bCs w:val="0"/>
          <w:color w:val="auto"/>
          <w:spacing w:val="-7"/>
          <w:sz w:val="24"/>
          <w:szCs w:val="24"/>
          <w:lang w:eastAsia="zh-CN"/>
        </w:rPr>
        <w:t>。</w:t>
      </w:r>
      <w:r>
        <w:rPr>
          <w:rFonts w:hint="eastAsia" w:asciiTheme="minorEastAsia" w:hAnsiTheme="minorEastAsia" w:eastAsiaTheme="minorEastAsia" w:cstheme="minorEastAsia"/>
          <w:b/>
          <w:bCs/>
          <w:color w:val="auto"/>
          <w:spacing w:val="-6"/>
          <w:sz w:val="24"/>
          <w:szCs w:val="24"/>
          <w:highlight w:val="none"/>
          <w:lang w:val="zh-CN" w:eastAsia="zh-CN" w:bidi="zh-CN"/>
        </w:rPr>
        <w:t>（</w:t>
      </w:r>
      <w:r>
        <w:rPr>
          <w:rFonts w:hint="eastAsia" w:asciiTheme="minorEastAsia" w:hAnsiTheme="minorEastAsia" w:eastAsiaTheme="minorEastAsia" w:cstheme="minorEastAsia"/>
          <w:b/>
          <w:bCs/>
          <w:color w:val="auto"/>
          <w:spacing w:val="-6"/>
          <w:sz w:val="24"/>
          <w:szCs w:val="24"/>
          <w:highlight w:val="none"/>
          <w:lang w:val="en-US" w:eastAsia="zh-CN" w:bidi="zh-CN"/>
        </w:rPr>
        <w:t>提供参数确认函加盖厂家</w:t>
      </w:r>
      <w:r>
        <w:rPr>
          <w:rFonts w:hint="eastAsia" w:asciiTheme="minorEastAsia" w:hAnsiTheme="minorEastAsia" w:eastAsiaTheme="minorEastAsia" w:cstheme="minorEastAsia"/>
          <w:b/>
          <w:bCs/>
          <w:sz w:val="24"/>
          <w:szCs w:val="24"/>
          <w:highlight w:val="yellow"/>
          <w:lang w:val="en-US" w:eastAsia="zh-CN"/>
        </w:rPr>
        <w:t>原色</w:t>
      </w:r>
      <w:r>
        <w:rPr>
          <w:rFonts w:hint="eastAsia" w:asciiTheme="minorEastAsia" w:hAnsiTheme="minorEastAsia" w:eastAsiaTheme="minorEastAsia" w:cstheme="minorEastAsia"/>
          <w:b/>
          <w:bCs/>
          <w:color w:val="auto"/>
          <w:spacing w:val="-6"/>
          <w:sz w:val="24"/>
          <w:szCs w:val="24"/>
          <w:highlight w:val="none"/>
          <w:lang w:val="en-US" w:eastAsia="zh-CN" w:bidi="zh-CN"/>
        </w:rPr>
        <w:t>公章）</w:t>
      </w:r>
    </w:p>
    <w:p>
      <w:pPr>
        <w:keepNext w:val="0"/>
        <w:keepLines w:val="0"/>
        <w:widowControl/>
        <w:suppressLineNumbers w:val="0"/>
        <w:spacing w:line="360" w:lineRule="auto"/>
        <w:ind w:firstLine="241" w:firstLineChars="100"/>
        <w:jc w:val="left"/>
        <w:rPr>
          <w:rFonts w:hint="eastAsia" w:asciiTheme="minorEastAsia" w:hAnsiTheme="minorEastAsia" w:eastAsiaTheme="minorEastAsia" w:cstheme="minorEastAsia"/>
          <w:b/>
          <w:bCs/>
          <w:color w:val="000000"/>
          <w:kern w:val="0"/>
          <w:sz w:val="24"/>
          <w:szCs w:val="24"/>
          <w:lang w:val="en-US" w:eastAsia="zh-CN" w:bidi="ar"/>
        </w:rPr>
      </w:pPr>
    </w:p>
    <w:p>
      <w:pPr>
        <w:keepNext w:val="0"/>
        <w:keepLines w:val="0"/>
        <w:widowControl/>
        <w:suppressLineNumbers w:val="0"/>
        <w:spacing w:line="360" w:lineRule="auto"/>
        <w:ind w:firstLine="241"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lang w:val="en-US" w:eastAsia="zh-CN" w:bidi="ar"/>
        </w:rPr>
        <w:t xml:space="preserve">注：以上技术要求均为基本要求，所供产品的参数均须满足或优于此基本要求， </w:t>
      </w:r>
    </w:p>
    <w:p>
      <w:pPr>
        <w:keepNext w:val="0"/>
        <w:keepLines w:val="0"/>
        <w:widowControl/>
        <w:suppressLineNumbers w:val="0"/>
        <w:spacing w:line="360" w:lineRule="auto"/>
        <w:jc w:val="left"/>
        <w:rPr>
          <w:rFonts w:hint="eastAsia" w:asciiTheme="minorEastAsia" w:hAnsiTheme="minorEastAsia" w:eastAsiaTheme="minorEastAsia" w:cstheme="minorEastAsia"/>
          <w:b/>
          <w:bCs/>
          <w:color w:val="000000"/>
          <w:kern w:val="0"/>
          <w:sz w:val="24"/>
          <w:szCs w:val="24"/>
          <w:lang w:val="en-US" w:eastAsia="zh-CN" w:bidi="ar"/>
        </w:rPr>
      </w:pPr>
      <w:r>
        <w:rPr>
          <w:rFonts w:hint="eastAsia" w:asciiTheme="minorEastAsia" w:hAnsiTheme="minorEastAsia" w:eastAsiaTheme="minorEastAsia" w:cstheme="minorEastAsia"/>
          <w:b/>
          <w:bCs/>
          <w:color w:val="000000"/>
          <w:kern w:val="0"/>
          <w:sz w:val="24"/>
          <w:szCs w:val="24"/>
          <w:lang w:val="en-US" w:eastAsia="zh-CN" w:bidi="ar"/>
        </w:rPr>
        <w:t>否则视为响应无效。</w:t>
      </w:r>
      <w:r>
        <w:rPr>
          <w:rFonts w:hint="eastAsia" w:asciiTheme="minorEastAsia" w:hAnsiTheme="minorEastAsia" w:eastAsiaTheme="minorEastAsia" w:cstheme="minorEastAsia"/>
          <w:b/>
          <w:bCs/>
          <w:color w:val="000000"/>
          <w:kern w:val="0"/>
          <w:sz w:val="24"/>
          <w:szCs w:val="24"/>
          <w:lang w:val="en-US" w:eastAsia="zh-CN" w:bidi="ar"/>
        </w:rPr>
        <w:br w:type="textWrapping"/>
      </w:r>
      <w:r>
        <w:rPr>
          <w:rFonts w:hint="eastAsia" w:asciiTheme="minorEastAsia" w:hAnsiTheme="minorEastAsia" w:eastAsiaTheme="minorEastAsia" w:cstheme="minorEastAsia"/>
          <w:b/>
          <w:bCs/>
          <w:color w:val="000000"/>
          <w:kern w:val="0"/>
          <w:sz w:val="24"/>
          <w:szCs w:val="24"/>
          <w:lang w:val="en-US" w:eastAsia="zh-CN" w:bidi="ar"/>
        </w:rPr>
        <w:t xml:space="preserve">  </w:t>
      </w:r>
    </w:p>
    <w:p>
      <w:pPr>
        <w:pStyle w:val="3"/>
        <w:keepNext w:val="0"/>
        <w:keepLines w:val="0"/>
        <w:pageBreakBefore w:val="0"/>
        <w:widowControl w:val="0"/>
        <w:kinsoku/>
        <w:wordWrap/>
        <w:overflowPunct/>
        <w:topLinePunct w:val="0"/>
        <w:autoSpaceDE w:val="0"/>
        <w:autoSpaceDN w:val="0"/>
        <w:bidi w:val="0"/>
        <w:adjustRightInd/>
        <w:snapToGrid/>
        <w:spacing w:before="0" w:line="360" w:lineRule="auto"/>
        <w:ind w:left="0" w:right="0"/>
        <w:textAlignment w:val="auto"/>
        <w:outlineLvl w:val="9"/>
        <w:rPr>
          <w:rFonts w:hint="eastAsia" w:asciiTheme="minorEastAsia" w:hAnsiTheme="minorEastAsia" w:eastAsiaTheme="minorEastAsia" w:cstheme="minorEastAsia"/>
          <w:sz w:val="24"/>
          <w:szCs w:val="24"/>
        </w:rPr>
      </w:pPr>
    </w:p>
    <w:p>
      <w:pPr>
        <w:pStyle w:val="3"/>
        <w:keepNext w:val="0"/>
        <w:keepLines w:val="0"/>
        <w:pageBreakBefore w:val="0"/>
        <w:numPr>
          <w:ilvl w:val="0"/>
          <w:numId w:val="0"/>
        </w:numPr>
        <w:kinsoku/>
        <w:wordWrap/>
        <w:overflowPunct/>
        <w:topLinePunct w:val="0"/>
        <w:bidi w:val="0"/>
        <w:spacing w:before="0" w:line="360" w:lineRule="auto"/>
        <w:ind w:right="22" w:rightChars="0"/>
        <w:jc w:val="center"/>
        <w:outlineLvl w:val="1"/>
        <w:rPr>
          <w:rFonts w:hint="eastAsia" w:asciiTheme="minorEastAsia" w:hAnsiTheme="minorEastAsia" w:eastAsiaTheme="minorEastAsia" w:cstheme="minorEastAsia"/>
          <w:b/>
          <w:bCs/>
          <w:sz w:val="24"/>
          <w:szCs w:val="24"/>
          <w:lang w:val="en-US" w:eastAsia="zh-CN" w:bidi="zh-CN"/>
        </w:rPr>
      </w:pPr>
      <w:r>
        <w:rPr>
          <w:rFonts w:hint="eastAsia" w:asciiTheme="minorEastAsia" w:hAnsiTheme="minorEastAsia" w:eastAsiaTheme="minorEastAsia" w:cstheme="minorEastAsia"/>
          <w:b/>
          <w:bCs/>
          <w:sz w:val="24"/>
          <w:szCs w:val="24"/>
          <w:lang w:val="en-US" w:eastAsia="zh-CN" w:bidi="zh-CN"/>
        </w:rPr>
        <w:t>三、商务条款</w:t>
      </w:r>
    </w:p>
    <w:p>
      <w:pPr>
        <w:keepNext w:val="0"/>
        <w:keepLines w:val="0"/>
        <w:pageBreakBefore w:val="0"/>
        <w:widowControl w:val="0"/>
        <w:kinsoku/>
        <w:wordWrap/>
        <w:overflowPunct/>
        <w:topLinePunct w:val="0"/>
        <w:autoSpaceDE w:val="0"/>
        <w:autoSpaceDN w:val="0"/>
        <w:bidi w:val="0"/>
        <w:adjustRightInd/>
        <w:snapToGrid/>
        <w:spacing w:before="0" w:line="500" w:lineRule="exact"/>
        <w:ind w:right="0"/>
        <w:textAlignment w:val="auto"/>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1、</w:t>
      </w:r>
      <w:r>
        <w:rPr>
          <w:rFonts w:hint="eastAsia" w:asciiTheme="minorEastAsia" w:hAnsiTheme="minorEastAsia" w:eastAsiaTheme="minorEastAsia" w:cstheme="minorEastAsia"/>
          <w:b/>
          <w:bCs/>
          <w:sz w:val="24"/>
          <w:szCs w:val="24"/>
          <w:lang w:eastAsia="zh-CN"/>
        </w:rPr>
        <w:t>交货</w:t>
      </w:r>
      <w:r>
        <w:rPr>
          <w:rFonts w:hint="eastAsia" w:asciiTheme="minorEastAsia" w:hAnsiTheme="minorEastAsia" w:eastAsiaTheme="minorEastAsia" w:cstheme="minorEastAsia"/>
          <w:b/>
          <w:bCs/>
          <w:sz w:val="24"/>
          <w:szCs w:val="24"/>
          <w:lang w:val="en-US" w:eastAsia="zh-CN"/>
        </w:rPr>
        <w:t>期限</w:t>
      </w:r>
      <w:r>
        <w:rPr>
          <w:rFonts w:hint="eastAsia" w:asciiTheme="minorEastAsia" w:hAnsiTheme="minorEastAsia" w:eastAsiaTheme="minorEastAsia" w:cstheme="minorEastAsia"/>
          <w:b/>
          <w:bCs/>
          <w:sz w:val="24"/>
          <w:szCs w:val="24"/>
          <w:lang w:eastAsia="zh-CN"/>
        </w:rPr>
        <w:t>：</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合同签订后 </w:t>
      </w: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rPr>
        <w:t xml:space="preserve"> 日内。供应商应保证在要求时间内完成全部货物的供货、安装、调试并交付使用。</w:t>
      </w:r>
    </w:p>
    <w:p>
      <w:pPr>
        <w:keepNext w:val="0"/>
        <w:keepLines w:val="0"/>
        <w:pageBreakBefore w:val="0"/>
        <w:widowControl w:val="0"/>
        <w:kinsoku/>
        <w:wordWrap/>
        <w:overflowPunct/>
        <w:topLinePunct w:val="0"/>
        <w:autoSpaceDE w:val="0"/>
        <w:autoSpaceDN w:val="0"/>
        <w:bidi w:val="0"/>
        <w:adjustRightInd/>
        <w:snapToGrid/>
        <w:spacing w:before="0" w:line="500" w:lineRule="exact"/>
        <w:ind w:right="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2、</w:t>
      </w:r>
      <w:r>
        <w:rPr>
          <w:rFonts w:hint="eastAsia" w:asciiTheme="minorEastAsia" w:hAnsiTheme="minorEastAsia" w:eastAsiaTheme="minorEastAsia" w:cstheme="minorEastAsia"/>
          <w:b/>
          <w:bCs/>
          <w:sz w:val="24"/>
          <w:szCs w:val="24"/>
        </w:rPr>
        <w:t>交货地点：</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甲方指定地点</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b/>
          <w:bCs/>
          <w:sz w:val="24"/>
          <w:szCs w:val="24"/>
          <w:lang w:val="en-US" w:eastAsia="zh-CN"/>
        </w:rPr>
        <w:t>3、</w:t>
      </w:r>
      <w:r>
        <w:rPr>
          <w:rFonts w:hint="eastAsia" w:asciiTheme="minorEastAsia" w:hAnsiTheme="minorEastAsia" w:eastAsiaTheme="minorEastAsia" w:cstheme="minorEastAsia"/>
          <w:b/>
          <w:bCs/>
          <w:sz w:val="24"/>
          <w:szCs w:val="24"/>
        </w:rPr>
        <w:t>付款方式</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eastAsia="zh-CN"/>
        </w:rPr>
        <w:t>完成</w:t>
      </w:r>
      <w:r>
        <w:rPr>
          <w:rFonts w:hint="eastAsia" w:asciiTheme="minorEastAsia" w:hAnsiTheme="minorEastAsia" w:eastAsiaTheme="minorEastAsia" w:cstheme="minorEastAsia"/>
          <w:sz w:val="24"/>
          <w:szCs w:val="24"/>
          <w:lang w:val="en-US" w:eastAsia="zh-CN"/>
        </w:rPr>
        <w:t>所有</w:t>
      </w:r>
      <w:r>
        <w:rPr>
          <w:rFonts w:hint="eastAsia" w:asciiTheme="minorEastAsia" w:hAnsiTheme="minorEastAsia" w:eastAsiaTheme="minorEastAsia" w:cstheme="minorEastAsia"/>
          <w:sz w:val="24"/>
          <w:szCs w:val="24"/>
          <w:lang w:val="zh-CN" w:eastAsia="zh-CN"/>
        </w:rPr>
        <w:t>货物的安装调试并经验收合格后，凭验收文件（原件壹份）、按货物所属单位开具的货物发票、向采购单位申请结算，采购单位向中标人支付中标金额90%的货款，剩余10%作为质保期满后付清（所有款项支付均为无息）。</w:t>
      </w:r>
    </w:p>
    <w:p>
      <w:pPr>
        <w:keepNext w:val="0"/>
        <w:keepLines w:val="0"/>
        <w:pageBreakBefore w:val="0"/>
        <w:widowControl w:val="0"/>
        <w:kinsoku/>
        <w:wordWrap/>
        <w:overflowPunct/>
        <w:topLinePunct w:val="0"/>
        <w:autoSpaceDE w:val="0"/>
        <w:autoSpaceDN w:val="0"/>
        <w:bidi w:val="0"/>
        <w:adjustRightInd/>
        <w:snapToGrid/>
        <w:spacing w:before="0" w:line="500" w:lineRule="exact"/>
        <w:ind w:left="482" w:right="0" w:hanging="482" w:hangingChars="200"/>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4、质量保证期：</w:t>
      </w:r>
    </w:p>
    <w:p>
      <w:pPr>
        <w:keepNext w:val="0"/>
        <w:keepLines w:val="0"/>
        <w:pageBreakBefore w:val="0"/>
        <w:widowControl w:val="0"/>
        <w:kinsoku/>
        <w:wordWrap/>
        <w:overflowPunct/>
        <w:topLinePunct w:val="0"/>
        <w:autoSpaceDE w:val="0"/>
        <w:autoSpaceDN w:val="0"/>
        <w:bidi w:val="0"/>
        <w:adjustRightInd/>
        <w:snapToGrid/>
        <w:spacing w:before="0" w:line="500" w:lineRule="exact"/>
        <w:ind w:right="0"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自合同货物全部到货安装完毕并验收合格之日起</w:t>
      </w:r>
      <w:r>
        <w:rPr>
          <w:rFonts w:hint="eastAsia" w:asciiTheme="minorEastAsia" w:hAnsiTheme="minorEastAsia" w:eastAsiaTheme="minorEastAsia" w:cstheme="minorEastAsia"/>
          <w:sz w:val="24"/>
          <w:szCs w:val="24"/>
          <w:u w:val="single"/>
          <w:lang w:val="en-US" w:eastAsia="zh-CN"/>
        </w:rPr>
        <w:t xml:space="preserve"> 1 </w:t>
      </w:r>
      <w:r>
        <w:rPr>
          <w:rFonts w:hint="eastAsia" w:asciiTheme="minorEastAsia" w:hAnsiTheme="minorEastAsia" w:eastAsiaTheme="minorEastAsia" w:cstheme="minorEastAsia"/>
          <w:sz w:val="24"/>
          <w:szCs w:val="24"/>
          <w:lang w:val="en-US" w:eastAsia="zh-CN"/>
        </w:rPr>
        <w:t>年（相关标准大于壹年的，则按相关标准执行）。以上所有费用均包含在本次报价中，采购人不再支付其他任何费用。</w:t>
      </w:r>
    </w:p>
    <w:p>
      <w:pPr>
        <w:keepNext w:val="0"/>
        <w:keepLines w:val="0"/>
        <w:pageBreakBefore w:val="0"/>
        <w:widowControl w:val="0"/>
        <w:kinsoku/>
        <w:wordWrap/>
        <w:overflowPunct/>
        <w:topLinePunct w:val="0"/>
        <w:autoSpaceDE w:val="0"/>
        <w:autoSpaceDN w:val="0"/>
        <w:bidi w:val="0"/>
        <w:adjustRightInd/>
        <w:snapToGrid/>
        <w:spacing w:before="0" w:line="500" w:lineRule="exact"/>
        <w:ind w:right="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5、包装和运输</w:t>
      </w:r>
    </w:p>
    <w:p>
      <w:pPr>
        <w:keepNext w:val="0"/>
        <w:keepLines w:val="0"/>
        <w:pageBreakBefore w:val="0"/>
        <w:widowControl w:val="0"/>
        <w:kinsoku/>
        <w:wordWrap/>
        <w:overflowPunct/>
        <w:topLinePunct w:val="0"/>
        <w:autoSpaceDE w:val="0"/>
        <w:autoSpaceDN w:val="0"/>
        <w:bidi w:val="0"/>
        <w:adjustRightInd/>
        <w:snapToGrid/>
        <w:spacing w:before="0" w:line="500" w:lineRule="exact"/>
        <w:ind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符合国家标准、行业规范和合同等相关文件的要求。</w:t>
      </w:r>
    </w:p>
    <w:p>
      <w:pPr>
        <w:keepNext w:val="0"/>
        <w:keepLines w:val="0"/>
        <w:pageBreakBefore w:val="0"/>
        <w:widowControl w:val="0"/>
        <w:kinsoku/>
        <w:wordWrap/>
        <w:overflowPunct/>
        <w:topLinePunct w:val="0"/>
        <w:autoSpaceDE w:val="0"/>
        <w:autoSpaceDN w:val="0"/>
        <w:bidi w:val="0"/>
        <w:adjustRightInd/>
        <w:snapToGrid/>
        <w:spacing w:before="0" w:line="500" w:lineRule="exact"/>
        <w:ind w:right="0"/>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6、验收标准</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货物运抵采购人指定地点后，由采购人和供应商组织相关人员依据货物清单共同对货物的数量、型号、外观、包装质量、技术资料等进行核查，核查无误双方确认后开始安装、调试。如果货物质量或技术规格与合同不符，或货物有明显损坏，采购人有权提出退换货。</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2、成交供应商所提供的货物应是全新的、质量合格的产品，并提供产品出厂合格证明材料。</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3、验收时间：货物安装调试完成后，由成交供应商提出项目验收申请报告，采购人收到验收申请报告后组织相关人员对货物进行验收，验收合格后，双方在验收报告上签字。</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4、采购人对提供不合格货物的成交供应商，可以选择以下方式进行处理：</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1）一旦发现是伪劣假冒产品、以次充好产品，成交供应商承担全部法律责任；采购人可以拒绝验收，不支付货款，未经采购人允许，成交供应商不能拆走货物。</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采购人可以要求成交供应商重新提供合格产品，并接收采购人的再次抽检（送第三方检测机构检测），直至检测合格。由此延误的交货时间由供应商承担（按合同有关延期交货期条款处理），并同时对供应商进行处罚。</w:t>
      </w:r>
    </w:p>
    <w:p>
      <w:pPr>
        <w:keepNext w:val="0"/>
        <w:keepLines w:val="0"/>
        <w:pageBreakBefore w:val="0"/>
        <w:widowControl w:val="0"/>
        <w:kinsoku/>
        <w:wordWrap/>
        <w:overflowPunct/>
        <w:topLinePunct w:val="0"/>
        <w:autoSpaceDE w:val="0"/>
        <w:autoSpaceDN w:val="0"/>
        <w:bidi w:val="0"/>
        <w:adjustRightInd/>
        <w:snapToGrid/>
        <w:spacing w:before="0" w:line="500" w:lineRule="exact"/>
        <w:ind w:left="482" w:right="0" w:hanging="482" w:hangingChars="200"/>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7、售后服务</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1、维修保养期：合同货物全部到货安装完毕并验收合格之日起 1 年（相关标准大于壹年的，则按相关标准执行）。</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2、在维修保养期内，非不可抗力和人为原因造成的损坏，皆由成交供应商负责维修及包换零部件；接维修通知后 2 小时响应，24 小时派人上门服务，每两个月上门检修，随时维修；维修保养期满后由成交供应商按成本价进行修理。以上所有费用均包含在本次报价中，采购人不再支付其他任何费用。</w:t>
      </w:r>
    </w:p>
    <w:p>
      <w:pPr>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在维修保养期内，成交供应商必须及时维修、更换有缺陷的产品或部件。如果成交供应商收到采购人通知后，未在规定的响应时间内到现场弥补缺陷，采购人可采取必须的补救措施，但费用全部由成交供应商承担，并从履约保证金中抵扣。</w:t>
      </w:r>
    </w:p>
    <w:p>
      <w:pPr>
        <w:pStyle w:val="12"/>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sz w:val="24"/>
          <w:szCs w:val="24"/>
          <w:lang w:eastAsia="zh-CN"/>
        </w:rPr>
        <w:t>4、在采购人使用单位内，如发现产品有其他潜在缺陷及成交供应商使用了不符合投标书承诺的原材料、零部件、外购件，采购人有权退货或向成交供应商</w:t>
      </w:r>
      <w:r>
        <w:rPr>
          <w:rFonts w:hint="eastAsia" w:asciiTheme="minorEastAsia" w:hAnsiTheme="minorEastAsia" w:eastAsiaTheme="minorEastAsia" w:cstheme="minorEastAsia"/>
          <w:sz w:val="24"/>
          <w:szCs w:val="24"/>
          <w:lang w:val="en-US" w:eastAsia="zh-CN"/>
        </w:rPr>
        <w:t>索赔。</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b/>
          <w:bCs/>
          <w:sz w:val="24"/>
          <w:szCs w:val="24"/>
          <w:lang w:val="en-US" w:eastAsia="zh-CN"/>
        </w:rPr>
        <w:t>8、知识产权</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 xml:space="preserve">   采购人在中华人民共和国使用成交供应商所提供的货物或货物的任何一部分时，免受第三方提出的侵犯其专利权、商标权或工业设计权的起诉。</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eastAsia="zh-CN"/>
        </w:rPr>
        <w:br w:type="textWrapping"/>
      </w:r>
      <w:r>
        <w:rPr>
          <w:rFonts w:hint="eastAsia" w:asciiTheme="minorEastAsia" w:hAnsiTheme="minorEastAsia" w:eastAsiaTheme="minorEastAsia" w:cstheme="minorEastAsia"/>
          <w:b/>
          <w:bCs/>
          <w:sz w:val="24"/>
          <w:szCs w:val="24"/>
          <w:lang w:val="en-US" w:eastAsia="zh-CN"/>
        </w:rPr>
        <w:t>注：上述所有商务条款，供应商需完全响应，不满足的视为响应无效。</w:t>
      </w:r>
    </w:p>
    <w:p>
      <w:pPr>
        <w:rPr>
          <w:rFonts w:hint="eastAsia" w:asciiTheme="minorEastAsia" w:hAnsiTheme="minorEastAsia" w:eastAsiaTheme="minorEastAsia" w:cstheme="minorEastAsia"/>
          <w:sz w:val="24"/>
          <w:szCs w:val="24"/>
        </w:rPr>
      </w:pPr>
    </w:p>
    <w:p>
      <w:pPr>
        <w:pStyle w:val="3"/>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pStyle w:val="2"/>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pStyle w:val="2"/>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pStyle w:val="2"/>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pStyle w:val="2"/>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pStyle w:val="2"/>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pStyle w:val="2"/>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pStyle w:val="2"/>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pStyle w:val="2"/>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pStyle w:val="2"/>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pStyle w:val="2"/>
        <w:rPr>
          <w:rFonts w:hint="eastAsia" w:asciiTheme="minorEastAsia" w:hAnsiTheme="minorEastAsia" w:eastAsiaTheme="minorEastAsia" w:cstheme="minorEastAsia"/>
          <w:sz w:val="24"/>
          <w:szCs w:val="24"/>
          <w:lang w:val="en-US" w:eastAsia="zh-CN"/>
        </w:rPr>
      </w:pPr>
    </w:p>
    <w:sectPr>
      <w:footerReference r:id="rId5" w:type="default"/>
      <w:pgSz w:w="11910" w:h="16840"/>
      <w:pgMar w:top="1247" w:right="1247" w:bottom="1247" w:left="1247" w:header="720" w:footer="720"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F"/>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keepNext w:val="0"/>
      <w:keepLines w:val="0"/>
      <w:pageBreakBefore w:val="0"/>
      <w:widowControl w:val="0"/>
      <w:kinsoku/>
      <w:wordWrap/>
      <w:overflowPunct/>
      <w:topLinePunct w:val="0"/>
      <w:autoSpaceDE w:val="0"/>
      <w:autoSpaceDN w:val="0"/>
      <w:bidi w:val="0"/>
      <w:adjustRightInd/>
      <w:snapToGrid/>
      <w:spacing w:line="240" w:lineRule="auto"/>
      <w:textAlignment w:val="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MmY0MGYyZTVmZjdhOTRiNDhiNDA5N2EyNjhlODgifQ=="/>
  </w:docVars>
  <w:rsids>
    <w:rsidRoot w:val="00000000"/>
    <w:rsid w:val="00943B62"/>
    <w:rsid w:val="00D05E1B"/>
    <w:rsid w:val="010C0502"/>
    <w:rsid w:val="02AC0C13"/>
    <w:rsid w:val="031D2C09"/>
    <w:rsid w:val="06DD649D"/>
    <w:rsid w:val="077F6717"/>
    <w:rsid w:val="0A0C391B"/>
    <w:rsid w:val="0E2308C2"/>
    <w:rsid w:val="11717F0E"/>
    <w:rsid w:val="134655A4"/>
    <w:rsid w:val="16082A84"/>
    <w:rsid w:val="19934667"/>
    <w:rsid w:val="1A491838"/>
    <w:rsid w:val="1A544ED3"/>
    <w:rsid w:val="1A80217C"/>
    <w:rsid w:val="1BB47375"/>
    <w:rsid w:val="1BBA6AE2"/>
    <w:rsid w:val="1CA76EDA"/>
    <w:rsid w:val="1D9C40B3"/>
    <w:rsid w:val="1E7925EB"/>
    <w:rsid w:val="1EB06519"/>
    <w:rsid w:val="1EBC6898"/>
    <w:rsid w:val="1EC307F6"/>
    <w:rsid w:val="1EDB2E6A"/>
    <w:rsid w:val="21C03210"/>
    <w:rsid w:val="25974169"/>
    <w:rsid w:val="27D421D8"/>
    <w:rsid w:val="285E6431"/>
    <w:rsid w:val="2F511653"/>
    <w:rsid w:val="30F60FA4"/>
    <w:rsid w:val="312D3052"/>
    <w:rsid w:val="32877139"/>
    <w:rsid w:val="37872ADE"/>
    <w:rsid w:val="395568AF"/>
    <w:rsid w:val="3A7A43B3"/>
    <w:rsid w:val="3AD230FE"/>
    <w:rsid w:val="3C8A1D00"/>
    <w:rsid w:val="3CE33B06"/>
    <w:rsid w:val="3D820432"/>
    <w:rsid w:val="41024123"/>
    <w:rsid w:val="41550197"/>
    <w:rsid w:val="41560E63"/>
    <w:rsid w:val="42333392"/>
    <w:rsid w:val="48141018"/>
    <w:rsid w:val="492C413F"/>
    <w:rsid w:val="499B1A55"/>
    <w:rsid w:val="4EF03DF1"/>
    <w:rsid w:val="50856E89"/>
    <w:rsid w:val="50E208CC"/>
    <w:rsid w:val="52694BE1"/>
    <w:rsid w:val="533A7773"/>
    <w:rsid w:val="54446FC0"/>
    <w:rsid w:val="54A1702B"/>
    <w:rsid w:val="557019C1"/>
    <w:rsid w:val="5576389C"/>
    <w:rsid w:val="558809CE"/>
    <w:rsid w:val="55D04B10"/>
    <w:rsid w:val="56FC1B9B"/>
    <w:rsid w:val="5D1C7323"/>
    <w:rsid w:val="5EBB3B43"/>
    <w:rsid w:val="5EFA466C"/>
    <w:rsid w:val="639112EC"/>
    <w:rsid w:val="63A70B3A"/>
    <w:rsid w:val="66030573"/>
    <w:rsid w:val="6A6A3592"/>
    <w:rsid w:val="6A7A6FA8"/>
    <w:rsid w:val="6B700180"/>
    <w:rsid w:val="6BD92445"/>
    <w:rsid w:val="6D0124DC"/>
    <w:rsid w:val="6DED7F0C"/>
    <w:rsid w:val="6FE0165C"/>
    <w:rsid w:val="711A294B"/>
    <w:rsid w:val="712E4649"/>
    <w:rsid w:val="72E87C5F"/>
    <w:rsid w:val="751C3136"/>
    <w:rsid w:val="780659D7"/>
    <w:rsid w:val="786544B0"/>
    <w:rsid w:val="78E71CAD"/>
    <w:rsid w:val="7DCA74A7"/>
    <w:rsid w:val="7EA83C8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qFormat="1" w:unhideWhenUsed="0" w:uiPriority="1" w:semiHidden="0" w:name="toc 4"/>
    <w:lsdException w:qFormat="1" w:unhideWhenUsed="0" w:uiPriority="1"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仿宋" w:hAnsi="仿宋" w:eastAsia="仿宋" w:cs="仿宋"/>
      <w:sz w:val="22"/>
      <w:szCs w:val="22"/>
      <w:lang w:val="zh-CN" w:eastAsia="zh-CN" w:bidi="zh-CN"/>
    </w:rPr>
  </w:style>
  <w:style w:type="paragraph" w:styleId="2">
    <w:name w:val="heading 1"/>
    <w:basedOn w:val="1"/>
    <w:next w:val="1"/>
    <w:qFormat/>
    <w:uiPriority w:val="1"/>
    <w:pPr>
      <w:spacing w:before="1"/>
      <w:ind w:left="467" w:right="489"/>
      <w:outlineLvl w:val="1"/>
    </w:pPr>
    <w:rPr>
      <w:rFonts w:ascii="仿宋" w:hAnsi="仿宋" w:eastAsia="仿宋" w:cs="仿宋"/>
      <w:sz w:val="84"/>
      <w:szCs w:val="84"/>
      <w:lang w:val="zh-CN" w:eastAsia="zh-CN" w:bidi="zh-CN"/>
    </w:rPr>
  </w:style>
  <w:style w:type="paragraph" w:styleId="3">
    <w:name w:val="heading 2"/>
    <w:basedOn w:val="1"/>
    <w:next w:val="1"/>
    <w:link w:val="26"/>
    <w:qFormat/>
    <w:uiPriority w:val="1"/>
    <w:pPr>
      <w:spacing w:before="36"/>
      <w:outlineLvl w:val="2"/>
    </w:pPr>
    <w:rPr>
      <w:rFonts w:ascii="仿宋" w:hAnsi="仿宋" w:eastAsia="仿宋" w:cs="仿宋"/>
      <w:b/>
      <w:bCs/>
      <w:sz w:val="32"/>
      <w:szCs w:val="32"/>
      <w:lang w:val="zh-CN" w:eastAsia="zh-CN" w:bidi="zh-CN"/>
    </w:rPr>
  </w:style>
  <w:style w:type="paragraph" w:styleId="4">
    <w:name w:val="heading 3"/>
    <w:basedOn w:val="1"/>
    <w:next w:val="1"/>
    <w:qFormat/>
    <w:uiPriority w:val="1"/>
    <w:pPr>
      <w:spacing w:before="38"/>
      <w:ind w:left="237"/>
      <w:jc w:val="center"/>
      <w:outlineLvl w:val="3"/>
    </w:pPr>
    <w:rPr>
      <w:rFonts w:ascii="仿宋" w:hAnsi="仿宋" w:eastAsia="仿宋" w:cs="仿宋"/>
      <w:b/>
      <w:bCs/>
      <w:sz w:val="30"/>
      <w:szCs w:val="30"/>
      <w:lang w:val="zh-CN" w:eastAsia="zh-CN" w:bidi="zh-CN"/>
    </w:rPr>
  </w:style>
  <w:style w:type="paragraph" w:styleId="5">
    <w:name w:val="heading 4"/>
    <w:basedOn w:val="1"/>
    <w:next w:val="1"/>
    <w:qFormat/>
    <w:uiPriority w:val="1"/>
    <w:pPr>
      <w:ind w:left="372"/>
      <w:outlineLvl w:val="4"/>
    </w:pPr>
    <w:rPr>
      <w:rFonts w:ascii="仿宋" w:hAnsi="仿宋" w:eastAsia="仿宋" w:cs="仿宋"/>
      <w:b/>
      <w:bCs/>
      <w:sz w:val="28"/>
      <w:szCs w:val="28"/>
      <w:lang w:val="zh-CN" w:eastAsia="zh-CN" w:bidi="zh-CN"/>
    </w:rPr>
  </w:style>
  <w:style w:type="paragraph" w:styleId="6">
    <w:name w:val="heading 5"/>
    <w:basedOn w:val="1"/>
    <w:next w:val="1"/>
    <w:qFormat/>
    <w:uiPriority w:val="1"/>
    <w:pPr>
      <w:outlineLvl w:val="5"/>
    </w:pPr>
    <w:rPr>
      <w:rFonts w:ascii="仿宋" w:hAnsi="仿宋" w:eastAsia="仿宋" w:cs="仿宋"/>
      <w:sz w:val="28"/>
      <w:szCs w:val="28"/>
      <w:lang w:val="zh-CN" w:eastAsia="zh-CN" w:bidi="zh-CN"/>
    </w:rPr>
  </w:style>
  <w:style w:type="paragraph" w:styleId="7">
    <w:name w:val="heading 6"/>
    <w:basedOn w:val="1"/>
    <w:next w:val="1"/>
    <w:qFormat/>
    <w:uiPriority w:val="1"/>
    <w:pPr>
      <w:ind w:left="857" w:hanging="486"/>
      <w:outlineLvl w:val="6"/>
    </w:pPr>
    <w:rPr>
      <w:rFonts w:ascii="仿宋" w:hAnsi="仿宋" w:eastAsia="仿宋" w:cs="仿宋"/>
      <w:b/>
      <w:bCs/>
      <w:sz w:val="24"/>
      <w:szCs w:val="24"/>
      <w:lang w:val="zh-CN" w:eastAsia="zh-CN" w:bidi="zh-CN"/>
    </w:rPr>
  </w:style>
  <w:style w:type="character" w:default="1" w:styleId="21">
    <w:name w:val="Default Paragraph Font"/>
    <w:semiHidden/>
    <w:unhideWhenUsed/>
    <w:qFormat/>
    <w:uiPriority w:val="1"/>
  </w:style>
  <w:style w:type="table" w:default="1" w:styleId="19">
    <w:name w:val="Normal Table"/>
    <w:semiHidden/>
    <w:qFormat/>
    <w:uiPriority w:val="0"/>
    <w:tblPr>
      <w:tblCellMar>
        <w:top w:w="0" w:type="dxa"/>
        <w:left w:w="108" w:type="dxa"/>
        <w:bottom w:w="0" w:type="dxa"/>
        <w:right w:w="108" w:type="dxa"/>
      </w:tblCellMar>
    </w:tblPr>
  </w:style>
  <w:style w:type="paragraph" w:styleId="8">
    <w:name w:val="annotation text"/>
    <w:basedOn w:val="1"/>
    <w:qFormat/>
    <w:uiPriority w:val="0"/>
    <w:pPr>
      <w:jc w:val="left"/>
    </w:pPr>
  </w:style>
  <w:style w:type="paragraph" w:styleId="9">
    <w:name w:val="Body Text"/>
    <w:basedOn w:val="1"/>
    <w:next w:val="1"/>
    <w:qFormat/>
    <w:uiPriority w:val="1"/>
    <w:rPr>
      <w:rFonts w:ascii="仿宋" w:hAnsi="仿宋" w:eastAsia="仿宋" w:cs="仿宋"/>
      <w:sz w:val="24"/>
      <w:szCs w:val="24"/>
      <w:lang w:val="zh-CN" w:eastAsia="zh-CN" w:bidi="zh-CN"/>
    </w:rPr>
  </w:style>
  <w:style w:type="paragraph" w:styleId="10">
    <w:name w:val="toc 5"/>
    <w:basedOn w:val="1"/>
    <w:next w:val="1"/>
    <w:qFormat/>
    <w:uiPriority w:val="1"/>
    <w:pPr>
      <w:spacing w:before="65"/>
      <w:ind w:left="584" w:right="392"/>
    </w:pPr>
    <w:rPr>
      <w:rFonts w:ascii="仿宋" w:hAnsi="仿宋" w:eastAsia="仿宋" w:cs="仿宋"/>
      <w:sz w:val="20"/>
      <w:szCs w:val="20"/>
      <w:lang w:val="zh-CN" w:eastAsia="zh-CN" w:bidi="zh-CN"/>
    </w:rPr>
  </w:style>
  <w:style w:type="paragraph" w:styleId="11">
    <w:name w:val="toc 3"/>
    <w:basedOn w:val="1"/>
    <w:next w:val="1"/>
    <w:qFormat/>
    <w:uiPriority w:val="1"/>
    <w:pPr>
      <w:spacing w:before="63"/>
      <w:ind w:right="392"/>
      <w:jc w:val="right"/>
    </w:pPr>
    <w:rPr>
      <w:rFonts w:ascii="仿宋" w:hAnsi="仿宋" w:eastAsia="仿宋" w:cs="仿宋"/>
      <w:sz w:val="20"/>
      <w:szCs w:val="20"/>
      <w:lang w:val="zh-CN" w:eastAsia="zh-CN" w:bidi="zh-CN"/>
    </w:rPr>
  </w:style>
  <w:style w:type="paragraph" w:styleId="12">
    <w:name w:val="Plain Text"/>
    <w:basedOn w:val="1"/>
    <w:next w:val="1"/>
    <w:qFormat/>
    <w:uiPriority w:val="0"/>
    <w:rPr>
      <w:rFonts w:ascii="宋体" w:hAnsi="Courier New" w:eastAsiaTheme="minorEastAsia" w:cstheme="minorBidi"/>
      <w:szCs w:val="22"/>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qFormat/>
    <w:uiPriority w:val="1"/>
    <w:pPr>
      <w:spacing w:before="10"/>
      <w:ind w:left="1309" w:right="335" w:hanging="1309"/>
      <w:jc w:val="right"/>
    </w:pPr>
    <w:rPr>
      <w:rFonts w:ascii="仿宋" w:hAnsi="仿宋" w:eastAsia="仿宋" w:cs="仿宋"/>
      <w:i/>
      <w:sz w:val="22"/>
      <w:szCs w:val="22"/>
      <w:lang w:val="zh-CN" w:eastAsia="zh-CN" w:bidi="zh-CN"/>
    </w:rPr>
  </w:style>
  <w:style w:type="paragraph" w:styleId="16">
    <w:name w:val="toc 4"/>
    <w:basedOn w:val="1"/>
    <w:next w:val="1"/>
    <w:qFormat/>
    <w:uiPriority w:val="1"/>
    <w:pPr>
      <w:spacing w:before="63"/>
      <w:ind w:right="392"/>
      <w:jc w:val="right"/>
    </w:pPr>
    <w:rPr>
      <w:rFonts w:ascii="仿宋" w:hAnsi="仿宋" w:eastAsia="仿宋" w:cs="仿宋"/>
      <w:b/>
      <w:bCs/>
      <w:i/>
      <w:lang w:val="zh-CN" w:eastAsia="zh-CN" w:bidi="zh-CN"/>
    </w:rPr>
  </w:style>
  <w:style w:type="paragraph" w:styleId="17">
    <w:name w:val="toc 2"/>
    <w:basedOn w:val="1"/>
    <w:next w:val="1"/>
    <w:qFormat/>
    <w:uiPriority w:val="1"/>
    <w:pPr>
      <w:spacing w:before="53"/>
      <w:ind w:right="392"/>
      <w:jc w:val="right"/>
    </w:pPr>
    <w:rPr>
      <w:rFonts w:ascii="仿宋" w:hAnsi="仿宋" w:eastAsia="仿宋" w:cs="仿宋"/>
      <w:b/>
      <w:bCs/>
      <w:sz w:val="21"/>
      <w:szCs w:val="21"/>
      <w:lang w:val="zh-CN" w:eastAsia="zh-CN" w:bidi="zh-CN"/>
    </w:rPr>
  </w:style>
  <w:style w:type="paragraph" w:styleId="18">
    <w:name w:val="Body Text First Indent"/>
    <w:basedOn w:val="9"/>
    <w:next w:val="9"/>
    <w:qFormat/>
    <w:uiPriority w:val="0"/>
    <w:pPr>
      <w:ind w:firstLine="420" w:firstLineChars="100"/>
    </w:pPr>
    <w:rPr>
      <w:sz w:val="21"/>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Hyperlink"/>
    <w:basedOn w:val="21"/>
    <w:qFormat/>
    <w:uiPriority w:val="0"/>
    <w:rPr>
      <w:color w:val="0000FF"/>
      <w:u w:val="single"/>
    </w:rPr>
  </w:style>
  <w:style w:type="table" w:customStyle="1" w:styleId="23">
    <w:name w:val="Table Normal"/>
    <w:semiHidden/>
    <w:unhideWhenUsed/>
    <w:qFormat/>
    <w:uiPriority w:val="2"/>
    <w:tblPr>
      <w:tblCellMar>
        <w:top w:w="0" w:type="dxa"/>
        <w:left w:w="0" w:type="dxa"/>
        <w:bottom w:w="0" w:type="dxa"/>
        <w:right w:w="0" w:type="dxa"/>
      </w:tblCellMar>
    </w:tblPr>
  </w:style>
  <w:style w:type="paragraph" w:styleId="24">
    <w:name w:val="List Paragraph"/>
    <w:basedOn w:val="1"/>
    <w:qFormat/>
    <w:uiPriority w:val="1"/>
    <w:pPr>
      <w:ind w:left="972" w:hanging="486"/>
    </w:pPr>
    <w:rPr>
      <w:rFonts w:ascii="仿宋" w:hAnsi="仿宋" w:eastAsia="仿宋" w:cs="仿宋"/>
      <w:lang w:val="zh-CN" w:eastAsia="zh-CN" w:bidi="zh-CN"/>
    </w:rPr>
  </w:style>
  <w:style w:type="paragraph" w:customStyle="1" w:styleId="25">
    <w:name w:val="Table Paragraph"/>
    <w:basedOn w:val="1"/>
    <w:qFormat/>
    <w:uiPriority w:val="1"/>
    <w:rPr>
      <w:rFonts w:ascii="宋体" w:hAnsi="宋体" w:eastAsia="宋体" w:cs="宋体"/>
      <w:lang w:val="zh-CN" w:eastAsia="zh-CN" w:bidi="zh-CN"/>
    </w:rPr>
  </w:style>
  <w:style w:type="character" w:customStyle="1" w:styleId="26">
    <w:name w:val="标题 2 Char"/>
    <w:link w:val="3"/>
    <w:qFormat/>
    <w:uiPriority w:val="1"/>
    <w:rPr>
      <w:rFonts w:ascii="仿宋" w:hAnsi="仿宋" w:eastAsia="仿宋" w:cs="仿宋"/>
      <w:b/>
      <w:bCs/>
      <w:sz w:val="32"/>
      <w:szCs w:val="32"/>
      <w:lang w:val="zh-CN" w:eastAsia="zh-CN" w:bidi="zh-CN"/>
    </w:rPr>
  </w:style>
  <w:style w:type="paragraph" w:customStyle="1" w:styleId="27">
    <w:name w:val="WPSOffice手动目录 2"/>
    <w:qFormat/>
    <w:uiPriority w:val="0"/>
    <w:pPr>
      <w:ind w:leftChars="200"/>
    </w:pPr>
    <w:rPr>
      <w:rFonts w:asciiTheme="minorHAnsi" w:hAnsiTheme="minorHAnsi" w:eastAsiaTheme="minorHAnsi" w:cstheme="minorBidi"/>
      <w:sz w:val="20"/>
      <w:szCs w:val="20"/>
    </w:rPr>
  </w:style>
  <w:style w:type="paragraph" w:customStyle="1" w:styleId="28">
    <w:name w:val="WPSOffice手动目录 1"/>
    <w:qFormat/>
    <w:uiPriority w:val="0"/>
    <w:pPr>
      <w:ind w:leftChars="0"/>
    </w:pPr>
    <w:rPr>
      <w:rFonts w:asciiTheme="minorHAnsi" w:hAnsiTheme="minorHAnsi" w:eastAsiaTheme="minorHAnsi" w:cstheme="minorBidi"/>
      <w:sz w:val="20"/>
      <w:szCs w:val="20"/>
    </w:rPr>
  </w:style>
  <w:style w:type="paragraph" w:customStyle="1" w:styleId="29">
    <w:name w:val="正文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53</Pages>
  <Words>23991</Words>
  <Characters>25480</Characters>
  <TotalTime>0</TotalTime>
  <ScaleCrop>false</ScaleCrop>
  <LinksUpToDate>false</LinksUpToDate>
  <CharactersWithSpaces>26725</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2022-05-26T03:00:00Z</dcterms:created>
  <dc:creator>hxw</dc:creator>
  <cp:lastModifiedBy>刘流流</cp:lastModifiedBy>
  <cp:lastPrinted>2023-04-06T06:00:16Z</cp:lastPrinted>
  <dcterms:modified xsi:type="dcterms:W3CDTF">2023-04-06T06:07:49Z</dcterms:modified>
  <dc:title>竞争性谈判文件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2022-03-24T00:00:00Z</vt:filetime>
  </property>
  <property fmtid="{D5CDD505-2E9C-101B-9397-08002B2CF9AE}" pid="3" name="Creator">
    <vt:lpwstr>WPS 文字</vt:lpwstr>
  </property>
  <property fmtid="{D5CDD505-2E9C-101B-9397-08002B2CF9AE}" pid="4" name="LastSaved">
    <vt:filetime>2022-05-26T00:00:00Z</vt:filetime>
  </property>
  <property fmtid="{D5CDD505-2E9C-101B-9397-08002B2CF9AE}" pid="5" name="KSOProductBuildVer">
    <vt:lpwstr>2052-11.1.0.14036</vt:lpwstr>
  </property>
  <property fmtid="{D5CDD505-2E9C-101B-9397-08002B2CF9AE}" pid="6" name="ICV">
    <vt:lpwstr>F492A1E53EE74ED8AEB75C213F3F85DD_13</vt:lpwstr>
  </property>
</Properties>
</file>