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F339A">
      <w:pPr>
        <w:pageBreakBefore w:val="0"/>
        <w:wordWrap w:val="0"/>
        <w:overflowPunct/>
        <w:bidi w:val="0"/>
        <w:adjustRightInd/>
        <w:snapToGrid/>
        <w:ind w:firstLine="0" w:firstLineChars="0"/>
        <w:jc w:val="center"/>
        <w:rPr>
          <w:rFonts w:hint="eastAsia" w:eastAsia="宋体"/>
          <w:b/>
          <w:bCs/>
          <w:color w:val="auto"/>
          <w:sz w:val="36"/>
          <w:szCs w:val="36"/>
          <w:lang w:eastAsia="zh-CN"/>
        </w:rPr>
      </w:pPr>
      <w:r>
        <w:rPr>
          <w:rFonts w:hint="eastAsia"/>
          <w:b/>
          <w:bCs/>
          <w:color w:val="auto"/>
          <w:sz w:val="36"/>
          <w:szCs w:val="36"/>
          <w:lang w:eastAsia="zh-CN"/>
        </w:rPr>
        <w:t>云南省消防救援总队2023年“自然灾害应急能力提升工程”装备配备项目（车辆部分）第一批次（二次招标）</w:t>
      </w:r>
    </w:p>
    <w:p w14:paraId="7B562C8D">
      <w:pPr>
        <w:pageBreakBefore w:val="0"/>
        <w:wordWrap w:val="0"/>
        <w:overflowPunct/>
        <w:bidi w:val="0"/>
        <w:adjustRightInd/>
        <w:snapToGrid/>
        <w:rPr>
          <w:color w:val="auto"/>
        </w:rPr>
      </w:pPr>
    </w:p>
    <w:p w14:paraId="47131D25">
      <w:pPr>
        <w:pageBreakBefore w:val="0"/>
        <w:wordWrap w:val="0"/>
        <w:overflowPunct/>
        <w:bidi w:val="0"/>
        <w:adjustRightInd/>
        <w:snapToGrid/>
        <w:rPr>
          <w:color w:val="auto"/>
        </w:rPr>
      </w:pPr>
    </w:p>
    <w:p w14:paraId="2CAFC8C0">
      <w:pPr>
        <w:pageBreakBefore w:val="0"/>
        <w:wordWrap w:val="0"/>
        <w:overflowPunct/>
        <w:bidi w:val="0"/>
        <w:adjustRightInd/>
        <w:snapToGrid/>
        <w:rPr>
          <w:color w:val="auto"/>
        </w:rPr>
      </w:pPr>
    </w:p>
    <w:p w14:paraId="7FD373AF">
      <w:pPr>
        <w:pageBreakBefore w:val="0"/>
        <w:wordWrap w:val="0"/>
        <w:overflowPunct/>
        <w:bidi w:val="0"/>
        <w:ind w:firstLine="0" w:firstLineChars="0"/>
        <w:jc w:val="center"/>
        <w:rPr>
          <w:color w:val="auto"/>
          <w:sz w:val="84"/>
          <w:szCs w:val="84"/>
        </w:rPr>
      </w:pPr>
      <w:r>
        <w:rPr>
          <w:rFonts w:hint="eastAsia"/>
          <w:color w:val="auto"/>
          <w:spacing w:val="-5"/>
          <w:sz w:val="84"/>
          <w:szCs w:val="84"/>
          <w14:textOutline w14:w="15240" w14:cap="flat" w14:cmpd="sng" w14:algn="ctr">
            <w14:solidFill>
              <w14:srgbClr w14:val="000000"/>
            </w14:solidFill>
            <w14:prstDash w14:val="solid"/>
            <w14:miter w14:val="0"/>
          </w14:textOutline>
        </w:rPr>
        <w:t>招标</w:t>
      </w:r>
      <w:r>
        <w:rPr>
          <w:rFonts w:hint="eastAsia"/>
          <w:color w:val="auto"/>
          <w:spacing w:val="-3"/>
          <w:sz w:val="84"/>
          <w:szCs w:val="84"/>
          <w14:textOutline w14:w="15240" w14:cap="flat" w14:cmpd="sng" w14:algn="ctr">
            <w14:solidFill>
              <w14:srgbClr w14:val="000000"/>
            </w14:solidFill>
            <w14:prstDash w14:val="solid"/>
            <w14:miter w14:val="0"/>
          </w14:textOutline>
        </w:rPr>
        <w:t>文件</w:t>
      </w:r>
    </w:p>
    <w:p w14:paraId="7C744D58">
      <w:pPr>
        <w:pageBreakBefore w:val="0"/>
        <w:wordWrap w:val="0"/>
        <w:overflowPunct/>
        <w:bidi w:val="0"/>
        <w:adjustRightInd/>
        <w:snapToGrid/>
        <w:rPr>
          <w:color w:val="auto"/>
        </w:rPr>
      </w:pPr>
    </w:p>
    <w:p w14:paraId="71159D44">
      <w:pPr>
        <w:pageBreakBefore w:val="0"/>
        <w:wordWrap w:val="0"/>
        <w:overflowPunct/>
        <w:bidi w:val="0"/>
        <w:adjustRightInd/>
        <w:snapToGrid/>
        <w:ind w:firstLine="0" w:firstLineChars="0"/>
        <w:jc w:val="center"/>
        <w:rPr>
          <w:b/>
          <w:bCs/>
          <w:color w:val="auto"/>
          <w:sz w:val="32"/>
          <w:szCs w:val="32"/>
        </w:rPr>
      </w:pPr>
      <w:r>
        <w:rPr>
          <w:rFonts w:hint="eastAsia"/>
          <w:b/>
          <w:bCs/>
          <w:color w:val="auto"/>
          <w:spacing w:val="6"/>
          <w:sz w:val="32"/>
          <w:szCs w:val="32"/>
        </w:rPr>
        <w:t>项目编号：YNSXFJYZD2023NZRZHYJNLTSGCZBPBXM（CLBF）DYPC</w:t>
      </w:r>
    </w:p>
    <w:p w14:paraId="179E6D06">
      <w:pPr>
        <w:pageBreakBefore w:val="0"/>
        <w:wordWrap w:val="0"/>
        <w:overflowPunct/>
        <w:bidi w:val="0"/>
        <w:adjustRightInd/>
        <w:snapToGrid/>
        <w:ind w:firstLine="422"/>
        <w:rPr>
          <w:b/>
          <w:bCs/>
          <w:color w:val="auto"/>
        </w:rPr>
      </w:pPr>
    </w:p>
    <w:p w14:paraId="5888E02E">
      <w:pPr>
        <w:pageBreakBefore w:val="0"/>
        <w:wordWrap w:val="0"/>
        <w:overflowPunct/>
        <w:bidi w:val="0"/>
        <w:adjustRightInd/>
        <w:snapToGrid/>
        <w:ind w:firstLine="422"/>
        <w:rPr>
          <w:b/>
          <w:bCs/>
          <w:color w:val="auto"/>
        </w:rPr>
      </w:pPr>
    </w:p>
    <w:p w14:paraId="4DB3BAF7">
      <w:pPr>
        <w:pageBreakBefore w:val="0"/>
        <w:wordWrap w:val="0"/>
        <w:overflowPunct/>
        <w:bidi w:val="0"/>
        <w:adjustRightInd/>
        <w:snapToGrid/>
        <w:ind w:firstLine="422"/>
        <w:rPr>
          <w:b/>
          <w:bCs/>
          <w:color w:val="auto"/>
        </w:rPr>
      </w:pPr>
    </w:p>
    <w:p w14:paraId="2F6CA9A5">
      <w:pPr>
        <w:pageBreakBefore w:val="0"/>
        <w:wordWrap w:val="0"/>
        <w:overflowPunct/>
        <w:bidi w:val="0"/>
        <w:adjustRightInd/>
        <w:snapToGrid/>
        <w:ind w:firstLine="422"/>
        <w:rPr>
          <w:b/>
          <w:bCs/>
          <w:color w:val="auto"/>
        </w:rPr>
      </w:pPr>
    </w:p>
    <w:p w14:paraId="02E1B509">
      <w:pPr>
        <w:pageBreakBefore w:val="0"/>
        <w:wordWrap w:val="0"/>
        <w:overflowPunct/>
        <w:bidi w:val="0"/>
        <w:adjustRightInd/>
        <w:snapToGrid/>
        <w:ind w:firstLine="422"/>
        <w:rPr>
          <w:b/>
          <w:bCs/>
          <w:color w:val="auto"/>
        </w:rPr>
      </w:pPr>
    </w:p>
    <w:p w14:paraId="6496080D">
      <w:pPr>
        <w:pageBreakBefore w:val="0"/>
        <w:wordWrap w:val="0"/>
        <w:overflowPunct/>
        <w:bidi w:val="0"/>
        <w:adjustRightInd/>
        <w:snapToGrid/>
        <w:ind w:firstLine="422"/>
        <w:rPr>
          <w:b/>
          <w:bCs/>
          <w:color w:val="auto"/>
        </w:rPr>
      </w:pPr>
    </w:p>
    <w:p w14:paraId="62F96451">
      <w:pPr>
        <w:pageBreakBefore w:val="0"/>
        <w:wordWrap w:val="0"/>
        <w:overflowPunct/>
        <w:bidi w:val="0"/>
        <w:adjustRightInd/>
        <w:snapToGrid/>
        <w:ind w:firstLine="422"/>
        <w:rPr>
          <w:b/>
          <w:bCs/>
          <w:color w:val="auto"/>
        </w:rPr>
      </w:pPr>
    </w:p>
    <w:p w14:paraId="18D85F66">
      <w:pPr>
        <w:pageBreakBefore w:val="0"/>
        <w:wordWrap w:val="0"/>
        <w:overflowPunct/>
        <w:bidi w:val="0"/>
        <w:adjustRightInd/>
        <w:snapToGrid/>
        <w:ind w:firstLine="422"/>
        <w:rPr>
          <w:b/>
          <w:bCs/>
          <w:color w:val="auto"/>
        </w:rPr>
      </w:pPr>
    </w:p>
    <w:p w14:paraId="4F817057">
      <w:pPr>
        <w:pageBreakBefore w:val="0"/>
        <w:wordWrap w:val="0"/>
        <w:overflowPunct/>
        <w:bidi w:val="0"/>
        <w:adjustRightInd/>
        <w:snapToGrid/>
        <w:ind w:firstLine="422"/>
        <w:rPr>
          <w:b/>
          <w:bCs/>
          <w:color w:val="auto"/>
        </w:rPr>
      </w:pPr>
    </w:p>
    <w:p w14:paraId="03647CF5">
      <w:pPr>
        <w:pageBreakBefore w:val="0"/>
        <w:wordWrap w:val="0"/>
        <w:overflowPunct/>
        <w:bidi w:val="0"/>
        <w:adjustRightInd/>
        <w:snapToGrid/>
        <w:ind w:firstLine="0" w:firstLineChars="0"/>
        <w:jc w:val="center"/>
        <w:rPr>
          <w:b/>
          <w:bCs/>
          <w:color w:val="auto"/>
          <w:spacing w:val="9"/>
          <w:sz w:val="32"/>
          <w:szCs w:val="32"/>
        </w:rPr>
      </w:pPr>
    </w:p>
    <w:p w14:paraId="1032AA27">
      <w:pPr>
        <w:pageBreakBefore w:val="0"/>
        <w:wordWrap w:val="0"/>
        <w:overflowPunct/>
        <w:bidi w:val="0"/>
        <w:adjustRightInd/>
        <w:snapToGrid/>
        <w:ind w:firstLine="0" w:firstLineChars="0"/>
        <w:jc w:val="center"/>
        <w:rPr>
          <w:b/>
          <w:bCs/>
          <w:color w:val="auto"/>
          <w:spacing w:val="9"/>
          <w:sz w:val="32"/>
          <w:szCs w:val="32"/>
        </w:rPr>
      </w:pPr>
    </w:p>
    <w:p w14:paraId="5D2EA822">
      <w:pPr>
        <w:pageBreakBefore w:val="0"/>
        <w:wordWrap w:val="0"/>
        <w:overflowPunct/>
        <w:bidi w:val="0"/>
        <w:adjustRightInd/>
        <w:snapToGrid/>
        <w:ind w:firstLine="0" w:firstLineChars="0"/>
        <w:jc w:val="center"/>
        <w:rPr>
          <w:b/>
          <w:bCs/>
          <w:color w:val="auto"/>
          <w:sz w:val="32"/>
          <w:szCs w:val="32"/>
        </w:rPr>
      </w:pPr>
      <w:r>
        <w:rPr>
          <w:rFonts w:hint="eastAsia"/>
          <w:b/>
          <w:bCs/>
          <w:color w:val="auto"/>
          <w:spacing w:val="9"/>
          <w:sz w:val="32"/>
          <w:szCs w:val="32"/>
        </w:rPr>
        <w:t>招标人：</w:t>
      </w:r>
      <w:r>
        <w:rPr>
          <w:rFonts w:hint="eastAsia"/>
          <w:b/>
          <w:bCs/>
          <w:color w:val="auto"/>
          <w:w w:val="95"/>
          <w:sz w:val="32"/>
        </w:rPr>
        <w:t>云南省消防救援总队</w:t>
      </w:r>
    </w:p>
    <w:p w14:paraId="2785C5CB">
      <w:pPr>
        <w:pageBreakBefore w:val="0"/>
        <w:wordWrap w:val="0"/>
        <w:overflowPunct/>
        <w:bidi w:val="0"/>
        <w:adjustRightInd/>
        <w:snapToGrid/>
        <w:ind w:firstLine="0" w:firstLineChars="0"/>
        <w:jc w:val="center"/>
        <w:rPr>
          <w:b/>
          <w:bCs/>
          <w:color w:val="auto"/>
          <w:sz w:val="32"/>
          <w:szCs w:val="32"/>
        </w:rPr>
      </w:pPr>
      <w:r>
        <w:rPr>
          <w:rFonts w:hint="eastAsia"/>
          <w:b/>
          <w:bCs/>
          <w:color w:val="auto"/>
          <w:spacing w:val="-1"/>
          <w:sz w:val="32"/>
          <w:szCs w:val="32"/>
        </w:rPr>
        <w:t>招标</w:t>
      </w:r>
      <w:r>
        <w:rPr>
          <w:rFonts w:hint="eastAsia"/>
          <w:b/>
          <w:bCs/>
          <w:color w:val="auto"/>
          <w:sz w:val="32"/>
          <w:szCs w:val="32"/>
        </w:rPr>
        <w:t>代理机构：中招国际招标有限公司</w:t>
      </w:r>
    </w:p>
    <w:p w14:paraId="34880AA7">
      <w:pPr>
        <w:pageBreakBefore w:val="0"/>
        <w:wordWrap w:val="0"/>
        <w:overflowPunct/>
        <w:bidi w:val="0"/>
        <w:adjustRightInd/>
        <w:snapToGrid/>
        <w:ind w:firstLine="0" w:firstLineChars="0"/>
        <w:jc w:val="center"/>
        <w:rPr>
          <w:b/>
          <w:bCs/>
          <w:color w:val="auto"/>
          <w:sz w:val="32"/>
          <w:szCs w:val="32"/>
        </w:rPr>
      </w:pPr>
      <w:r>
        <w:rPr>
          <w:rFonts w:hint="eastAsia"/>
          <w:b/>
          <w:bCs/>
          <w:color w:val="auto"/>
          <w:spacing w:val="7"/>
          <w:sz w:val="32"/>
          <w:szCs w:val="32"/>
        </w:rPr>
        <w:t>二〇二四年</w:t>
      </w:r>
      <w:r>
        <w:rPr>
          <w:rFonts w:hint="eastAsia"/>
          <w:b/>
          <w:bCs/>
          <w:color w:val="auto"/>
          <w:spacing w:val="7"/>
          <w:sz w:val="32"/>
          <w:szCs w:val="32"/>
          <w:lang w:val="en-US" w:eastAsia="zh-CN"/>
        </w:rPr>
        <w:t>七</w:t>
      </w:r>
      <w:r>
        <w:rPr>
          <w:rFonts w:hint="eastAsia"/>
          <w:b/>
          <w:bCs/>
          <w:color w:val="auto"/>
          <w:spacing w:val="7"/>
          <w:sz w:val="32"/>
          <w:szCs w:val="32"/>
        </w:rPr>
        <w:t>月</w:t>
      </w:r>
    </w:p>
    <w:p w14:paraId="3B965E13">
      <w:pPr>
        <w:pageBreakBefore w:val="0"/>
        <w:wordWrap w:val="0"/>
        <w:overflowPunct/>
        <w:bidi w:val="0"/>
        <w:adjustRightInd/>
        <w:snapToGrid/>
        <w:ind w:firstLine="0" w:firstLineChars="0"/>
        <w:rPr>
          <w:color w:val="auto"/>
        </w:rPr>
        <w:sectPr>
          <w:headerReference r:id="rId7" w:type="first"/>
          <w:footerReference r:id="rId10" w:type="first"/>
          <w:headerReference r:id="rId5" w:type="default"/>
          <w:footerReference r:id="rId8" w:type="default"/>
          <w:headerReference r:id="rId6" w:type="even"/>
          <w:footerReference r:id="rId9" w:type="even"/>
          <w:pgSz w:w="11907" w:h="16839"/>
          <w:pgMar w:top="1417" w:right="1417" w:bottom="1417" w:left="1587" w:header="0" w:footer="0" w:gutter="0"/>
          <w:cols w:space="720" w:num="1"/>
        </w:sectPr>
      </w:pPr>
    </w:p>
    <w:p w14:paraId="3553D882">
      <w:pPr>
        <w:pageBreakBefore w:val="0"/>
        <w:wordWrap w:val="0"/>
        <w:overflowPunct/>
        <w:bidi w:val="0"/>
        <w:ind w:firstLine="0" w:firstLineChars="0"/>
        <w:jc w:val="center"/>
        <w:rPr>
          <w:rFonts w:ascii="黑体" w:hAnsi="黑体" w:eastAsia="黑体" w:cs="黑体"/>
          <w:color w:val="auto"/>
          <w:sz w:val="28"/>
          <w:szCs w:val="28"/>
        </w:rPr>
      </w:pPr>
      <w:r>
        <w:rPr>
          <w:rFonts w:hint="eastAsia" w:ascii="黑体" w:hAnsi="黑体" w:eastAsia="黑体" w:cs="黑体"/>
          <w:b/>
          <w:bCs/>
          <w:color w:val="auto"/>
          <w:sz w:val="28"/>
          <w:szCs w:val="28"/>
        </w:rPr>
        <w:t>目  录</w:t>
      </w:r>
    </w:p>
    <w:p w14:paraId="7DC9C16B">
      <w:pPr>
        <w:pStyle w:val="17"/>
        <w:pageBreakBefore w:val="0"/>
        <w:tabs>
          <w:tab w:val="right" w:leader="dot" w:pos="8902"/>
        </w:tabs>
        <w:wordWrap w:val="0"/>
        <w:overflowPunct/>
        <w:bidi w:val="0"/>
        <w:ind w:firstLine="480"/>
        <w:rPr>
          <w:color w:val="auto"/>
        </w:rPr>
      </w:pPr>
      <w:r>
        <w:rPr>
          <w:color w:val="auto"/>
          <w:sz w:val="24"/>
          <w:szCs w:val="24"/>
        </w:rPr>
        <w:fldChar w:fldCharType="begin"/>
      </w:r>
      <w:r>
        <w:rPr>
          <w:color w:val="auto"/>
          <w:sz w:val="24"/>
          <w:szCs w:val="24"/>
        </w:rPr>
        <w:instrText xml:space="preserve">TOC \o "1-2" \h \u </w:instrText>
      </w:r>
      <w:r>
        <w:rPr>
          <w:color w:val="auto"/>
          <w:sz w:val="24"/>
          <w:szCs w:val="24"/>
        </w:rPr>
        <w:fldChar w:fldCharType="separate"/>
      </w:r>
      <w:r>
        <w:fldChar w:fldCharType="begin"/>
      </w:r>
      <w:r>
        <w:instrText xml:space="preserve"> HYPERLINK \l "_Toc4653" </w:instrText>
      </w:r>
      <w:r>
        <w:fldChar w:fldCharType="separate"/>
      </w:r>
      <w:r>
        <w:rPr>
          <w:rFonts w:hint="eastAsia"/>
          <w:color w:val="auto"/>
          <w:szCs w:val="32"/>
        </w:rPr>
        <w:t>第一章 招标公告</w:t>
      </w:r>
      <w:r>
        <w:rPr>
          <w:color w:val="auto"/>
        </w:rPr>
        <w:tab/>
      </w:r>
      <w:r>
        <w:rPr>
          <w:color w:val="auto"/>
        </w:rPr>
        <w:fldChar w:fldCharType="begin"/>
      </w:r>
      <w:r>
        <w:rPr>
          <w:color w:val="auto"/>
        </w:rPr>
        <w:instrText xml:space="preserve"> PAGEREF _Toc4653 \h </w:instrText>
      </w:r>
      <w:r>
        <w:rPr>
          <w:color w:val="auto"/>
        </w:rPr>
        <w:fldChar w:fldCharType="separate"/>
      </w:r>
      <w:r>
        <w:rPr>
          <w:color w:val="auto"/>
        </w:rPr>
        <w:t>4</w:t>
      </w:r>
      <w:r>
        <w:rPr>
          <w:color w:val="auto"/>
        </w:rPr>
        <w:fldChar w:fldCharType="end"/>
      </w:r>
      <w:r>
        <w:rPr>
          <w:color w:val="auto"/>
        </w:rPr>
        <w:fldChar w:fldCharType="end"/>
      </w:r>
    </w:p>
    <w:p w14:paraId="39FDB3D9">
      <w:pPr>
        <w:pStyle w:val="19"/>
        <w:pageBreakBefore w:val="0"/>
        <w:tabs>
          <w:tab w:val="right" w:leader="dot" w:pos="8902"/>
        </w:tabs>
        <w:wordWrap w:val="0"/>
        <w:overflowPunct/>
        <w:bidi w:val="0"/>
        <w:rPr>
          <w:color w:val="auto"/>
        </w:rPr>
      </w:pPr>
      <w:r>
        <w:fldChar w:fldCharType="begin"/>
      </w:r>
      <w:r>
        <w:instrText xml:space="preserve"> HYPERLINK \l "_Toc23265" </w:instrText>
      </w:r>
      <w:r>
        <w:fldChar w:fldCharType="separate"/>
      </w:r>
      <w:r>
        <w:rPr>
          <w:rFonts w:hint="eastAsia"/>
          <w:color w:val="auto"/>
          <w:szCs w:val="28"/>
        </w:rPr>
        <w:t>一、项目基本情况</w:t>
      </w:r>
      <w:r>
        <w:rPr>
          <w:color w:val="auto"/>
        </w:rPr>
        <w:tab/>
      </w:r>
      <w:r>
        <w:rPr>
          <w:color w:val="auto"/>
        </w:rPr>
        <w:fldChar w:fldCharType="begin"/>
      </w:r>
      <w:r>
        <w:rPr>
          <w:color w:val="auto"/>
        </w:rPr>
        <w:instrText xml:space="preserve"> PAGEREF _Toc23265 \h </w:instrText>
      </w:r>
      <w:r>
        <w:rPr>
          <w:color w:val="auto"/>
        </w:rPr>
        <w:fldChar w:fldCharType="separate"/>
      </w:r>
      <w:r>
        <w:rPr>
          <w:color w:val="auto"/>
        </w:rPr>
        <w:t>4</w:t>
      </w:r>
      <w:r>
        <w:rPr>
          <w:color w:val="auto"/>
        </w:rPr>
        <w:fldChar w:fldCharType="end"/>
      </w:r>
      <w:r>
        <w:rPr>
          <w:color w:val="auto"/>
        </w:rPr>
        <w:fldChar w:fldCharType="end"/>
      </w:r>
    </w:p>
    <w:p w14:paraId="7A4F82C8">
      <w:pPr>
        <w:pStyle w:val="19"/>
        <w:pageBreakBefore w:val="0"/>
        <w:tabs>
          <w:tab w:val="right" w:leader="dot" w:pos="8902"/>
        </w:tabs>
        <w:wordWrap w:val="0"/>
        <w:overflowPunct/>
        <w:bidi w:val="0"/>
        <w:rPr>
          <w:color w:val="auto"/>
        </w:rPr>
      </w:pPr>
      <w:r>
        <w:fldChar w:fldCharType="begin"/>
      </w:r>
      <w:r>
        <w:instrText xml:space="preserve"> HYPERLINK \l "_Toc3099" </w:instrText>
      </w:r>
      <w:r>
        <w:fldChar w:fldCharType="separate"/>
      </w:r>
      <w:r>
        <w:rPr>
          <w:rFonts w:hint="eastAsia"/>
          <w:color w:val="auto"/>
        </w:rPr>
        <w:t>二、投标人的资格要求：</w:t>
      </w:r>
      <w:r>
        <w:rPr>
          <w:color w:val="auto"/>
        </w:rPr>
        <w:tab/>
      </w:r>
      <w:r>
        <w:rPr>
          <w:color w:val="auto"/>
        </w:rPr>
        <w:fldChar w:fldCharType="begin"/>
      </w:r>
      <w:r>
        <w:rPr>
          <w:color w:val="auto"/>
        </w:rPr>
        <w:instrText xml:space="preserve"> PAGEREF _Toc3099 \h </w:instrText>
      </w:r>
      <w:r>
        <w:rPr>
          <w:color w:val="auto"/>
        </w:rPr>
        <w:fldChar w:fldCharType="separate"/>
      </w:r>
      <w:r>
        <w:rPr>
          <w:color w:val="auto"/>
        </w:rPr>
        <w:t>5</w:t>
      </w:r>
      <w:r>
        <w:rPr>
          <w:color w:val="auto"/>
        </w:rPr>
        <w:fldChar w:fldCharType="end"/>
      </w:r>
      <w:r>
        <w:rPr>
          <w:color w:val="auto"/>
        </w:rPr>
        <w:fldChar w:fldCharType="end"/>
      </w:r>
    </w:p>
    <w:p w14:paraId="15BD3DD0">
      <w:pPr>
        <w:pStyle w:val="19"/>
        <w:pageBreakBefore w:val="0"/>
        <w:tabs>
          <w:tab w:val="right" w:leader="dot" w:pos="8902"/>
        </w:tabs>
        <w:wordWrap w:val="0"/>
        <w:overflowPunct/>
        <w:bidi w:val="0"/>
        <w:rPr>
          <w:color w:val="auto"/>
        </w:rPr>
      </w:pPr>
      <w:r>
        <w:fldChar w:fldCharType="begin"/>
      </w:r>
      <w:r>
        <w:instrText xml:space="preserve"> HYPERLINK \l "_Toc14554" </w:instrText>
      </w:r>
      <w:r>
        <w:fldChar w:fldCharType="separate"/>
      </w:r>
      <w:r>
        <w:rPr>
          <w:rFonts w:hint="eastAsia"/>
          <w:color w:val="auto"/>
        </w:rPr>
        <w:t>三、获取招标文件</w:t>
      </w:r>
      <w:r>
        <w:rPr>
          <w:color w:val="auto"/>
        </w:rPr>
        <w:tab/>
      </w:r>
      <w:r>
        <w:rPr>
          <w:color w:val="auto"/>
        </w:rPr>
        <w:fldChar w:fldCharType="begin"/>
      </w:r>
      <w:r>
        <w:rPr>
          <w:color w:val="auto"/>
        </w:rPr>
        <w:instrText xml:space="preserve"> PAGEREF _Toc14554 \h </w:instrText>
      </w:r>
      <w:r>
        <w:rPr>
          <w:color w:val="auto"/>
        </w:rPr>
        <w:fldChar w:fldCharType="separate"/>
      </w:r>
      <w:r>
        <w:rPr>
          <w:color w:val="auto"/>
        </w:rPr>
        <w:t>5</w:t>
      </w:r>
      <w:r>
        <w:rPr>
          <w:color w:val="auto"/>
        </w:rPr>
        <w:fldChar w:fldCharType="end"/>
      </w:r>
      <w:r>
        <w:rPr>
          <w:color w:val="auto"/>
        </w:rPr>
        <w:fldChar w:fldCharType="end"/>
      </w:r>
    </w:p>
    <w:p w14:paraId="7B1BA5CD">
      <w:pPr>
        <w:pStyle w:val="19"/>
        <w:pageBreakBefore w:val="0"/>
        <w:tabs>
          <w:tab w:val="right" w:leader="dot" w:pos="8902"/>
        </w:tabs>
        <w:wordWrap w:val="0"/>
        <w:overflowPunct/>
        <w:bidi w:val="0"/>
        <w:rPr>
          <w:color w:val="auto"/>
        </w:rPr>
      </w:pPr>
      <w:r>
        <w:fldChar w:fldCharType="begin"/>
      </w:r>
      <w:r>
        <w:instrText xml:space="preserve"> HYPERLINK \l "_Toc2563" </w:instrText>
      </w:r>
      <w:r>
        <w:fldChar w:fldCharType="separate"/>
      </w:r>
      <w:r>
        <w:rPr>
          <w:rFonts w:hint="eastAsia"/>
          <w:color w:val="auto"/>
        </w:rPr>
        <w:t>四、投标截止时间、开标时间及地点</w:t>
      </w:r>
      <w:r>
        <w:rPr>
          <w:color w:val="auto"/>
        </w:rPr>
        <w:tab/>
      </w:r>
      <w:r>
        <w:rPr>
          <w:color w:val="auto"/>
        </w:rPr>
        <w:fldChar w:fldCharType="begin"/>
      </w:r>
      <w:r>
        <w:rPr>
          <w:color w:val="auto"/>
        </w:rPr>
        <w:instrText xml:space="preserve"> PAGEREF _Toc2563 \h </w:instrText>
      </w:r>
      <w:r>
        <w:rPr>
          <w:color w:val="auto"/>
        </w:rPr>
        <w:fldChar w:fldCharType="separate"/>
      </w:r>
      <w:r>
        <w:rPr>
          <w:color w:val="auto"/>
        </w:rPr>
        <w:t>5</w:t>
      </w:r>
      <w:r>
        <w:rPr>
          <w:color w:val="auto"/>
        </w:rPr>
        <w:fldChar w:fldCharType="end"/>
      </w:r>
      <w:r>
        <w:rPr>
          <w:color w:val="auto"/>
        </w:rPr>
        <w:fldChar w:fldCharType="end"/>
      </w:r>
    </w:p>
    <w:p w14:paraId="53C9473E">
      <w:pPr>
        <w:pStyle w:val="19"/>
        <w:pageBreakBefore w:val="0"/>
        <w:tabs>
          <w:tab w:val="right" w:leader="dot" w:pos="8902"/>
        </w:tabs>
        <w:wordWrap w:val="0"/>
        <w:overflowPunct/>
        <w:bidi w:val="0"/>
        <w:rPr>
          <w:color w:val="auto"/>
        </w:rPr>
      </w:pPr>
      <w:r>
        <w:fldChar w:fldCharType="begin"/>
      </w:r>
      <w:r>
        <w:instrText xml:space="preserve"> HYPERLINK \l "_Toc1611" </w:instrText>
      </w:r>
      <w:r>
        <w:fldChar w:fldCharType="separate"/>
      </w:r>
      <w:r>
        <w:rPr>
          <w:rFonts w:hint="eastAsia"/>
          <w:color w:val="auto"/>
        </w:rPr>
        <w:t>五、公告期限</w:t>
      </w:r>
      <w:r>
        <w:rPr>
          <w:color w:val="auto"/>
        </w:rPr>
        <w:tab/>
      </w:r>
      <w:r>
        <w:rPr>
          <w:color w:val="auto"/>
        </w:rPr>
        <w:fldChar w:fldCharType="begin"/>
      </w:r>
      <w:r>
        <w:rPr>
          <w:color w:val="auto"/>
        </w:rPr>
        <w:instrText xml:space="preserve"> PAGEREF _Toc1611 \h </w:instrText>
      </w:r>
      <w:r>
        <w:rPr>
          <w:color w:val="auto"/>
        </w:rPr>
        <w:fldChar w:fldCharType="separate"/>
      </w:r>
      <w:r>
        <w:rPr>
          <w:color w:val="auto"/>
        </w:rPr>
        <w:t>6</w:t>
      </w:r>
      <w:r>
        <w:rPr>
          <w:color w:val="auto"/>
        </w:rPr>
        <w:fldChar w:fldCharType="end"/>
      </w:r>
      <w:r>
        <w:rPr>
          <w:color w:val="auto"/>
        </w:rPr>
        <w:fldChar w:fldCharType="end"/>
      </w:r>
    </w:p>
    <w:p w14:paraId="65645B3D">
      <w:pPr>
        <w:pStyle w:val="19"/>
        <w:pageBreakBefore w:val="0"/>
        <w:tabs>
          <w:tab w:val="right" w:leader="dot" w:pos="8902"/>
        </w:tabs>
        <w:wordWrap w:val="0"/>
        <w:overflowPunct/>
        <w:bidi w:val="0"/>
        <w:rPr>
          <w:color w:val="auto"/>
        </w:rPr>
      </w:pPr>
      <w:r>
        <w:fldChar w:fldCharType="begin"/>
      </w:r>
      <w:r>
        <w:instrText xml:space="preserve"> HYPERLINK \l "_Toc8285" </w:instrText>
      </w:r>
      <w:r>
        <w:fldChar w:fldCharType="separate"/>
      </w:r>
      <w:r>
        <w:rPr>
          <w:rFonts w:hint="eastAsia"/>
          <w:color w:val="auto"/>
        </w:rPr>
        <w:t>六、项目联系人及电话</w:t>
      </w:r>
      <w:r>
        <w:rPr>
          <w:color w:val="auto"/>
        </w:rPr>
        <w:tab/>
      </w:r>
      <w:r>
        <w:rPr>
          <w:color w:val="auto"/>
        </w:rPr>
        <w:fldChar w:fldCharType="begin"/>
      </w:r>
      <w:r>
        <w:rPr>
          <w:color w:val="auto"/>
        </w:rPr>
        <w:instrText xml:space="preserve"> PAGEREF _Toc8285 \h </w:instrText>
      </w:r>
      <w:r>
        <w:rPr>
          <w:color w:val="auto"/>
        </w:rPr>
        <w:fldChar w:fldCharType="separate"/>
      </w:r>
      <w:r>
        <w:rPr>
          <w:color w:val="auto"/>
        </w:rPr>
        <w:t>6</w:t>
      </w:r>
      <w:r>
        <w:rPr>
          <w:color w:val="auto"/>
        </w:rPr>
        <w:fldChar w:fldCharType="end"/>
      </w:r>
      <w:r>
        <w:rPr>
          <w:color w:val="auto"/>
        </w:rPr>
        <w:fldChar w:fldCharType="end"/>
      </w:r>
    </w:p>
    <w:p w14:paraId="750EB887">
      <w:pPr>
        <w:pStyle w:val="17"/>
        <w:pageBreakBefore w:val="0"/>
        <w:tabs>
          <w:tab w:val="right" w:leader="dot" w:pos="8902"/>
        </w:tabs>
        <w:wordWrap w:val="0"/>
        <w:overflowPunct/>
        <w:bidi w:val="0"/>
        <w:rPr>
          <w:color w:val="auto"/>
        </w:rPr>
      </w:pPr>
      <w:r>
        <w:fldChar w:fldCharType="begin"/>
      </w:r>
      <w:r>
        <w:instrText xml:space="preserve"> HYPERLINK \l "_Toc19159" </w:instrText>
      </w:r>
      <w:r>
        <w:fldChar w:fldCharType="separate"/>
      </w:r>
      <w:r>
        <w:rPr>
          <w:rFonts w:hint="eastAsia"/>
          <w:color w:val="auto"/>
        </w:rPr>
        <w:t>第二章 投标人须知</w:t>
      </w:r>
      <w:r>
        <w:rPr>
          <w:color w:val="auto"/>
        </w:rPr>
        <w:tab/>
      </w:r>
      <w:r>
        <w:rPr>
          <w:color w:val="auto"/>
        </w:rPr>
        <w:fldChar w:fldCharType="begin"/>
      </w:r>
      <w:r>
        <w:rPr>
          <w:color w:val="auto"/>
        </w:rPr>
        <w:instrText xml:space="preserve"> PAGEREF _Toc19159 \h </w:instrText>
      </w:r>
      <w:r>
        <w:rPr>
          <w:color w:val="auto"/>
        </w:rPr>
        <w:fldChar w:fldCharType="separate"/>
      </w:r>
      <w:r>
        <w:rPr>
          <w:color w:val="auto"/>
        </w:rPr>
        <w:t>10</w:t>
      </w:r>
      <w:r>
        <w:rPr>
          <w:color w:val="auto"/>
        </w:rPr>
        <w:fldChar w:fldCharType="end"/>
      </w:r>
      <w:r>
        <w:rPr>
          <w:color w:val="auto"/>
        </w:rPr>
        <w:fldChar w:fldCharType="end"/>
      </w:r>
    </w:p>
    <w:p w14:paraId="7C46F937">
      <w:pPr>
        <w:pStyle w:val="19"/>
        <w:pageBreakBefore w:val="0"/>
        <w:tabs>
          <w:tab w:val="right" w:leader="dot" w:pos="8902"/>
        </w:tabs>
        <w:wordWrap w:val="0"/>
        <w:overflowPunct/>
        <w:bidi w:val="0"/>
        <w:rPr>
          <w:color w:val="auto"/>
        </w:rPr>
      </w:pPr>
      <w:r>
        <w:fldChar w:fldCharType="begin"/>
      </w:r>
      <w:r>
        <w:instrText xml:space="preserve"> HYPERLINK \l "_Toc12554" </w:instrText>
      </w:r>
      <w:r>
        <w:fldChar w:fldCharType="separate"/>
      </w:r>
      <w:r>
        <w:rPr>
          <w:rFonts w:hint="eastAsia"/>
          <w:color w:val="auto"/>
        </w:rPr>
        <w:t>投标人须知前附表</w:t>
      </w:r>
      <w:r>
        <w:rPr>
          <w:color w:val="auto"/>
        </w:rPr>
        <w:tab/>
      </w:r>
      <w:r>
        <w:rPr>
          <w:color w:val="auto"/>
        </w:rPr>
        <w:fldChar w:fldCharType="begin"/>
      </w:r>
      <w:r>
        <w:rPr>
          <w:color w:val="auto"/>
        </w:rPr>
        <w:instrText xml:space="preserve"> PAGEREF _Toc12554 \h </w:instrText>
      </w:r>
      <w:r>
        <w:rPr>
          <w:color w:val="auto"/>
        </w:rPr>
        <w:fldChar w:fldCharType="separate"/>
      </w:r>
      <w:r>
        <w:rPr>
          <w:color w:val="auto"/>
        </w:rPr>
        <w:t>10</w:t>
      </w:r>
      <w:r>
        <w:rPr>
          <w:color w:val="auto"/>
        </w:rPr>
        <w:fldChar w:fldCharType="end"/>
      </w:r>
      <w:r>
        <w:rPr>
          <w:color w:val="auto"/>
        </w:rPr>
        <w:fldChar w:fldCharType="end"/>
      </w:r>
    </w:p>
    <w:p w14:paraId="1146A292">
      <w:pPr>
        <w:pStyle w:val="19"/>
        <w:pageBreakBefore w:val="0"/>
        <w:tabs>
          <w:tab w:val="right" w:leader="dot" w:pos="8902"/>
        </w:tabs>
        <w:wordWrap w:val="0"/>
        <w:overflowPunct/>
        <w:bidi w:val="0"/>
        <w:rPr>
          <w:color w:val="auto"/>
        </w:rPr>
      </w:pPr>
      <w:r>
        <w:fldChar w:fldCharType="begin"/>
      </w:r>
      <w:r>
        <w:instrText xml:space="preserve"> HYPERLINK \l "_Toc7810" </w:instrText>
      </w:r>
      <w:r>
        <w:fldChar w:fldCharType="separate"/>
      </w:r>
      <w:r>
        <w:rPr>
          <w:rFonts w:hint="eastAsia"/>
          <w:color w:val="auto"/>
        </w:rPr>
        <w:t>一、总则</w:t>
      </w:r>
      <w:r>
        <w:rPr>
          <w:color w:val="auto"/>
        </w:rPr>
        <w:tab/>
      </w:r>
      <w:r>
        <w:rPr>
          <w:color w:val="auto"/>
        </w:rPr>
        <w:fldChar w:fldCharType="begin"/>
      </w:r>
      <w:r>
        <w:rPr>
          <w:color w:val="auto"/>
        </w:rPr>
        <w:instrText xml:space="preserve"> PAGEREF _Toc7810 \h </w:instrText>
      </w:r>
      <w:r>
        <w:rPr>
          <w:color w:val="auto"/>
        </w:rPr>
        <w:fldChar w:fldCharType="separate"/>
      </w:r>
      <w:r>
        <w:rPr>
          <w:color w:val="auto"/>
        </w:rPr>
        <w:t>13</w:t>
      </w:r>
      <w:r>
        <w:rPr>
          <w:color w:val="auto"/>
        </w:rPr>
        <w:fldChar w:fldCharType="end"/>
      </w:r>
      <w:r>
        <w:rPr>
          <w:color w:val="auto"/>
        </w:rPr>
        <w:fldChar w:fldCharType="end"/>
      </w:r>
    </w:p>
    <w:p w14:paraId="1D57B358">
      <w:pPr>
        <w:pStyle w:val="19"/>
        <w:pageBreakBefore w:val="0"/>
        <w:tabs>
          <w:tab w:val="right" w:leader="dot" w:pos="8902"/>
        </w:tabs>
        <w:wordWrap w:val="0"/>
        <w:overflowPunct/>
        <w:bidi w:val="0"/>
        <w:rPr>
          <w:color w:val="auto"/>
        </w:rPr>
      </w:pPr>
      <w:r>
        <w:fldChar w:fldCharType="begin"/>
      </w:r>
      <w:r>
        <w:instrText xml:space="preserve"> HYPERLINK \l "_Toc17171" </w:instrText>
      </w:r>
      <w:r>
        <w:fldChar w:fldCharType="separate"/>
      </w:r>
      <w:r>
        <w:rPr>
          <w:rFonts w:hint="eastAsia"/>
          <w:color w:val="auto"/>
        </w:rPr>
        <w:t>二、招标文件</w:t>
      </w:r>
      <w:r>
        <w:rPr>
          <w:color w:val="auto"/>
        </w:rPr>
        <w:tab/>
      </w:r>
      <w:r>
        <w:rPr>
          <w:color w:val="auto"/>
        </w:rPr>
        <w:fldChar w:fldCharType="begin"/>
      </w:r>
      <w:r>
        <w:rPr>
          <w:color w:val="auto"/>
        </w:rPr>
        <w:instrText xml:space="preserve"> PAGEREF _Toc17171 \h </w:instrText>
      </w:r>
      <w:r>
        <w:rPr>
          <w:color w:val="auto"/>
        </w:rPr>
        <w:fldChar w:fldCharType="separate"/>
      </w:r>
      <w:r>
        <w:rPr>
          <w:color w:val="auto"/>
        </w:rPr>
        <w:t>14</w:t>
      </w:r>
      <w:r>
        <w:rPr>
          <w:color w:val="auto"/>
        </w:rPr>
        <w:fldChar w:fldCharType="end"/>
      </w:r>
      <w:r>
        <w:rPr>
          <w:color w:val="auto"/>
        </w:rPr>
        <w:fldChar w:fldCharType="end"/>
      </w:r>
    </w:p>
    <w:p w14:paraId="1A9D0EE3">
      <w:pPr>
        <w:pStyle w:val="19"/>
        <w:pageBreakBefore w:val="0"/>
        <w:tabs>
          <w:tab w:val="right" w:leader="dot" w:pos="8902"/>
        </w:tabs>
        <w:wordWrap w:val="0"/>
        <w:overflowPunct/>
        <w:bidi w:val="0"/>
        <w:rPr>
          <w:color w:val="auto"/>
        </w:rPr>
      </w:pPr>
      <w:r>
        <w:fldChar w:fldCharType="begin"/>
      </w:r>
      <w:r>
        <w:instrText xml:space="preserve"> HYPERLINK \l "_Toc26335" </w:instrText>
      </w:r>
      <w:r>
        <w:fldChar w:fldCharType="separate"/>
      </w:r>
      <w:r>
        <w:rPr>
          <w:rFonts w:hint="eastAsia"/>
          <w:color w:val="auto"/>
        </w:rPr>
        <w:t>三、投标文件</w:t>
      </w:r>
      <w:r>
        <w:rPr>
          <w:color w:val="auto"/>
        </w:rPr>
        <w:tab/>
      </w:r>
      <w:r>
        <w:rPr>
          <w:color w:val="auto"/>
        </w:rPr>
        <w:fldChar w:fldCharType="begin"/>
      </w:r>
      <w:r>
        <w:rPr>
          <w:color w:val="auto"/>
        </w:rPr>
        <w:instrText xml:space="preserve"> PAGEREF _Toc26335 \h </w:instrText>
      </w:r>
      <w:r>
        <w:rPr>
          <w:color w:val="auto"/>
        </w:rPr>
        <w:fldChar w:fldCharType="separate"/>
      </w:r>
      <w:r>
        <w:rPr>
          <w:color w:val="auto"/>
        </w:rPr>
        <w:t>15</w:t>
      </w:r>
      <w:r>
        <w:rPr>
          <w:color w:val="auto"/>
        </w:rPr>
        <w:fldChar w:fldCharType="end"/>
      </w:r>
      <w:r>
        <w:rPr>
          <w:color w:val="auto"/>
        </w:rPr>
        <w:fldChar w:fldCharType="end"/>
      </w:r>
    </w:p>
    <w:p w14:paraId="7018A8C0">
      <w:pPr>
        <w:pStyle w:val="19"/>
        <w:pageBreakBefore w:val="0"/>
        <w:tabs>
          <w:tab w:val="right" w:leader="dot" w:pos="8902"/>
        </w:tabs>
        <w:wordWrap w:val="0"/>
        <w:overflowPunct/>
        <w:bidi w:val="0"/>
        <w:rPr>
          <w:color w:val="auto"/>
        </w:rPr>
      </w:pPr>
      <w:r>
        <w:fldChar w:fldCharType="begin"/>
      </w:r>
      <w:r>
        <w:instrText xml:space="preserve"> HYPERLINK \l "_Toc32177" </w:instrText>
      </w:r>
      <w:r>
        <w:fldChar w:fldCharType="separate"/>
      </w:r>
      <w:r>
        <w:rPr>
          <w:rFonts w:hint="eastAsia"/>
          <w:color w:val="auto"/>
        </w:rPr>
        <w:t>四、投标文件的提交</w:t>
      </w:r>
      <w:r>
        <w:rPr>
          <w:color w:val="auto"/>
        </w:rPr>
        <w:tab/>
      </w:r>
      <w:r>
        <w:rPr>
          <w:color w:val="auto"/>
        </w:rPr>
        <w:fldChar w:fldCharType="begin"/>
      </w:r>
      <w:r>
        <w:rPr>
          <w:color w:val="auto"/>
        </w:rPr>
        <w:instrText xml:space="preserve"> PAGEREF _Toc32177 \h </w:instrText>
      </w:r>
      <w:r>
        <w:rPr>
          <w:color w:val="auto"/>
        </w:rPr>
        <w:fldChar w:fldCharType="separate"/>
      </w:r>
      <w:r>
        <w:rPr>
          <w:color w:val="auto"/>
        </w:rPr>
        <w:t>16</w:t>
      </w:r>
      <w:r>
        <w:rPr>
          <w:color w:val="auto"/>
        </w:rPr>
        <w:fldChar w:fldCharType="end"/>
      </w:r>
      <w:r>
        <w:rPr>
          <w:color w:val="auto"/>
        </w:rPr>
        <w:fldChar w:fldCharType="end"/>
      </w:r>
    </w:p>
    <w:p w14:paraId="7AAD9D89">
      <w:pPr>
        <w:pStyle w:val="19"/>
        <w:pageBreakBefore w:val="0"/>
        <w:tabs>
          <w:tab w:val="right" w:leader="dot" w:pos="8902"/>
        </w:tabs>
        <w:wordWrap w:val="0"/>
        <w:overflowPunct/>
        <w:bidi w:val="0"/>
        <w:rPr>
          <w:color w:val="auto"/>
        </w:rPr>
      </w:pPr>
      <w:r>
        <w:fldChar w:fldCharType="begin"/>
      </w:r>
      <w:r>
        <w:instrText xml:space="preserve"> HYPERLINK \l "_Toc20106" </w:instrText>
      </w:r>
      <w:r>
        <w:fldChar w:fldCharType="separate"/>
      </w:r>
      <w:r>
        <w:rPr>
          <w:rFonts w:hint="eastAsia"/>
          <w:color w:val="auto"/>
        </w:rPr>
        <w:t>五、开标与评标</w:t>
      </w:r>
      <w:r>
        <w:rPr>
          <w:color w:val="auto"/>
        </w:rPr>
        <w:tab/>
      </w:r>
      <w:r>
        <w:rPr>
          <w:color w:val="auto"/>
        </w:rPr>
        <w:fldChar w:fldCharType="begin"/>
      </w:r>
      <w:r>
        <w:rPr>
          <w:color w:val="auto"/>
        </w:rPr>
        <w:instrText xml:space="preserve"> PAGEREF _Toc20106 \h </w:instrText>
      </w:r>
      <w:r>
        <w:rPr>
          <w:color w:val="auto"/>
        </w:rPr>
        <w:fldChar w:fldCharType="separate"/>
      </w:r>
      <w:r>
        <w:rPr>
          <w:color w:val="auto"/>
        </w:rPr>
        <w:t>17</w:t>
      </w:r>
      <w:r>
        <w:rPr>
          <w:color w:val="auto"/>
        </w:rPr>
        <w:fldChar w:fldCharType="end"/>
      </w:r>
      <w:r>
        <w:rPr>
          <w:color w:val="auto"/>
        </w:rPr>
        <w:fldChar w:fldCharType="end"/>
      </w:r>
    </w:p>
    <w:p w14:paraId="58D43888">
      <w:pPr>
        <w:pStyle w:val="19"/>
        <w:pageBreakBefore w:val="0"/>
        <w:tabs>
          <w:tab w:val="right" w:leader="dot" w:pos="8902"/>
        </w:tabs>
        <w:wordWrap w:val="0"/>
        <w:overflowPunct/>
        <w:bidi w:val="0"/>
        <w:rPr>
          <w:color w:val="auto"/>
        </w:rPr>
      </w:pPr>
      <w:r>
        <w:fldChar w:fldCharType="begin"/>
      </w:r>
      <w:r>
        <w:instrText xml:space="preserve"> HYPERLINK \l "_Toc2119" </w:instrText>
      </w:r>
      <w:r>
        <w:fldChar w:fldCharType="separate"/>
      </w:r>
      <w:r>
        <w:rPr>
          <w:rFonts w:hint="eastAsia"/>
          <w:color w:val="auto"/>
        </w:rPr>
        <w:t>六、中标结果</w:t>
      </w:r>
      <w:r>
        <w:rPr>
          <w:color w:val="auto"/>
        </w:rPr>
        <w:tab/>
      </w:r>
      <w:r>
        <w:rPr>
          <w:color w:val="auto"/>
        </w:rPr>
        <w:fldChar w:fldCharType="begin"/>
      </w:r>
      <w:r>
        <w:rPr>
          <w:color w:val="auto"/>
        </w:rPr>
        <w:instrText xml:space="preserve"> PAGEREF _Toc2119 \h </w:instrText>
      </w:r>
      <w:r>
        <w:rPr>
          <w:color w:val="auto"/>
        </w:rPr>
        <w:fldChar w:fldCharType="separate"/>
      </w:r>
      <w:r>
        <w:rPr>
          <w:color w:val="auto"/>
        </w:rPr>
        <w:t>18</w:t>
      </w:r>
      <w:r>
        <w:rPr>
          <w:color w:val="auto"/>
        </w:rPr>
        <w:fldChar w:fldCharType="end"/>
      </w:r>
      <w:r>
        <w:rPr>
          <w:color w:val="auto"/>
        </w:rPr>
        <w:fldChar w:fldCharType="end"/>
      </w:r>
    </w:p>
    <w:p w14:paraId="691AD146">
      <w:pPr>
        <w:pStyle w:val="19"/>
        <w:pageBreakBefore w:val="0"/>
        <w:tabs>
          <w:tab w:val="right" w:leader="dot" w:pos="8902"/>
        </w:tabs>
        <w:wordWrap w:val="0"/>
        <w:overflowPunct/>
        <w:bidi w:val="0"/>
        <w:rPr>
          <w:color w:val="auto"/>
        </w:rPr>
      </w:pPr>
      <w:r>
        <w:fldChar w:fldCharType="begin"/>
      </w:r>
      <w:r>
        <w:instrText xml:space="preserve"> HYPERLINK \l "_Toc20902" </w:instrText>
      </w:r>
      <w:r>
        <w:fldChar w:fldCharType="separate"/>
      </w:r>
      <w:r>
        <w:rPr>
          <w:rFonts w:hint="eastAsia"/>
          <w:color w:val="auto"/>
        </w:rPr>
        <w:t>七、其他事项</w:t>
      </w:r>
      <w:r>
        <w:rPr>
          <w:color w:val="auto"/>
        </w:rPr>
        <w:tab/>
      </w:r>
      <w:r>
        <w:rPr>
          <w:color w:val="auto"/>
        </w:rPr>
        <w:fldChar w:fldCharType="begin"/>
      </w:r>
      <w:r>
        <w:rPr>
          <w:color w:val="auto"/>
        </w:rPr>
        <w:instrText xml:space="preserve"> PAGEREF _Toc20902 \h </w:instrText>
      </w:r>
      <w:r>
        <w:rPr>
          <w:color w:val="auto"/>
        </w:rPr>
        <w:fldChar w:fldCharType="separate"/>
      </w:r>
      <w:r>
        <w:rPr>
          <w:color w:val="auto"/>
        </w:rPr>
        <w:t>19</w:t>
      </w:r>
      <w:r>
        <w:rPr>
          <w:color w:val="auto"/>
        </w:rPr>
        <w:fldChar w:fldCharType="end"/>
      </w:r>
      <w:r>
        <w:rPr>
          <w:color w:val="auto"/>
        </w:rPr>
        <w:fldChar w:fldCharType="end"/>
      </w:r>
    </w:p>
    <w:p w14:paraId="22B01248">
      <w:pPr>
        <w:pStyle w:val="17"/>
        <w:pageBreakBefore w:val="0"/>
        <w:tabs>
          <w:tab w:val="right" w:leader="dot" w:pos="8902"/>
        </w:tabs>
        <w:wordWrap w:val="0"/>
        <w:overflowPunct/>
        <w:bidi w:val="0"/>
        <w:rPr>
          <w:color w:val="auto"/>
        </w:rPr>
      </w:pPr>
      <w:r>
        <w:fldChar w:fldCharType="begin"/>
      </w:r>
      <w:r>
        <w:instrText xml:space="preserve"> HYPERLINK \l "_Toc24434" </w:instrText>
      </w:r>
      <w:r>
        <w:fldChar w:fldCharType="separate"/>
      </w:r>
      <w:r>
        <w:rPr>
          <w:rFonts w:hint="eastAsia"/>
          <w:color w:val="auto"/>
        </w:rPr>
        <w:t>第三章 合同书样式及主要条款</w:t>
      </w:r>
      <w:r>
        <w:rPr>
          <w:color w:val="auto"/>
        </w:rPr>
        <w:tab/>
      </w:r>
      <w:r>
        <w:rPr>
          <w:color w:val="auto"/>
        </w:rPr>
        <w:fldChar w:fldCharType="begin"/>
      </w:r>
      <w:r>
        <w:rPr>
          <w:color w:val="auto"/>
        </w:rPr>
        <w:instrText xml:space="preserve"> PAGEREF _Toc24434 \h </w:instrText>
      </w:r>
      <w:r>
        <w:rPr>
          <w:color w:val="auto"/>
        </w:rPr>
        <w:fldChar w:fldCharType="separate"/>
      </w:r>
      <w:r>
        <w:rPr>
          <w:color w:val="auto"/>
        </w:rPr>
        <w:t>21</w:t>
      </w:r>
      <w:r>
        <w:rPr>
          <w:color w:val="auto"/>
        </w:rPr>
        <w:fldChar w:fldCharType="end"/>
      </w:r>
      <w:r>
        <w:rPr>
          <w:color w:val="auto"/>
        </w:rPr>
        <w:fldChar w:fldCharType="end"/>
      </w:r>
    </w:p>
    <w:p w14:paraId="7C1F7C24">
      <w:pPr>
        <w:pStyle w:val="19"/>
        <w:pageBreakBefore w:val="0"/>
        <w:tabs>
          <w:tab w:val="right" w:leader="dot" w:pos="8902"/>
        </w:tabs>
        <w:wordWrap w:val="0"/>
        <w:overflowPunct/>
        <w:bidi w:val="0"/>
        <w:rPr>
          <w:color w:val="auto"/>
        </w:rPr>
      </w:pPr>
      <w:r>
        <w:fldChar w:fldCharType="begin"/>
      </w:r>
      <w:r>
        <w:instrText xml:space="preserve"> HYPERLINK \l "_Toc20292" </w:instrText>
      </w:r>
      <w:r>
        <w:fldChar w:fldCharType="separate"/>
      </w:r>
      <w:r>
        <w:rPr>
          <w:rFonts w:hint="eastAsia"/>
          <w:bCs/>
          <w:color w:val="auto"/>
          <w:spacing w:val="40"/>
          <w:szCs w:val="22"/>
        </w:rPr>
        <w:t>合同条款前附表</w:t>
      </w:r>
      <w:r>
        <w:rPr>
          <w:color w:val="auto"/>
        </w:rPr>
        <w:tab/>
      </w:r>
      <w:r>
        <w:rPr>
          <w:color w:val="auto"/>
        </w:rPr>
        <w:fldChar w:fldCharType="begin"/>
      </w:r>
      <w:r>
        <w:rPr>
          <w:color w:val="auto"/>
        </w:rPr>
        <w:instrText xml:space="preserve"> PAGEREF _Toc20292 \h </w:instrText>
      </w:r>
      <w:r>
        <w:rPr>
          <w:color w:val="auto"/>
        </w:rPr>
        <w:fldChar w:fldCharType="separate"/>
      </w:r>
      <w:r>
        <w:rPr>
          <w:color w:val="auto"/>
        </w:rPr>
        <w:t>21</w:t>
      </w:r>
      <w:r>
        <w:rPr>
          <w:color w:val="auto"/>
        </w:rPr>
        <w:fldChar w:fldCharType="end"/>
      </w:r>
      <w:r>
        <w:rPr>
          <w:color w:val="auto"/>
        </w:rPr>
        <w:fldChar w:fldCharType="end"/>
      </w:r>
    </w:p>
    <w:p w14:paraId="70670B80">
      <w:pPr>
        <w:pStyle w:val="19"/>
        <w:pageBreakBefore w:val="0"/>
        <w:tabs>
          <w:tab w:val="right" w:leader="dot" w:pos="8902"/>
        </w:tabs>
        <w:wordWrap w:val="0"/>
        <w:overflowPunct/>
        <w:bidi w:val="0"/>
        <w:rPr>
          <w:color w:val="auto"/>
        </w:rPr>
      </w:pPr>
      <w:r>
        <w:fldChar w:fldCharType="begin"/>
      </w:r>
      <w:r>
        <w:instrText xml:space="preserve"> HYPERLINK \l "_Toc28512" </w:instrText>
      </w:r>
      <w:r>
        <w:fldChar w:fldCharType="separate"/>
      </w:r>
      <w:r>
        <w:rPr>
          <w:rFonts w:hint="eastAsia"/>
          <w:bCs/>
          <w:color w:val="auto"/>
          <w:spacing w:val="40"/>
          <w:szCs w:val="32"/>
        </w:rPr>
        <w:t>合 同 书</w:t>
      </w:r>
      <w:r>
        <w:rPr>
          <w:color w:val="auto"/>
        </w:rPr>
        <w:tab/>
      </w:r>
      <w:r>
        <w:rPr>
          <w:color w:val="auto"/>
        </w:rPr>
        <w:fldChar w:fldCharType="begin"/>
      </w:r>
      <w:r>
        <w:rPr>
          <w:color w:val="auto"/>
        </w:rPr>
        <w:instrText xml:space="preserve"> PAGEREF _Toc28512 \h </w:instrText>
      </w:r>
      <w:r>
        <w:rPr>
          <w:color w:val="auto"/>
        </w:rPr>
        <w:fldChar w:fldCharType="separate"/>
      </w:r>
      <w:r>
        <w:rPr>
          <w:color w:val="auto"/>
        </w:rPr>
        <w:t>24</w:t>
      </w:r>
      <w:r>
        <w:rPr>
          <w:color w:val="auto"/>
        </w:rPr>
        <w:fldChar w:fldCharType="end"/>
      </w:r>
      <w:r>
        <w:rPr>
          <w:color w:val="auto"/>
        </w:rPr>
        <w:fldChar w:fldCharType="end"/>
      </w:r>
    </w:p>
    <w:p w14:paraId="226CCC8C">
      <w:pPr>
        <w:pStyle w:val="17"/>
        <w:pageBreakBefore w:val="0"/>
        <w:tabs>
          <w:tab w:val="right" w:leader="dot" w:pos="8902"/>
        </w:tabs>
        <w:wordWrap w:val="0"/>
        <w:overflowPunct/>
        <w:bidi w:val="0"/>
        <w:rPr>
          <w:color w:val="auto"/>
        </w:rPr>
      </w:pPr>
      <w:r>
        <w:fldChar w:fldCharType="begin"/>
      </w:r>
      <w:r>
        <w:instrText xml:space="preserve"> HYPERLINK \l "_Toc20169" </w:instrText>
      </w:r>
      <w:r>
        <w:fldChar w:fldCharType="separate"/>
      </w:r>
      <w:r>
        <w:rPr>
          <w:rFonts w:hint="eastAsia"/>
          <w:color w:val="auto"/>
          <w:szCs w:val="32"/>
        </w:rPr>
        <w:t>第四章 投标文件格式</w:t>
      </w:r>
      <w:r>
        <w:rPr>
          <w:color w:val="auto"/>
        </w:rPr>
        <w:tab/>
      </w:r>
      <w:r>
        <w:rPr>
          <w:color w:val="auto"/>
        </w:rPr>
        <w:fldChar w:fldCharType="begin"/>
      </w:r>
      <w:r>
        <w:rPr>
          <w:color w:val="auto"/>
        </w:rPr>
        <w:instrText xml:space="preserve"> PAGEREF _Toc20169 \h </w:instrText>
      </w:r>
      <w:r>
        <w:rPr>
          <w:color w:val="auto"/>
        </w:rPr>
        <w:fldChar w:fldCharType="separate"/>
      </w:r>
      <w:r>
        <w:rPr>
          <w:color w:val="auto"/>
        </w:rPr>
        <w:t>30</w:t>
      </w:r>
      <w:r>
        <w:rPr>
          <w:color w:val="auto"/>
        </w:rPr>
        <w:fldChar w:fldCharType="end"/>
      </w:r>
      <w:r>
        <w:rPr>
          <w:color w:val="auto"/>
        </w:rPr>
        <w:fldChar w:fldCharType="end"/>
      </w:r>
    </w:p>
    <w:p w14:paraId="7A23FDB6">
      <w:pPr>
        <w:pStyle w:val="19"/>
        <w:pageBreakBefore w:val="0"/>
        <w:tabs>
          <w:tab w:val="right" w:leader="dot" w:pos="8902"/>
        </w:tabs>
        <w:wordWrap w:val="0"/>
        <w:overflowPunct/>
        <w:bidi w:val="0"/>
        <w:rPr>
          <w:color w:val="auto"/>
        </w:rPr>
      </w:pPr>
      <w:r>
        <w:fldChar w:fldCharType="begin"/>
      </w:r>
      <w:r>
        <w:instrText xml:space="preserve"> HYPERLINK \l "_Toc3668" </w:instrText>
      </w:r>
      <w:r>
        <w:fldChar w:fldCharType="separate"/>
      </w:r>
      <w:r>
        <w:rPr>
          <w:rFonts w:hint="eastAsia"/>
          <w:bCs/>
          <w:color w:val="auto"/>
          <w:kern w:val="2"/>
          <w:szCs w:val="32"/>
        </w:rPr>
        <w:t>目  录</w:t>
      </w:r>
      <w:r>
        <w:rPr>
          <w:color w:val="auto"/>
        </w:rPr>
        <w:tab/>
      </w:r>
      <w:r>
        <w:rPr>
          <w:color w:val="auto"/>
        </w:rPr>
        <w:fldChar w:fldCharType="begin"/>
      </w:r>
      <w:r>
        <w:rPr>
          <w:color w:val="auto"/>
        </w:rPr>
        <w:instrText xml:space="preserve"> PAGEREF _Toc3668 \h </w:instrText>
      </w:r>
      <w:r>
        <w:rPr>
          <w:color w:val="auto"/>
        </w:rPr>
        <w:fldChar w:fldCharType="separate"/>
      </w:r>
      <w:r>
        <w:rPr>
          <w:color w:val="auto"/>
        </w:rPr>
        <w:t>32</w:t>
      </w:r>
      <w:r>
        <w:rPr>
          <w:color w:val="auto"/>
        </w:rPr>
        <w:fldChar w:fldCharType="end"/>
      </w:r>
      <w:r>
        <w:rPr>
          <w:color w:val="auto"/>
        </w:rPr>
        <w:fldChar w:fldCharType="end"/>
      </w:r>
    </w:p>
    <w:p w14:paraId="37BF339B">
      <w:pPr>
        <w:pStyle w:val="19"/>
        <w:pageBreakBefore w:val="0"/>
        <w:tabs>
          <w:tab w:val="right" w:leader="dot" w:pos="8902"/>
        </w:tabs>
        <w:wordWrap w:val="0"/>
        <w:overflowPunct/>
        <w:bidi w:val="0"/>
        <w:rPr>
          <w:color w:val="auto"/>
        </w:rPr>
      </w:pPr>
      <w:r>
        <w:fldChar w:fldCharType="begin"/>
      </w:r>
      <w:r>
        <w:instrText xml:space="preserve"> HYPERLINK \l "_Toc10452" </w:instrText>
      </w:r>
      <w:r>
        <w:fldChar w:fldCharType="separate"/>
      </w:r>
      <w:r>
        <w:rPr>
          <w:rFonts w:hint="eastAsia"/>
          <w:color w:val="auto"/>
          <w:szCs w:val="32"/>
        </w:rPr>
        <w:t>一、 开标一览表</w:t>
      </w:r>
      <w:r>
        <w:rPr>
          <w:color w:val="auto"/>
        </w:rPr>
        <w:tab/>
      </w:r>
      <w:r>
        <w:rPr>
          <w:color w:val="auto"/>
        </w:rPr>
        <w:fldChar w:fldCharType="begin"/>
      </w:r>
      <w:r>
        <w:rPr>
          <w:color w:val="auto"/>
        </w:rPr>
        <w:instrText xml:space="preserve"> PAGEREF _Toc10452 \h </w:instrText>
      </w:r>
      <w:r>
        <w:rPr>
          <w:color w:val="auto"/>
        </w:rPr>
        <w:fldChar w:fldCharType="separate"/>
      </w:r>
      <w:r>
        <w:rPr>
          <w:color w:val="auto"/>
        </w:rPr>
        <w:t>33</w:t>
      </w:r>
      <w:r>
        <w:rPr>
          <w:color w:val="auto"/>
        </w:rPr>
        <w:fldChar w:fldCharType="end"/>
      </w:r>
      <w:r>
        <w:rPr>
          <w:color w:val="auto"/>
        </w:rPr>
        <w:fldChar w:fldCharType="end"/>
      </w:r>
    </w:p>
    <w:p w14:paraId="1BEBDAF3">
      <w:pPr>
        <w:pStyle w:val="19"/>
        <w:pageBreakBefore w:val="0"/>
        <w:tabs>
          <w:tab w:val="right" w:leader="dot" w:pos="8902"/>
        </w:tabs>
        <w:wordWrap w:val="0"/>
        <w:overflowPunct/>
        <w:bidi w:val="0"/>
        <w:rPr>
          <w:color w:val="auto"/>
        </w:rPr>
      </w:pPr>
      <w:r>
        <w:fldChar w:fldCharType="begin"/>
      </w:r>
      <w:r>
        <w:instrText xml:space="preserve"> HYPERLINK \l "_Toc18779" </w:instrText>
      </w:r>
      <w:r>
        <w:fldChar w:fldCharType="separate"/>
      </w:r>
      <w:r>
        <w:rPr>
          <w:rFonts w:hint="eastAsia"/>
          <w:color w:val="auto"/>
          <w:szCs w:val="28"/>
        </w:rPr>
        <w:t>二、 资格证明文件</w:t>
      </w:r>
      <w:r>
        <w:rPr>
          <w:color w:val="auto"/>
        </w:rPr>
        <w:tab/>
      </w:r>
      <w:r>
        <w:rPr>
          <w:color w:val="auto"/>
        </w:rPr>
        <w:fldChar w:fldCharType="begin"/>
      </w:r>
      <w:r>
        <w:rPr>
          <w:color w:val="auto"/>
        </w:rPr>
        <w:instrText xml:space="preserve"> PAGEREF _Toc18779 \h </w:instrText>
      </w:r>
      <w:r>
        <w:rPr>
          <w:color w:val="auto"/>
        </w:rPr>
        <w:fldChar w:fldCharType="separate"/>
      </w:r>
      <w:r>
        <w:rPr>
          <w:color w:val="auto"/>
        </w:rPr>
        <w:t>34</w:t>
      </w:r>
      <w:r>
        <w:rPr>
          <w:color w:val="auto"/>
        </w:rPr>
        <w:fldChar w:fldCharType="end"/>
      </w:r>
      <w:r>
        <w:rPr>
          <w:color w:val="auto"/>
        </w:rPr>
        <w:fldChar w:fldCharType="end"/>
      </w:r>
    </w:p>
    <w:p w14:paraId="4FB94118">
      <w:pPr>
        <w:pStyle w:val="19"/>
        <w:pageBreakBefore w:val="0"/>
        <w:tabs>
          <w:tab w:val="right" w:leader="dot" w:pos="8902"/>
        </w:tabs>
        <w:wordWrap w:val="0"/>
        <w:overflowPunct/>
        <w:bidi w:val="0"/>
        <w:rPr>
          <w:color w:val="auto"/>
        </w:rPr>
      </w:pPr>
      <w:r>
        <w:fldChar w:fldCharType="begin"/>
      </w:r>
      <w:r>
        <w:instrText xml:space="preserve"> HYPERLINK \l "_Toc220" </w:instrText>
      </w:r>
      <w:r>
        <w:fldChar w:fldCharType="separate"/>
      </w:r>
      <w:r>
        <w:rPr>
          <w:rFonts w:hint="eastAsia"/>
          <w:color w:val="auto"/>
          <w:szCs w:val="28"/>
        </w:rPr>
        <w:t>2.1投 标 函</w:t>
      </w:r>
      <w:r>
        <w:rPr>
          <w:color w:val="auto"/>
        </w:rPr>
        <w:tab/>
      </w:r>
      <w:r>
        <w:rPr>
          <w:color w:val="auto"/>
        </w:rPr>
        <w:fldChar w:fldCharType="begin"/>
      </w:r>
      <w:r>
        <w:rPr>
          <w:color w:val="auto"/>
        </w:rPr>
        <w:instrText xml:space="preserve"> PAGEREF _Toc220 \h </w:instrText>
      </w:r>
      <w:r>
        <w:rPr>
          <w:color w:val="auto"/>
        </w:rPr>
        <w:fldChar w:fldCharType="separate"/>
      </w:r>
      <w:r>
        <w:rPr>
          <w:color w:val="auto"/>
        </w:rPr>
        <w:t>34</w:t>
      </w:r>
      <w:r>
        <w:rPr>
          <w:color w:val="auto"/>
        </w:rPr>
        <w:fldChar w:fldCharType="end"/>
      </w:r>
      <w:r>
        <w:rPr>
          <w:color w:val="auto"/>
        </w:rPr>
        <w:fldChar w:fldCharType="end"/>
      </w:r>
    </w:p>
    <w:p w14:paraId="5625CC29">
      <w:pPr>
        <w:pStyle w:val="19"/>
        <w:pageBreakBefore w:val="0"/>
        <w:tabs>
          <w:tab w:val="right" w:leader="dot" w:pos="8902"/>
        </w:tabs>
        <w:wordWrap w:val="0"/>
        <w:overflowPunct/>
        <w:bidi w:val="0"/>
        <w:rPr>
          <w:color w:val="auto"/>
        </w:rPr>
      </w:pPr>
      <w:r>
        <w:fldChar w:fldCharType="begin"/>
      </w:r>
      <w:r>
        <w:instrText xml:space="preserve"> HYPERLINK \l "_Toc4999" </w:instrText>
      </w:r>
      <w:r>
        <w:fldChar w:fldCharType="separate"/>
      </w:r>
      <w:r>
        <w:rPr>
          <w:rFonts w:hint="eastAsia"/>
          <w:color w:val="auto"/>
          <w:szCs w:val="28"/>
        </w:rPr>
        <w:t>2.2投标保证金缴纳凭证复印件</w:t>
      </w:r>
      <w:r>
        <w:rPr>
          <w:color w:val="auto"/>
        </w:rPr>
        <w:tab/>
      </w:r>
      <w:r>
        <w:rPr>
          <w:color w:val="auto"/>
        </w:rPr>
        <w:fldChar w:fldCharType="begin"/>
      </w:r>
      <w:r>
        <w:rPr>
          <w:color w:val="auto"/>
        </w:rPr>
        <w:instrText xml:space="preserve"> PAGEREF _Toc4999 \h </w:instrText>
      </w:r>
      <w:r>
        <w:rPr>
          <w:color w:val="auto"/>
        </w:rPr>
        <w:fldChar w:fldCharType="separate"/>
      </w:r>
      <w:r>
        <w:rPr>
          <w:color w:val="auto"/>
        </w:rPr>
        <w:t>35</w:t>
      </w:r>
      <w:r>
        <w:rPr>
          <w:color w:val="auto"/>
        </w:rPr>
        <w:fldChar w:fldCharType="end"/>
      </w:r>
      <w:r>
        <w:rPr>
          <w:color w:val="auto"/>
        </w:rPr>
        <w:fldChar w:fldCharType="end"/>
      </w:r>
    </w:p>
    <w:p w14:paraId="6ECC98E9">
      <w:pPr>
        <w:pStyle w:val="19"/>
        <w:pageBreakBefore w:val="0"/>
        <w:tabs>
          <w:tab w:val="right" w:leader="dot" w:pos="8902"/>
        </w:tabs>
        <w:wordWrap w:val="0"/>
        <w:overflowPunct/>
        <w:bidi w:val="0"/>
        <w:rPr>
          <w:color w:val="auto"/>
        </w:rPr>
      </w:pPr>
      <w:r>
        <w:fldChar w:fldCharType="begin"/>
      </w:r>
      <w:r>
        <w:instrText xml:space="preserve"> HYPERLINK \l "_Toc25264" </w:instrText>
      </w:r>
      <w:r>
        <w:fldChar w:fldCharType="separate"/>
      </w:r>
      <w:r>
        <w:rPr>
          <w:rFonts w:hint="eastAsia"/>
          <w:color w:val="auto"/>
          <w:szCs w:val="28"/>
        </w:rPr>
        <w:t>2.3投标人情况表</w:t>
      </w:r>
      <w:r>
        <w:rPr>
          <w:color w:val="auto"/>
        </w:rPr>
        <w:tab/>
      </w:r>
      <w:r>
        <w:rPr>
          <w:color w:val="auto"/>
        </w:rPr>
        <w:fldChar w:fldCharType="begin"/>
      </w:r>
      <w:r>
        <w:rPr>
          <w:color w:val="auto"/>
        </w:rPr>
        <w:instrText xml:space="preserve"> PAGEREF _Toc25264 \h </w:instrText>
      </w:r>
      <w:r>
        <w:rPr>
          <w:color w:val="auto"/>
        </w:rPr>
        <w:fldChar w:fldCharType="separate"/>
      </w:r>
      <w:r>
        <w:rPr>
          <w:color w:val="auto"/>
        </w:rPr>
        <w:t>36</w:t>
      </w:r>
      <w:r>
        <w:rPr>
          <w:color w:val="auto"/>
        </w:rPr>
        <w:fldChar w:fldCharType="end"/>
      </w:r>
      <w:r>
        <w:rPr>
          <w:color w:val="auto"/>
        </w:rPr>
        <w:fldChar w:fldCharType="end"/>
      </w:r>
    </w:p>
    <w:p w14:paraId="6B287E95">
      <w:pPr>
        <w:pStyle w:val="19"/>
        <w:pageBreakBefore w:val="0"/>
        <w:tabs>
          <w:tab w:val="right" w:leader="dot" w:pos="8902"/>
        </w:tabs>
        <w:wordWrap w:val="0"/>
        <w:overflowPunct/>
        <w:bidi w:val="0"/>
        <w:rPr>
          <w:color w:val="auto"/>
        </w:rPr>
      </w:pPr>
      <w:r>
        <w:fldChar w:fldCharType="begin"/>
      </w:r>
      <w:r>
        <w:instrText xml:space="preserve"> HYPERLINK \l "_Toc1962" </w:instrText>
      </w:r>
      <w:r>
        <w:fldChar w:fldCharType="separate"/>
      </w:r>
      <w:r>
        <w:rPr>
          <w:rFonts w:hint="eastAsia"/>
          <w:color w:val="auto"/>
          <w:szCs w:val="28"/>
        </w:rPr>
        <w:t>2.4法定代表人身份证明书</w:t>
      </w:r>
      <w:r>
        <w:rPr>
          <w:color w:val="auto"/>
        </w:rPr>
        <w:tab/>
      </w:r>
      <w:r>
        <w:rPr>
          <w:color w:val="auto"/>
        </w:rPr>
        <w:fldChar w:fldCharType="begin"/>
      </w:r>
      <w:r>
        <w:rPr>
          <w:color w:val="auto"/>
        </w:rPr>
        <w:instrText xml:space="preserve"> PAGEREF _Toc1962 \h </w:instrText>
      </w:r>
      <w:r>
        <w:rPr>
          <w:color w:val="auto"/>
        </w:rPr>
        <w:fldChar w:fldCharType="separate"/>
      </w:r>
      <w:r>
        <w:rPr>
          <w:color w:val="auto"/>
        </w:rPr>
        <w:t>37</w:t>
      </w:r>
      <w:r>
        <w:rPr>
          <w:color w:val="auto"/>
        </w:rPr>
        <w:fldChar w:fldCharType="end"/>
      </w:r>
      <w:r>
        <w:rPr>
          <w:color w:val="auto"/>
        </w:rPr>
        <w:fldChar w:fldCharType="end"/>
      </w:r>
    </w:p>
    <w:p w14:paraId="3BD912FA">
      <w:pPr>
        <w:pStyle w:val="19"/>
        <w:pageBreakBefore w:val="0"/>
        <w:tabs>
          <w:tab w:val="right" w:leader="dot" w:pos="8902"/>
        </w:tabs>
        <w:wordWrap w:val="0"/>
        <w:overflowPunct/>
        <w:bidi w:val="0"/>
        <w:rPr>
          <w:color w:val="auto"/>
        </w:rPr>
      </w:pPr>
      <w:r>
        <w:fldChar w:fldCharType="begin"/>
      </w:r>
      <w:r>
        <w:instrText xml:space="preserve"> HYPERLINK \l "_Toc10638" </w:instrText>
      </w:r>
      <w:r>
        <w:fldChar w:fldCharType="separate"/>
      </w:r>
      <w:r>
        <w:rPr>
          <w:rFonts w:hint="eastAsia"/>
          <w:color w:val="auto"/>
          <w:szCs w:val="28"/>
        </w:rPr>
        <w:t>2.5法定代表人授权书</w:t>
      </w:r>
      <w:r>
        <w:rPr>
          <w:color w:val="auto"/>
        </w:rPr>
        <w:tab/>
      </w:r>
      <w:r>
        <w:rPr>
          <w:color w:val="auto"/>
        </w:rPr>
        <w:fldChar w:fldCharType="begin"/>
      </w:r>
      <w:r>
        <w:rPr>
          <w:color w:val="auto"/>
        </w:rPr>
        <w:instrText xml:space="preserve"> PAGEREF _Toc10638 \h </w:instrText>
      </w:r>
      <w:r>
        <w:rPr>
          <w:color w:val="auto"/>
        </w:rPr>
        <w:fldChar w:fldCharType="separate"/>
      </w:r>
      <w:r>
        <w:rPr>
          <w:color w:val="auto"/>
        </w:rPr>
        <w:t>38</w:t>
      </w:r>
      <w:r>
        <w:rPr>
          <w:color w:val="auto"/>
        </w:rPr>
        <w:fldChar w:fldCharType="end"/>
      </w:r>
      <w:r>
        <w:rPr>
          <w:color w:val="auto"/>
        </w:rPr>
        <w:fldChar w:fldCharType="end"/>
      </w:r>
    </w:p>
    <w:p w14:paraId="196DE36A">
      <w:pPr>
        <w:pStyle w:val="19"/>
        <w:pageBreakBefore w:val="0"/>
        <w:tabs>
          <w:tab w:val="right" w:leader="dot" w:pos="8902"/>
        </w:tabs>
        <w:wordWrap w:val="0"/>
        <w:overflowPunct/>
        <w:bidi w:val="0"/>
        <w:rPr>
          <w:color w:val="auto"/>
        </w:rPr>
      </w:pPr>
      <w:r>
        <w:fldChar w:fldCharType="begin"/>
      </w:r>
      <w:r>
        <w:instrText xml:space="preserve"> HYPERLINK \l "_Toc30938" </w:instrText>
      </w:r>
      <w:r>
        <w:fldChar w:fldCharType="separate"/>
      </w:r>
      <w:r>
        <w:rPr>
          <w:rFonts w:hint="eastAsia"/>
          <w:color w:val="auto"/>
          <w:szCs w:val="28"/>
        </w:rPr>
        <w:t>2.6财务状况</w:t>
      </w:r>
      <w:r>
        <w:rPr>
          <w:color w:val="auto"/>
        </w:rPr>
        <w:tab/>
      </w:r>
      <w:r>
        <w:rPr>
          <w:color w:val="auto"/>
        </w:rPr>
        <w:fldChar w:fldCharType="begin"/>
      </w:r>
      <w:r>
        <w:rPr>
          <w:color w:val="auto"/>
        </w:rPr>
        <w:instrText xml:space="preserve"> PAGEREF _Toc30938 \h </w:instrText>
      </w:r>
      <w:r>
        <w:rPr>
          <w:color w:val="auto"/>
        </w:rPr>
        <w:fldChar w:fldCharType="separate"/>
      </w:r>
      <w:r>
        <w:rPr>
          <w:color w:val="auto"/>
        </w:rPr>
        <w:t>39</w:t>
      </w:r>
      <w:r>
        <w:rPr>
          <w:color w:val="auto"/>
        </w:rPr>
        <w:fldChar w:fldCharType="end"/>
      </w:r>
      <w:r>
        <w:rPr>
          <w:color w:val="auto"/>
        </w:rPr>
        <w:fldChar w:fldCharType="end"/>
      </w:r>
    </w:p>
    <w:p w14:paraId="1C37C720">
      <w:pPr>
        <w:pStyle w:val="19"/>
        <w:pageBreakBefore w:val="0"/>
        <w:tabs>
          <w:tab w:val="right" w:leader="dot" w:pos="8902"/>
        </w:tabs>
        <w:wordWrap w:val="0"/>
        <w:overflowPunct/>
        <w:bidi w:val="0"/>
        <w:rPr>
          <w:color w:val="auto"/>
        </w:rPr>
      </w:pPr>
      <w:r>
        <w:fldChar w:fldCharType="begin"/>
      </w:r>
      <w:r>
        <w:instrText xml:space="preserve"> HYPERLINK \l "_Toc30146" </w:instrText>
      </w:r>
      <w:r>
        <w:fldChar w:fldCharType="separate"/>
      </w:r>
      <w:r>
        <w:rPr>
          <w:rFonts w:hint="eastAsia"/>
          <w:color w:val="auto"/>
          <w:szCs w:val="28"/>
        </w:rPr>
        <w:t>2.7纳税及社保证明材料</w:t>
      </w:r>
      <w:r>
        <w:rPr>
          <w:color w:val="auto"/>
        </w:rPr>
        <w:tab/>
      </w:r>
      <w:r>
        <w:rPr>
          <w:color w:val="auto"/>
        </w:rPr>
        <w:fldChar w:fldCharType="begin"/>
      </w:r>
      <w:r>
        <w:rPr>
          <w:color w:val="auto"/>
        </w:rPr>
        <w:instrText xml:space="preserve"> PAGEREF _Toc30146 \h </w:instrText>
      </w:r>
      <w:r>
        <w:rPr>
          <w:color w:val="auto"/>
        </w:rPr>
        <w:fldChar w:fldCharType="separate"/>
      </w:r>
      <w:r>
        <w:rPr>
          <w:color w:val="auto"/>
        </w:rPr>
        <w:t>40</w:t>
      </w:r>
      <w:r>
        <w:rPr>
          <w:color w:val="auto"/>
        </w:rPr>
        <w:fldChar w:fldCharType="end"/>
      </w:r>
      <w:r>
        <w:rPr>
          <w:color w:val="auto"/>
        </w:rPr>
        <w:fldChar w:fldCharType="end"/>
      </w:r>
    </w:p>
    <w:p w14:paraId="3459C124">
      <w:pPr>
        <w:pStyle w:val="19"/>
        <w:pageBreakBefore w:val="0"/>
        <w:tabs>
          <w:tab w:val="right" w:leader="dot" w:pos="8902"/>
        </w:tabs>
        <w:wordWrap w:val="0"/>
        <w:overflowPunct/>
        <w:bidi w:val="0"/>
        <w:rPr>
          <w:color w:val="auto"/>
        </w:rPr>
      </w:pPr>
      <w:r>
        <w:fldChar w:fldCharType="begin"/>
      </w:r>
      <w:r>
        <w:instrText xml:space="preserve"> HYPERLINK \l "_Toc24981" </w:instrText>
      </w:r>
      <w:r>
        <w:fldChar w:fldCharType="separate"/>
      </w:r>
      <w:r>
        <w:rPr>
          <w:rFonts w:hint="eastAsia"/>
          <w:color w:val="auto"/>
          <w:szCs w:val="28"/>
        </w:rPr>
        <w:t>2.8投标人信用承诺书</w:t>
      </w:r>
      <w:r>
        <w:rPr>
          <w:color w:val="auto"/>
        </w:rPr>
        <w:tab/>
      </w:r>
      <w:r>
        <w:rPr>
          <w:color w:val="auto"/>
        </w:rPr>
        <w:fldChar w:fldCharType="begin"/>
      </w:r>
      <w:r>
        <w:rPr>
          <w:color w:val="auto"/>
        </w:rPr>
        <w:instrText xml:space="preserve"> PAGEREF _Toc24981 \h </w:instrText>
      </w:r>
      <w:r>
        <w:rPr>
          <w:color w:val="auto"/>
        </w:rPr>
        <w:fldChar w:fldCharType="separate"/>
      </w:r>
      <w:r>
        <w:rPr>
          <w:color w:val="auto"/>
        </w:rPr>
        <w:t>41</w:t>
      </w:r>
      <w:r>
        <w:rPr>
          <w:color w:val="auto"/>
        </w:rPr>
        <w:fldChar w:fldCharType="end"/>
      </w:r>
      <w:r>
        <w:rPr>
          <w:color w:val="auto"/>
        </w:rPr>
        <w:fldChar w:fldCharType="end"/>
      </w:r>
    </w:p>
    <w:p w14:paraId="268225D0">
      <w:pPr>
        <w:pStyle w:val="19"/>
        <w:pageBreakBefore w:val="0"/>
        <w:tabs>
          <w:tab w:val="right" w:leader="dot" w:pos="8902"/>
        </w:tabs>
        <w:wordWrap w:val="0"/>
        <w:overflowPunct/>
        <w:bidi w:val="0"/>
        <w:rPr>
          <w:color w:val="auto"/>
        </w:rPr>
      </w:pPr>
      <w:r>
        <w:fldChar w:fldCharType="begin"/>
      </w:r>
      <w:r>
        <w:instrText xml:space="preserve"> HYPERLINK \l "_Toc19879" </w:instrText>
      </w:r>
      <w:r>
        <w:fldChar w:fldCharType="separate"/>
      </w:r>
      <w:r>
        <w:rPr>
          <w:rFonts w:hint="eastAsia"/>
          <w:color w:val="auto"/>
          <w:szCs w:val="28"/>
        </w:rPr>
        <w:t>2.9具有履行合同所必需的设备和专业技术能力承诺</w:t>
      </w:r>
      <w:r>
        <w:rPr>
          <w:color w:val="auto"/>
        </w:rPr>
        <w:tab/>
      </w:r>
      <w:r>
        <w:rPr>
          <w:color w:val="auto"/>
        </w:rPr>
        <w:fldChar w:fldCharType="begin"/>
      </w:r>
      <w:r>
        <w:rPr>
          <w:color w:val="auto"/>
        </w:rPr>
        <w:instrText xml:space="preserve"> PAGEREF _Toc19879 \h </w:instrText>
      </w:r>
      <w:r>
        <w:rPr>
          <w:color w:val="auto"/>
        </w:rPr>
        <w:fldChar w:fldCharType="separate"/>
      </w:r>
      <w:r>
        <w:rPr>
          <w:color w:val="auto"/>
        </w:rPr>
        <w:t>42</w:t>
      </w:r>
      <w:r>
        <w:rPr>
          <w:color w:val="auto"/>
        </w:rPr>
        <w:fldChar w:fldCharType="end"/>
      </w:r>
      <w:r>
        <w:rPr>
          <w:color w:val="auto"/>
        </w:rPr>
        <w:fldChar w:fldCharType="end"/>
      </w:r>
    </w:p>
    <w:p w14:paraId="729BCBFE">
      <w:pPr>
        <w:pStyle w:val="19"/>
        <w:pageBreakBefore w:val="0"/>
        <w:tabs>
          <w:tab w:val="right" w:leader="dot" w:pos="8902"/>
        </w:tabs>
        <w:wordWrap w:val="0"/>
        <w:overflowPunct/>
        <w:bidi w:val="0"/>
        <w:rPr>
          <w:color w:val="auto"/>
        </w:rPr>
      </w:pPr>
      <w:r>
        <w:fldChar w:fldCharType="begin"/>
      </w:r>
      <w:r>
        <w:instrText xml:space="preserve"> HYPERLINK \l "_Toc13630" </w:instrText>
      </w:r>
      <w:r>
        <w:fldChar w:fldCharType="separate"/>
      </w:r>
      <w:r>
        <w:rPr>
          <w:rFonts w:hint="eastAsia"/>
          <w:color w:val="auto"/>
          <w:szCs w:val="28"/>
        </w:rPr>
        <w:t>2.10无重大违法记录的书面声明</w:t>
      </w:r>
      <w:r>
        <w:rPr>
          <w:color w:val="auto"/>
        </w:rPr>
        <w:tab/>
      </w:r>
      <w:r>
        <w:rPr>
          <w:color w:val="auto"/>
        </w:rPr>
        <w:fldChar w:fldCharType="begin"/>
      </w:r>
      <w:r>
        <w:rPr>
          <w:color w:val="auto"/>
        </w:rPr>
        <w:instrText xml:space="preserve"> PAGEREF _Toc13630 \h </w:instrText>
      </w:r>
      <w:r>
        <w:rPr>
          <w:color w:val="auto"/>
        </w:rPr>
        <w:fldChar w:fldCharType="separate"/>
      </w:r>
      <w:r>
        <w:rPr>
          <w:color w:val="auto"/>
        </w:rPr>
        <w:t>42</w:t>
      </w:r>
      <w:r>
        <w:rPr>
          <w:color w:val="auto"/>
        </w:rPr>
        <w:fldChar w:fldCharType="end"/>
      </w:r>
      <w:r>
        <w:rPr>
          <w:color w:val="auto"/>
        </w:rPr>
        <w:fldChar w:fldCharType="end"/>
      </w:r>
    </w:p>
    <w:p w14:paraId="3D447362">
      <w:pPr>
        <w:pStyle w:val="19"/>
        <w:pageBreakBefore w:val="0"/>
        <w:tabs>
          <w:tab w:val="right" w:leader="dot" w:pos="8902"/>
        </w:tabs>
        <w:wordWrap w:val="0"/>
        <w:overflowPunct/>
        <w:bidi w:val="0"/>
        <w:rPr>
          <w:color w:val="auto"/>
        </w:rPr>
      </w:pPr>
      <w:r>
        <w:fldChar w:fldCharType="begin"/>
      </w:r>
      <w:r>
        <w:instrText xml:space="preserve"> HYPERLINK \l "_Toc3012" </w:instrText>
      </w:r>
      <w:r>
        <w:fldChar w:fldCharType="separate"/>
      </w:r>
      <w:r>
        <w:rPr>
          <w:rFonts w:hint="eastAsia"/>
          <w:color w:val="auto"/>
          <w:szCs w:val="28"/>
        </w:rPr>
        <w:t>2.11存在控股、管理关系承诺</w:t>
      </w:r>
      <w:r>
        <w:rPr>
          <w:color w:val="auto"/>
        </w:rPr>
        <w:tab/>
      </w:r>
      <w:r>
        <w:rPr>
          <w:color w:val="auto"/>
        </w:rPr>
        <w:fldChar w:fldCharType="begin"/>
      </w:r>
      <w:r>
        <w:rPr>
          <w:color w:val="auto"/>
        </w:rPr>
        <w:instrText xml:space="preserve"> PAGEREF _Toc3012 \h </w:instrText>
      </w:r>
      <w:r>
        <w:rPr>
          <w:color w:val="auto"/>
        </w:rPr>
        <w:fldChar w:fldCharType="separate"/>
      </w:r>
      <w:r>
        <w:rPr>
          <w:color w:val="auto"/>
        </w:rPr>
        <w:t>42</w:t>
      </w:r>
      <w:r>
        <w:rPr>
          <w:color w:val="auto"/>
        </w:rPr>
        <w:fldChar w:fldCharType="end"/>
      </w:r>
      <w:r>
        <w:rPr>
          <w:color w:val="auto"/>
        </w:rPr>
        <w:fldChar w:fldCharType="end"/>
      </w:r>
    </w:p>
    <w:p w14:paraId="1EDE1550">
      <w:pPr>
        <w:pStyle w:val="19"/>
        <w:pageBreakBefore w:val="0"/>
        <w:tabs>
          <w:tab w:val="right" w:leader="dot" w:pos="8902"/>
        </w:tabs>
        <w:wordWrap w:val="0"/>
        <w:overflowPunct/>
        <w:bidi w:val="0"/>
        <w:rPr>
          <w:color w:val="auto"/>
        </w:rPr>
      </w:pPr>
      <w:r>
        <w:fldChar w:fldCharType="begin"/>
      </w:r>
      <w:r>
        <w:instrText xml:space="preserve"> HYPERLINK \l "_Toc28226" </w:instrText>
      </w:r>
      <w:r>
        <w:fldChar w:fldCharType="separate"/>
      </w:r>
      <w:r>
        <w:rPr>
          <w:rFonts w:hint="eastAsia"/>
          <w:color w:val="auto"/>
          <w:szCs w:val="28"/>
        </w:rPr>
        <w:t>2.12无关联承诺</w:t>
      </w:r>
      <w:r>
        <w:rPr>
          <w:color w:val="auto"/>
        </w:rPr>
        <w:tab/>
      </w:r>
      <w:r>
        <w:rPr>
          <w:color w:val="auto"/>
        </w:rPr>
        <w:fldChar w:fldCharType="begin"/>
      </w:r>
      <w:r>
        <w:rPr>
          <w:color w:val="auto"/>
        </w:rPr>
        <w:instrText xml:space="preserve"> PAGEREF _Toc28226 \h </w:instrText>
      </w:r>
      <w:r>
        <w:rPr>
          <w:color w:val="auto"/>
        </w:rPr>
        <w:fldChar w:fldCharType="separate"/>
      </w:r>
      <w:r>
        <w:rPr>
          <w:color w:val="auto"/>
        </w:rPr>
        <w:t>43</w:t>
      </w:r>
      <w:r>
        <w:rPr>
          <w:color w:val="auto"/>
        </w:rPr>
        <w:fldChar w:fldCharType="end"/>
      </w:r>
      <w:r>
        <w:rPr>
          <w:color w:val="auto"/>
        </w:rPr>
        <w:fldChar w:fldCharType="end"/>
      </w:r>
    </w:p>
    <w:p w14:paraId="7EF349F7">
      <w:pPr>
        <w:pStyle w:val="19"/>
        <w:pageBreakBefore w:val="0"/>
        <w:tabs>
          <w:tab w:val="right" w:leader="dot" w:pos="8902"/>
        </w:tabs>
        <w:wordWrap w:val="0"/>
        <w:overflowPunct/>
        <w:bidi w:val="0"/>
        <w:rPr>
          <w:color w:val="auto"/>
        </w:rPr>
      </w:pPr>
      <w:r>
        <w:fldChar w:fldCharType="begin"/>
      </w:r>
      <w:r>
        <w:instrText xml:space="preserve"> HYPERLINK \l "_Toc10952" </w:instrText>
      </w:r>
      <w:r>
        <w:fldChar w:fldCharType="separate"/>
      </w:r>
      <w:r>
        <w:rPr>
          <w:rFonts w:hint="eastAsia"/>
          <w:color w:val="auto"/>
          <w:szCs w:val="28"/>
        </w:rPr>
        <w:t>2.13非联合体投标承诺</w:t>
      </w:r>
      <w:r>
        <w:rPr>
          <w:color w:val="auto"/>
        </w:rPr>
        <w:tab/>
      </w:r>
      <w:r>
        <w:rPr>
          <w:color w:val="auto"/>
        </w:rPr>
        <w:fldChar w:fldCharType="begin"/>
      </w:r>
      <w:r>
        <w:rPr>
          <w:color w:val="auto"/>
        </w:rPr>
        <w:instrText xml:space="preserve"> PAGEREF _Toc10952 \h </w:instrText>
      </w:r>
      <w:r>
        <w:rPr>
          <w:color w:val="auto"/>
        </w:rPr>
        <w:fldChar w:fldCharType="separate"/>
      </w:r>
      <w:r>
        <w:rPr>
          <w:color w:val="auto"/>
        </w:rPr>
        <w:t>43</w:t>
      </w:r>
      <w:r>
        <w:rPr>
          <w:color w:val="auto"/>
        </w:rPr>
        <w:fldChar w:fldCharType="end"/>
      </w:r>
      <w:r>
        <w:rPr>
          <w:color w:val="auto"/>
        </w:rPr>
        <w:fldChar w:fldCharType="end"/>
      </w:r>
    </w:p>
    <w:p w14:paraId="0691CC4B">
      <w:pPr>
        <w:pStyle w:val="19"/>
        <w:pageBreakBefore w:val="0"/>
        <w:tabs>
          <w:tab w:val="right" w:leader="dot" w:pos="8902"/>
        </w:tabs>
        <w:wordWrap w:val="0"/>
        <w:overflowPunct/>
        <w:bidi w:val="0"/>
        <w:rPr>
          <w:color w:val="auto"/>
        </w:rPr>
      </w:pPr>
      <w:r>
        <w:fldChar w:fldCharType="begin"/>
      </w:r>
      <w:r>
        <w:instrText xml:space="preserve"> HYPERLINK \l "_Toc18086" </w:instrText>
      </w:r>
      <w:r>
        <w:fldChar w:fldCharType="separate"/>
      </w:r>
      <w:r>
        <w:rPr>
          <w:rFonts w:hint="eastAsia"/>
          <w:color w:val="auto"/>
          <w:szCs w:val="28"/>
        </w:rPr>
        <w:t>2.14非</w:t>
      </w:r>
      <w:r>
        <w:rPr>
          <w:rFonts w:hint="eastAsia"/>
          <w:color w:val="auto"/>
        </w:rPr>
        <w:t>整车</w:t>
      </w:r>
      <w:r>
        <w:rPr>
          <w:rFonts w:hint="eastAsia"/>
          <w:color w:val="auto"/>
          <w:szCs w:val="28"/>
        </w:rPr>
        <w:t>进口产品投标承诺</w:t>
      </w:r>
      <w:r>
        <w:rPr>
          <w:color w:val="auto"/>
        </w:rPr>
        <w:tab/>
      </w:r>
      <w:r>
        <w:rPr>
          <w:color w:val="auto"/>
        </w:rPr>
        <w:fldChar w:fldCharType="begin"/>
      </w:r>
      <w:r>
        <w:rPr>
          <w:color w:val="auto"/>
        </w:rPr>
        <w:instrText xml:space="preserve"> PAGEREF _Toc18086 \h </w:instrText>
      </w:r>
      <w:r>
        <w:rPr>
          <w:color w:val="auto"/>
        </w:rPr>
        <w:fldChar w:fldCharType="separate"/>
      </w:r>
      <w:r>
        <w:rPr>
          <w:color w:val="auto"/>
        </w:rPr>
        <w:t>43</w:t>
      </w:r>
      <w:r>
        <w:rPr>
          <w:color w:val="auto"/>
        </w:rPr>
        <w:fldChar w:fldCharType="end"/>
      </w:r>
      <w:r>
        <w:rPr>
          <w:color w:val="auto"/>
        </w:rPr>
        <w:fldChar w:fldCharType="end"/>
      </w:r>
    </w:p>
    <w:p w14:paraId="6A12C1C0">
      <w:pPr>
        <w:pStyle w:val="19"/>
        <w:pageBreakBefore w:val="0"/>
        <w:tabs>
          <w:tab w:val="right" w:leader="dot" w:pos="8902"/>
        </w:tabs>
        <w:wordWrap w:val="0"/>
        <w:overflowPunct/>
        <w:bidi w:val="0"/>
        <w:rPr>
          <w:color w:val="auto"/>
        </w:rPr>
      </w:pPr>
      <w:r>
        <w:fldChar w:fldCharType="begin"/>
      </w:r>
      <w:r>
        <w:instrText xml:space="preserve"> HYPERLINK \l "_Toc13776" </w:instrText>
      </w:r>
      <w:r>
        <w:fldChar w:fldCharType="separate"/>
      </w:r>
      <w:r>
        <w:rPr>
          <w:rFonts w:hint="eastAsia"/>
          <w:color w:val="auto"/>
          <w:szCs w:val="28"/>
        </w:rPr>
        <w:t>2.15小微企业声明函</w:t>
      </w:r>
      <w:r>
        <w:rPr>
          <w:color w:val="auto"/>
        </w:rPr>
        <w:tab/>
      </w:r>
      <w:r>
        <w:rPr>
          <w:color w:val="auto"/>
        </w:rPr>
        <w:fldChar w:fldCharType="begin"/>
      </w:r>
      <w:r>
        <w:rPr>
          <w:color w:val="auto"/>
        </w:rPr>
        <w:instrText xml:space="preserve"> PAGEREF _Toc13776 \h </w:instrText>
      </w:r>
      <w:r>
        <w:rPr>
          <w:color w:val="auto"/>
        </w:rPr>
        <w:fldChar w:fldCharType="separate"/>
      </w:r>
      <w:r>
        <w:rPr>
          <w:color w:val="auto"/>
        </w:rPr>
        <w:t>44</w:t>
      </w:r>
      <w:r>
        <w:rPr>
          <w:color w:val="auto"/>
        </w:rPr>
        <w:fldChar w:fldCharType="end"/>
      </w:r>
      <w:r>
        <w:rPr>
          <w:color w:val="auto"/>
        </w:rPr>
        <w:fldChar w:fldCharType="end"/>
      </w:r>
    </w:p>
    <w:p w14:paraId="2CA835C1">
      <w:pPr>
        <w:pStyle w:val="19"/>
        <w:pageBreakBefore w:val="0"/>
        <w:tabs>
          <w:tab w:val="right" w:leader="dot" w:pos="8902"/>
        </w:tabs>
        <w:wordWrap w:val="0"/>
        <w:overflowPunct/>
        <w:bidi w:val="0"/>
        <w:rPr>
          <w:color w:val="auto"/>
        </w:rPr>
      </w:pPr>
      <w:r>
        <w:fldChar w:fldCharType="begin"/>
      </w:r>
      <w:r>
        <w:instrText xml:space="preserve"> HYPERLINK \l "_Toc8355" </w:instrText>
      </w:r>
      <w:r>
        <w:fldChar w:fldCharType="separate"/>
      </w:r>
      <w:r>
        <w:rPr>
          <w:rFonts w:hint="eastAsia"/>
          <w:color w:val="auto"/>
          <w:szCs w:val="28"/>
        </w:rPr>
        <w:t>2.16残疾人福利性单位声明函</w:t>
      </w:r>
      <w:r>
        <w:rPr>
          <w:color w:val="auto"/>
        </w:rPr>
        <w:tab/>
      </w:r>
      <w:r>
        <w:rPr>
          <w:color w:val="auto"/>
        </w:rPr>
        <w:fldChar w:fldCharType="begin"/>
      </w:r>
      <w:r>
        <w:rPr>
          <w:color w:val="auto"/>
        </w:rPr>
        <w:instrText xml:space="preserve"> PAGEREF _Toc8355 \h </w:instrText>
      </w:r>
      <w:r>
        <w:rPr>
          <w:color w:val="auto"/>
        </w:rPr>
        <w:fldChar w:fldCharType="separate"/>
      </w:r>
      <w:r>
        <w:rPr>
          <w:color w:val="auto"/>
        </w:rPr>
        <w:t>45</w:t>
      </w:r>
      <w:r>
        <w:rPr>
          <w:color w:val="auto"/>
        </w:rPr>
        <w:fldChar w:fldCharType="end"/>
      </w:r>
      <w:r>
        <w:rPr>
          <w:color w:val="auto"/>
        </w:rPr>
        <w:fldChar w:fldCharType="end"/>
      </w:r>
    </w:p>
    <w:p w14:paraId="7DA9D3D9">
      <w:pPr>
        <w:pStyle w:val="19"/>
        <w:pageBreakBefore w:val="0"/>
        <w:tabs>
          <w:tab w:val="right" w:leader="dot" w:pos="8902"/>
        </w:tabs>
        <w:wordWrap w:val="0"/>
        <w:overflowPunct/>
        <w:bidi w:val="0"/>
        <w:rPr>
          <w:color w:val="auto"/>
        </w:rPr>
      </w:pPr>
      <w:r>
        <w:fldChar w:fldCharType="begin"/>
      </w:r>
      <w:r>
        <w:instrText xml:space="preserve"> HYPERLINK \l "_Toc26054" </w:instrText>
      </w:r>
      <w:r>
        <w:fldChar w:fldCharType="separate"/>
      </w:r>
      <w:r>
        <w:rPr>
          <w:rFonts w:hint="eastAsia"/>
          <w:color w:val="auto"/>
          <w:szCs w:val="28"/>
        </w:rPr>
        <w:t>2.17监狱企业证明文件</w:t>
      </w:r>
      <w:r>
        <w:rPr>
          <w:color w:val="auto"/>
        </w:rPr>
        <w:tab/>
      </w:r>
      <w:r>
        <w:rPr>
          <w:color w:val="auto"/>
        </w:rPr>
        <w:fldChar w:fldCharType="begin"/>
      </w:r>
      <w:r>
        <w:rPr>
          <w:color w:val="auto"/>
        </w:rPr>
        <w:instrText xml:space="preserve"> PAGEREF _Toc26054 \h </w:instrText>
      </w:r>
      <w:r>
        <w:rPr>
          <w:color w:val="auto"/>
        </w:rPr>
        <w:fldChar w:fldCharType="separate"/>
      </w:r>
      <w:r>
        <w:rPr>
          <w:color w:val="auto"/>
        </w:rPr>
        <w:t>46</w:t>
      </w:r>
      <w:r>
        <w:rPr>
          <w:color w:val="auto"/>
        </w:rPr>
        <w:fldChar w:fldCharType="end"/>
      </w:r>
      <w:r>
        <w:rPr>
          <w:color w:val="auto"/>
        </w:rPr>
        <w:fldChar w:fldCharType="end"/>
      </w:r>
    </w:p>
    <w:p w14:paraId="6C0EEC59">
      <w:pPr>
        <w:pStyle w:val="19"/>
        <w:pageBreakBefore w:val="0"/>
        <w:tabs>
          <w:tab w:val="right" w:leader="dot" w:pos="8902"/>
        </w:tabs>
        <w:wordWrap w:val="0"/>
        <w:overflowPunct/>
        <w:bidi w:val="0"/>
        <w:rPr>
          <w:color w:val="auto"/>
        </w:rPr>
      </w:pPr>
      <w:r>
        <w:fldChar w:fldCharType="begin"/>
      </w:r>
      <w:r>
        <w:instrText xml:space="preserve"> HYPERLINK \l "_Toc13369" </w:instrText>
      </w:r>
      <w:r>
        <w:fldChar w:fldCharType="separate"/>
      </w:r>
      <w:r>
        <w:rPr>
          <w:rFonts w:hint="eastAsia"/>
          <w:color w:val="auto"/>
          <w:szCs w:val="28"/>
        </w:rPr>
        <w:t>2.18投标人认为资格条件需提交的其他资料</w:t>
      </w:r>
      <w:r>
        <w:rPr>
          <w:color w:val="auto"/>
        </w:rPr>
        <w:tab/>
      </w:r>
      <w:r>
        <w:rPr>
          <w:color w:val="auto"/>
        </w:rPr>
        <w:fldChar w:fldCharType="begin"/>
      </w:r>
      <w:r>
        <w:rPr>
          <w:color w:val="auto"/>
        </w:rPr>
        <w:instrText xml:space="preserve"> PAGEREF _Toc13369 \h </w:instrText>
      </w:r>
      <w:r>
        <w:rPr>
          <w:color w:val="auto"/>
        </w:rPr>
        <w:fldChar w:fldCharType="separate"/>
      </w:r>
      <w:r>
        <w:rPr>
          <w:color w:val="auto"/>
        </w:rPr>
        <w:t>47</w:t>
      </w:r>
      <w:r>
        <w:rPr>
          <w:color w:val="auto"/>
        </w:rPr>
        <w:fldChar w:fldCharType="end"/>
      </w:r>
      <w:r>
        <w:rPr>
          <w:color w:val="auto"/>
        </w:rPr>
        <w:fldChar w:fldCharType="end"/>
      </w:r>
    </w:p>
    <w:p w14:paraId="7343E83E">
      <w:pPr>
        <w:pStyle w:val="19"/>
        <w:pageBreakBefore w:val="0"/>
        <w:tabs>
          <w:tab w:val="right" w:leader="dot" w:pos="8902"/>
        </w:tabs>
        <w:wordWrap w:val="0"/>
        <w:overflowPunct/>
        <w:bidi w:val="0"/>
        <w:rPr>
          <w:color w:val="auto"/>
        </w:rPr>
      </w:pPr>
      <w:r>
        <w:fldChar w:fldCharType="begin"/>
      </w:r>
      <w:r>
        <w:instrText xml:space="preserve"> HYPERLINK \l "_Toc9018" </w:instrText>
      </w:r>
      <w:r>
        <w:fldChar w:fldCharType="separate"/>
      </w:r>
      <w:r>
        <w:rPr>
          <w:rFonts w:hint="eastAsia"/>
          <w:color w:val="auto"/>
          <w:szCs w:val="32"/>
        </w:rPr>
        <w:t>三、 商务部分</w:t>
      </w:r>
      <w:r>
        <w:rPr>
          <w:color w:val="auto"/>
        </w:rPr>
        <w:tab/>
      </w:r>
      <w:r>
        <w:rPr>
          <w:color w:val="auto"/>
        </w:rPr>
        <w:fldChar w:fldCharType="begin"/>
      </w:r>
      <w:r>
        <w:rPr>
          <w:color w:val="auto"/>
        </w:rPr>
        <w:instrText xml:space="preserve"> PAGEREF _Toc9018 \h </w:instrText>
      </w:r>
      <w:r>
        <w:rPr>
          <w:color w:val="auto"/>
        </w:rPr>
        <w:fldChar w:fldCharType="separate"/>
      </w:r>
      <w:r>
        <w:rPr>
          <w:color w:val="auto"/>
        </w:rPr>
        <w:t>48</w:t>
      </w:r>
      <w:r>
        <w:rPr>
          <w:color w:val="auto"/>
        </w:rPr>
        <w:fldChar w:fldCharType="end"/>
      </w:r>
      <w:r>
        <w:rPr>
          <w:color w:val="auto"/>
        </w:rPr>
        <w:fldChar w:fldCharType="end"/>
      </w:r>
    </w:p>
    <w:p w14:paraId="1ED850CB">
      <w:pPr>
        <w:pStyle w:val="19"/>
        <w:pageBreakBefore w:val="0"/>
        <w:tabs>
          <w:tab w:val="right" w:leader="dot" w:pos="8902"/>
        </w:tabs>
        <w:wordWrap w:val="0"/>
        <w:overflowPunct/>
        <w:bidi w:val="0"/>
        <w:rPr>
          <w:color w:val="auto"/>
        </w:rPr>
      </w:pPr>
      <w:r>
        <w:fldChar w:fldCharType="begin"/>
      </w:r>
      <w:r>
        <w:instrText xml:space="preserve"> HYPERLINK \l "_Toc27477" </w:instrText>
      </w:r>
      <w:r>
        <w:fldChar w:fldCharType="separate"/>
      </w:r>
      <w:r>
        <w:rPr>
          <w:rFonts w:hint="eastAsia" w:ascii="仿宋" w:hAnsi="仿宋" w:eastAsia="仿宋" w:cs="仿宋"/>
          <w:color w:val="auto"/>
          <w:szCs w:val="28"/>
        </w:rPr>
        <w:t>3.1 商务条款偏离表</w:t>
      </w:r>
      <w:r>
        <w:rPr>
          <w:color w:val="auto"/>
        </w:rPr>
        <w:tab/>
      </w:r>
      <w:r>
        <w:rPr>
          <w:color w:val="auto"/>
        </w:rPr>
        <w:fldChar w:fldCharType="begin"/>
      </w:r>
      <w:r>
        <w:rPr>
          <w:color w:val="auto"/>
        </w:rPr>
        <w:instrText xml:space="preserve"> PAGEREF _Toc27477 \h </w:instrText>
      </w:r>
      <w:r>
        <w:rPr>
          <w:color w:val="auto"/>
        </w:rPr>
        <w:fldChar w:fldCharType="separate"/>
      </w:r>
      <w:r>
        <w:rPr>
          <w:color w:val="auto"/>
        </w:rPr>
        <w:t>48</w:t>
      </w:r>
      <w:r>
        <w:rPr>
          <w:color w:val="auto"/>
        </w:rPr>
        <w:fldChar w:fldCharType="end"/>
      </w:r>
      <w:r>
        <w:rPr>
          <w:color w:val="auto"/>
        </w:rPr>
        <w:fldChar w:fldCharType="end"/>
      </w:r>
    </w:p>
    <w:p w14:paraId="1C101FCB">
      <w:pPr>
        <w:pStyle w:val="19"/>
        <w:pageBreakBefore w:val="0"/>
        <w:tabs>
          <w:tab w:val="right" w:leader="dot" w:pos="8902"/>
        </w:tabs>
        <w:wordWrap w:val="0"/>
        <w:overflowPunct/>
        <w:bidi w:val="0"/>
        <w:rPr>
          <w:color w:val="auto"/>
        </w:rPr>
      </w:pPr>
      <w:r>
        <w:fldChar w:fldCharType="begin"/>
      </w:r>
      <w:r>
        <w:instrText xml:space="preserve"> HYPERLINK \l "_Toc10010" </w:instrText>
      </w:r>
      <w:r>
        <w:fldChar w:fldCharType="separate"/>
      </w:r>
      <w:r>
        <w:rPr>
          <w:rFonts w:hint="eastAsia"/>
          <w:bCs/>
          <w:color w:val="auto"/>
        </w:rPr>
        <w:t>3.2政策功能情况（如有）</w:t>
      </w:r>
      <w:r>
        <w:rPr>
          <w:color w:val="auto"/>
        </w:rPr>
        <w:tab/>
      </w:r>
      <w:r>
        <w:rPr>
          <w:color w:val="auto"/>
        </w:rPr>
        <w:fldChar w:fldCharType="begin"/>
      </w:r>
      <w:r>
        <w:rPr>
          <w:color w:val="auto"/>
        </w:rPr>
        <w:instrText xml:space="preserve"> PAGEREF _Toc10010 \h </w:instrText>
      </w:r>
      <w:r>
        <w:rPr>
          <w:color w:val="auto"/>
        </w:rPr>
        <w:fldChar w:fldCharType="separate"/>
      </w:r>
      <w:r>
        <w:rPr>
          <w:color w:val="auto"/>
        </w:rPr>
        <w:t>49</w:t>
      </w:r>
      <w:r>
        <w:rPr>
          <w:color w:val="auto"/>
        </w:rPr>
        <w:fldChar w:fldCharType="end"/>
      </w:r>
      <w:r>
        <w:rPr>
          <w:color w:val="auto"/>
        </w:rPr>
        <w:fldChar w:fldCharType="end"/>
      </w:r>
    </w:p>
    <w:p w14:paraId="31438C12">
      <w:pPr>
        <w:pStyle w:val="19"/>
        <w:pageBreakBefore w:val="0"/>
        <w:tabs>
          <w:tab w:val="right" w:leader="dot" w:pos="8902"/>
        </w:tabs>
        <w:wordWrap w:val="0"/>
        <w:overflowPunct/>
        <w:bidi w:val="0"/>
        <w:rPr>
          <w:color w:val="auto"/>
        </w:rPr>
      </w:pPr>
      <w:r>
        <w:fldChar w:fldCharType="begin"/>
      </w:r>
      <w:r>
        <w:instrText xml:space="preserve"> HYPERLINK \l "_Toc32058" </w:instrText>
      </w:r>
      <w:r>
        <w:fldChar w:fldCharType="separate"/>
      </w:r>
      <w:r>
        <w:rPr>
          <w:rFonts w:hint="eastAsia"/>
          <w:bCs/>
          <w:color w:val="auto"/>
        </w:rPr>
        <w:t>3.3</w:t>
      </w:r>
      <w:r>
        <w:rPr>
          <w:rFonts w:hint="eastAsia" w:ascii="仿宋" w:hAnsi="仿宋" w:eastAsia="仿宋" w:cs="仿宋"/>
          <w:color w:val="auto"/>
          <w:szCs w:val="28"/>
        </w:rPr>
        <w:t>分项报价明细表</w:t>
      </w:r>
      <w:r>
        <w:rPr>
          <w:color w:val="auto"/>
        </w:rPr>
        <w:tab/>
      </w:r>
      <w:r>
        <w:rPr>
          <w:color w:val="auto"/>
        </w:rPr>
        <w:fldChar w:fldCharType="begin"/>
      </w:r>
      <w:r>
        <w:rPr>
          <w:color w:val="auto"/>
        </w:rPr>
        <w:instrText xml:space="preserve"> PAGEREF _Toc32058 \h </w:instrText>
      </w:r>
      <w:r>
        <w:rPr>
          <w:color w:val="auto"/>
        </w:rPr>
        <w:fldChar w:fldCharType="separate"/>
      </w:r>
      <w:r>
        <w:rPr>
          <w:color w:val="auto"/>
        </w:rPr>
        <w:t>50</w:t>
      </w:r>
      <w:r>
        <w:rPr>
          <w:color w:val="auto"/>
        </w:rPr>
        <w:fldChar w:fldCharType="end"/>
      </w:r>
      <w:r>
        <w:rPr>
          <w:color w:val="auto"/>
        </w:rPr>
        <w:fldChar w:fldCharType="end"/>
      </w:r>
    </w:p>
    <w:p w14:paraId="62E43F64">
      <w:pPr>
        <w:pStyle w:val="19"/>
        <w:pageBreakBefore w:val="0"/>
        <w:tabs>
          <w:tab w:val="right" w:leader="dot" w:pos="8902"/>
        </w:tabs>
        <w:wordWrap w:val="0"/>
        <w:overflowPunct/>
        <w:bidi w:val="0"/>
        <w:rPr>
          <w:color w:val="auto"/>
        </w:rPr>
      </w:pPr>
      <w:r>
        <w:fldChar w:fldCharType="begin"/>
      </w:r>
      <w:r>
        <w:instrText xml:space="preserve"> HYPERLINK \l "_Toc19839" </w:instrText>
      </w:r>
      <w:r>
        <w:fldChar w:fldCharType="separate"/>
      </w:r>
      <w:r>
        <w:rPr>
          <w:rFonts w:hint="eastAsia" w:ascii="仿宋" w:hAnsi="仿宋" w:eastAsia="仿宋" w:cs="仿宋"/>
          <w:color w:val="auto"/>
          <w:szCs w:val="28"/>
        </w:rPr>
        <w:t>3.4  2020 年至今完成的类似项目一览表</w:t>
      </w:r>
      <w:r>
        <w:rPr>
          <w:color w:val="auto"/>
        </w:rPr>
        <w:tab/>
      </w:r>
      <w:r>
        <w:rPr>
          <w:color w:val="auto"/>
        </w:rPr>
        <w:fldChar w:fldCharType="begin"/>
      </w:r>
      <w:r>
        <w:rPr>
          <w:color w:val="auto"/>
        </w:rPr>
        <w:instrText xml:space="preserve"> PAGEREF _Toc19839 \h </w:instrText>
      </w:r>
      <w:r>
        <w:rPr>
          <w:color w:val="auto"/>
        </w:rPr>
        <w:fldChar w:fldCharType="separate"/>
      </w:r>
      <w:r>
        <w:rPr>
          <w:color w:val="auto"/>
        </w:rPr>
        <w:t>51</w:t>
      </w:r>
      <w:r>
        <w:rPr>
          <w:color w:val="auto"/>
        </w:rPr>
        <w:fldChar w:fldCharType="end"/>
      </w:r>
      <w:r>
        <w:rPr>
          <w:color w:val="auto"/>
        </w:rPr>
        <w:fldChar w:fldCharType="end"/>
      </w:r>
    </w:p>
    <w:p w14:paraId="45BBE092">
      <w:pPr>
        <w:pStyle w:val="19"/>
        <w:pageBreakBefore w:val="0"/>
        <w:tabs>
          <w:tab w:val="right" w:leader="dot" w:pos="8902"/>
        </w:tabs>
        <w:wordWrap w:val="0"/>
        <w:overflowPunct/>
        <w:bidi w:val="0"/>
        <w:rPr>
          <w:color w:val="auto"/>
        </w:rPr>
      </w:pPr>
      <w:r>
        <w:fldChar w:fldCharType="begin"/>
      </w:r>
      <w:r>
        <w:instrText xml:space="preserve"> HYPERLINK \l "_Toc22519" </w:instrText>
      </w:r>
      <w:r>
        <w:fldChar w:fldCharType="separate"/>
      </w:r>
      <w:r>
        <w:rPr>
          <w:rFonts w:hint="eastAsia" w:ascii="仿宋" w:hAnsi="仿宋" w:eastAsia="仿宋" w:cs="仿宋"/>
          <w:color w:val="auto"/>
          <w:szCs w:val="28"/>
        </w:rPr>
        <w:t>3.5 供货方案（格式自拟）</w:t>
      </w:r>
      <w:r>
        <w:rPr>
          <w:color w:val="auto"/>
        </w:rPr>
        <w:tab/>
      </w:r>
      <w:r>
        <w:rPr>
          <w:color w:val="auto"/>
        </w:rPr>
        <w:fldChar w:fldCharType="begin"/>
      </w:r>
      <w:r>
        <w:rPr>
          <w:color w:val="auto"/>
        </w:rPr>
        <w:instrText xml:space="preserve"> PAGEREF _Toc22519 \h </w:instrText>
      </w:r>
      <w:r>
        <w:rPr>
          <w:color w:val="auto"/>
        </w:rPr>
        <w:fldChar w:fldCharType="separate"/>
      </w:r>
      <w:r>
        <w:rPr>
          <w:color w:val="auto"/>
        </w:rPr>
        <w:t>51</w:t>
      </w:r>
      <w:r>
        <w:rPr>
          <w:color w:val="auto"/>
        </w:rPr>
        <w:fldChar w:fldCharType="end"/>
      </w:r>
      <w:r>
        <w:rPr>
          <w:color w:val="auto"/>
        </w:rPr>
        <w:fldChar w:fldCharType="end"/>
      </w:r>
    </w:p>
    <w:p w14:paraId="1922FF47">
      <w:pPr>
        <w:pStyle w:val="19"/>
        <w:pageBreakBefore w:val="0"/>
        <w:tabs>
          <w:tab w:val="right" w:leader="dot" w:pos="8902"/>
        </w:tabs>
        <w:wordWrap w:val="0"/>
        <w:overflowPunct/>
        <w:bidi w:val="0"/>
        <w:rPr>
          <w:color w:val="auto"/>
        </w:rPr>
      </w:pPr>
      <w:r>
        <w:fldChar w:fldCharType="begin"/>
      </w:r>
      <w:r>
        <w:instrText xml:space="preserve"> HYPERLINK \l "_Toc11563" </w:instrText>
      </w:r>
      <w:r>
        <w:fldChar w:fldCharType="separate"/>
      </w:r>
      <w:r>
        <w:rPr>
          <w:rFonts w:hint="eastAsia" w:ascii="仿宋" w:hAnsi="仿宋" w:eastAsia="仿宋" w:cs="仿宋"/>
          <w:color w:val="auto"/>
          <w:szCs w:val="28"/>
        </w:rPr>
        <w:t>3.6 售后服务承诺（格式自拟）</w:t>
      </w:r>
      <w:r>
        <w:rPr>
          <w:color w:val="auto"/>
        </w:rPr>
        <w:tab/>
      </w:r>
      <w:r>
        <w:rPr>
          <w:color w:val="auto"/>
        </w:rPr>
        <w:fldChar w:fldCharType="begin"/>
      </w:r>
      <w:r>
        <w:rPr>
          <w:color w:val="auto"/>
        </w:rPr>
        <w:instrText xml:space="preserve"> PAGEREF _Toc11563 \h </w:instrText>
      </w:r>
      <w:r>
        <w:rPr>
          <w:color w:val="auto"/>
        </w:rPr>
        <w:fldChar w:fldCharType="separate"/>
      </w:r>
      <w:r>
        <w:rPr>
          <w:color w:val="auto"/>
        </w:rPr>
        <w:t>51</w:t>
      </w:r>
      <w:r>
        <w:rPr>
          <w:color w:val="auto"/>
        </w:rPr>
        <w:fldChar w:fldCharType="end"/>
      </w:r>
      <w:r>
        <w:rPr>
          <w:color w:val="auto"/>
        </w:rPr>
        <w:fldChar w:fldCharType="end"/>
      </w:r>
    </w:p>
    <w:p w14:paraId="44054F49">
      <w:pPr>
        <w:pStyle w:val="19"/>
        <w:pageBreakBefore w:val="0"/>
        <w:tabs>
          <w:tab w:val="right" w:leader="dot" w:pos="8902"/>
        </w:tabs>
        <w:wordWrap w:val="0"/>
        <w:overflowPunct/>
        <w:bidi w:val="0"/>
        <w:rPr>
          <w:color w:val="auto"/>
        </w:rPr>
      </w:pPr>
      <w:r>
        <w:fldChar w:fldCharType="begin"/>
      </w:r>
      <w:r>
        <w:instrText xml:space="preserve"> HYPERLINK \l "_Toc23660" </w:instrText>
      </w:r>
      <w:r>
        <w:fldChar w:fldCharType="separate"/>
      </w:r>
      <w:r>
        <w:rPr>
          <w:rFonts w:hint="eastAsia"/>
          <w:color w:val="auto"/>
          <w:szCs w:val="32"/>
        </w:rPr>
        <w:t>四、技术部分</w:t>
      </w:r>
      <w:r>
        <w:rPr>
          <w:color w:val="auto"/>
        </w:rPr>
        <w:tab/>
      </w:r>
      <w:r>
        <w:rPr>
          <w:color w:val="auto"/>
        </w:rPr>
        <w:fldChar w:fldCharType="begin"/>
      </w:r>
      <w:r>
        <w:rPr>
          <w:color w:val="auto"/>
        </w:rPr>
        <w:instrText xml:space="preserve"> PAGEREF _Toc23660 \h </w:instrText>
      </w:r>
      <w:r>
        <w:rPr>
          <w:color w:val="auto"/>
        </w:rPr>
        <w:fldChar w:fldCharType="separate"/>
      </w:r>
      <w:r>
        <w:rPr>
          <w:color w:val="auto"/>
        </w:rPr>
        <w:t>52</w:t>
      </w:r>
      <w:r>
        <w:rPr>
          <w:color w:val="auto"/>
        </w:rPr>
        <w:fldChar w:fldCharType="end"/>
      </w:r>
      <w:r>
        <w:rPr>
          <w:color w:val="auto"/>
        </w:rPr>
        <w:fldChar w:fldCharType="end"/>
      </w:r>
    </w:p>
    <w:p w14:paraId="13638E25">
      <w:pPr>
        <w:pStyle w:val="17"/>
        <w:pageBreakBefore w:val="0"/>
        <w:tabs>
          <w:tab w:val="right" w:leader="dot" w:pos="8902"/>
        </w:tabs>
        <w:wordWrap w:val="0"/>
        <w:overflowPunct/>
        <w:bidi w:val="0"/>
        <w:rPr>
          <w:color w:val="auto"/>
        </w:rPr>
      </w:pPr>
      <w:r>
        <w:fldChar w:fldCharType="begin"/>
      </w:r>
      <w:r>
        <w:instrText xml:space="preserve"> HYPERLINK \l "_Toc23552" </w:instrText>
      </w:r>
      <w:r>
        <w:fldChar w:fldCharType="separate"/>
      </w:r>
      <w:r>
        <w:rPr>
          <w:rFonts w:hint="eastAsia"/>
          <w:color w:val="auto"/>
          <w:szCs w:val="32"/>
        </w:rPr>
        <w:t>第五章  技术要求</w:t>
      </w:r>
      <w:r>
        <w:rPr>
          <w:color w:val="auto"/>
        </w:rPr>
        <w:tab/>
      </w:r>
      <w:r>
        <w:rPr>
          <w:color w:val="auto"/>
        </w:rPr>
        <w:fldChar w:fldCharType="begin"/>
      </w:r>
      <w:r>
        <w:rPr>
          <w:color w:val="auto"/>
        </w:rPr>
        <w:instrText xml:space="preserve"> PAGEREF _Toc23552 \h </w:instrText>
      </w:r>
      <w:r>
        <w:rPr>
          <w:color w:val="auto"/>
        </w:rPr>
        <w:fldChar w:fldCharType="separate"/>
      </w:r>
      <w:r>
        <w:rPr>
          <w:color w:val="auto"/>
        </w:rPr>
        <w:t>54</w:t>
      </w:r>
      <w:r>
        <w:rPr>
          <w:color w:val="auto"/>
        </w:rPr>
        <w:fldChar w:fldCharType="end"/>
      </w:r>
      <w:r>
        <w:rPr>
          <w:color w:val="auto"/>
        </w:rPr>
        <w:fldChar w:fldCharType="end"/>
      </w:r>
    </w:p>
    <w:p w14:paraId="656BA43E">
      <w:pPr>
        <w:pStyle w:val="17"/>
        <w:pageBreakBefore w:val="0"/>
        <w:tabs>
          <w:tab w:val="right" w:leader="dot" w:pos="8902"/>
        </w:tabs>
        <w:wordWrap w:val="0"/>
        <w:overflowPunct/>
        <w:bidi w:val="0"/>
        <w:rPr>
          <w:color w:val="auto"/>
        </w:rPr>
      </w:pPr>
      <w:r>
        <w:fldChar w:fldCharType="begin"/>
      </w:r>
      <w:r>
        <w:instrText xml:space="preserve"> HYPERLINK \l "_Toc10095" </w:instrText>
      </w:r>
      <w:r>
        <w:fldChar w:fldCharType="separate"/>
      </w:r>
      <w:r>
        <w:rPr>
          <w:rFonts w:hint="eastAsia"/>
          <w:color w:val="auto"/>
        </w:rPr>
        <w:t>第六章 资格审查</w:t>
      </w:r>
      <w:r>
        <w:rPr>
          <w:color w:val="auto"/>
        </w:rPr>
        <w:tab/>
      </w:r>
      <w:r>
        <w:rPr>
          <w:color w:val="auto"/>
        </w:rPr>
        <w:fldChar w:fldCharType="begin"/>
      </w:r>
      <w:r>
        <w:rPr>
          <w:color w:val="auto"/>
        </w:rPr>
        <w:instrText xml:space="preserve"> PAGEREF _Toc10095 \h </w:instrText>
      </w:r>
      <w:r>
        <w:rPr>
          <w:color w:val="auto"/>
        </w:rPr>
        <w:fldChar w:fldCharType="separate"/>
      </w:r>
      <w:r>
        <w:rPr>
          <w:color w:val="auto"/>
        </w:rPr>
        <w:t>89</w:t>
      </w:r>
      <w:r>
        <w:rPr>
          <w:color w:val="auto"/>
        </w:rPr>
        <w:fldChar w:fldCharType="end"/>
      </w:r>
      <w:r>
        <w:rPr>
          <w:color w:val="auto"/>
        </w:rPr>
        <w:fldChar w:fldCharType="end"/>
      </w:r>
    </w:p>
    <w:p w14:paraId="108D9A4F">
      <w:pPr>
        <w:pStyle w:val="19"/>
        <w:pageBreakBefore w:val="0"/>
        <w:tabs>
          <w:tab w:val="right" w:leader="dot" w:pos="8902"/>
        </w:tabs>
        <w:wordWrap w:val="0"/>
        <w:overflowPunct/>
        <w:bidi w:val="0"/>
        <w:rPr>
          <w:color w:val="auto"/>
        </w:rPr>
      </w:pPr>
      <w:r>
        <w:fldChar w:fldCharType="begin"/>
      </w:r>
      <w:r>
        <w:instrText xml:space="preserve"> HYPERLINK \l "_Toc20494" </w:instrText>
      </w:r>
      <w:r>
        <w:fldChar w:fldCharType="separate"/>
      </w:r>
      <w:r>
        <w:rPr>
          <w:rFonts w:hint="eastAsia"/>
          <w:color w:val="auto"/>
        </w:rPr>
        <w:t>资格审查表</w:t>
      </w:r>
      <w:r>
        <w:rPr>
          <w:color w:val="auto"/>
        </w:rPr>
        <w:tab/>
      </w:r>
      <w:r>
        <w:rPr>
          <w:color w:val="auto"/>
        </w:rPr>
        <w:fldChar w:fldCharType="begin"/>
      </w:r>
      <w:r>
        <w:rPr>
          <w:color w:val="auto"/>
        </w:rPr>
        <w:instrText xml:space="preserve"> PAGEREF _Toc20494 \h </w:instrText>
      </w:r>
      <w:r>
        <w:rPr>
          <w:color w:val="auto"/>
        </w:rPr>
        <w:fldChar w:fldCharType="separate"/>
      </w:r>
      <w:r>
        <w:rPr>
          <w:color w:val="auto"/>
        </w:rPr>
        <w:t>89</w:t>
      </w:r>
      <w:r>
        <w:rPr>
          <w:color w:val="auto"/>
        </w:rPr>
        <w:fldChar w:fldCharType="end"/>
      </w:r>
      <w:r>
        <w:rPr>
          <w:color w:val="auto"/>
        </w:rPr>
        <w:fldChar w:fldCharType="end"/>
      </w:r>
    </w:p>
    <w:p w14:paraId="40BCC200">
      <w:pPr>
        <w:pStyle w:val="17"/>
        <w:pageBreakBefore w:val="0"/>
        <w:tabs>
          <w:tab w:val="right" w:leader="dot" w:pos="8902"/>
        </w:tabs>
        <w:wordWrap w:val="0"/>
        <w:overflowPunct/>
        <w:bidi w:val="0"/>
        <w:rPr>
          <w:color w:val="auto"/>
        </w:rPr>
      </w:pPr>
      <w:r>
        <w:fldChar w:fldCharType="begin"/>
      </w:r>
      <w:r>
        <w:instrText xml:space="preserve"> HYPERLINK \l "_Toc14619" </w:instrText>
      </w:r>
      <w:r>
        <w:fldChar w:fldCharType="separate"/>
      </w:r>
      <w:r>
        <w:rPr>
          <w:rFonts w:hint="eastAsia"/>
          <w:color w:val="auto"/>
          <w:szCs w:val="32"/>
        </w:rPr>
        <w:t>第七章 评审办法</w:t>
      </w:r>
      <w:r>
        <w:rPr>
          <w:color w:val="auto"/>
        </w:rPr>
        <w:tab/>
      </w:r>
      <w:r>
        <w:rPr>
          <w:color w:val="auto"/>
        </w:rPr>
        <w:fldChar w:fldCharType="begin"/>
      </w:r>
      <w:r>
        <w:rPr>
          <w:color w:val="auto"/>
        </w:rPr>
        <w:instrText xml:space="preserve"> PAGEREF _Toc14619 \h </w:instrText>
      </w:r>
      <w:r>
        <w:rPr>
          <w:color w:val="auto"/>
        </w:rPr>
        <w:fldChar w:fldCharType="separate"/>
      </w:r>
      <w:r>
        <w:rPr>
          <w:color w:val="auto"/>
        </w:rPr>
        <w:t>90</w:t>
      </w:r>
      <w:r>
        <w:rPr>
          <w:color w:val="auto"/>
        </w:rPr>
        <w:fldChar w:fldCharType="end"/>
      </w:r>
      <w:r>
        <w:rPr>
          <w:color w:val="auto"/>
        </w:rPr>
        <w:fldChar w:fldCharType="end"/>
      </w:r>
    </w:p>
    <w:p w14:paraId="76345430">
      <w:pPr>
        <w:pStyle w:val="19"/>
        <w:pageBreakBefore w:val="0"/>
        <w:tabs>
          <w:tab w:val="right" w:leader="dot" w:pos="8902"/>
        </w:tabs>
        <w:wordWrap w:val="0"/>
        <w:overflowPunct/>
        <w:bidi w:val="0"/>
        <w:rPr>
          <w:color w:val="auto"/>
        </w:rPr>
      </w:pPr>
      <w:r>
        <w:fldChar w:fldCharType="begin"/>
      </w:r>
      <w:r>
        <w:instrText xml:space="preserve"> HYPERLINK \l "_Toc2601" </w:instrText>
      </w:r>
      <w:r>
        <w:fldChar w:fldCharType="separate"/>
      </w:r>
      <w:r>
        <w:rPr>
          <w:rFonts w:hint="eastAsia"/>
          <w:color w:val="auto"/>
          <w:szCs w:val="28"/>
        </w:rPr>
        <w:t>评审办法前附表</w:t>
      </w:r>
      <w:r>
        <w:rPr>
          <w:color w:val="auto"/>
        </w:rPr>
        <w:tab/>
      </w:r>
      <w:r>
        <w:rPr>
          <w:color w:val="auto"/>
        </w:rPr>
        <w:fldChar w:fldCharType="begin"/>
      </w:r>
      <w:r>
        <w:rPr>
          <w:color w:val="auto"/>
        </w:rPr>
        <w:instrText xml:space="preserve"> PAGEREF _Toc2601 \h </w:instrText>
      </w:r>
      <w:r>
        <w:rPr>
          <w:color w:val="auto"/>
        </w:rPr>
        <w:fldChar w:fldCharType="separate"/>
      </w:r>
      <w:r>
        <w:rPr>
          <w:color w:val="auto"/>
        </w:rPr>
        <w:t>90</w:t>
      </w:r>
      <w:r>
        <w:rPr>
          <w:color w:val="auto"/>
        </w:rPr>
        <w:fldChar w:fldCharType="end"/>
      </w:r>
      <w:r>
        <w:rPr>
          <w:color w:val="auto"/>
        </w:rPr>
        <w:fldChar w:fldCharType="end"/>
      </w:r>
    </w:p>
    <w:p w14:paraId="0B87CCB3">
      <w:pPr>
        <w:pStyle w:val="19"/>
        <w:pageBreakBefore w:val="0"/>
        <w:tabs>
          <w:tab w:val="right" w:leader="dot" w:pos="8902"/>
        </w:tabs>
        <w:wordWrap w:val="0"/>
        <w:overflowPunct/>
        <w:bidi w:val="0"/>
        <w:rPr>
          <w:color w:val="auto"/>
        </w:rPr>
      </w:pPr>
      <w:r>
        <w:fldChar w:fldCharType="begin"/>
      </w:r>
      <w:r>
        <w:instrText xml:space="preserve"> HYPERLINK \l "_Toc5004" </w:instrText>
      </w:r>
      <w:r>
        <w:fldChar w:fldCharType="separate"/>
      </w:r>
      <w:r>
        <w:rPr>
          <w:rFonts w:hint="eastAsia"/>
          <w:color w:val="auto"/>
        </w:rPr>
        <w:t>1.评标方法：</w:t>
      </w:r>
      <w:r>
        <w:rPr>
          <w:color w:val="auto"/>
        </w:rPr>
        <w:tab/>
      </w:r>
      <w:r>
        <w:rPr>
          <w:color w:val="auto"/>
        </w:rPr>
        <w:fldChar w:fldCharType="begin"/>
      </w:r>
      <w:r>
        <w:rPr>
          <w:color w:val="auto"/>
        </w:rPr>
        <w:instrText xml:space="preserve"> PAGEREF _Toc5004 \h </w:instrText>
      </w:r>
      <w:r>
        <w:rPr>
          <w:color w:val="auto"/>
        </w:rPr>
        <w:fldChar w:fldCharType="separate"/>
      </w:r>
      <w:r>
        <w:rPr>
          <w:color w:val="auto"/>
        </w:rPr>
        <w:t>95</w:t>
      </w:r>
      <w:r>
        <w:rPr>
          <w:color w:val="auto"/>
        </w:rPr>
        <w:fldChar w:fldCharType="end"/>
      </w:r>
      <w:r>
        <w:rPr>
          <w:color w:val="auto"/>
        </w:rPr>
        <w:fldChar w:fldCharType="end"/>
      </w:r>
    </w:p>
    <w:p w14:paraId="44B8DC95">
      <w:pPr>
        <w:pStyle w:val="19"/>
        <w:pageBreakBefore w:val="0"/>
        <w:tabs>
          <w:tab w:val="right" w:leader="dot" w:pos="8902"/>
        </w:tabs>
        <w:wordWrap w:val="0"/>
        <w:overflowPunct/>
        <w:bidi w:val="0"/>
        <w:rPr>
          <w:color w:val="auto"/>
        </w:rPr>
      </w:pPr>
      <w:r>
        <w:fldChar w:fldCharType="begin"/>
      </w:r>
      <w:r>
        <w:instrText xml:space="preserve"> HYPERLINK \l "_Toc24109" </w:instrText>
      </w:r>
      <w:r>
        <w:fldChar w:fldCharType="separate"/>
      </w:r>
      <w:r>
        <w:rPr>
          <w:rFonts w:hint="eastAsia"/>
          <w:color w:val="auto"/>
        </w:rPr>
        <w:t>2.评标程序及标准</w:t>
      </w:r>
      <w:r>
        <w:rPr>
          <w:color w:val="auto"/>
        </w:rPr>
        <w:tab/>
      </w:r>
      <w:r>
        <w:rPr>
          <w:color w:val="auto"/>
        </w:rPr>
        <w:fldChar w:fldCharType="begin"/>
      </w:r>
      <w:r>
        <w:rPr>
          <w:color w:val="auto"/>
        </w:rPr>
        <w:instrText xml:space="preserve"> PAGEREF _Toc24109 \h </w:instrText>
      </w:r>
      <w:r>
        <w:rPr>
          <w:color w:val="auto"/>
        </w:rPr>
        <w:fldChar w:fldCharType="separate"/>
      </w:r>
      <w:r>
        <w:rPr>
          <w:color w:val="auto"/>
        </w:rPr>
        <w:t>95</w:t>
      </w:r>
      <w:r>
        <w:rPr>
          <w:color w:val="auto"/>
        </w:rPr>
        <w:fldChar w:fldCharType="end"/>
      </w:r>
      <w:r>
        <w:rPr>
          <w:color w:val="auto"/>
        </w:rPr>
        <w:fldChar w:fldCharType="end"/>
      </w:r>
    </w:p>
    <w:p w14:paraId="4477DBAA">
      <w:pPr>
        <w:pStyle w:val="19"/>
        <w:pageBreakBefore w:val="0"/>
        <w:tabs>
          <w:tab w:val="right" w:leader="dot" w:pos="8902"/>
        </w:tabs>
        <w:wordWrap w:val="0"/>
        <w:overflowPunct/>
        <w:bidi w:val="0"/>
        <w:rPr>
          <w:color w:val="auto"/>
        </w:rPr>
      </w:pPr>
      <w:r>
        <w:fldChar w:fldCharType="begin"/>
      </w:r>
      <w:r>
        <w:instrText xml:space="preserve"> HYPERLINK \l "_Toc29851" </w:instrText>
      </w:r>
      <w:r>
        <w:fldChar w:fldCharType="separate"/>
      </w:r>
      <w:r>
        <w:rPr>
          <w:rFonts w:hint="eastAsia"/>
          <w:color w:val="auto"/>
        </w:rPr>
        <w:t>3.评标结果</w:t>
      </w:r>
      <w:r>
        <w:rPr>
          <w:color w:val="auto"/>
        </w:rPr>
        <w:tab/>
      </w:r>
      <w:r>
        <w:rPr>
          <w:color w:val="auto"/>
        </w:rPr>
        <w:fldChar w:fldCharType="begin"/>
      </w:r>
      <w:r>
        <w:rPr>
          <w:color w:val="auto"/>
        </w:rPr>
        <w:instrText xml:space="preserve"> PAGEREF _Toc29851 \h </w:instrText>
      </w:r>
      <w:r>
        <w:rPr>
          <w:color w:val="auto"/>
        </w:rPr>
        <w:fldChar w:fldCharType="separate"/>
      </w:r>
      <w:r>
        <w:rPr>
          <w:color w:val="auto"/>
        </w:rPr>
        <w:t>96</w:t>
      </w:r>
      <w:r>
        <w:rPr>
          <w:color w:val="auto"/>
        </w:rPr>
        <w:fldChar w:fldCharType="end"/>
      </w:r>
      <w:r>
        <w:rPr>
          <w:color w:val="auto"/>
        </w:rPr>
        <w:fldChar w:fldCharType="end"/>
      </w:r>
    </w:p>
    <w:p w14:paraId="3837984F">
      <w:pPr>
        <w:pageBreakBefore w:val="0"/>
        <w:wordWrap w:val="0"/>
        <w:overflowPunct/>
        <w:bidi w:val="0"/>
        <w:rPr>
          <w:color w:val="auto"/>
        </w:rPr>
      </w:pPr>
      <w:r>
        <w:rPr>
          <w:color w:val="auto"/>
          <w:szCs w:val="24"/>
        </w:rPr>
        <w:fldChar w:fldCharType="end"/>
      </w:r>
    </w:p>
    <w:p w14:paraId="3CDD78EE">
      <w:pPr>
        <w:pStyle w:val="2"/>
        <w:pageBreakBefore w:val="0"/>
        <w:wordWrap w:val="0"/>
        <w:overflowPunct/>
        <w:bidi w:val="0"/>
        <w:rPr>
          <w:color w:val="auto"/>
        </w:rPr>
        <w:sectPr>
          <w:headerReference r:id="rId11" w:type="default"/>
          <w:footerReference r:id="rId12" w:type="default"/>
          <w:pgSz w:w="11906" w:h="16838"/>
          <w:pgMar w:top="1417" w:right="1417" w:bottom="1417" w:left="1587" w:header="1134" w:footer="1134" w:gutter="0"/>
          <w:cols w:space="425" w:num="1"/>
          <w:docGrid w:type="lines" w:linePitch="312" w:charSpace="0"/>
        </w:sectPr>
      </w:pPr>
    </w:p>
    <w:p w14:paraId="49D95D04">
      <w:pPr>
        <w:pStyle w:val="2"/>
        <w:pageBreakBefore w:val="0"/>
        <w:numPr>
          <w:ilvl w:val="0"/>
          <w:numId w:val="2"/>
        </w:numPr>
        <w:wordWrap w:val="0"/>
        <w:overflowPunct/>
        <w:bidi w:val="0"/>
        <w:spacing w:line="240" w:lineRule="auto"/>
        <w:rPr>
          <w:color w:val="auto"/>
          <w:sz w:val="32"/>
          <w:szCs w:val="32"/>
        </w:rPr>
      </w:pPr>
      <w:r>
        <w:rPr>
          <w:rFonts w:hint="eastAsia"/>
          <w:color w:val="auto"/>
          <w:sz w:val="32"/>
          <w:szCs w:val="32"/>
        </w:rPr>
        <w:t xml:space="preserve"> </w:t>
      </w:r>
      <w:bookmarkStart w:id="0" w:name="_Toc4653"/>
      <w:bookmarkStart w:id="99" w:name="_GoBack"/>
      <w:r>
        <w:rPr>
          <w:rFonts w:hint="eastAsia"/>
          <w:color w:val="auto"/>
          <w:sz w:val="32"/>
          <w:szCs w:val="32"/>
        </w:rPr>
        <w:t>招标公告</w:t>
      </w:r>
      <w:bookmarkEnd w:id="0"/>
    </w:p>
    <w:tbl>
      <w:tblPr>
        <w:tblStyle w:val="36"/>
        <w:tblW w:w="9200" w:type="dxa"/>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00"/>
      </w:tblGrid>
      <w:tr w14:paraId="2C0CF52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436" w:hRule="atLeast"/>
          <w:jc w:val="center"/>
        </w:trPr>
        <w:tc>
          <w:tcPr>
            <w:tcW w:w="9200" w:type="dxa"/>
          </w:tcPr>
          <w:p w14:paraId="41D9022F">
            <w:pPr>
              <w:pageBreakBefore w:val="0"/>
              <w:wordWrap w:val="0"/>
              <w:overflowPunct/>
              <w:bidi w:val="0"/>
              <w:spacing w:line="240" w:lineRule="auto"/>
              <w:ind w:firstLine="0" w:firstLineChars="0"/>
              <w:rPr>
                <w:color w:val="auto"/>
              </w:rPr>
            </w:pPr>
          </w:p>
          <w:p w14:paraId="608724E7">
            <w:pPr>
              <w:pageBreakBefore w:val="0"/>
              <w:wordWrap w:val="0"/>
              <w:overflowPunct/>
              <w:bidi w:val="0"/>
              <w:spacing w:line="240" w:lineRule="auto"/>
              <w:ind w:firstLine="0" w:firstLineChars="0"/>
              <w:rPr>
                <w:color w:val="auto"/>
              </w:rPr>
            </w:pPr>
            <w:r>
              <w:rPr>
                <w:rFonts w:hint="eastAsia"/>
                <w:color w:val="auto"/>
              </w:rPr>
              <w:t>项目概况</w:t>
            </w:r>
          </w:p>
          <w:p w14:paraId="67410468">
            <w:pPr>
              <w:pageBreakBefore w:val="0"/>
              <w:wordWrap w:val="0"/>
              <w:overflowPunct/>
              <w:bidi w:val="0"/>
              <w:spacing w:line="240" w:lineRule="auto"/>
              <w:rPr>
                <w:color w:val="auto"/>
              </w:rPr>
            </w:pPr>
            <w:r>
              <w:rPr>
                <w:rFonts w:hint="eastAsia"/>
                <w:color w:val="auto"/>
                <w:lang w:eastAsia="zh-CN"/>
              </w:rPr>
              <w:t>云南省消防救援总队2023年“自然灾害应急能力提升工程”装备配备项目（车辆部分）第一批次（二次招标）</w:t>
            </w:r>
            <w:r>
              <w:rPr>
                <w:rFonts w:hint="eastAsia"/>
                <w:color w:val="auto"/>
              </w:rPr>
              <w:t>的潜在投标人应在中招国际招标有限公司现场或邮件或邮寄获取招标文件，并于本招标公告规定的投标截止时间前递交投标文件。</w:t>
            </w:r>
          </w:p>
        </w:tc>
      </w:tr>
    </w:tbl>
    <w:p w14:paraId="67CD14AF">
      <w:pPr>
        <w:pStyle w:val="3"/>
        <w:pageBreakBefore w:val="0"/>
        <w:wordWrap w:val="0"/>
        <w:overflowPunct/>
        <w:bidi w:val="0"/>
        <w:ind w:firstLine="562"/>
        <w:rPr>
          <w:color w:val="auto"/>
          <w:sz w:val="28"/>
          <w:szCs w:val="28"/>
        </w:rPr>
      </w:pPr>
      <w:bookmarkStart w:id="1" w:name="_Toc23265"/>
      <w:r>
        <w:rPr>
          <w:rFonts w:hint="eastAsia"/>
          <w:color w:val="auto"/>
          <w:sz w:val="28"/>
          <w:szCs w:val="28"/>
        </w:rPr>
        <w:t>一、项目基本情况</w:t>
      </w:r>
      <w:bookmarkEnd w:id="1"/>
    </w:p>
    <w:p w14:paraId="314A6E2D">
      <w:pPr>
        <w:pageBreakBefore w:val="0"/>
        <w:wordWrap w:val="0"/>
        <w:overflowPunct/>
        <w:bidi w:val="0"/>
        <w:rPr>
          <w:color w:val="auto"/>
        </w:rPr>
      </w:pPr>
      <w:r>
        <w:rPr>
          <w:rFonts w:hint="eastAsia"/>
          <w:color w:val="auto"/>
        </w:rPr>
        <w:t>1.1项目编号：YNSXFJYZD2023NZRZHYJNLTSGCZBPBXM（CLBF）DYPC</w:t>
      </w:r>
    </w:p>
    <w:p w14:paraId="6A119378">
      <w:pPr>
        <w:pageBreakBefore w:val="0"/>
        <w:wordWrap w:val="0"/>
        <w:overflowPunct/>
        <w:bidi w:val="0"/>
        <w:rPr>
          <w:color w:val="auto"/>
        </w:rPr>
      </w:pPr>
      <w:r>
        <w:rPr>
          <w:rFonts w:hint="eastAsia"/>
          <w:color w:val="auto"/>
        </w:rPr>
        <w:t xml:space="preserve">   招标编号：TC24974AQ</w:t>
      </w:r>
    </w:p>
    <w:p w14:paraId="5BE777B9">
      <w:pPr>
        <w:pageBreakBefore w:val="0"/>
        <w:wordWrap w:val="0"/>
        <w:overflowPunct/>
        <w:bidi w:val="0"/>
        <w:rPr>
          <w:rFonts w:hint="eastAsia" w:eastAsia="宋体"/>
          <w:color w:val="auto"/>
          <w:lang w:eastAsia="zh-CN"/>
        </w:rPr>
      </w:pPr>
      <w:r>
        <w:rPr>
          <w:rFonts w:hint="eastAsia"/>
          <w:color w:val="auto"/>
        </w:rPr>
        <w:t>1.2项目名称：</w:t>
      </w:r>
      <w:r>
        <w:rPr>
          <w:rFonts w:hint="eastAsia"/>
          <w:color w:val="auto"/>
          <w:lang w:eastAsia="zh-CN"/>
        </w:rPr>
        <w:t>云南省消防救援总队2023年“自然灾害应急能力提升工程”装备配备项目（车辆部分）第一批次（二次招标）</w:t>
      </w:r>
    </w:p>
    <w:p w14:paraId="75C747C9">
      <w:pPr>
        <w:pageBreakBefore w:val="0"/>
        <w:wordWrap w:val="0"/>
        <w:overflowPunct/>
        <w:bidi w:val="0"/>
        <w:rPr>
          <w:color w:val="auto"/>
        </w:rPr>
      </w:pPr>
      <w:r>
        <w:rPr>
          <w:rFonts w:hint="eastAsia"/>
          <w:color w:val="auto"/>
        </w:rPr>
        <w:t>1.3招标方式：按照《中华人民共和国政府采购法》、《中华人民共和国政府采购法实施条例》等有关法律法规的规定，采用公开招标方式。</w:t>
      </w:r>
    </w:p>
    <w:p w14:paraId="7E42F2C3">
      <w:pPr>
        <w:pageBreakBefore w:val="0"/>
        <w:wordWrap w:val="0"/>
        <w:overflowPunct/>
        <w:bidi w:val="0"/>
        <w:rPr>
          <w:color w:val="auto"/>
        </w:rPr>
      </w:pPr>
      <w:r>
        <w:rPr>
          <w:rFonts w:hint="eastAsia"/>
          <w:color w:val="auto"/>
        </w:rPr>
        <w:t>1.4预算金额：5075.41万元。</w:t>
      </w:r>
    </w:p>
    <w:p w14:paraId="4BC8E71F">
      <w:pPr>
        <w:pageBreakBefore w:val="0"/>
        <w:wordWrap w:val="0"/>
        <w:overflowPunct/>
        <w:bidi w:val="0"/>
        <w:rPr>
          <w:color w:val="auto"/>
        </w:rPr>
      </w:pPr>
      <w:r>
        <w:rPr>
          <w:rFonts w:hint="eastAsia"/>
          <w:color w:val="auto"/>
        </w:rPr>
        <w:t>1.5最高限价：5标包最高投标限价540万元、6标包最高投标限价350万元、11标包最高投标限价90.09 万元、13标包最高投标限价48.28万元、14标包最高投标限价76.62万元。</w:t>
      </w:r>
    </w:p>
    <w:p w14:paraId="168B3ECB">
      <w:pPr>
        <w:pageBreakBefore w:val="0"/>
        <w:wordWrap w:val="0"/>
        <w:overflowPunct/>
        <w:bidi w:val="0"/>
        <w:spacing w:line="240" w:lineRule="auto"/>
        <w:rPr>
          <w:color w:val="auto"/>
        </w:rPr>
      </w:pPr>
      <w:r>
        <w:rPr>
          <w:rFonts w:hint="eastAsia"/>
          <w:color w:val="auto"/>
        </w:rPr>
        <w:t>1.6采购需求：</w:t>
      </w:r>
    </w:p>
    <w:tbl>
      <w:tblPr>
        <w:tblStyle w:val="27"/>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510"/>
        <w:gridCol w:w="3210"/>
        <w:gridCol w:w="2382"/>
      </w:tblGrid>
      <w:tr w14:paraId="4F88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jc w:val="center"/>
        </w:trPr>
        <w:tc>
          <w:tcPr>
            <w:tcW w:w="1063" w:type="dxa"/>
            <w:vAlign w:val="center"/>
          </w:tcPr>
          <w:p w14:paraId="2383721B">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标包号</w:t>
            </w:r>
          </w:p>
        </w:tc>
        <w:tc>
          <w:tcPr>
            <w:tcW w:w="2510" w:type="dxa"/>
            <w:vAlign w:val="center"/>
          </w:tcPr>
          <w:p w14:paraId="4CB9AC46">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标包名称</w:t>
            </w:r>
          </w:p>
        </w:tc>
        <w:tc>
          <w:tcPr>
            <w:tcW w:w="3210" w:type="dxa"/>
            <w:vAlign w:val="center"/>
          </w:tcPr>
          <w:p w14:paraId="2A1328C3">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内容及数量</w:t>
            </w:r>
          </w:p>
        </w:tc>
        <w:tc>
          <w:tcPr>
            <w:tcW w:w="2382" w:type="dxa"/>
            <w:vAlign w:val="center"/>
          </w:tcPr>
          <w:p w14:paraId="1D31FECC">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最高限价（万元）</w:t>
            </w:r>
          </w:p>
        </w:tc>
      </w:tr>
      <w:tr w14:paraId="4FB1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14:paraId="2715C5A9">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5标包</w:t>
            </w:r>
          </w:p>
        </w:tc>
        <w:tc>
          <w:tcPr>
            <w:tcW w:w="2510" w:type="dxa"/>
            <w:vAlign w:val="center"/>
          </w:tcPr>
          <w:p w14:paraId="25878959">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泡沫输转消防车</w:t>
            </w:r>
          </w:p>
        </w:tc>
        <w:tc>
          <w:tcPr>
            <w:tcW w:w="3210" w:type="dxa"/>
            <w:vAlign w:val="center"/>
          </w:tcPr>
          <w:p w14:paraId="0AA50978">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2辆泡沫输转消防车</w:t>
            </w:r>
          </w:p>
        </w:tc>
        <w:tc>
          <w:tcPr>
            <w:tcW w:w="2382" w:type="dxa"/>
            <w:vAlign w:val="center"/>
          </w:tcPr>
          <w:p w14:paraId="512FE109">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540</w:t>
            </w:r>
          </w:p>
        </w:tc>
      </w:tr>
      <w:tr w14:paraId="77C1F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14:paraId="0899A3FC">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6标包</w:t>
            </w:r>
          </w:p>
        </w:tc>
        <w:tc>
          <w:tcPr>
            <w:tcW w:w="2510" w:type="dxa"/>
            <w:vAlign w:val="center"/>
          </w:tcPr>
          <w:p w14:paraId="18AC39FF">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指挥方舱车</w:t>
            </w:r>
          </w:p>
        </w:tc>
        <w:tc>
          <w:tcPr>
            <w:tcW w:w="3210" w:type="dxa"/>
            <w:vAlign w:val="center"/>
          </w:tcPr>
          <w:p w14:paraId="5F76226F">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1辆指挥方舱车</w:t>
            </w:r>
          </w:p>
        </w:tc>
        <w:tc>
          <w:tcPr>
            <w:tcW w:w="2382" w:type="dxa"/>
            <w:vAlign w:val="center"/>
          </w:tcPr>
          <w:p w14:paraId="71704DD8">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350</w:t>
            </w:r>
          </w:p>
        </w:tc>
      </w:tr>
      <w:tr w14:paraId="216C7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14:paraId="6ABC7BBA">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11标包</w:t>
            </w:r>
          </w:p>
        </w:tc>
        <w:tc>
          <w:tcPr>
            <w:tcW w:w="2510" w:type="dxa"/>
            <w:vAlign w:val="center"/>
          </w:tcPr>
          <w:p w14:paraId="1D8B20BB">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前突模块B皮卡车</w:t>
            </w:r>
          </w:p>
        </w:tc>
        <w:tc>
          <w:tcPr>
            <w:tcW w:w="3210" w:type="dxa"/>
            <w:vAlign w:val="center"/>
          </w:tcPr>
          <w:p w14:paraId="55DAE13A">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3辆前突模块B皮卡车</w:t>
            </w:r>
          </w:p>
        </w:tc>
        <w:tc>
          <w:tcPr>
            <w:tcW w:w="2382" w:type="dxa"/>
            <w:vAlign w:val="center"/>
          </w:tcPr>
          <w:p w14:paraId="4D61D72E">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90.09</w:t>
            </w:r>
          </w:p>
        </w:tc>
      </w:tr>
      <w:tr w14:paraId="1F065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14:paraId="3731F437">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13标包</w:t>
            </w:r>
          </w:p>
        </w:tc>
        <w:tc>
          <w:tcPr>
            <w:tcW w:w="2510" w:type="dxa"/>
            <w:vAlign w:val="center"/>
          </w:tcPr>
          <w:p w14:paraId="4E1E5DDD">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前突模块D皮卡车</w:t>
            </w:r>
          </w:p>
        </w:tc>
        <w:tc>
          <w:tcPr>
            <w:tcW w:w="3210" w:type="dxa"/>
            <w:vAlign w:val="center"/>
          </w:tcPr>
          <w:p w14:paraId="64360498">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2辆前突模块D皮卡车</w:t>
            </w:r>
          </w:p>
        </w:tc>
        <w:tc>
          <w:tcPr>
            <w:tcW w:w="2382" w:type="dxa"/>
            <w:vAlign w:val="center"/>
          </w:tcPr>
          <w:p w14:paraId="39DFA63F">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48.28</w:t>
            </w:r>
          </w:p>
        </w:tc>
      </w:tr>
      <w:tr w14:paraId="09B64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063" w:type="dxa"/>
            <w:vAlign w:val="center"/>
          </w:tcPr>
          <w:p w14:paraId="0911EC32">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14标包</w:t>
            </w:r>
          </w:p>
        </w:tc>
        <w:tc>
          <w:tcPr>
            <w:tcW w:w="2510" w:type="dxa"/>
            <w:vAlign w:val="center"/>
          </w:tcPr>
          <w:p w14:paraId="40A7CBBB">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前突模块E皮卡车</w:t>
            </w:r>
          </w:p>
        </w:tc>
        <w:tc>
          <w:tcPr>
            <w:tcW w:w="3210" w:type="dxa"/>
            <w:vAlign w:val="center"/>
          </w:tcPr>
          <w:p w14:paraId="2085A9D5">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3辆前突模块E皮卡车</w:t>
            </w:r>
          </w:p>
        </w:tc>
        <w:tc>
          <w:tcPr>
            <w:tcW w:w="2382" w:type="dxa"/>
            <w:vAlign w:val="center"/>
          </w:tcPr>
          <w:p w14:paraId="0CFC8767">
            <w:pPr>
              <w:pStyle w:val="25"/>
              <w:pageBreakBefore w:val="0"/>
              <w:widowControl w:val="0"/>
              <w:wordWrap w:val="0"/>
              <w:overflowPunct/>
              <w:bidi w:val="0"/>
              <w:spacing w:after="0" w:line="240" w:lineRule="auto"/>
              <w:ind w:left="0" w:leftChars="0" w:firstLine="0" w:firstLineChars="0"/>
              <w:jc w:val="center"/>
              <w:rPr>
                <w:color w:val="auto"/>
              </w:rPr>
            </w:pPr>
            <w:r>
              <w:rPr>
                <w:rFonts w:hint="eastAsia"/>
                <w:color w:val="auto"/>
              </w:rPr>
              <w:t>76.62</w:t>
            </w:r>
          </w:p>
        </w:tc>
      </w:tr>
    </w:tbl>
    <w:p w14:paraId="076DE536">
      <w:pPr>
        <w:pStyle w:val="25"/>
        <w:pageBreakBefore w:val="0"/>
        <w:wordWrap w:val="0"/>
        <w:overflowPunct/>
        <w:bidi w:val="0"/>
        <w:spacing w:after="0"/>
        <w:ind w:left="0" w:leftChars="0"/>
        <w:rPr>
          <w:color w:val="auto"/>
        </w:rPr>
      </w:pPr>
      <w:r>
        <w:rPr>
          <w:rFonts w:hint="eastAsia"/>
          <w:color w:val="auto"/>
        </w:rPr>
        <w:t>注：5标包</w:t>
      </w:r>
      <w:r>
        <w:rPr>
          <w:rFonts w:hint="eastAsia"/>
          <w:color w:val="auto"/>
          <w:lang w:eastAsia="zh-CN"/>
        </w:rPr>
        <w:t>、</w:t>
      </w:r>
      <w:r>
        <w:rPr>
          <w:rFonts w:hint="eastAsia"/>
          <w:color w:val="auto"/>
        </w:rPr>
        <w:t>6标包</w:t>
      </w:r>
      <w:r>
        <w:rPr>
          <w:rFonts w:hint="eastAsia"/>
          <w:color w:val="auto"/>
          <w:lang w:eastAsia="zh-CN"/>
        </w:rPr>
        <w:t>、</w:t>
      </w:r>
      <w:r>
        <w:rPr>
          <w:rFonts w:hint="eastAsia"/>
          <w:color w:val="auto"/>
        </w:rPr>
        <w:t>11标包</w:t>
      </w:r>
      <w:r>
        <w:rPr>
          <w:rFonts w:hint="eastAsia"/>
          <w:color w:val="auto"/>
          <w:lang w:eastAsia="zh-CN"/>
        </w:rPr>
        <w:t>、</w:t>
      </w:r>
      <w:r>
        <w:rPr>
          <w:rFonts w:hint="eastAsia"/>
          <w:color w:val="auto"/>
        </w:rPr>
        <w:t>13标包</w:t>
      </w:r>
      <w:r>
        <w:rPr>
          <w:rFonts w:hint="eastAsia"/>
          <w:color w:val="auto"/>
          <w:lang w:eastAsia="zh-CN"/>
        </w:rPr>
        <w:t>、</w:t>
      </w:r>
      <w:r>
        <w:rPr>
          <w:rFonts w:hint="eastAsia"/>
          <w:color w:val="auto"/>
        </w:rPr>
        <w:t>14标包为非专门面向中小企业采购，本项目兼投兼中，如投标人投多个标包，各标包文件应按招标文件规定分开编制密封。评审顺序按标包号由小到大进行评审。</w:t>
      </w:r>
    </w:p>
    <w:p w14:paraId="3FF057D2">
      <w:pPr>
        <w:pageBreakBefore w:val="0"/>
        <w:wordWrap w:val="0"/>
        <w:overflowPunct/>
        <w:bidi w:val="0"/>
        <w:rPr>
          <w:color w:val="auto"/>
        </w:rPr>
      </w:pPr>
      <w:r>
        <w:rPr>
          <w:rFonts w:hint="eastAsia"/>
          <w:color w:val="auto"/>
        </w:rPr>
        <w:t>1.7交货期：5标包要求自合同签订之日起300个日历天内交付，其余标包要求自合同签订之日起150个日历天内交付。整车、随车器材、随车资料和办理车辆牌证的全部资料均齐全，确保能够悬挂应急车牌，方可视为交货完毕。</w:t>
      </w:r>
    </w:p>
    <w:p w14:paraId="07703BF8">
      <w:pPr>
        <w:pageBreakBefore w:val="0"/>
        <w:wordWrap w:val="0"/>
        <w:overflowPunct/>
        <w:bidi w:val="0"/>
        <w:rPr>
          <w:color w:val="auto"/>
        </w:rPr>
      </w:pPr>
      <w:r>
        <w:rPr>
          <w:rFonts w:hint="eastAsia"/>
          <w:color w:val="auto"/>
        </w:rPr>
        <w:t>1.8交货地点：云南省消防救援总队指定地点。</w:t>
      </w:r>
    </w:p>
    <w:p w14:paraId="4ECBEB5C">
      <w:pPr>
        <w:pageBreakBefore w:val="0"/>
        <w:wordWrap w:val="0"/>
        <w:overflowPunct/>
        <w:bidi w:val="0"/>
        <w:rPr>
          <w:color w:val="auto"/>
        </w:rPr>
      </w:pPr>
      <w:r>
        <w:rPr>
          <w:rFonts w:hint="eastAsia"/>
          <w:color w:val="auto"/>
        </w:rPr>
        <w:t>1.9售后服务及质保期：车辆最低质保是5年，随车器材整体质保3年。在最终验收后的质量保证期，乙方应对由于设计、工艺或者材料的缺陷而发生的任何不足或故障负责，费用由乙方承担。</w:t>
      </w:r>
    </w:p>
    <w:p w14:paraId="3D9B1072">
      <w:pPr>
        <w:pageBreakBefore w:val="0"/>
        <w:wordWrap w:val="0"/>
        <w:overflowPunct/>
        <w:bidi w:val="0"/>
        <w:rPr>
          <w:color w:val="auto"/>
        </w:rPr>
      </w:pPr>
      <w:r>
        <w:rPr>
          <w:rFonts w:hint="eastAsia"/>
          <w:color w:val="auto"/>
        </w:rPr>
        <w:t>1.10质量要求：符合国家行业相关标准和合同约定的相关要求，满足招标文件及招标人技术需求。</w:t>
      </w:r>
    </w:p>
    <w:p w14:paraId="5EE6CDA4">
      <w:pPr>
        <w:pageBreakBefore w:val="0"/>
        <w:wordWrap w:val="0"/>
        <w:overflowPunct/>
        <w:bidi w:val="0"/>
        <w:rPr>
          <w:color w:val="auto"/>
        </w:rPr>
      </w:pPr>
      <w:r>
        <w:rPr>
          <w:rFonts w:hint="eastAsia"/>
          <w:color w:val="auto"/>
        </w:rPr>
        <w:t>1.11其他要求：按照国家综合性消防救援队伍要求，车辆器材装备交付时需附着二维码（或RFID），个人防护装备需根据最新要求制作标志标识，印制单位名称等。</w:t>
      </w:r>
    </w:p>
    <w:p w14:paraId="10A7997F">
      <w:pPr>
        <w:pStyle w:val="3"/>
        <w:pageBreakBefore w:val="0"/>
        <w:wordWrap w:val="0"/>
        <w:overflowPunct/>
        <w:bidi w:val="0"/>
        <w:ind w:firstLine="482"/>
        <w:rPr>
          <w:color w:val="auto"/>
        </w:rPr>
      </w:pPr>
      <w:bookmarkStart w:id="2" w:name="_Toc3099"/>
      <w:r>
        <w:rPr>
          <w:rFonts w:hint="eastAsia"/>
          <w:color w:val="auto"/>
        </w:rPr>
        <w:t>二、投标人的资格要求：</w:t>
      </w:r>
      <w:bookmarkEnd w:id="2"/>
    </w:p>
    <w:p w14:paraId="06BCBD1B">
      <w:pPr>
        <w:pageBreakBefore w:val="0"/>
        <w:wordWrap w:val="0"/>
        <w:overflowPunct/>
        <w:bidi w:val="0"/>
        <w:rPr>
          <w:color w:val="auto"/>
        </w:rPr>
      </w:pPr>
      <w:r>
        <w:rPr>
          <w:rFonts w:hint="eastAsia"/>
          <w:color w:val="auto"/>
        </w:rPr>
        <w:t>1.满足《中华人民共和国政府采购法》第二十二条规定；</w:t>
      </w:r>
    </w:p>
    <w:p w14:paraId="7A58EC19">
      <w:pPr>
        <w:pageBreakBefore w:val="0"/>
        <w:wordWrap w:val="0"/>
        <w:overflowPunct/>
        <w:bidi w:val="0"/>
        <w:rPr>
          <w:color w:val="auto"/>
        </w:rPr>
      </w:pPr>
      <w:r>
        <w:rPr>
          <w:rFonts w:hint="eastAsia"/>
          <w:color w:val="auto"/>
        </w:rPr>
        <w:t xml:space="preserve">2.落实政府采购政策需满足的资格要求： </w:t>
      </w:r>
    </w:p>
    <w:p w14:paraId="68190E1A">
      <w:pPr>
        <w:pageBreakBefore w:val="0"/>
        <w:wordWrap w:val="0"/>
        <w:overflowPunct/>
        <w:bidi w:val="0"/>
        <w:rPr>
          <w:color w:val="auto"/>
        </w:rPr>
      </w:pPr>
      <w:r>
        <w:rPr>
          <w:rFonts w:hint="eastAsia"/>
          <w:color w:val="auto"/>
          <w:lang w:val="en-US" w:eastAsia="zh-CN"/>
        </w:rPr>
        <w:t>投标报价</w:t>
      </w:r>
      <w:r>
        <w:rPr>
          <w:rFonts w:hint="eastAsia"/>
          <w:color w:val="auto"/>
        </w:rPr>
        <w:t>评审时，给予小型、微型企业10%的价格扣除，用扣除后的价格参与报价评审。监狱企业、残疾人福利性单位视同小微企业。小微企业的认定标准及相关要求详见本项目招标文件。</w:t>
      </w:r>
    </w:p>
    <w:p w14:paraId="1CF2A43D">
      <w:pPr>
        <w:pageBreakBefore w:val="0"/>
        <w:wordWrap w:val="0"/>
        <w:overflowPunct/>
        <w:bidi w:val="0"/>
        <w:rPr>
          <w:color w:val="auto"/>
        </w:rPr>
      </w:pPr>
      <w:r>
        <w:rPr>
          <w:rFonts w:hint="eastAsia"/>
          <w:color w:val="auto"/>
        </w:rPr>
        <w:t>3.本项目的特定资格要求：</w:t>
      </w:r>
    </w:p>
    <w:p w14:paraId="7AD21B73">
      <w:pPr>
        <w:pageBreakBefore w:val="0"/>
        <w:wordWrap w:val="0"/>
        <w:overflowPunct/>
        <w:bidi w:val="0"/>
        <w:rPr>
          <w:color w:val="auto"/>
        </w:rPr>
      </w:pPr>
      <w:r>
        <w:rPr>
          <w:rFonts w:hint="eastAsia"/>
          <w:color w:val="auto"/>
        </w:rPr>
        <w:t>3.1单位负责人为同一人或者存在直接控股、管理关系的不同投标人，不得参加同一招标项目包的政府采购活动。</w:t>
      </w:r>
    </w:p>
    <w:p w14:paraId="59F87316">
      <w:pPr>
        <w:pageBreakBefore w:val="0"/>
        <w:wordWrap w:val="0"/>
        <w:overflowPunct/>
        <w:bidi w:val="0"/>
        <w:rPr>
          <w:color w:val="auto"/>
        </w:rPr>
      </w:pPr>
      <w:r>
        <w:rPr>
          <w:rFonts w:hint="eastAsia"/>
          <w:color w:val="auto"/>
        </w:rPr>
        <w:t>3.2投标人在国家企业信用信息公示系统上未被列入“严重违法失信名单（黑名单）信息”；未被信用中国列入“失信被执行人”（失信被执行人由《信用中国》跳转至《中国执行信息公开网》查询）；在中国政府采购网（www.ccgp.gov.cn）上无政府采购严重违法失信行为记录名单记录 (以投标文件递交截止时间后招标代理机构查询结果为准，查询截图交由评标委员会评审并留档)</w:t>
      </w:r>
    </w:p>
    <w:p w14:paraId="06912676">
      <w:pPr>
        <w:pageBreakBefore w:val="0"/>
        <w:wordWrap w:val="0"/>
        <w:overflowPunct/>
        <w:bidi w:val="0"/>
        <w:rPr>
          <w:color w:val="auto"/>
        </w:rPr>
      </w:pPr>
      <w:r>
        <w:rPr>
          <w:rFonts w:hint="eastAsia"/>
          <w:color w:val="auto"/>
        </w:rPr>
        <w:t>3.3投标人不得直接或间接地与招标人为采购本次招标的项目进行设计、编制规范或其他文件所委托的咨询公司或其他附属机构、个人有任何关联，符合《中华人民共和国政府采购法实施条例》（第658号）第九条之规定。</w:t>
      </w:r>
    </w:p>
    <w:p w14:paraId="6B1CA7C8">
      <w:pPr>
        <w:pageBreakBefore w:val="0"/>
        <w:wordWrap w:val="0"/>
        <w:overflowPunct/>
        <w:bidi w:val="0"/>
        <w:rPr>
          <w:color w:val="auto"/>
        </w:rPr>
      </w:pPr>
      <w:r>
        <w:rPr>
          <w:rFonts w:hint="eastAsia"/>
          <w:color w:val="auto"/>
        </w:rPr>
        <w:t>3.4本项目不接受联合体投标、不接受整车进口产品投标。</w:t>
      </w:r>
    </w:p>
    <w:p w14:paraId="3440B8AE">
      <w:pPr>
        <w:pStyle w:val="3"/>
        <w:pageBreakBefore w:val="0"/>
        <w:wordWrap w:val="0"/>
        <w:overflowPunct/>
        <w:bidi w:val="0"/>
        <w:ind w:firstLine="482"/>
        <w:rPr>
          <w:color w:val="auto"/>
        </w:rPr>
      </w:pPr>
      <w:bookmarkStart w:id="3" w:name="_Toc14554"/>
      <w:r>
        <w:rPr>
          <w:rFonts w:hint="eastAsia"/>
          <w:color w:val="auto"/>
        </w:rPr>
        <w:t>三、获取招标文件</w:t>
      </w:r>
      <w:bookmarkEnd w:id="3"/>
    </w:p>
    <w:p w14:paraId="4F944658">
      <w:pPr>
        <w:pageBreakBefore w:val="0"/>
        <w:wordWrap w:val="0"/>
        <w:overflowPunct/>
        <w:bidi w:val="0"/>
        <w:rPr>
          <w:color w:val="auto"/>
        </w:rPr>
      </w:pPr>
      <w:r>
        <w:rPr>
          <w:rFonts w:hint="eastAsia"/>
          <w:color w:val="auto"/>
        </w:rPr>
        <w:t>1.时间：</w:t>
      </w:r>
      <w:r>
        <w:rPr>
          <w:rFonts w:hint="eastAsia"/>
          <w:color w:val="0000FF"/>
        </w:rPr>
        <w:t>2024年</w:t>
      </w:r>
      <w:r>
        <w:rPr>
          <w:rFonts w:hint="eastAsia"/>
          <w:color w:val="0000FF"/>
          <w:lang w:val="en-US" w:eastAsia="zh-CN"/>
        </w:rPr>
        <w:t>7</w:t>
      </w:r>
      <w:r>
        <w:rPr>
          <w:rFonts w:hint="eastAsia"/>
          <w:color w:val="0000FF"/>
        </w:rPr>
        <w:t>月1</w:t>
      </w:r>
      <w:r>
        <w:rPr>
          <w:rFonts w:hint="eastAsia"/>
          <w:color w:val="0000FF"/>
          <w:lang w:val="en-US" w:eastAsia="zh-CN"/>
        </w:rPr>
        <w:t>7</w:t>
      </w:r>
      <w:r>
        <w:rPr>
          <w:rFonts w:hint="eastAsia"/>
          <w:color w:val="0000FF"/>
        </w:rPr>
        <w:t>日至2024年</w:t>
      </w:r>
      <w:r>
        <w:rPr>
          <w:rFonts w:hint="eastAsia"/>
          <w:color w:val="0000FF"/>
          <w:lang w:val="en-US" w:eastAsia="zh-CN"/>
        </w:rPr>
        <w:t>7</w:t>
      </w:r>
      <w:r>
        <w:rPr>
          <w:rFonts w:hint="eastAsia"/>
          <w:color w:val="0000FF"/>
        </w:rPr>
        <w:t>月2</w:t>
      </w:r>
      <w:r>
        <w:rPr>
          <w:rFonts w:hint="eastAsia"/>
          <w:color w:val="0000FF"/>
          <w:lang w:val="en-US" w:eastAsia="zh-CN"/>
        </w:rPr>
        <w:t>3</w:t>
      </w:r>
      <w:r>
        <w:rPr>
          <w:rFonts w:hint="eastAsia"/>
          <w:color w:val="0000FF"/>
        </w:rPr>
        <w:t>日</w:t>
      </w:r>
      <w:r>
        <w:rPr>
          <w:rFonts w:hint="eastAsia"/>
          <w:color w:val="auto"/>
        </w:rPr>
        <w:t>，每日上午9：00时至12：00时，下午14：00时至17：00时（北京时间，法定节假日除外）。</w:t>
      </w:r>
    </w:p>
    <w:p w14:paraId="57BA6D92">
      <w:pPr>
        <w:pageBreakBefore w:val="0"/>
        <w:wordWrap w:val="0"/>
        <w:overflowPunct/>
        <w:bidi w:val="0"/>
        <w:rPr>
          <w:rFonts w:hint="eastAsia" w:eastAsia="宋体"/>
          <w:color w:val="auto"/>
          <w:lang w:val="en-US" w:eastAsia="zh-CN"/>
        </w:rPr>
      </w:pPr>
      <w:r>
        <w:rPr>
          <w:rFonts w:hint="eastAsia"/>
          <w:color w:val="auto"/>
        </w:rPr>
        <w:t>2.方式：现场或邮件或邮寄获取均可</w:t>
      </w:r>
      <w:r>
        <w:rPr>
          <w:rFonts w:hint="eastAsia"/>
          <w:color w:val="auto"/>
          <w:lang w:eastAsia="zh-CN"/>
        </w:rPr>
        <w:t>。</w:t>
      </w:r>
      <w:r>
        <w:rPr>
          <w:rFonts w:hint="eastAsia"/>
          <w:color w:val="auto"/>
          <w:lang w:val="en-US" w:eastAsia="zh-CN"/>
        </w:rPr>
        <w:t>现场领取</w:t>
      </w:r>
      <w:r>
        <w:rPr>
          <w:rFonts w:hint="eastAsia"/>
          <w:color w:val="auto"/>
        </w:rPr>
        <w:t>地点</w:t>
      </w:r>
      <w:r>
        <w:rPr>
          <w:rFonts w:hint="eastAsia"/>
          <w:color w:val="auto"/>
          <w:lang w:val="en-US" w:eastAsia="zh-CN"/>
        </w:rPr>
        <w:t>为</w:t>
      </w:r>
      <w:r>
        <w:rPr>
          <w:rFonts w:hint="eastAsia"/>
          <w:color w:val="auto"/>
        </w:rPr>
        <w:t>昆明市高新区金泰国际1期9栋5楼</w:t>
      </w:r>
      <w:r>
        <w:rPr>
          <w:rFonts w:hint="eastAsia"/>
          <w:color w:val="auto"/>
          <w:lang w:eastAsia="zh-CN"/>
        </w:rPr>
        <w:t>。</w:t>
      </w:r>
    </w:p>
    <w:p w14:paraId="35526478">
      <w:pPr>
        <w:pageBreakBefore w:val="0"/>
        <w:wordWrap w:val="0"/>
        <w:overflowPunct/>
        <w:bidi w:val="0"/>
        <w:rPr>
          <w:color w:val="auto"/>
        </w:rPr>
      </w:pPr>
      <w:r>
        <w:rPr>
          <w:rFonts w:hint="eastAsia"/>
          <w:color w:val="auto"/>
          <w:lang w:val="en-US" w:eastAsia="zh-CN"/>
        </w:rPr>
        <w:t>3</w:t>
      </w:r>
      <w:r>
        <w:rPr>
          <w:rFonts w:hint="eastAsia"/>
          <w:color w:val="auto"/>
        </w:rPr>
        <w:t>.获取招标文件时提供：</w:t>
      </w:r>
    </w:p>
    <w:p w14:paraId="206F5097">
      <w:pPr>
        <w:pageBreakBefore w:val="0"/>
        <w:wordWrap w:val="0"/>
        <w:overflowPunct/>
        <w:bidi w:val="0"/>
        <w:rPr>
          <w:color w:val="auto"/>
        </w:rPr>
      </w:pPr>
      <w:r>
        <w:rPr>
          <w:rFonts w:hint="eastAsia"/>
          <w:color w:val="auto"/>
        </w:rPr>
        <w:t>①营业执照加盖鲜章的复印件。</w:t>
      </w:r>
    </w:p>
    <w:p w14:paraId="4480AD9A">
      <w:pPr>
        <w:pageBreakBefore w:val="0"/>
        <w:wordWrap w:val="0"/>
        <w:overflowPunct/>
        <w:bidi w:val="0"/>
        <w:rPr>
          <w:color w:val="auto"/>
        </w:rPr>
      </w:pPr>
      <w:r>
        <w:rPr>
          <w:rFonts w:hint="eastAsia"/>
          <w:color w:val="auto"/>
        </w:rPr>
        <w:t>②法定代表人身份证明书和授权委托书（委托代理时提供）。</w:t>
      </w:r>
    </w:p>
    <w:p w14:paraId="5EC1BBA3">
      <w:pPr>
        <w:pageBreakBefore w:val="0"/>
        <w:wordWrap w:val="0"/>
        <w:overflowPunct/>
        <w:bidi w:val="0"/>
        <w:rPr>
          <w:color w:val="auto"/>
        </w:rPr>
      </w:pPr>
      <w:r>
        <w:rPr>
          <w:rFonts w:hint="eastAsia"/>
          <w:color w:val="auto"/>
        </w:rPr>
        <w:t>③招标资料获取确认（详见公告附件一）。</w:t>
      </w:r>
    </w:p>
    <w:p w14:paraId="520CCBCC">
      <w:pPr>
        <w:pageBreakBefore w:val="0"/>
        <w:wordWrap w:val="0"/>
        <w:overflowPunct/>
        <w:bidi w:val="0"/>
        <w:rPr>
          <w:color w:val="auto"/>
        </w:rPr>
      </w:pPr>
      <w:r>
        <w:rPr>
          <w:rFonts w:hint="eastAsia"/>
          <w:color w:val="auto"/>
        </w:rPr>
        <w:t>④云南省消防救援总队政府采购廉洁提示卡、供应商廉洁守法承诺书（加盖公章且法定代表人或授权其委托代理人签字）（详见公告附件二）。</w:t>
      </w:r>
    </w:p>
    <w:p w14:paraId="7D6B30C7">
      <w:pPr>
        <w:pageBreakBefore w:val="0"/>
        <w:wordWrap w:val="0"/>
        <w:overflowPunct/>
        <w:bidi w:val="0"/>
        <w:rPr>
          <w:color w:val="auto"/>
        </w:rPr>
      </w:pPr>
      <w:r>
        <w:rPr>
          <w:rFonts w:hint="eastAsia"/>
          <w:color w:val="auto"/>
        </w:rPr>
        <w:t>5.招标文件费：</w:t>
      </w:r>
      <w:r>
        <w:rPr>
          <w:rFonts w:hint="eastAsia"/>
          <w:color w:val="auto"/>
          <w:lang w:val="en-US" w:eastAsia="zh-CN"/>
        </w:rPr>
        <w:t>免收</w:t>
      </w:r>
      <w:r>
        <w:rPr>
          <w:rFonts w:hint="eastAsia"/>
          <w:color w:val="auto"/>
        </w:rPr>
        <w:t>。</w:t>
      </w:r>
    </w:p>
    <w:p w14:paraId="06D58B09">
      <w:pPr>
        <w:pageBreakBefore w:val="0"/>
        <w:wordWrap w:val="0"/>
        <w:overflowPunct/>
        <w:bidi w:val="0"/>
        <w:rPr>
          <w:color w:val="auto"/>
        </w:rPr>
      </w:pPr>
      <w:r>
        <w:rPr>
          <w:rFonts w:hint="eastAsia"/>
          <w:color w:val="auto"/>
        </w:rPr>
        <w:t>6.未按本公告规定时间及方式获取本项目招标文件的投标人不得参与本项目投标。</w:t>
      </w:r>
    </w:p>
    <w:p w14:paraId="0663166A">
      <w:pPr>
        <w:pStyle w:val="3"/>
        <w:pageBreakBefore w:val="0"/>
        <w:wordWrap w:val="0"/>
        <w:overflowPunct/>
        <w:bidi w:val="0"/>
        <w:ind w:firstLine="482"/>
        <w:rPr>
          <w:color w:val="auto"/>
        </w:rPr>
      </w:pPr>
      <w:bookmarkStart w:id="4" w:name="_Toc2563"/>
      <w:r>
        <w:rPr>
          <w:rFonts w:hint="eastAsia"/>
          <w:color w:val="auto"/>
        </w:rPr>
        <w:t>四、投标截止时间、开标时间及地点</w:t>
      </w:r>
      <w:bookmarkEnd w:id="4"/>
    </w:p>
    <w:p w14:paraId="06198214">
      <w:pPr>
        <w:pageBreakBefore w:val="0"/>
        <w:wordWrap w:val="0"/>
        <w:overflowPunct/>
        <w:bidi w:val="0"/>
        <w:ind w:firstLine="422"/>
        <w:rPr>
          <w:color w:val="auto"/>
        </w:rPr>
      </w:pPr>
      <w:r>
        <w:rPr>
          <w:rFonts w:hint="eastAsia"/>
          <w:color w:val="auto"/>
        </w:rPr>
        <w:t>投标截止时间：</w:t>
      </w:r>
      <w:r>
        <w:rPr>
          <w:rFonts w:hint="eastAsia"/>
          <w:color w:val="0000FF"/>
        </w:rPr>
        <w:t>2024年</w:t>
      </w:r>
      <w:r>
        <w:rPr>
          <w:rFonts w:hint="eastAsia"/>
          <w:color w:val="0000FF"/>
          <w:lang w:val="en-US" w:eastAsia="zh-CN"/>
        </w:rPr>
        <w:t>8</w:t>
      </w:r>
      <w:r>
        <w:rPr>
          <w:rFonts w:hint="eastAsia"/>
          <w:color w:val="0000FF"/>
        </w:rPr>
        <w:t>月</w:t>
      </w:r>
      <w:r>
        <w:rPr>
          <w:rFonts w:hint="eastAsia"/>
          <w:color w:val="0000FF"/>
          <w:lang w:val="en-US" w:eastAsia="zh-CN"/>
        </w:rPr>
        <w:t>7</w:t>
      </w:r>
      <w:r>
        <w:rPr>
          <w:rFonts w:hint="eastAsia"/>
          <w:color w:val="0000FF"/>
        </w:rPr>
        <w:t>日</w:t>
      </w:r>
      <w:r>
        <w:rPr>
          <w:rFonts w:hint="eastAsia"/>
          <w:color w:val="auto"/>
        </w:rPr>
        <w:t>9时00分。</w:t>
      </w:r>
    </w:p>
    <w:p w14:paraId="7C8D19E1">
      <w:pPr>
        <w:pageBreakBefore w:val="0"/>
        <w:wordWrap w:val="0"/>
        <w:overflowPunct/>
        <w:bidi w:val="0"/>
        <w:ind w:firstLine="422"/>
        <w:rPr>
          <w:color w:val="auto"/>
        </w:rPr>
      </w:pPr>
      <w:r>
        <w:rPr>
          <w:rFonts w:hint="eastAsia"/>
          <w:color w:val="auto"/>
        </w:rPr>
        <w:t>开标时间：</w:t>
      </w:r>
      <w:r>
        <w:rPr>
          <w:rFonts w:hint="eastAsia"/>
          <w:color w:val="0000FF"/>
        </w:rPr>
        <w:t>2024年</w:t>
      </w:r>
      <w:r>
        <w:rPr>
          <w:rFonts w:hint="eastAsia"/>
          <w:color w:val="0000FF"/>
          <w:lang w:val="en-US" w:eastAsia="zh-CN"/>
        </w:rPr>
        <w:t>8</w:t>
      </w:r>
      <w:r>
        <w:rPr>
          <w:rFonts w:hint="eastAsia"/>
          <w:color w:val="0000FF"/>
        </w:rPr>
        <w:t>月</w:t>
      </w:r>
      <w:r>
        <w:rPr>
          <w:rFonts w:hint="eastAsia"/>
          <w:color w:val="0000FF"/>
          <w:lang w:val="en-US" w:eastAsia="zh-CN"/>
        </w:rPr>
        <w:t>7</w:t>
      </w:r>
      <w:r>
        <w:rPr>
          <w:rFonts w:hint="eastAsia"/>
          <w:color w:val="0000FF"/>
        </w:rPr>
        <w:t>日</w:t>
      </w:r>
      <w:r>
        <w:rPr>
          <w:rFonts w:hint="eastAsia"/>
          <w:color w:val="auto"/>
        </w:rPr>
        <w:t>9时00分。</w:t>
      </w:r>
    </w:p>
    <w:p w14:paraId="36190B65">
      <w:pPr>
        <w:pageBreakBefore w:val="0"/>
        <w:wordWrap w:val="0"/>
        <w:overflowPunct/>
        <w:bidi w:val="0"/>
        <w:rPr>
          <w:color w:val="auto"/>
        </w:rPr>
      </w:pPr>
      <w:r>
        <w:rPr>
          <w:rFonts w:hint="eastAsia"/>
          <w:color w:val="auto"/>
        </w:rPr>
        <w:t>地点：暂定昆明市高新区金泰国际1期9栋5楼（第一开标室），如有更改另行通知。</w:t>
      </w:r>
    </w:p>
    <w:p w14:paraId="25FEFAC3">
      <w:pPr>
        <w:pStyle w:val="3"/>
        <w:pageBreakBefore w:val="0"/>
        <w:wordWrap w:val="0"/>
        <w:overflowPunct/>
        <w:bidi w:val="0"/>
        <w:ind w:firstLine="482"/>
        <w:rPr>
          <w:color w:val="auto"/>
        </w:rPr>
      </w:pPr>
      <w:bookmarkStart w:id="5" w:name="_Toc1611"/>
      <w:r>
        <w:rPr>
          <w:rFonts w:hint="eastAsia"/>
          <w:color w:val="auto"/>
        </w:rPr>
        <w:t>五、公告期限</w:t>
      </w:r>
      <w:bookmarkEnd w:id="5"/>
    </w:p>
    <w:p w14:paraId="6A421A31">
      <w:pPr>
        <w:pageBreakBefore w:val="0"/>
        <w:wordWrap w:val="0"/>
        <w:overflowPunct/>
        <w:bidi w:val="0"/>
        <w:rPr>
          <w:color w:val="auto"/>
        </w:rPr>
      </w:pPr>
      <w:r>
        <w:rPr>
          <w:rFonts w:hint="eastAsia"/>
          <w:color w:val="auto"/>
        </w:rPr>
        <w:t>本项目在“《中国政府采购网》（</w:t>
      </w:r>
      <w:r>
        <w:fldChar w:fldCharType="begin"/>
      </w:r>
      <w:r>
        <w:instrText xml:space="preserve"> HYPERLINK "http://www.ccgp.gov.cn/" </w:instrText>
      </w:r>
      <w:r>
        <w:fldChar w:fldCharType="separate"/>
      </w:r>
      <w:r>
        <w:rPr>
          <w:rFonts w:hint="eastAsia"/>
          <w:color w:val="auto"/>
        </w:rPr>
        <w:t>www.ccgp.gov.cn)</w:t>
      </w:r>
      <w:r>
        <w:rPr>
          <w:rFonts w:hint="eastAsia"/>
          <w:color w:val="auto"/>
        </w:rPr>
        <w:fldChar w:fldCharType="end"/>
      </w:r>
      <w:r>
        <w:rPr>
          <w:rFonts w:hint="eastAsia"/>
          <w:color w:val="auto"/>
        </w:rPr>
        <w:t>和《中国招标投标公共服务平台》（www.bulletin.cebpubservice.com）”上发布公告</w:t>
      </w:r>
      <w:r>
        <w:rPr>
          <w:rFonts w:hint="eastAsia"/>
          <w:color w:val="auto"/>
        </w:rPr>
        <w:fldChar w:fldCharType="begin"/>
      </w:r>
      <w:r>
        <w:rPr>
          <w:color w:val="auto"/>
        </w:rPr>
        <w:instrText xml:space="preserve"> HYPERLINK </w:instrText>
      </w:r>
      <w:r>
        <w:rPr>
          <w:rFonts w:hint="eastAsia"/>
          <w:color w:val="auto"/>
        </w:rPr>
        <w:fldChar w:fldCharType="separate"/>
      </w:r>
      <w:r>
        <w:rPr>
          <w:rFonts w:hint="eastAsia"/>
          <w:color w:val="auto"/>
        </w:rPr>
        <w:t>。</w:t>
      </w:r>
      <w:r>
        <w:rPr>
          <w:rFonts w:hint="eastAsia"/>
          <w:color w:val="auto"/>
        </w:rPr>
        <w:fldChar w:fldCharType="end"/>
      </w:r>
      <w:r>
        <w:rPr>
          <w:rFonts w:hint="eastAsia"/>
          <w:color w:val="auto"/>
        </w:rPr>
        <w:t>公告期限自本公告发布之日起5个工作日。</w:t>
      </w:r>
    </w:p>
    <w:p w14:paraId="4A49AD1D">
      <w:pPr>
        <w:pStyle w:val="3"/>
        <w:pageBreakBefore w:val="0"/>
        <w:wordWrap w:val="0"/>
        <w:overflowPunct/>
        <w:bidi w:val="0"/>
        <w:ind w:firstLine="482"/>
        <w:rPr>
          <w:color w:val="auto"/>
        </w:rPr>
      </w:pPr>
      <w:bookmarkStart w:id="6" w:name="_Toc8285"/>
      <w:r>
        <w:rPr>
          <w:rFonts w:hint="eastAsia"/>
          <w:color w:val="auto"/>
        </w:rPr>
        <w:t>六、项目联系人及电话</w:t>
      </w:r>
      <w:bookmarkEnd w:id="6"/>
    </w:p>
    <w:p w14:paraId="5B838DFB">
      <w:pPr>
        <w:pageBreakBefore w:val="0"/>
        <w:wordWrap w:val="0"/>
        <w:overflowPunct/>
        <w:bidi w:val="0"/>
        <w:rPr>
          <w:color w:val="auto"/>
        </w:rPr>
      </w:pPr>
      <w:r>
        <w:rPr>
          <w:rFonts w:hint="eastAsia"/>
          <w:color w:val="auto"/>
        </w:rPr>
        <w:t>1.招标人信息</w:t>
      </w:r>
    </w:p>
    <w:p w14:paraId="1876D2C0">
      <w:pPr>
        <w:pageBreakBefore w:val="0"/>
        <w:wordWrap w:val="0"/>
        <w:overflowPunct/>
        <w:bidi w:val="0"/>
        <w:rPr>
          <w:color w:val="auto"/>
        </w:rPr>
      </w:pPr>
      <w:r>
        <w:rPr>
          <w:rFonts w:hint="eastAsia"/>
          <w:color w:val="auto"/>
        </w:rPr>
        <w:t>名称：云南省消防救援总队</w:t>
      </w:r>
    </w:p>
    <w:p w14:paraId="5EC82868">
      <w:pPr>
        <w:pageBreakBefore w:val="0"/>
        <w:wordWrap w:val="0"/>
        <w:overflowPunct/>
        <w:bidi w:val="0"/>
        <w:rPr>
          <w:color w:val="auto"/>
        </w:rPr>
      </w:pPr>
      <w:r>
        <w:rPr>
          <w:rFonts w:hint="eastAsia"/>
          <w:color w:val="auto"/>
        </w:rPr>
        <w:t>地址：云南省昆明市官渡区海塘路666号</w:t>
      </w:r>
    </w:p>
    <w:p w14:paraId="519A7026">
      <w:pPr>
        <w:pageBreakBefore w:val="0"/>
        <w:wordWrap w:val="0"/>
        <w:overflowPunct/>
        <w:bidi w:val="0"/>
        <w:rPr>
          <w:color w:val="auto"/>
        </w:rPr>
      </w:pPr>
      <w:r>
        <w:rPr>
          <w:rFonts w:hint="eastAsia"/>
          <w:color w:val="auto"/>
        </w:rPr>
        <w:t>联系方式：0871-64569342</w:t>
      </w:r>
    </w:p>
    <w:p w14:paraId="373B129D">
      <w:pPr>
        <w:pageBreakBefore w:val="0"/>
        <w:wordWrap w:val="0"/>
        <w:overflowPunct/>
        <w:bidi w:val="0"/>
        <w:rPr>
          <w:color w:val="auto"/>
        </w:rPr>
      </w:pPr>
      <w:r>
        <w:rPr>
          <w:rFonts w:hint="eastAsia"/>
          <w:color w:val="auto"/>
        </w:rPr>
        <w:t>2.招标代理机构信息</w:t>
      </w:r>
    </w:p>
    <w:p w14:paraId="603F8333">
      <w:pPr>
        <w:pageBreakBefore w:val="0"/>
        <w:wordWrap w:val="0"/>
        <w:overflowPunct/>
        <w:bidi w:val="0"/>
        <w:rPr>
          <w:color w:val="auto"/>
        </w:rPr>
      </w:pPr>
      <w:r>
        <w:rPr>
          <w:rFonts w:hint="eastAsia"/>
          <w:color w:val="auto"/>
        </w:rPr>
        <w:t>名称：中招国际招标有限公司</w:t>
      </w:r>
    </w:p>
    <w:p w14:paraId="07BA3A7F">
      <w:pPr>
        <w:pageBreakBefore w:val="0"/>
        <w:wordWrap w:val="0"/>
        <w:overflowPunct/>
        <w:bidi w:val="0"/>
        <w:rPr>
          <w:color w:val="auto"/>
        </w:rPr>
      </w:pPr>
      <w:r>
        <w:rPr>
          <w:rFonts w:hint="eastAsia"/>
          <w:color w:val="auto"/>
        </w:rPr>
        <w:t>地址：昆明市高新区金泰国际1期9栋5楼</w:t>
      </w:r>
    </w:p>
    <w:p w14:paraId="532BF708">
      <w:pPr>
        <w:pStyle w:val="25"/>
        <w:pageBreakBefore w:val="0"/>
        <w:wordWrap w:val="0"/>
        <w:overflowPunct/>
        <w:bidi w:val="0"/>
        <w:spacing w:after="0"/>
        <w:ind w:left="0" w:leftChars="0"/>
        <w:rPr>
          <w:color w:val="auto"/>
        </w:rPr>
      </w:pPr>
      <w:r>
        <w:rPr>
          <w:rFonts w:hint="eastAsia"/>
          <w:color w:val="auto"/>
        </w:rPr>
        <w:t>联系方式：0871-65311242</w:t>
      </w:r>
    </w:p>
    <w:p w14:paraId="4CEFD7E7">
      <w:pPr>
        <w:pStyle w:val="25"/>
        <w:pageBreakBefore w:val="0"/>
        <w:wordWrap w:val="0"/>
        <w:overflowPunct/>
        <w:bidi w:val="0"/>
        <w:spacing w:after="0"/>
        <w:ind w:left="0" w:leftChars="0"/>
        <w:rPr>
          <w:color w:val="auto"/>
        </w:rPr>
      </w:pPr>
      <w:r>
        <w:rPr>
          <w:rFonts w:hint="eastAsia"/>
          <w:color w:val="auto"/>
        </w:rPr>
        <w:t>3.项目联系方式</w:t>
      </w:r>
    </w:p>
    <w:p w14:paraId="49CD237C">
      <w:pPr>
        <w:pStyle w:val="25"/>
        <w:pageBreakBefore w:val="0"/>
        <w:wordWrap w:val="0"/>
        <w:overflowPunct/>
        <w:bidi w:val="0"/>
        <w:spacing w:after="0"/>
        <w:ind w:left="0" w:leftChars="0"/>
        <w:rPr>
          <w:color w:val="auto"/>
        </w:rPr>
      </w:pPr>
      <w:r>
        <w:rPr>
          <w:rFonts w:hint="eastAsia"/>
          <w:color w:val="auto"/>
        </w:rPr>
        <w:t xml:space="preserve">项目联系人：董晓扬、赵庆鹏、张仁皓、李叶、杨华、吕庆贵 </w:t>
      </w:r>
    </w:p>
    <w:p w14:paraId="7AC0D605">
      <w:pPr>
        <w:pStyle w:val="25"/>
        <w:pageBreakBefore w:val="0"/>
        <w:wordWrap w:val="0"/>
        <w:overflowPunct/>
        <w:bidi w:val="0"/>
        <w:spacing w:after="0"/>
        <w:ind w:left="0" w:leftChars="0"/>
        <w:rPr>
          <w:color w:val="auto"/>
        </w:rPr>
      </w:pPr>
      <w:r>
        <w:rPr>
          <w:rFonts w:hint="eastAsia"/>
          <w:color w:val="auto"/>
        </w:rPr>
        <w:t>电话：18869873318、0871-65311242  邮箱：3242914909@qq.com</w:t>
      </w:r>
    </w:p>
    <w:p w14:paraId="36570450">
      <w:pPr>
        <w:pageBreakBefore w:val="0"/>
        <w:wordWrap w:val="0"/>
        <w:overflowPunct/>
        <w:bidi w:val="0"/>
        <w:ind w:firstLine="560"/>
        <w:rPr>
          <w:rFonts w:ascii="方正小标宋_GBK" w:eastAsia="方正小标宋_GBK" w:cs="Times New Roman"/>
          <w:color w:val="auto"/>
          <w:sz w:val="28"/>
          <w:szCs w:val="28"/>
        </w:rPr>
      </w:pPr>
      <w:r>
        <w:rPr>
          <w:rFonts w:hint="eastAsia" w:ascii="方正小标宋_GBK" w:eastAsia="方正小标宋_GBK" w:cs="Times New Roman"/>
          <w:color w:val="auto"/>
          <w:sz w:val="28"/>
          <w:szCs w:val="28"/>
        </w:rPr>
        <w:br w:type="page"/>
      </w:r>
    </w:p>
    <w:p w14:paraId="4ED36A04">
      <w:pPr>
        <w:pageBreakBefore w:val="0"/>
        <w:wordWrap w:val="0"/>
        <w:overflowPunct/>
        <w:bidi w:val="0"/>
        <w:spacing w:line="400" w:lineRule="exact"/>
        <w:ind w:firstLine="560"/>
        <w:rPr>
          <w:rFonts w:ascii="方正小标宋_GBK" w:eastAsia="方正小标宋_GBK" w:cs="Times New Roman"/>
          <w:color w:val="auto"/>
          <w:sz w:val="28"/>
          <w:szCs w:val="28"/>
        </w:rPr>
      </w:pPr>
      <w:r>
        <w:rPr>
          <w:rFonts w:hint="eastAsia" w:ascii="方正小标宋_GBK" w:eastAsia="方正小标宋_GBK" w:cs="Times New Roman"/>
          <w:color w:val="auto"/>
          <w:sz w:val="28"/>
          <w:szCs w:val="28"/>
        </w:rPr>
        <w:t>附件一</w:t>
      </w:r>
    </w:p>
    <w:p w14:paraId="53A878B5">
      <w:pPr>
        <w:pageBreakBefore w:val="0"/>
        <w:wordWrap w:val="0"/>
        <w:overflowPunct/>
        <w:bidi w:val="0"/>
        <w:spacing w:before="156" w:beforeLines="50"/>
        <w:ind w:firstLine="643"/>
        <w:jc w:val="center"/>
        <w:rPr>
          <w:b/>
          <w:bCs/>
          <w:color w:val="auto"/>
          <w:sz w:val="32"/>
          <w:szCs w:val="32"/>
        </w:rPr>
      </w:pPr>
      <w:r>
        <w:rPr>
          <w:rFonts w:hint="eastAsia"/>
          <w:b/>
          <w:bCs/>
          <w:color w:val="auto"/>
          <w:sz w:val="32"/>
          <w:szCs w:val="32"/>
        </w:rPr>
        <w:t>招标资料获取确认</w:t>
      </w:r>
    </w:p>
    <w:tbl>
      <w:tblPr>
        <w:tblStyle w:val="26"/>
        <w:tblW w:w="8899" w:type="dxa"/>
        <w:jc w:val="center"/>
        <w:tblLayout w:type="fixed"/>
        <w:tblCellMar>
          <w:top w:w="0" w:type="dxa"/>
          <w:left w:w="108" w:type="dxa"/>
          <w:bottom w:w="0" w:type="dxa"/>
          <w:right w:w="108" w:type="dxa"/>
        </w:tblCellMar>
      </w:tblPr>
      <w:tblGrid>
        <w:gridCol w:w="2610"/>
        <w:gridCol w:w="6289"/>
      </w:tblGrid>
      <w:tr w14:paraId="389643E5">
        <w:trPr>
          <w:trHeight w:val="472" w:hRule="atLeast"/>
          <w:jc w:val="center"/>
        </w:trPr>
        <w:tc>
          <w:tcPr>
            <w:tcW w:w="2610" w:type="dxa"/>
            <w:tcBorders>
              <w:top w:val="single" w:color="auto" w:sz="4" w:space="0"/>
              <w:left w:val="single" w:color="auto" w:sz="4" w:space="0"/>
              <w:bottom w:val="single" w:color="auto" w:sz="4" w:space="0"/>
              <w:right w:val="single" w:color="auto" w:sz="4" w:space="0"/>
            </w:tcBorders>
            <w:vAlign w:val="center"/>
          </w:tcPr>
          <w:p w14:paraId="7A793007">
            <w:pPr>
              <w:pageBreakBefore w:val="0"/>
              <w:wordWrap w:val="0"/>
              <w:overflowPunct/>
              <w:bidi w:val="0"/>
              <w:jc w:val="center"/>
              <w:rPr>
                <w:color w:val="auto"/>
              </w:rPr>
            </w:pPr>
            <w:r>
              <w:rPr>
                <w:rFonts w:hint="eastAsia"/>
                <w:color w:val="auto"/>
              </w:rPr>
              <w:t>项目编号</w:t>
            </w:r>
          </w:p>
        </w:tc>
        <w:tc>
          <w:tcPr>
            <w:tcW w:w="6289" w:type="dxa"/>
            <w:tcBorders>
              <w:top w:val="single" w:color="auto" w:sz="4" w:space="0"/>
              <w:left w:val="nil"/>
              <w:bottom w:val="single" w:color="auto" w:sz="4" w:space="0"/>
              <w:right w:val="single" w:color="auto" w:sz="4" w:space="0"/>
            </w:tcBorders>
            <w:vAlign w:val="center"/>
          </w:tcPr>
          <w:p w14:paraId="667D15FB">
            <w:pPr>
              <w:pageBreakBefore w:val="0"/>
              <w:wordWrap w:val="0"/>
              <w:overflowPunct/>
              <w:bidi w:val="0"/>
              <w:jc w:val="center"/>
              <w:rPr>
                <w:color w:val="auto"/>
              </w:rPr>
            </w:pPr>
          </w:p>
        </w:tc>
      </w:tr>
      <w:tr w14:paraId="7FB39646">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14:paraId="40AE7862">
            <w:pPr>
              <w:pageBreakBefore w:val="0"/>
              <w:wordWrap w:val="0"/>
              <w:overflowPunct/>
              <w:bidi w:val="0"/>
              <w:jc w:val="center"/>
              <w:rPr>
                <w:color w:val="auto"/>
              </w:rPr>
            </w:pPr>
            <w:r>
              <w:rPr>
                <w:rFonts w:hint="eastAsia"/>
                <w:color w:val="auto"/>
              </w:rPr>
              <w:t>项目名称</w:t>
            </w:r>
          </w:p>
        </w:tc>
        <w:tc>
          <w:tcPr>
            <w:tcW w:w="6289" w:type="dxa"/>
            <w:tcBorders>
              <w:top w:val="nil"/>
              <w:left w:val="nil"/>
              <w:bottom w:val="single" w:color="auto" w:sz="4" w:space="0"/>
              <w:right w:val="single" w:color="auto" w:sz="4" w:space="0"/>
            </w:tcBorders>
            <w:vAlign w:val="center"/>
          </w:tcPr>
          <w:p w14:paraId="73EB6FC6">
            <w:pPr>
              <w:pageBreakBefore w:val="0"/>
              <w:wordWrap w:val="0"/>
              <w:overflowPunct/>
              <w:bidi w:val="0"/>
              <w:jc w:val="center"/>
              <w:rPr>
                <w:color w:val="auto"/>
              </w:rPr>
            </w:pPr>
          </w:p>
        </w:tc>
      </w:tr>
      <w:tr w14:paraId="61AC9511">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14:paraId="4C9F7C6F">
            <w:pPr>
              <w:pageBreakBefore w:val="0"/>
              <w:wordWrap w:val="0"/>
              <w:overflowPunct/>
              <w:bidi w:val="0"/>
              <w:jc w:val="center"/>
              <w:rPr>
                <w:color w:val="auto"/>
              </w:rPr>
            </w:pPr>
            <w:r>
              <w:rPr>
                <w:rFonts w:hint="eastAsia"/>
                <w:color w:val="auto"/>
              </w:rPr>
              <w:t>标包(如有)</w:t>
            </w:r>
          </w:p>
        </w:tc>
        <w:tc>
          <w:tcPr>
            <w:tcW w:w="6289" w:type="dxa"/>
            <w:tcBorders>
              <w:top w:val="nil"/>
              <w:left w:val="nil"/>
              <w:bottom w:val="single" w:color="auto" w:sz="4" w:space="0"/>
              <w:right w:val="single" w:color="auto" w:sz="4" w:space="0"/>
            </w:tcBorders>
            <w:vAlign w:val="center"/>
          </w:tcPr>
          <w:p w14:paraId="0FEA6DED">
            <w:pPr>
              <w:pageBreakBefore w:val="0"/>
              <w:wordWrap w:val="0"/>
              <w:overflowPunct/>
              <w:bidi w:val="0"/>
              <w:jc w:val="center"/>
              <w:rPr>
                <w:color w:val="auto"/>
                <w:u w:val="single"/>
              </w:rPr>
            </w:pPr>
          </w:p>
        </w:tc>
      </w:tr>
      <w:tr w14:paraId="45D808B1">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14:paraId="54CCADAD">
            <w:pPr>
              <w:pageBreakBefore w:val="0"/>
              <w:wordWrap w:val="0"/>
              <w:overflowPunct/>
              <w:bidi w:val="0"/>
              <w:jc w:val="center"/>
              <w:rPr>
                <w:color w:val="auto"/>
              </w:rPr>
            </w:pPr>
            <w:r>
              <w:rPr>
                <w:rFonts w:hint="eastAsia"/>
                <w:color w:val="auto"/>
              </w:rPr>
              <w:t>统一社会信用代码</w:t>
            </w:r>
          </w:p>
        </w:tc>
        <w:tc>
          <w:tcPr>
            <w:tcW w:w="6289" w:type="dxa"/>
            <w:tcBorders>
              <w:top w:val="nil"/>
              <w:left w:val="nil"/>
              <w:bottom w:val="single" w:color="auto" w:sz="4" w:space="0"/>
              <w:right w:val="single" w:color="auto" w:sz="4" w:space="0"/>
            </w:tcBorders>
            <w:vAlign w:val="center"/>
          </w:tcPr>
          <w:p w14:paraId="42CABA63">
            <w:pPr>
              <w:pageBreakBefore w:val="0"/>
              <w:wordWrap w:val="0"/>
              <w:overflowPunct/>
              <w:bidi w:val="0"/>
              <w:rPr>
                <w:color w:val="auto"/>
              </w:rPr>
            </w:pPr>
            <w:r>
              <w:rPr>
                <w:rFonts w:hint="eastAsia"/>
                <w:color w:val="auto"/>
              </w:rPr>
              <w:t>　</w:t>
            </w:r>
          </w:p>
        </w:tc>
      </w:tr>
      <w:tr w14:paraId="36131DA1">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14:paraId="5501A857">
            <w:pPr>
              <w:pageBreakBefore w:val="0"/>
              <w:wordWrap w:val="0"/>
              <w:overflowPunct/>
              <w:bidi w:val="0"/>
              <w:jc w:val="center"/>
              <w:rPr>
                <w:color w:val="auto"/>
              </w:rPr>
            </w:pPr>
            <w:r>
              <w:rPr>
                <w:rFonts w:hint="eastAsia"/>
                <w:color w:val="auto"/>
              </w:rPr>
              <w:t>公司（单位）名称</w:t>
            </w:r>
          </w:p>
        </w:tc>
        <w:tc>
          <w:tcPr>
            <w:tcW w:w="6289" w:type="dxa"/>
            <w:tcBorders>
              <w:top w:val="nil"/>
              <w:left w:val="nil"/>
              <w:bottom w:val="single" w:color="auto" w:sz="4" w:space="0"/>
              <w:right w:val="single" w:color="auto" w:sz="4" w:space="0"/>
            </w:tcBorders>
            <w:vAlign w:val="center"/>
          </w:tcPr>
          <w:p w14:paraId="7AC1E422">
            <w:pPr>
              <w:pageBreakBefore w:val="0"/>
              <w:wordWrap w:val="0"/>
              <w:overflowPunct/>
              <w:bidi w:val="0"/>
              <w:rPr>
                <w:color w:val="auto"/>
              </w:rPr>
            </w:pPr>
            <w:r>
              <w:rPr>
                <w:rFonts w:hint="eastAsia"/>
                <w:color w:val="auto"/>
              </w:rPr>
              <w:t>　</w:t>
            </w:r>
          </w:p>
        </w:tc>
      </w:tr>
      <w:tr w14:paraId="4D605716">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14:paraId="27DC53C3">
            <w:pPr>
              <w:pageBreakBefore w:val="0"/>
              <w:wordWrap w:val="0"/>
              <w:overflowPunct/>
              <w:bidi w:val="0"/>
              <w:jc w:val="center"/>
              <w:rPr>
                <w:color w:val="auto"/>
              </w:rPr>
            </w:pPr>
            <w:r>
              <w:rPr>
                <w:rFonts w:hint="eastAsia"/>
                <w:color w:val="auto"/>
              </w:rPr>
              <w:t>公司（单位）地址</w:t>
            </w:r>
          </w:p>
        </w:tc>
        <w:tc>
          <w:tcPr>
            <w:tcW w:w="6289" w:type="dxa"/>
            <w:tcBorders>
              <w:top w:val="nil"/>
              <w:left w:val="nil"/>
              <w:bottom w:val="single" w:color="auto" w:sz="4" w:space="0"/>
              <w:right w:val="single" w:color="auto" w:sz="4" w:space="0"/>
            </w:tcBorders>
            <w:vAlign w:val="center"/>
          </w:tcPr>
          <w:p w14:paraId="5EFFE446">
            <w:pPr>
              <w:pageBreakBefore w:val="0"/>
              <w:wordWrap w:val="0"/>
              <w:overflowPunct/>
              <w:bidi w:val="0"/>
              <w:rPr>
                <w:color w:val="auto"/>
              </w:rPr>
            </w:pPr>
            <w:r>
              <w:rPr>
                <w:rFonts w:hint="eastAsia"/>
                <w:color w:val="auto"/>
              </w:rPr>
              <w:t>　</w:t>
            </w:r>
          </w:p>
        </w:tc>
      </w:tr>
      <w:tr w14:paraId="44EC54FC">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14:paraId="2F770DF6">
            <w:pPr>
              <w:pageBreakBefore w:val="0"/>
              <w:wordWrap w:val="0"/>
              <w:overflowPunct/>
              <w:bidi w:val="0"/>
              <w:jc w:val="center"/>
              <w:rPr>
                <w:color w:val="auto"/>
              </w:rPr>
            </w:pPr>
            <w:r>
              <w:rPr>
                <w:rFonts w:hint="eastAsia"/>
                <w:color w:val="auto"/>
              </w:rPr>
              <w:t>法定代表人</w:t>
            </w:r>
          </w:p>
        </w:tc>
        <w:tc>
          <w:tcPr>
            <w:tcW w:w="6289" w:type="dxa"/>
            <w:tcBorders>
              <w:top w:val="nil"/>
              <w:left w:val="nil"/>
              <w:bottom w:val="single" w:color="auto" w:sz="4" w:space="0"/>
              <w:right w:val="single" w:color="auto" w:sz="4" w:space="0"/>
            </w:tcBorders>
            <w:vAlign w:val="center"/>
          </w:tcPr>
          <w:p w14:paraId="3AAE3FEE">
            <w:pPr>
              <w:pageBreakBefore w:val="0"/>
              <w:wordWrap w:val="0"/>
              <w:overflowPunct/>
              <w:bidi w:val="0"/>
              <w:rPr>
                <w:color w:val="auto"/>
              </w:rPr>
            </w:pPr>
            <w:r>
              <w:rPr>
                <w:rFonts w:hint="eastAsia"/>
                <w:color w:val="auto"/>
              </w:rPr>
              <w:t>　</w:t>
            </w:r>
          </w:p>
        </w:tc>
      </w:tr>
      <w:tr w14:paraId="36A6E81F">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14:paraId="2F7C4BC9">
            <w:pPr>
              <w:pageBreakBefore w:val="0"/>
              <w:wordWrap w:val="0"/>
              <w:overflowPunct/>
              <w:bidi w:val="0"/>
              <w:jc w:val="center"/>
              <w:rPr>
                <w:color w:val="auto"/>
              </w:rPr>
            </w:pPr>
            <w:r>
              <w:rPr>
                <w:rFonts w:hint="eastAsia"/>
                <w:color w:val="auto"/>
              </w:rPr>
              <w:t>本项目联系人</w:t>
            </w:r>
          </w:p>
        </w:tc>
        <w:tc>
          <w:tcPr>
            <w:tcW w:w="6289" w:type="dxa"/>
            <w:tcBorders>
              <w:top w:val="nil"/>
              <w:left w:val="nil"/>
              <w:bottom w:val="single" w:color="auto" w:sz="4" w:space="0"/>
              <w:right w:val="single" w:color="auto" w:sz="4" w:space="0"/>
            </w:tcBorders>
            <w:vAlign w:val="center"/>
          </w:tcPr>
          <w:p w14:paraId="409A1127">
            <w:pPr>
              <w:pageBreakBefore w:val="0"/>
              <w:wordWrap w:val="0"/>
              <w:overflowPunct/>
              <w:bidi w:val="0"/>
              <w:rPr>
                <w:color w:val="auto"/>
              </w:rPr>
            </w:pPr>
            <w:r>
              <w:rPr>
                <w:rFonts w:hint="eastAsia"/>
                <w:color w:val="auto"/>
              </w:rPr>
              <w:t>　</w:t>
            </w:r>
          </w:p>
        </w:tc>
      </w:tr>
      <w:tr w14:paraId="13D07284">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14:paraId="488048AB">
            <w:pPr>
              <w:pageBreakBefore w:val="0"/>
              <w:wordWrap w:val="0"/>
              <w:overflowPunct/>
              <w:bidi w:val="0"/>
              <w:jc w:val="center"/>
              <w:rPr>
                <w:color w:val="auto"/>
              </w:rPr>
            </w:pPr>
            <w:r>
              <w:rPr>
                <w:rFonts w:hint="eastAsia"/>
                <w:color w:val="auto"/>
              </w:rPr>
              <w:t>联系电话</w:t>
            </w:r>
          </w:p>
        </w:tc>
        <w:tc>
          <w:tcPr>
            <w:tcW w:w="6289" w:type="dxa"/>
            <w:tcBorders>
              <w:top w:val="nil"/>
              <w:left w:val="nil"/>
              <w:bottom w:val="single" w:color="auto" w:sz="4" w:space="0"/>
              <w:right w:val="single" w:color="auto" w:sz="4" w:space="0"/>
            </w:tcBorders>
            <w:vAlign w:val="center"/>
          </w:tcPr>
          <w:p w14:paraId="05C5F2EF">
            <w:pPr>
              <w:pageBreakBefore w:val="0"/>
              <w:wordWrap w:val="0"/>
              <w:overflowPunct/>
              <w:bidi w:val="0"/>
              <w:rPr>
                <w:color w:val="auto"/>
              </w:rPr>
            </w:pPr>
            <w:r>
              <w:rPr>
                <w:rFonts w:hint="eastAsia"/>
                <w:color w:val="auto"/>
              </w:rPr>
              <w:t>　</w:t>
            </w:r>
          </w:p>
        </w:tc>
      </w:tr>
      <w:tr w14:paraId="2F6127A7">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14:paraId="02335D0A">
            <w:pPr>
              <w:pageBreakBefore w:val="0"/>
              <w:wordWrap w:val="0"/>
              <w:overflowPunct/>
              <w:bidi w:val="0"/>
              <w:jc w:val="center"/>
              <w:rPr>
                <w:color w:val="auto"/>
              </w:rPr>
            </w:pPr>
            <w:r>
              <w:rPr>
                <w:rFonts w:hint="eastAsia"/>
                <w:color w:val="auto"/>
              </w:rPr>
              <w:t xml:space="preserve">邮 </w:t>
            </w:r>
            <w:r>
              <w:rPr>
                <w:color w:val="auto"/>
              </w:rPr>
              <w:t xml:space="preserve">   </w:t>
            </w:r>
            <w:r>
              <w:rPr>
                <w:rFonts w:hint="eastAsia"/>
                <w:color w:val="auto"/>
              </w:rPr>
              <w:t>箱</w:t>
            </w:r>
          </w:p>
        </w:tc>
        <w:tc>
          <w:tcPr>
            <w:tcW w:w="6289" w:type="dxa"/>
            <w:tcBorders>
              <w:top w:val="nil"/>
              <w:left w:val="nil"/>
              <w:bottom w:val="single" w:color="auto" w:sz="4" w:space="0"/>
              <w:right w:val="single" w:color="auto" w:sz="4" w:space="0"/>
            </w:tcBorders>
            <w:vAlign w:val="center"/>
          </w:tcPr>
          <w:p w14:paraId="7F582773">
            <w:pPr>
              <w:pageBreakBefore w:val="0"/>
              <w:wordWrap w:val="0"/>
              <w:overflowPunct/>
              <w:bidi w:val="0"/>
              <w:rPr>
                <w:color w:val="auto"/>
              </w:rPr>
            </w:pPr>
            <w:r>
              <w:rPr>
                <w:rFonts w:hint="eastAsia"/>
                <w:color w:val="auto"/>
              </w:rPr>
              <w:t>　</w:t>
            </w:r>
          </w:p>
        </w:tc>
      </w:tr>
      <w:tr w14:paraId="51708AD8">
        <w:tblPrEx>
          <w:tblCellMar>
            <w:top w:w="0" w:type="dxa"/>
            <w:left w:w="108" w:type="dxa"/>
            <w:bottom w:w="0" w:type="dxa"/>
            <w:right w:w="108" w:type="dxa"/>
          </w:tblCellMar>
        </w:tblPrEx>
        <w:trPr>
          <w:trHeight w:val="472" w:hRule="atLeast"/>
          <w:jc w:val="center"/>
        </w:trPr>
        <w:tc>
          <w:tcPr>
            <w:tcW w:w="8899" w:type="dxa"/>
            <w:gridSpan w:val="2"/>
            <w:tcBorders>
              <w:top w:val="single" w:color="auto" w:sz="4" w:space="0"/>
              <w:left w:val="single" w:color="auto" w:sz="4" w:space="0"/>
              <w:bottom w:val="single" w:color="000000" w:sz="4" w:space="0"/>
              <w:right w:val="single" w:color="000000" w:sz="4" w:space="0"/>
            </w:tcBorders>
            <w:vAlign w:val="center"/>
          </w:tcPr>
          <w:p w14:paraId="6B6DCA5B">
            <w:pPr>
              <w:pageBreakBefore w:val="0"/>
              <w:wordWrap w:val="0"/>
              <w:overflowPunct/>
              <w:bidi w:val="0"/>
              <w:ind w:firstLine="422"/>
              <w:jc w:val="center"/>
              <w:rPr>
                <w:b/>
                <w:bCs/>
                <w:color w:val="auto"/>
              </w:rPr>
            </w:pPr>
            <w:r>
              <w:rPr>
                <w:rFonts w:hint="eastAsia"/>
                <w:b/>
                <w:bCs/>
                <w:color w:val="auto"/>
              </w:rPr>
              <w:t>验证资料</w:t>
            </w:r>
          </w:p>
        </w:tc>
      </w:tr>
      <w:tr w14:paraId="586806DE">
        <w:tblPrEx>
          <w:tblCellMar>
            <w:top w:w="0" w:type="dxa"/>
            <w:left w:w="108" w:type="dxa"/>
            <w:bottom w:w="0" w:type="dxa"/>
            <w:right w:w="108" w:type="dxa"/>
          </w:tblCellMar>
        </w:tblPrEx>
        <w:trPr>
          <w:trHeight w:val="935" w:hRule="atLeast"/>
          <w:jc w:val="center"/>
        </w:trPr>
        <w:tc>
          <w:tcPr>
            <w:tcW w:w="2610" w:type="dxa"/>
            <w:tcBorders>
              <w:top w:val="nil"/>
              <w:left w:val="single" w:color="auto" w:sz="4" w:space="0"/>
              <w:bottom w:val="single" w:color="auto" w:sz="4" w:space="0"/>
              <w:right w:val="single" w:color="auto" w:sz="4" w:space="0"/>
            </w:tcBorders>
            <w:vAlign w:val="center"/>
          </w:tcPr>
          <w:p w14:paraId="0046B44E">
            <w:pPr>
              <w:pageBreakBefore w:val="0"/>
              <w:wordWrap w:val="0"/>
              <w:overflowPunct/>
              <w:bidi w:val="0"/>
              <w:jc w:val="center"/>
              <w:rPr>
                <w:color w:val="auto"/>
              </w:rPr>
            </w:pPr>
            <w:r>
              <w:rPr>
                <w:rFonts w:hint="eastAsia"/>
                <w:color w:val="auto"/>
              </w:rPr>
              <w:t>提供  是</w:t>
            </w:r>
            <w:r>
              <w:rPr>
                <w:rFonts w:hint="eastAsia" w:cs="仿宋"/>
                <w:color w:val="auto"/>
              </w:rPr>
              <w:t>☑</w:t>
            </w:r>
            <w:r>
              <w:rPr>
                <w:color w:val="auto"/>
              </w:rPr>
              <w:t xml:space="preserve">    </w:t>
            </w:r>
            <w:r>
              <w:rPr>
                <w:rFonts w:hint="eastAsia"/>
                <w:color w:val="auto"/>
              </w:rPr>
              <w:t>否</w:t>
            </w:r>
            <w:r>
              <w:rPr>
                <w:rFonts w:hint="eastAsia" w:cs="仿宋"/>
                <w:color w:val="auto"/>
              </w:rPr>
              <w:t>□</w:t>
            </w:r>
          </w:p>
        </w:tc>
        <w:tc>
          <w:tcPr>
            <w:tcW w:w="6289" w:type="dxa"/>
            <w:tcBorders>
              <w:top w:val="nil"/>
              <w:left w:val="nil"/>
              <w:bottom w:val="single" w:color="auto" w:sz="4" w:space="0"/>
              <w:right w:val="single" w:color="auto" w:sz="4" w:space="0"/>
            </w:tcBorders>
            <w:vAlign w:val="center"/>
          </w:tcPr>
          <w:p w14:paraId="2948DE1B">
            <w:pPr>
              <w:pageBreakBefore w:val="0"/>
              <w:wordWrap w:val="0"/>
              <w:overflowPunct/>
              <w:bidi w:val="0"/>
              <w:rPr>
                <w:color w:val="auto"/>
              </w:rPr>
            </w:pPr>
            <w:r>
              <w:rPr>
                <w:rFonts w:hint="eastAsia"/>
                <w:color w:val="auto"/>
              </w:rPr>
              <w:t>(1)法定代表人授权委托书原件(法定代表人报名的除外)，法定代表人身份证明书。</w:t>
            </w:r>
          </w:p>
        </w:tc>
      </w:tr>
      <w:tr w14:paraId="15EE9663">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14:paraId="305A1691">
            <w:pPr>
              <w:pageBreakBefore w:val="0"/>
              <w:wordWrap w:val="0"/>
              <w:overflowPunct/>
              <w:bidi w:val="0"/>
              <w:jc w:val="center"/>
              <w:rPr>
                <w:color w:val="auto"/>
              </w:rPr>
            </w:pPr>
            <w:r>
              <w:rPr>
                <w:rFonts w:hint="eastAsia"/>
                <w:color w:val="auto"/>
              </w:rPr>
              <w:t>提供  是</w:t>
            </w:r>
            <w:r>
              <w:rPr>
                <w:rFonts w:hint="eastAsia" w:cs="仿宋"/>
                <w:color w:val="auto"/>
              </w:rPr>
              <w:t>☑</w:t>
            </w:r>
            <w:r>
              <w:rPr>
                <w:color w:val="auto"/>
              </w:rPr>
              <w:t xml:space="preserve">    </w:t>
            </w:r>
            <w:r>
              <w:rPr>
                <w:rFonts w:hint="eastAsia"/>
                <w:color w:val="auto"/>
              </w:rPr>
              <w:t>否</w:t>
            </w:r>
            <w:r>
              <w:rPr>
                <w:rFonts w:hint="eastAsia" w:cs="仿宋"/>
                <w:color w:val="auto"/>
              </w:rPr>
              <w:t>□</w:t>
            </w:r>
          </w:p>
        </w:tc>
        <w:tc>
          <w:tcPr>
            <w:tcW w:w="6289" w:type="dxa"/>
            <w:tcBorders>
              <w:top w:val="nil"/>
              <w:left w:val="nil"/>
              <w:bottom w:val="single" w:color="auto" w:sz="4" w:space="0"/>
              <w:right w:val="single" w:color="auto" w:sz="4" w:space="0"/>
            </w:tcBorders>
            <w:vAlign w:val="center"/>
          </w:tcPr>
          <w:p w14:paraId="47577F2E">
            <w:pPr>
              <w:pageBreakBefore w:val="0"/>
              <w:wordWrap w:val="0"/>
              <w:overflowPunct/>
              <w:bidi w:val="0"/>
              <w:rPr>
                <w:color w:val="auto"/>
              </w:rPr>
            </w:pPr>
            <w:r>
              <w:rPr>
                <w:rFonts w:hint="eastAsia"/>
                <w:color w:val="auto"/>
              </w:rPr>
              <w:t>(2)法定代表人或授权其委托代理人居民身份证</w:t>
            </w:r>
          </w:p>
        </w:tc>
      </w:tr>
      <w:tr w14:paraId="1CAF218D">
        <w:tblPrEx>
          <w:tblCellMar>
            <w:top w:w="0" w:type="dxa"/>
            <w:left w:w="108" w:type="dxa"/>
            <w:bottom w:w="0" w:type="dxa"/>
            <w:right w:w="108" w:type="dxa"/>
          </w:tblCellMar>
        </w:tblPrEx>
        <w:trPr>
          <w:trHeight w:val="935" w:hRule="atLeast"/>
          <w:jc w:val="center"/>
        </w:trPr>
        <w:tc>
          <w:tcPr>
            <w:tcW w:w="2610" w:type="dxa"/>
            <w:tcBorders>
              <w:top w:val="nil"/>
              <w:left w:val="single" w:color="auto" w:sz="4" w:space="0"/>
              <w:bottom w:val="single" w:color="auto" w:sz="4" w:space="0"/>
              <w:right w:val="single" w:color="auto" w:sz="4" w:space="0"/>
            </w:tcBorders>
            <w:vAlign w:val="center"/>
          </w:tcPr>
          <w:p w14:paraId="3EDCBF90">
            <w:pPr>
              <w:pageBreakBefore w:val="0"/>
              <w:wordWrap w:val="0"/>
              <w:overflowPunct/>
              <w:bidi w:val="0"/>
              <w:jc w:val="center"/>
              <w:rPr>
                <w:color w:val="auto"/>
              </w:rPr>
            </w:pPr>
            <w:r>
              <w:rPr>
                <w:rFonts w:hint="eastAsia"/>
                <w:color w:val="auto"/>
              </w:rPr>
              <w:t>提供  是</w:t>
            </w:r>
            <w:r>
              <w:rPr>
                <w:rFonts w:hint="eastAsia" w:cs="仿宋"/>
                <w:color w:val="auto"/>
              </w:rPr>
              <w:t>☑</w:t>
            </w:r>
            <w:r>
              <w:rPr>
                <w:color w:val="auto"/>
              </w:rPr>
              <w:t xml:space="preserve">    </w:t>
            </w:r>
            <w:r>
              <w:rPr>
                <w:rFonts w:hint="eastAsia"/>
                <w:color w:val="auto"/>
              </w:rPr>
              <w:t>否</w:t>
            </w:r>
            <w:r>
              <w:rPr>
                <w:rFonts w:hint="eastAsia" w:cs="仿宋"/>
                <w:color w:val="auto"/>
              </w:rPr>
              <w:t>□</w:t>
            </w:r>
          </w:p>
        </w:tc>
        <w:tc>
          <w:tcPr>
            <w:tcW w:w="6289" w:type="dxa"/>
            <w:tcBorders>
              <w:top w:val="nil"/>
              <w:left w:val="nil"/>
              <w:bottom w:val="single" w:color="auto" w:sz="4" w:space="0"/>
              <w:right w:val="single" w:color="auto" w:sz="4" w:space="0"/>
            </w:tcBorders>
            <w:vAlign w:val="center"/>
          </w:tcPr>
          <w:p w14:paraId="6AF8B536">
            <w:pPr>
              <w:pageBreakBefore w:val="0"/>
              <w:wordWrap w:val="0"/>
              <w:overflowPunct/>
              <w:bidi w:val="0"/>
              <w:rPr>
                <w:color w:val="auto"/>
              </w:rPr>
            </w:pPr>
            <w:r>
              <w:rPr>
                <w:color w:val="auto"/>
              </w:rPr>
              <w:t>(</w:t>
            </w:r>
            <w:r>
              <w:rPr>
                <w:rFonts w:hint="eastAsia"/>
                <w:color w:val="auto"/>
              </w:rPr>
              <w:t>3</w:t>
            </w:r>
            <w:r>
              <w:rPr>
                <w:color w:val="auto"/>
              </w:rPr>
              <w:t>)</w:t>
            </w:r>
            <w:r>
              <w:rPr>
                <w:rFonts w:hint="eastAsia"/>
                <w:color w:val="auto"/>
              </w:rPr>
              <w:t>云南省消防救援总队政府采购廉洁提示卡、云南省消防救援总队政府采购供应商廉洁守法承诺书</w:t>
            </w:r>
          </w:p>
        </w:tc>
      </w:tr>
      <w:tr w14:paraId="0F078437">
        <w:tblPrEx>
          <w:tblCellMar>
            <w:top w:w="0" w:type="dxa"/>
            <w:left w:w="108" w:type="dxa"/>
            <w:bottom w:w="0" w:type="dxa"/>
            <w:right w:w="108" w:type="dxa"/>
          </w:tblCellMar>
        </w:tblPrEx>
        <w:trPr>
          <w:trHeight w:val="472" w:hRule="atLeast"/>
          <w:jc w:val="center"/>
        </w:trPr>
        <w:tc>
          <w:tcPr>
            <w:tcW w:w="2610" w:type="dxa"/>
            <w:tcBorders>
              <w:top w:val="nil"/>
              <w:left w:val="single" w:color="auto" w:sz="4" w:space="0"/>
              <w:bottom w:val="single" w:color="auto" w:sz="4" w:space="0"/>
              <w:right w:val="single" w:color="auto" w:sz="4" w:space="0"/>
            </w:tcBorders>
            <w:vAlign w:val="center"/>
          </w:tcPr>
          <w:p w14:paraId="47440116">
            <w:pPr>
              <w:pageBreakBefore w:val="0"/>
              <w:wordWrap w:val="0"/>
              <w:overflowPunct/>
              <w:bidi w:val="0"/>
              <w:jc w:val="center"/>
              <w:rPr>
                <w:color w:val="auto"/>
              </w:rPr>
            </w:pPr>
            <w:r>
              <w:rPr>
                <w:rFonts w:hint="eastAsia"/>
                <w:color w:val="auto"/>
              </w:rPr>
              <w:t>提供  是</w:t>
            </w:r>
            <w:r>
              <w:rPr>
                <w:rFonts w:hint="eastAsia" w:cs="仿宋"/>
                <w:color w:val="auto"/>
              </w:rPr>
              <w:t>☑</w:t>
            </w:r>
            <w:r>
              <w:rPr>
                <w:color w:val="auto"/>
              </w:rPr>
              <w:t xml:space="preserve">    </w:t>
            </w:r>
            <w:r>
              <w:rPr>
                <w:rFonts w:hint="eastAsia"/>
                <w:color w:val="auto"/>
              </w:rPr>
              <w:t>否</w:t>
            </w:r>
            <w:r>
              <w:rPr>
                <w:rFonts w:hint="eastAsia" w:cs="仿宋"/>
                <w:color w:val="auto"/>
              </w:rPr>
              <w:t>□</w:t>
            </w:r>
          </w:p>
        </w:tc>
        <w:tc>
          <w:tcPr>
            <w:tcW w:w="6289" w:type="dxa"/>
            <w:tcBorders>
              <w:top w:val="nil"/>
              <w:left w:val="nil"/>
              <w:bottom w:val="single" w:color="auto" w:sz="4" w:space="0"/>
              <w:right w:val="single" w:color="auto" w:sz="4" w:space="0"/>
            </w:tcBorders>
            <w:vAlign w:val="center"/>
          </w:tcPr>
          <w:p w14:paraId="35F5C571">
            <w:pPr>
              <w:pageBreakBefore w:val="0"/>
              <w:wordWrap w:val="0"/>
              <w:overflowPunct/>
              <w:bidi w:val="0"/>
              <w:rPr>
                <w:color w:val="auto"/>
              </w:rPr>
            </w:pPr>
            <w:r>
              <w:rPr>
                <w:color w:val="auto"/>
              </w:rPr>
              <w:t>(</w:t>
            </w:r>
            <w:r>
              <w:rPr>
                <w:rFonts w:hint="eastAsia"/>
                <w:color w:val="auto"/>
              </w:rPr>
              <w:t>4</w:t>
            </w:r>
            <w:r>
              <w:rPr>
                <w:color w:val="auto"/>
              </w:rPr>
              <w:t>)</w:t>
            </w:r>
            <w:r>
              <w:rPr>
                <w:rFonts w:hint="eastAsia"/>
                <w:color w:val="auto"/>
              </w:rPr>
              <w:t>招标资料获取确认</w:t>
            </w:r>
          </w:p>
        </w:tc>
      </w:tr>
      <w:tr w14:paraId="207E27DE">
        <w:tblPrEx>
          <w:tblCellMar>
            <w:top w:w="0" w:type="dxa"/>
            <w:left w:w="108" w:type="dxa"/>
            <w:bottom w:w="0" w:type="dxa"/>
            <w:right w:w="108" w:type="dxa"/>
          </w:tblCellMar>
        </w:tblPrEx>
        <w:trPr>
          <w:trHeight w:val="472" w:hRule="atLeast"/>
          <w:jc w:val="center"/>
        </w:trPr>
        <w:tc>
          <w:tcPr>
            <w:tcW w:w="8899" w:type="dxa"/>
            <w:gridSpan w:val="2"/>
            <w:tcBorders>
              <w:top w:val="nil"/>
              <w:left w:val="single" w:color="auto" w:sz="4" w:space="0"/>
              <w:bottom w:val="single" w:color="auto" w:sz="4" w:space="0"/>
              <w:right w:val="single" w:color="auto" w:sz="4" w:space="0"/>
            </w:tcBorders>
            <w:vAlign w:val="center"/>
          </w:tcPr>
          <w:p w14:paraId="50742C2A">
            <w:pPr>
              <w:pageBreakBefore w:val="0"/>
              <w:wordWrap w:val="0"/>
              <w:overflowPunct/>
              <w:bidi w:val="0"/>
              <w:ind w:firstLine="422"/>
              <w:jc w:val="center"/>
              <w:rPr>
                <w:color w:val="auto"/>
              </w:rPr>
            </w:pPr>
            <w:r>
              <w:rPr>
                <w:rFonts w:hint="eastAsia"/>
                <w:b/>
                <w:bCs/>
                <w:color w:val="auto"/>
              </w:rPr>
              <w:t>获取资料内容</w:t>
            </w:r>
          </w:p>
        </w:tc>
      </w:tr>
      <w:tr w14:paraId="32D5B59F">
        <w:tblPrEx>
          <w:tblCellMar>
            <w:top w:w="0" w:type="dxa"/>
            <w:left w:w="108" w:type="dxa"/>
            <w:bottom w:w="0" w:type="dxa"/>
            <w:right w:w="108" w:type="dxa"/>
          </w:tblCellMar>
        </w:tblPrEx>
        <w:trPr>
          <w:trHeight w:val="803" w:hRule="atLeast"/>
          <w:jc w:val="center"/>
        </w:trPr>
        <w:tc>
          <w:tcPr>
            <w:tcW w:w="2610" w:type="dxa"/>
            <w:tcBorders>
              <w:top w:val="nil"/>
              <w:left w:val="single" w:color="auto" w:sz="4" w:space="0"/>
              <w:bottom w:val="single" w:color="auto" w:sz="4" w:space="0"/>
              <w:right w:val="single" w:color="auto" w:sz="4" w:space="0"/>
            </w:tcBorders>
            <w:vAlign w:val="center"/>
          </w:tcPr>
          <w:p w14:paraId="078A5A24">
            <w:pPr>
              <w:pageBreakBefore w:val="0"/>
              <w:wordWrap w:val="0"/>
              <w:overflowPunct/>
              <w:bidi w:val="0"/>
              <w:jc w:val="center"/>
              <w:rPr>
                <w:color w:val="auto"/>
              </w:rPr>
            </w:pPr>
            <w:r>
              <w:rPr>
                <w:rFonts w:hint="eastAsia"/>
                <w:color w:val="auto"/>
              </w:rPr>
              <w:t>提供  是</w:t>
            </w:r>
            <w:r>
              <w:rPr>
                <w:rFonts w:hint="eastAsia" w:cs="仿宋"/>
                <w:color w:val="auto"/>
              </w:rPr>
              <w:t>☑</w:t>
            </w:r>
            <w:r>
              <w:rPr>
                <w:color w:val="auto"/>
              </w:rPr>
              <w:t xml:space="preserve">    </w:t>
            </w:r>
            <w:r>
              <w:rPr>
                <w:rFonts w:hint="eastAsia"/>
                <w:color w:val="auto"/>
              </w:rPr>
              <w:t>否</w:t>
            </w:r>
            <w:r>
              <w:rPr>
                <w:rFonts w:hint="eastAsia" w:cs="仿宋"/>
                <w:color w:val="auto"/>
              </w:rPr>
              <w:t>□</w:t>
            </w:r>
          </w:p>
        </w:tc>
        <w:tc>
          <w:tcPr>
            <w:tcW w:w="6289" w:type="dxa"/>
            <w:tcBorders>
              <w:top w:val="nil"/>
              <w:left w:val="nil"/>
              <w:bottom w:val="single" w:color="auto" w:sz="4" w:space="0"/>
              <w:right w:val="single" w:color="auto" w:sz="4" w:space="0"/>
            </w:tcBorders>
            <w:vAlign w:val="center"/>
          </w:tcPr>
          <w:p w14:paraId="732408BF">
            <w:pPr>
              <w:pageBreakBefore w:val="0"/>
              <w:wordWrap w:val="0"/>
              <w:overflowPunct/>
              <w:bidi w:val="0"/>
              <w:ind w:firstLine="360"/>
              <w:rPr>
                <w:color w:val="auto"/>
              </w:rPr>
            </w:pPr>
            <w:r>
              <w:rPr>
                <w:rFonts w:hint="eastAsia" w:ascii="黑体" w:hAnsi="黑体" w:eastAsia="黑体" w:cs="黑体"/>
                <w:color w:val="auto"/>
                <w:sz w:val="18"/>
                <w:szCs w:val="18"/>
                <w:lang w:eastAsia="zh-CN"/>
                <w14:textOutline w14:w="3263" w14:cap="flat" w14:cmpd="sng" w14:algn="ctr">
                  <w14:solidFill>
                    <w14:srgbClr w14:val="000000"/>
                  </w14:solidFill>
                  <w14:prstDash w14:val="solid"/>
                  <w14:miter w14:val="0"/>
                </w14:textOutline>
              </w:rPr>
              <w:t>云南省消防救援总队2023年“自然灾害应急能力提升工程”装备配备项目（车辆部分）第一批次（二次招标）</w:t>
            </w:r>
            <w:r>
              <w:rPr>
                <w:rFonts w:hint="eastAsia" w:ascii="黑体" w:hAnsi="黑体" w:eastAsia="黑体" w:cs="黑体"/>
                <w:color w:val="auto"/>
                <w:sz w:val="18"/>
                <w:szCs w:val="18"/>
                <w14:textOutline w14:w="3263" w14:cap="flat" w14:cmpd="sng" w14:algn="ctr">
                  <w14:solidFill>
                    <w14:srgbClr w14:val="000000"/>
                  </w14:solidFill>
                  <w14:prstDash w14:val="solid"/>
                  <w14:miter w14:val="0"/>
                </w14:textOutline>
              </w:rPr>
              <w:t>招标文件</w:t>
            </w:r>
          </w:p>
        </w:tc>
      </w:tr>
      <w:tr w14:paraId="31820C85">
        <w:tblPrEx>
          <w:tblCellMar>
            <w:top w:w="0" w:type="dxa"/>
            <w:left w:w="108" w:type="dxa"/>
            <w:bottom w:w="0" w:type="dxa"/>
            <w:right w:w="108" w:type="dxa"/>
          </w:tblCellMar>
        </w:tblPrEx>
        <w:trPr>
          <w:trHeight w:val="946" w:hRule="atLeast"/>
          <w:jc w:val="center"/>
        </w:trPr>
        <w:tc>
          <w:tcPr>
            <w:tcW w:w="2610" w:type="dxa"/>
            <w:tcBorders>
              <w:top w:val="nil"/>
              <w:left w:val="single" w:color="auto" w:sz="4" w:space="0"/>
              <w:bottom w:val="single" w:color="auto" w:sz="4" w:space="0"/>
              <w:right w:val="single" w:color="auto" w:sz="4" w:space="0"/>
            </w:tcBorders>
            <w:vAlign w:val="center"/>
          </w:tcPr>
          <w:p w14:paraId="1531E9C6">
            <w:pPr>
              <w:pageBreakBefore w:val="0"/>
              <w:wordWrap w:val="0"/>
              <w:overflowPunct/>
              <w:bidi w:val="0"/>
              <w:jc w:val="center"/>
              <w:rPr>
                <w:color w:val="auto"/>
              </w:rPr>
            </w:pPr>
            <w:r>
              <w:rPr>
                <w:rFonts w:hint="eastAsia"/>
                <w:color w:val="auto"/>
              </w:rPr>
              <w:t>备注</w:t>
            </w:r>
          </w:p>
        </w:tc>
        <w:tc>
          <w:tcPr>
            <w:tcW w:w="6289" w:type="dxa"/>
            <w:tcBorders>
              <w:top w:val="nil"/>
              <w:left w:val="nil"/>
              <w:bottom w:val="single" w:color="auto" w:sz="4" w:space="0"/>
              <w:right w:val="single" w:color="auto" w:sz="4" w:space="0"/>
            </w:tcBorders>
            <w:vAlign w:val="center"/>
          </w:tcPr>
          <w:p w14:paraId="7E678495">
            <w:pPr>
              <w:pageBreakBefore w:val="0"/>
              <w:wordWrap w:val="0"/>
              <w:overflowPunct/>
              <w:bidi w:val="0"/>
              <w:rPr>
                <w:color w:val="auto"/>
              </w:rPr>
            </w:pPr>
            <w:r>
              <w:rPr>
                <w:rFonts w:hint="eastAsia"/>
                <w:color w:val="auto"/>
              </w:rPr>
              <w:t>各投标人请根据招标公告中所列明的现场获取或邮件或邮寄方式获取招标文件的要求，按要求提供报名资料。</w:t>
            </w:r>
          </w:p>
        </w:tc>
      </w:tr>
    </w:tbl>
    <w:p w14:paraId="3564B1EF">
      <w:pPr>
        <w:pageBreakBefore w:val="0"/>
        <w:wordWrap w:val="0"/>
        <w:overflowPunct/>
        <w:bidi w:val="0"/>
        <w:ind w:firstLine="560"/>
        <w:rPr>
          <w:rFonts w:ascii="方正小标宋_GBK" w:hAnsi="Times New Roman" w:eastAsia="方正小标宋_GBK" w:cs="Times New Roman"/>
          <w:color w:val="auto"/>
          <w:sz w:val="28"/>
          <w:szCs w:val="28"/>
        </w:rPr>
      </w:pPr>
      <w:r>
        <w:rPr>
          <w:rFonts w:hint="eastAsia" w:ascii="方正小标宋_GBK" w:hAnsi="Times New Roman" w:eastAsia="方正小标宋_GBK" w:cs="Times New Roman"/>
          <w:color w:val="auto"/>
          <w:sz w:val="28"/>
          <w:szCs w:val="28"/>
        </w:rPr>
        <w:br w:type="page"/>
      </w:r>
    </w:p>
    <w:p w14:paraId="491F3D18">
      <w:pPr>
        <w:pageBreakBefore w:val="0"/>
        <w:widowControl w:val="0"/>
        <w:wordWrap w:val="0"/>
        <w:overflowPunct/>
        <w:bidi w:val="0"/>
        <w:adjustRightInd/>
        <w:snapToGrid/>
        <w:spacing w:line="400" w:lineRule="exact"/>
        <w:ind w:firstLine="0" w:firstLineChars="0"/>
        <w:jc w:val="both"/>
        <w:rPr>
          <w:rFonts w:ascii="方正小标宋_GBK" w:hAnsi="Times New Roman" w:eastAsia="方正小标宋_GBK" w:cs="Times New Roman"/>
          <w:color w:val="auto"/>
          <w:sz w:val="28"/>
          <w:szCs w:val="28"/>
        </w:rPr>
      </w:pPr>
      <w:r>
        <w:rPr>
          <w:rFonts w:hint="eastAsia" w:ascii="方正小标宋_GBK" w:hAnsi="Times New Roman" w:eastAsia="方正小标宋_GBK" w:cs="Times New Roman"/>
          <w:color w:val="auto"/>
          <w:sz w:val="28"/>
          <w:szCs w:val="28"/>
        </w:rPr>
        <w:t>附件二</w:t>
      </w:r>
    </w:p>
    <w:p w14:paraId="10E42BEF">
      <w:pPr>
        <w:pageBreakBefore w:val="0"/>
        <w:widowControl w:val="0"/>
        <w:wordWrap w:val="0"/>
        <w:overflowPunct/>
        <w:bidi w:val="0"/>
        <w:adjustRightInd/>
        <w:snapToGrid/>
        <w:spacing w:line="595" w:lineRule="exact"/>
        <w:ind w:firstLine="0" w:firstLineChars="0"/>
        <w:jc w:val="center"/>
        <w:rPr>
          <w:rFonts w:ascii="方正小标宋_GBK" w:hAnsi="Times New Roman" w:eastAsia="方正小标宋_GBK" w:cs="Times New Roman"/>
          <w:color w:val="auto"/>
          <w:sz w:val="32"/>
          <w:szCs w:val="32"/>
        </w:rPr>
      </w:pPr>
      <w:r>
        <w:rPr>
          <w:rFonts w:hint="eastAsia" w:ascii="方正小标宋_GBK" w:hAnsi="Times New Roman" w:eastAsia="方正小标宋_GBK" w:cs="Times New Roman"/>
          <w:color w:val="auto"/>
          <w:sz w:val="32"/>
          <w:szCs w:val="32"/>
        </w:rPr>
        <w:t>云南省消防救援总队政府采购</w:t>
      </w:r>
    </w:p>
    <w:p w14:paraId="3E5BAA53">
      <w:pPr>
        <w:pageBreakBefore w:val="0"/>
        <w:widowControl w:val="0"/>
        <w:wordWrap w:val="0"/>
        <w:overflowPunct/>
        <w:bidi w:val="0"/>
        <w:adjustRightInd/>
        <w:snapToGrid/>
        <w:spacing w:line="595" w:lineRule="exact"/>
        <w:ind w:firstLine="0" w:firstLineChars="0"/>
        <w:jc w:val="center"/>
        <w:rPr>
          <w:rFonts w:ascii="方正小标宋_GBK" w:hAnsi="Times New Roman" w:eastAsia="方正小标宋_GBK" w:cs="Times New Roman"/>
          <w:color w:val="auto"/>
          <w:sz w:val="32"/>
          <w:szCs w:val="32"/>
        </w:rPr>
      </w:pPr>
      <w:r>
        <w:rPr>
          <w:rFonts w:hint="eastAsia" w:ascii="方正小标宋_GBK" w:hAnsi="Times New Roman" w:eastAsia="方正小标宋_GBK" w:cs="Times New Roman"/>
          <w:color w:val="auto"/>
          <w:sz w:val="32"/>
          <w:szCs w:val="32"/>
        </w:rPr>
        <w:t>廉洁提示卡</w:t>
      </w:r>
    </w:p>
    <w:p w14:paraId="77BC191A">
      <w:pPr>
        <w:pageBreakBefore w:val="0"/>
        <w:widowControl w:val="0"/>
        <w:wordWrap w:val="0"/>
        <w:overflowPunct/>
        <w:bidi w:val="0"/>
        <w:adjustRightInd/>
        <w:snapToGrid/>
        <w:spacing w:line="595" w:lineRule="exact"/>
        <w:ind w:firstLine="0" w:firstLineChars="0"/>
        <w:rPr>
          <w:color w:val="auto"/>
        </w:rPr>
      </w:pPr>
      <w:r>
        <w:rPr>
          <w:rFonts w:hint="eastAsia"/>
          <w:color w:val="auto"/>
        </w:rPr>
        <w:t>1.不得与他人串通，泄露招标投标机密。</w:t>
      </w:r>
    </w:p>
    <w:p w14:paraId="25B06503">
      <w:pPr>
        <w:pageBreakBefore w:val="0"/>
        <w:widowControl w:val="0"/>
        <w:wordWrap w:val="0"/>
        <w:overflowPunct/>
        <w:bidi w:val="0"/>
        <w:adjustRightInd/>
        <w:snapToGrid/>
        <w:spacing w:line="595" w:lineRule="exact"/>
        <w:ind w:firstLine="0" w:firstLineChars="0"/>
        <w:rPr>
          <w:color w:val="auto"/>
        </w:rPr>
      </w:pPr>
      <w:r>
        <w:rPr>
          <w:rFonts w:hint="eastAsia"/>
          <w:color w:val="auto"/>
        </w:rPr>
        <w:t>2.不得与采购人、供应商串通投标。</w:t>
      </w:r>
    </w:p>
    <w:p w14:paraId="4DB0A393">
      <w:pPr>
        <w:pageBreakBefore w:val="0"/>
        <w:widowControl w:val="0"/>
        <w:wordWrap w:val="0"/>
        <w:overflowPunct/>
        <w:bidi w:val="0"/>
        <w:adjustRightInd/>
        <w:snapToGrid/>
        <w:spacing w:line="595" w:lineRule="exact"/>
        <w:ind w:firstLine="0" w:firstLineChars="0"/>
        <w:rPr>
          <w:color w:val="auto"/>
        </w:rPr>
      </w:pPr>
      <w:r>
        <w:rPr>
          <w:rFonts w:hint="eastAsia"/>
          <w:color w:val="auto"/>
        </w:rPr>
        <w:t>3.不得向评标专家支付合理报酬以外的费用，包括并不限于现金、购物卡、礼品、实物等，不得进行其他可能影响客观公正评审的活动。</w:t>
      </w:r>
    </w:p>
    <w:p w14:paraId="0A275D6D">
      <w:pPr>
        <w:pageBreakBefore w:val="0"/>
        <w:widowControl w:val="0"/>
        <w:wordWrap w:val="0"/>
        <w:overflowPunct/>
        <w:bidi w:val="0"/>
        <w:adjustRightInd/>
        <w:snapToGrid/>
        <w:spacing w:line="595" w:lineRule="exact"/>
        <w:ind w:firstLine="0" w:firstLineChars="0"/>
        <w:rPr>
          <w:color w:val="auto"/>
        </w:rPr>
      </w:pPr>
      <w:r>
        <w:rPr>
          <w:rFonts w:hint="eastAsia"/>
          <w:color w:val="auto"/>
        </w:rPr>
        <w:t>4.不得向招标投标监督人员或机构请客、送礼及组织其它有可能影响客观公正监督的活动。</w:t>
      </w:r>
    </w:p>
    <w:p w14:paraId="70FFA49E">
      <w:pPr>
        <w:pageBreakBefore w:val="0"/>
        <w:widowControl w:val="0"/>
        <w:wordWrap w:val="0"/>
        <w:overflowPunct/>
        <w:bidi w:val="0"/>
        <w:adjustRightInd/>
        <w:snapToGrid/>
        <w:spacing w:line="595" w:lineRule="exact"/>
        <w:ind w:firstLine="0" w:firstLineChars="0"/>
        <w:rPr>
          <w:color w:val="auto"/>
        </w:rPr>
      </w:pPr>
      <w:r>
        <w:rPr>
          <w:rFonts w:hint="eastAsia"/>
          <w:color w:val="auto"/>
        </w:rPr>
        <w:t>5.不得向采购人提供不正当利益，以谋求合作关系。</w:t>
      </w:r>
    </w:p>
    <w:p w14:paraId="5B72D491">
      <w:pPr>
        <w:pageBreakBefore w:val="0"/>
        <w:widowControl w:val="0"/>
        <w:wordWrap w:val="0"/>
        <w:overflowPunct/>
        <w:bidi w:val="0"/>
        <w:adjustRightInd/>
        <w:snapToGrid/>
        <w:spacing w:line="595" w:lineRule="exact"/>
        <w:ind w:firstLine="0" w:firstLineChars="0"/>
        <w:rPr>
          <w:color w:val="auto"/>
        </w:rPr>
      </w:pPr>
      <w:r>
        <w:rPr>
          <w:rFonts w:hint="eastAsia"/>
          <w:color w:val="auto"/>
        </w:rPr>
        <w:t>6.不得采取恶性竞争等不正当手段竞争业务。</w:t>
      </w:r>
    </w:p>
    <w:p w14:paraId="2BA19331">
      <w:pPr>
        <w:pageBreakBefore w:val="0"/>
        <w:widowControl w:val="0"/>
        <w:wordWrap w:val="0"/>
        <w:overflowPunct/>
        <w:bidi w:val="0"/>
        <w:adjustRightInd/>
        <w:snapToGrid/>
        <w:spacing w:line="595" w:lineRule="exact"/>
        <w:ind w:firstLine="0" w:firstLineChars="0"/>
        <w:rPr>
          <w:color w:val="auto"/>
        </w:rPr>
      </w:pPr>
      <w:r>
        <w:rPr>
          <w:rFonts w:hint="eastAsia"/>
          <w:color w:val="auto"/>
        </w:rPr>
        <w:t>7.禁止一切行贿行为。</w:t>
      </w:r>
    </w:p>
    <w:p w14:paraId="436881D2">
      <w:pPr>
        <w:pageBreakBefore w:val="0"/>
        <w:widowControl w:val="0"/>
        <w:wordWrap w:val="0"/>
        <w:overflowPunct/>
        <w:bidi w:val="0"/>
        <w:adjustRightInd/>
        <w:snapToGrid/>
        <w:spacing w:line="595" w:lineRule="exact"/>
        <w:ind w:firstLine="0" w:firstLineChars="0"/>
        <w:rPr>
          <w:color w:val="auto"/>
        </w:rPr>
      </w:pPr>
      <w:r>
        <w:rPr>
          <w:rFonts w:hint="eastAsia"/>
          <w:color w:val="auto"/>
        </w:rPr>
        <w:t>8.禁止一切索贿、受贿等行为。</w:t>
      </w:r>
    </w:p>
    <w:p w14:paraId="4F529629">
      <w:pPr>
        <w:pageBreakBefore w:val="0"/>
        <w:widowControl w:val="0"/>
        <w:wordWrap w:val="0"/>
        <w:overflowPunct/>
        <w:bidi w:val="0"/>
        <w:adjustRightInd/>
        <w:snapToGrid/>
        <w:spacing w:line="595" w:lineRule="exact"/>
        <w:ind w:firstLine="0" w:firstLineChars="0"/>
        <w:rPr>
          <w:color w:val="auto"/>
        </w:rPr>
      </w:pPr>
      <w:r>
        <w:rPr>
          <w:rFonts w:hint="eastAsia"/>
          <w:color w:val="auto"/>
        </w:rPr>
        <w:t>9.严格遵守国家、地方以及监管部门关于加强党风廉政建设的各项规定，杜绝违纪违法行为的发生。</w:t>
      </w:r>
    </w:p>
    <w:p w14:paraId="4C995682">
      <w:pPr>
        <w:pageBreakBefore w:val="0"/>
        <w:widowControl w:val="0"/>
        <w:wordWrap w:val="0"/>
        <w:overflowPunct/>
        <w:bidi w:val="0"/>
        <w:adjustRightInd/>
        <w:snapToGrid/>
        <w:spacing w:line="595" w:lineRule="exact"/>
        <w:ind w:firstLine="0" w:firstLineChars="0"/>
        <w:rPr>
          <w:color w:val="auto"/>
        </w:rPr>
      </w:pPr>
      <w:r>
        <w:rPr>
          <w:rFonts w:hint="eastAsia"/>
          <w:color w:val="auto"/>
        </w:rPr>
        <w:t>10.发现违纪违规行为，可通过电话、信件或扫描下方二维码进行举报。</w:t>
      </w:r>
    </w:p>
    <w:p w14:paraId="00AFCBBA">
      <w:pPr>
        <w:pageBreakBefore w:val="0"/>
        <w:widowControl w:val="0"/>
        <w:wordWrap w:val="0"/>
        <w:overflowPunct/>
        <w:bidi w:val="0"/>
        <w:adjustRightInd/>
        <w:snapToGrid/>
        <w:spacing w:line="595" w:lineRule="exact"/>
        <w:ind w:firstLine="0" w:firstLineChars="0"/>
        <w:rPr>
          <w:color w:val="auto"/>
        </w:rPr>
      </w:pPr>
      <w:r>
        <w:rPr>
          <w:rFonts w:hint="eastAsia"/>
          <w:color w:val="auto"/>
        </w:rPr>
        <w:t>电话：0871-64569418</w:t>
      </w:r>
    </w:p>
    <w:p w14:paraId="01265F9B">
      <w:pPr>
        <w:pageBreakBefore w:val="0"/>
        <w:wordWrap w:val="0"/>
        <w:overflowPunct/>
        <w:bidi w:val="0"/>
        <w:adjustRightInd/>
        <w:snapToGrid/>
        <w:spacing w:line="440" w:lineRule="exact"/>
        <w:ind w:firstLine="0" w:firstLineChars="0"/>
        <w:rPr>
          <w:color w:val="auto"/>
        </w:rPr>
      </w:pPr>
      <w:r>
        <w:rPr>
          <w:rFonts w:hint="eastAsia"/>
          <w:color w:val="auto"/>
        </w:rPr>
        <w:drawing>
          <wp:anchor distT="0" distB="0" distL="0" distR="0" simplePos="0" relativeHeight="251661312" behindDoc="0" locked="0" layoutInCell="1" allowOverlap="1">
            <wp:simplePos x="0" y="0"/>
            <wp:positionH relativeFrom="column">
              <wp:posOffset>4175760</wp:posOffset>
            </wp:positionH>
            <wp:positionV relativeFrom="paragraph">
              <wp:posOffset>330835</wp:posOffset>
            </wp:positionV>
            <wp:extent cx="1238250" cy="1238250"/>
            <wp:effectExtent l="0" t="0" r="0" b="0"/>
            <wp:wrapSquare wrapText="bothSides"/>
            <wp:docPr id="1" name="图片 6"/>
            <wp:cNvGraphicFramePr/>
            <a:graphic xmlns:a="http://schemas.openxmlformats.org/drawingml/2006/main">
              <a:graphicData uri="http://schemas.openxmlformats.org/drawingml/2006/picture">
                <pic:pic xmlns:pic="http://schemas.openxmlformats.org/drawingml/2006/picture">
                  <pic:nvPicPr>
                    <pic:cNvPr id="1" name="图片 6"/>
                    <pic:cNvPicPr/>
                  </pic:nvPicPr>
                  <pic:blipFill>
                    <a:blip r:embed="rId16" cstate="print"/>
                    <a:srcRect/>
                    <a:stretch>
                      <a:fillRect/>
                    </a:stretch>
                  </pic:blipFill>
                  <pic:spPr>
                    <a:xfrm>
                      <a:off x="0" y="0"/>
                      <a:ext cx="1238250" cy="1238250"/>
                    </a:xfrm>
                    <a:prstGeom prst="rect">
                      <a:avLst/>
                    </a:prstGeom>
                    <a:ln w="12700">
                      <a:noFill/>
                    </a:ln>
                  </pic:spPr>
                </pic:pic>
              </a:graphicData>
            </a:graphic>
          </wp:anchor>
        </w:drawing>
      </w:r>
      <w:r>
        <w:rPr>
          <w:rFonts w:hint="eastAsia"/>
          <w:color w:val="auto"/>
        </w:rPr>
        <w:t>来信、来访地址：云南省昆明市官渡区珥季路龙马段云南省消防救援总队纪委</w:t>
      </w:r>
    </w:p>
    <w:p w14:paraId="2758B6A5">
      <w:pPr>
        <w:pageBreakBefore w:val="0"/>
        <w:wordWrap w:val="0"/>
        <w:overflowPunct/>
        <w:bidi w:val="0"/>
        <w:adjustRightInd/>
        <w:snapToGrid/>
        <w:spacing w:line="440" w:lineRule="exact"/>
        <w:ind w:firstLine="0" w:firstLineChars="0"/>
        <w:rPr>
          <w:color w:val="auto"/>
        </w:rPr>
      </w:pPr>
      <w:r>
        <w:rPr>
          <w:rFonts w:hint="eastAsia"/>
          <w:color w:val="auto"/>
          <w:kern w:val="2"/>
        </w:rPr>
        <w:t>邮政编码：</w:t>
      </w:r>
      <w:r>
        <w:rPr>
          <w:rFonts w:hint="eastAsia"/>
          <w:color w:val="auto"/>
        </w:rPr>
        <w:t>650200</w:t>
      </w:r>
    </w:p>
    <w:p w14:paraId="38EA22C9">
      <w:pPr>
        <w:pageBreakBefore w:val="0"/>
        <w:widowControl w:val="0"/>
        <w:wordWrap w:val="0"/>
        <w:overflowPunct/>
        <w:bidi w:val="0"/>
        <w:adjustRightInd/>
        <w:snapToGrid/>
        <w:spacing w:line="579" w:lineRule="exact"/>
        <w:ind w:firstLine="0" w:firstLineChars="0"/>
        <w:jc w:val="right"/>
        <w:rPr>
          <w:color w:val="auto"/>
        </w:rPr>
      </w:pPr>
    </w:p>
    <w:p w14:paraId="7B9C6606">
      <w:pPr>
        <w:pageBreakBefore w:val="0"/>
        <w:widowControl w:val="0"/>
        <w:wordWrap w:val="0"/>
        <w:overflowPunct/>
        <w:bidi w:val="0"/>
        <w:adjustRightInd/>
        <w:snapToGrid/>
        <w:spacing w:line="579" w:lineRule="exact"/>
        <w:ind w:firstLine="0" w:firstLineChars="0"/>
        <w:jc w:val="right"/>
        <w:rPr>
          <w:color w:val="auto"/>
        </w:rPr>
      </w:pPr>
    </w:p>
    <w:p w14:paraId="40233F6F">
      <w:pPr>
        <w:pageBreakBefore w:val="0"/>
        <w:widowControl w:val="0"/>
        <w:wordWrap w:val="0"/>
        <w:overflowPunct/>
        <w:bidi w:val="0"/>
        <w:adjustRightInd/>
        <w:snapToGrid/>
        <w:spacing w:line="579" w:lineRule="exact"/>
        <w:ind w:firstLine="0" w:firstLineChars="0"/>
        <w:jc w:val="right"/>
        <w:rPr>
          <w:color w:val="auto"/>
        </w:rPr>
      </w:pPr>
    </w:p>
    <w:p w14:paraId="2354389B">
      <w:pPr>
        <w:pageBreakBefore w:val="0"/>
        <w:widowControl w:val="0"/>
        <w:wordWrap w:val="0"/>
        <w:overflowPunct/>
        <w:bidi w:val="0"/>
        <w:adjustRightInd/>
        <w:snapToGrid/>
        <w:spacing w:line="579" w:lineRule="exact"/>
        <w:ind w:firstLine="0" w:firstLineChars="0"/>
        <w:jc w:val="right"/>
        <w:rPr>
          <w:color w:val="auto"/>
        </w:rPr>
      </w:pPr>
      <w:r>
        <w:rPr>
          <w:rFonts w:hint="eastAsia"/>
          <w:color w:val="auto"/>
        </w:rPr>
        <w:t>中共云南省消防救援总队纪律检查委员会</w:t>
      </w:r>
    </w:p>
    <w:p w14:paraId="1B12E0C2">
      <w:pPr>
        <w:pageBreakBefore w:val="0"/>
        <w:widowControl w:val="0"/>
        <w:wordWrap w:val="0"/>
        <w:overflowPunct/>
        <w:bidi w:val="0"/>
        <w:adjustRightInd/>
        <w:snapToGrid/>
        <w:spacing w:line="595" w:lineRule="exact"/>
        <w:ind w:firstLine="0" w:firstLineChars="0"/>
        <w:jc w:val="right"/>
        <w:rPr>
          <w:color w:val="auto"/>
        </w:rPr>
      </w:pPr>
      <w:r>
        <w:rPr>
          <w:rFonts w:hint="eastAsia"/>
          <w:color w:val="auto"/>
        </w:rPr>
        <w:t>2024年</w:t>
      </w:r>
      <w:r>
        <w:rPr>
          <w:rFonts w:hint="eastAsia"/>
          <w:color w:val="auto"/>
          <w:lang w:val="en-US" w:eastAsia="zh-CN"/>
        </w:rPr>
        <w:t xml:space="preserve"> </w:t>
      </w:r>
      <w:r>
        <w:rPr>
          <w:rFonts w:hint="eastAsia"/>
          <w:color w:val="auto"/>
        </w:rPr>
        <w:t>月</w:t>
      </w:r>
    </w:p>
    <w:p w14:paraId="44C5FDD6">
      <w:pPr>
        <w:pageBreakBefore w:val="0"/>
        <w:widowControl w:val="0"/>
        <w:wordWrap w:val="0"/>
        <w:overflowPunct/>
        <w:bidi w:val="0"/>
        <w:adjustRightInd/>
        <w:snapToGrid/>
        <w:spacing w:line="240" w:lineRule="auto"/>
        <w:ind w:firstLine="0" w:firstLineChars="0"/>
        <w:jc w:val="center"/>
        <w:rPr>
          <w:rFonts w:ascii="方正小标宋_GBK" w:hAnsi="Times New Roman" w:eastAsia="方正小标宋_GBK" w:cs="Times New Roman"/>
          <w:color w:val="auto"/>
          <w:sz w:val="36"/>
          <w:szCs w:val="36"/>
        </w:rPr>
      </w:pPr>
      <w:r>
        <w:rPr>
          <w:rFonts w:hint="eastAsia"/>
          <w:color w:val="auto"/>
          <w:sz w:val="32"/>
          <w:szCs w:val="28"/>
        </w:rPr>
        <w:br w:type="page"/>
      </w:r>
      <w:r>
        <w:rPr>
          <w:rFonts w:hint="eastAsia" w:ascii="方正小标宋_GBK" w:hAnsi="Times New Roman" w:eastAsia="方正小标宋_GBK" w:cs="Times New Roman"/>
          <w:color w:val="auto"/>
          <w:sz w:val="36"/>
          <w:szCs w:val="36"/>
        </w:rPr>
        <w:t>云南省消防救援总队政府采购</w:t>
      </w:r>
    </w:p>
    <w:p w14:paraId="5F38A624">
      <w:pPr>
        <w:pageBreakBefore w:val="0"/>
        <w:widowControl w:val="0"/>
        <w:wordWrap w:val="0"/>
        <w:overflowPunct/>
        <w:bidi w:val="0"/>
        <w:adjustRightInd/>
        <w:snapToGrid/>
        <w:spacing w:line="240" w:lineRule="auto"/>
        <w:ind w:firstLine="0" w:firstLineChars="0"/>
        <w:jc w:val="center"/>
        <w:rPr>
          <w:rFonts w:ascii="方正小标宋_GBK" w:hAnsi="Times New Roman" w:eastAsia="方正小标宋_GBK" w:cs="Times New Roman"/>
          <w:color w:val="auto"/>
          <w:sz w:val="36"/>
          <w:szCs w:val="36"/>
        </w:rPr>
      </w:pPr>
      <w:r>
        <w:rPr>
          <w:rFonts w:hint="eastAsia" w:ascii="方正小标宋_GBK" w:hAnsi="Times New Roman" w:eastAsia="方正小标宋_GBK" w:cs="Times New Roman"/>
          <w:color w:val="auto"/>
          <w:sz w:val="36"/>
          <w:szCs w:val="36"/>
        </w:rPr>
        <w:t>供应商廉洁守法承诺书</w:t>
      </w:r>
    </w:p>
    <w:p w14:paraId="0C12508A">
      <w:pPr>
        <w:pageBreakBefore w:val="0"/>
        <w:widowControl w:val="0"/>
        <w:wordWrap w:val="0"/>
        <w:overflowPunct/>
        <w:bidi w:val="0"/>
        <w:adjustRightInd/>
        <w:snapToGrid/>
        <w:spacing w:line="440" w:lineRule="exact"/>
        <w:jc w:val="both"/>
        <w:rPr>
          <w:rFonts w:ascii="Times New Roman" w:hAnsi="Times New Roman"/>
          <w:color w:val="auto"/>
        </w:rPr>
      </w:pPr>
      <w:r>
        <w:rPr>
          <w:rFonts w:hint="eastAsia" w:ascii="Times New Roman" w:hAnsi="Times New Roman"/>
          <w:color w:val="auto"/>
        </w:rPr>
        <w:t>为加强政府采购中的廉政建设，坚决维护国家利益和社会公共利益，确保采购活动的规范与廉洁，根据国家有关法律、法规和廉政建设责任制的规定，本公司作如下承诺：</w:t>
      </w:r>
    </w:p>
    <w:p w14:paraId="28975897">
      <w:pPr>
        <w:pageBreakBefore w:val="0"/>
        <w:widowControl w:val="0"/>
        <w:wordWrap w:val="0"/>
        <w:overflowPunct/>
        <w:bidi w:val="0"/>
        <w:adjustRightInd/>
        <w:snapToGrid/>
        <w:spacing w:line="440" w:lineRule="exact"/>
        <w:jc w:val="both"/>
        <w:rPr>
          <w:rFonts w:ascii="Times New Roman" w:hAnsi="Times New Roman"/>
          <w:color w:val="auto"/>
        </w:rPr>
      </w:pPr>
      <w:r>
        <w:rPr>
          <w:rFonts w:hint="eastAsia" w:ascii="Times New Roman" w:hAnsi="Times New Roman"/>
          <w:color w:val="auto"/>
        </w:rPr>
        <w:t>1.在业务往来中，严格遵守国家有关的法律法规和廉洁从业规定，坚持公平、公开、公正、诚实信用的原则，决不损害国家和采购单位利益。</w:t>
      </w:r>
    </w:p>
    <w:p w14:paraId="5B8952A8">
      <w:pPr>
        <w:pageBreakBefore w:val="0"/>
        <w:widowControl w:val="0"/>
        <w:wordWrap w:val="0"/>
        <w:overflowPunct/>
        <w:bidi w:val="0"/>
        <w:adjustRightInd/>
        <w:snapToGrid/>
        <w:spacing w:line="440" w:lineRule="exact"/>
        <w:jc w:val="both"/>
        <w:rPr>
          <w:rFonts w:ascii="Times New Roman" w:hAnsi="Times New Roman"/>
          <w:color w:val="auto"/>
        </w:rPr>
      </w:pPr>
      <w:r>
        <w:rPr>
          <w:rFonts w:hint="eastAsia" w:ascii="Times New Roman" w:hAnsi="Times New Roman"/>
          <w:color w:val="auto"/>
        </w:rPr>
        <w:t>2.本公司（含公司工作人员，下同）决不向贵单位工作人员（含工作人员的配偶、子女及亲属，下同）馈赠礼品（包括但不限于现金、有价证券、支付凭证及贵重物品等）。</w:t>
      </w:r>
    </w:p>
    <w:p w14:paraId="7B6305E0">
      <w:pPr>
        <w:pageBreakBefore w:val="0"/>
        <w:widowControl w:val="0"/>
        <w:wordWrap w:val="0"/>
        <w:overflowPunct/>
        <w:bidi w:val="0"/>
        <w:adjustRightInd/>
        <w:snapToGrid/>
        <w:spacing w:line="440" w:lineRule="exact"/>
        <w:jc w:val="both"/>
        <w:rPr>
          <w:rFonts w:ascii="Times New Roman" w:hAnsi="Times New Roman"/>
          <w:color w:val="auto"/>
        </w:rPr>
      </w:pPr>
      <w:r>
        <w:rPr>
          <w:rFonts w:hint="eastAsia" w:ascii="Times New Roman" w:hAnsi="Times New Roman"/>
          <w:color w:val="auto"/>
        </w:rPr>
        <w:t>3.本公司决不向贵单位工作人员提供宴请、联谊活动、度假、旅游，以及到营业性娱乐场所（包括但不限于营业性的歌厅、舞厅、卡拉</w:t>
      </w:r>
      <w:r>
        <w:rPr>
          <w:rFonts w:ascii="Times New Roman" w:hAnsi="Times New Roman"/>
          <w:color w:val="auto"/>
        </w:rPr>
        <w:t>OK厅、夜总会、桑拿、按摩和高尔夫球等）消费。</w:t>
      </w:r>
    </w:p>
    <w:p w14:paraId="76694611">
      <w:pPr>
        <w:pageBreakBefore w:val="0"/>
        <w:widowControl w:val="0"/>
        <w:wordWrap w:val="0"/>
        <w:overflowPunct/>
        <w:bidi w:val="0"/>
        <w:adjustRightInd/>
        <w:snapToGrid/>
        <w:spacing w:line="440" w:lineRule="exact"/>
        <w:jc w:val="both"/>
        <w:rPr>
          <w:rFonts w:ascii="Times New Roman" w:hAnsi="Times New Roman"/>
          <w:color w:val="auto"/>
        </w:rPr>
      </w:pPr>
      <w:r>
        <w:rPr>
          <w:rFonts w:hint="eastAsia" w:ascii="Times New Roman" w:hAnsi="Times New Roman"/>
          <w:color w:val="auto"/>
        </w:rPr>
        <w:t>4.本公司决不为贵单位工作人员安排工作，以及支付应由其个人自付的各种费用（包括但不限于住宅装修、婚丧嫁娶、旅游、度假、食宿、购物、学费、子女出国留学等）。</w:t>
      </w:r>
    </w:p>
    <w:p w14:paraId="662D0730">
      <w:pPr>
        <w:pageBreakBefore w:val="0"/>
        <w:widowControl w:val="0"/>
        <w:wordWrap w:val="0"/>
        <w:overflowPunct/>
        <w:bidi w:val="0"/>
        <w:adjustRightInd/>
        <w:snapToGrid/>
        <w:spacing w:line="440" w:lineRule="exact"/>
        <w:jc w:val="both"/>
        <w:rPr>
          <w:rFonts w:ascii="Times New Roman" w:hAnsi="Times New Roman"/>
          <w:color w:val="auto"/>
        </w:rPr>
      </w:pPr>
      <w:r>
        <w:rPr>
          <w:rFonts w:hint="eastAsia" w:ascii="Times New Roman" w:hAnsi="Times New Roman"/>
          <w:color w:val="auto"/>
        </w:rPr>
        <w:t>5.本公司发现贵单位工作人员有违反本承诺书行为倾向的，应及时提醒纠正并向贵公司的监督管理部门举报。</w:t>
      </w:r>
    </w:p>
    <w:p w14:paraId="64527478">
      <w:pPr>
        <w:pageBreakBefore w:val="0"/>
        <w:widowControl w:val="0"/>
        <w:wordWrap w:val="0"/>
        <w:overflowPunct/>
        <w:bidi w:val="0"/>
        <w:adjustRightInd/>
        <w:snapToGrid/>
        <w:spacing w:line="440" w:lineRule="exact"/>
        <w:jc w:val="both"/>
        <w:rPr>
          <w:rFonts w:ascii="Times New Roman" w:hAnsi="Times New Roman"/>
          <w:color w:val="auto"/>
        </w:rPr>
      </w:pPr>
      <w:r>
        <w:rPr>
          <w:rFonts w:hint="eastAsia" w:ascii="Times New Roman" w:hAnsi="Times New Roman"/>
          <w:color w:val="auto"/>
        </w:rPr>
        <w:t>6.如发现本公司违反承诺，经贵单位监督部门认定违规事实后，按照下列规定进行处罚。</w:t>
      </w:r>
    </w:p>
    <w:p w14:paraId="1147DAAA">
      <w:pPr>
        <w:pageBreakBefore w:val="0"/>
        <w:widowControl w:val="0"/>
        <w:wordWrap w:val="0"/>
        <w:overflowPunct/>
        <w:bidi w:val="0"/>
        <w:adjustRightInd/>
        <w:snapToGrid/>
        <w:spacing w:line="440" w:lineRule="exact"/>
        <w:ind w:firstLine="0" w:firstLineChars="0"/>
        <w:jc w:val="both"/>
        <w:rPr>
          <w:rFonts w:ascii="Times New Roman" w:hAnsi="Times New Roman"/>
          <w:color w:val="auto"/>
        </w:rPr>
      </w:pPr>
      <w:r>
        <w:rPr>
          <w:rFonts w:hint="eastAsia" w:ascii="Times New Roman" w:hAnsi="Times New Roman"/>
          <w:color w:val="auto"/>
        </w:rPr>
        <w:t>（一）本公司的行为致使贵单位工作人员违规的，同意将本公司列入贵公司供应商黑名单，三年丧失贵单位供应商资格。</w:t>
      </w:r>
    </w:p>
    <w:p w14:paraId="7EE5E158">
      <w:pPr>
        <w:pageBreakBefore w:val="0"/>
        <w:widowControl w:val="0"/>
        <w:wordWrap w:val="0"/>
        <w:overflowPunct/>
        <w:bidi w:val="0"/>
        <w:adjustRightInd/>
        <w:snapToGrid/>
        <w:spacing w:line="440" w:lineRule="exact"/>
        <w:ind w:firstLine="0" w:firstLineChars="0"/>
        <w:jc w:val="both"/>
        <w:rPr>
          <w:rFonts w:ascii="Times New Roman" w:hAnsi="Times New Roman"/>
          <w:color w:val="auto"/>
        </w:rPr>
      </w:pPr>
      <w:r>
        <w:rPr>
          <w:rFonts w:hint="eastAsia" w:ascii="Times New Roman" w:hAnsi="Times New Roman"/>
          <w:color w:val="auto"/>
        </w:rPr>
        <w:t>（二）本公司的行为致使贵单位工作人员违法的，同意永远丧失贵单位供应商资格。</w:t>
      </w:r>
    </w:p>
    <w:p w14:paraId="456A530B">
      <w:pPr>
        <w:pageBreakBefore w:val="0"/>
        <w:widowControl w:val="0"/>
        <w:wordWrap w:val="0"/>
        <w:overflowPunct/>
        <w:bidi w:val="0"/>
        <w:adjustRightInd/>
        <w:snapToGrid/>
        <w:spacing w:line="440" w:lineRule="exact"/>
        <w:ind w:firstLine="0" w:firstLineChars="0"/>
        <w:jc w:val="both"/>
        <w:rPr>
          <w:rFonts w:ascii="Times New Roman" w:hAnsi="Times New Roman"/>
          <w:color w:val="auto"/>
        </w:rPr>
      </w:pPr>
    </w:p>
    <w:p w14:paraId="6344C5DE">
      <w:pPr>
        <w:pageBreakBefore w:val="0"/>
        <w:widowControl w:val="0"/>
        <w:wordWrap w:val="0"/>
        <w:overflowPunct/>
        <w:bidi w:val="0"/>
        <w:adjustRightInd/>
        <w:snapToGrid/>
        <w:spacing w:line="440" w:lineRule="exact"/>
        <w:ind w:firstLine="0" w:firstLineChars="0"/>
        <w:jc w:val="both"/>
        <w:rPr>
          <w:rFonts w:ascii="Times New Roman" w:hAnsi="Times New Roman"/>
          <w:color w:val="auto"/>
        </w:rPr>
      </w:pPr>
      <w:r>
        <w:rPr>
          <w:rFonts w:hint="eastAsia" w:ascii="Times New Roman" w:hAnsi="Times New Roman"/>
          <w:color w:val="auto"/>
        </w:rPr>
        <w:t>此致</w:t>
      </w:r>
    </w:p>
    <w:p w14:paraId="25EDA071">
      <w:pPr>
        <w:pageBreakBefore w:val="0"/>
        <w:widowControl w:val="0"/>
        <w:wordWrap w:val="0"/>
        <w:overflowPunct/>
        <w:bidi w:val="0"/>
        <w:adjustRightInd/>
        <w:snapToGrid/>
        <w:spacing w:line="440" w:lineRule="exact"/>
        <w:ind w:firstLine="0" w:firstLineChars="0"/>
        <w:jc w:val="both"/>
        <w:rPr>
          <w:rFonts w:ascii="Times New Roman" w:hAnsi="Times New Roman"/>
          <w:color w:val="auto"/>
        </w:rPr>
      </w:pPr>
    </w:p>
    <w:p w14:paraId="16A76675">
      <w:pPr>
        <w:pageBreakBefore w:val="0"/>
        <w:widowControl w:val="0"/>
        <w:wordWrap w:val="0"/>
        <w:overflowPunct/>
        <w:bidi w:val="0"/>
        <w:adjustRightInd/>
        <w:snapToGrid/>
        <w:spacing w:line="440" w:lineRule="exact"/>
        <w:ind w:firstLine="0" w:firstLineChars="0"/>
        <w:jc w:val="both"/>
        <w:rPr>
          <w:rFonts w:ascii="Times New Roman" w:hAnsi="Times New Roman"/>
          <w:color w:val="auto"/>
        </w:rPr>
      </w:pPr>
      <w:r>
        <w:rPr>
          <w:rFonts w:hint="eastAsia" w:ascii="Times New Roman" w:hAnsi="Times New Roman"/>
          <w:color w:val="auto"/>
        </w:rPr>
        <w:t>承诺方（盖公章）：</w:t>
      </w:r>
    </w:p>
    <w:p w14:paraId="7304FA0D">
      <w:pPr>
        <w:pageBreakBefore w:val="0"/>
        <w:widowControl w:val="0"/>
        <w:wordWrap w:val="0"/>
        <w:overflowPunct/>
        <w:autoSpaceDE w:val="0"/>
        <w:autoSpaceDN w:val="0"/>
        <w:bidi w:val="0"/>
        <w:spacing w:line="440" w:lineRule="exact"/>
        <w:ind w:firstLine="480"/>
        <w:rPr>
          <w:rFonts w:ascii="Times New Roman" w:hAnsi="Times New Roman"/>
          <w:color w:val="auto"/>
          <w:sz w:val="24"/>
          <w:szCs w:val="24"/>
        </w:rPr>
      </w:pPr>
    </w:p>
    <w:p w14:paraId="35A985C7">
      <w:pPr>
        <w:pageBreakBefore w:val="0"/>
        <w:widowControl w:val="0"/>
        <w:wordWrap w:val="0"/>
        <w:overflowPunct/>
        <w:bidi w:val="0"/>
        <w:adjustRightInd/>
        <w:snapToGrid/>
        <w:spacing w:line="440" w:lineRule="exact"/>
        <w:ind w:firstLine="0" w:firstLineChars="0"/>
        <w:jc w:val="both"/>
        <w:rPr>
          <w:rFonts w:ascii="Times New Roman" w:hAnsi="Times New Roman"/>
          <w:color w:val="auto"/>
        </w:rPr>
      </w:pPr>
      <w:r>
        <w:rPr>
          <w:rFonts w:hint="eastAsia" w:ascii="Times New Roman" w:hAnsi="Times New Roman"/>
          <w:color w:val="auto"/>
        </w:rPr>
        <w:t>承诺方法人代表（或委托人）：</w:t>
      </w:r>
    </w:p>
    <w:p w14:paraId="03DFC164">
      <w:pPr>
        <w:pageBreakBefore w:val="0"/>
        <w:widowControl w:val="0"/>
        <w:wordWrap w:val="0"/>
        <w:overflowPunct/>
        <w:bidi w:val="0"/>
        <w:adjustRightInd/>
        <w:snapToGrid/>
        <w:spacing w:line="440" w:lineRule="exact"/>
        <w:ind w:firstLine="0" w:firstLineChars="0"/>
        <w:jc w:val="right"/>
        <w:rPr>
          <w:rFonts w:ascii="Times New Roman" w:hAnsi="Times New Roman"/>
          <w:color w:val="auto"/>
        </w:rPr>
      </w:pPr>
      <w:r>
        <w:rPr>
          <w:rFonts w:hint="eastAsia" w:ascii="Times New Roman" w:hAnsi="Times New Roman"/>
          <w:color w:val="auto"/>
        </w:rPr>
        <w:t>2024年  月  日</w:t>
      </w:r>
    </w:p>
    <w:p w14:paraId="35CAD938">
      <w:pPr>
        <w:pStyle w:val="25"/>
        <w:pageBreakBefore w:val="0"/>
        <w:wordWrap w:val="0"/>
        <w:overflowPunct/>
        <w:bidi w:val="0"/>
        <w:rPr>
          <w:color w:val="auto"/>
        </w:rPr>
      </w:pPr>
      <w:r>
        <w:rPr>
          <w:rFonts w:hint="eastAsia" w:ascii="宋体" w:hAnsi="宋体"/>
          <w:color w:val="auto"/>
          <w:szCs w:val="32"/>
        </w:rPr>
        <w:br w:type="page"/>
      </w:r>
    </w:p>
    <w:bookmarkEnd w:id="99"/>
    <w:p w14:paraId="19F9BEE7">
      <w:pPr>
        <w:pStyle w:val="2"/>
        <w:pageBreakBefore w:val="0"/>
        <w:wordWrap w:val="0"/>
        <w:overflowPunct/>
        <w:bidi w:val="0"/>
        <w:rPr>
          <w:color w:val="auto"/>
        </w:rPr>
      </w:pPr>
      <w:bookmarkStart w:id="7" w:name="_Toc19159"/>
      <w:r>
        <w:rPr>
          <w:rFonts w:hint="eastAsia"/>
          <w:color w:val="auto"/>
        </w:rPr>
        <w:t>第二章 投标人须知</w:t>
      </w:r>
      <w:bookmarkEnd w:id="7"/>
    </w:p>
    <w:p w14:paraId="0DE7BFBD">
      <w:pPr>
        <w:pStyle w:val="3"/>
        <w:pageBreakBefore w:val="0"/>
        <w:wordWrap w:val="0"/>
        <w:overflowPunct/>
        <w:bidi w:val="0"/>
        <w:spacing w:line="240" w:lineRule="auto"/>
        <w:ind w:firstLine="482"/>
        <w:jc w:val="center"/>
        <w:rPr>
          <w:color w:val="auto"/>
        </w:rPr>
      </w:pPr>
      <w:bookmarkStart w:id="8" w:name="_Toc12554"/>
      <w:r>
        <w:rPr>
          <w:rFonts w:hint="eastAsia"/>
          <w:color w:val="auto"/>
        </w:rPr>
        <w:t>投标人须知前附表</w:t>
      </w:r>
      <w:bookmarkEnd w:id="8"/>
    </w:p>
    <w:tbl>
      <w:tblPr>
        <w:tblStyle w:val="36"/>
        <w:tblW w:w="1018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5"/>
        <w:gridCol w:w="786"/>
        <w:gridCol w:w="1465"/>
        <w:gridCol w:w="7600"/>
      </w:tblGrid>
      <w:tr w14:paraId="71311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1121" w:type="dxa"/>
            <w:gridSpan w:val="2"/>
            <w:tcMar>
              <w:top w:w="57" w:type="dxa"/>
              <w:left w:w="57" w:type="dxa"/>
              <w:bottom w:w="57" w:type="dxa"/>
              <w:right w:w="57" w:type="dxa"/>
            </w:tcMar>
            <w:vAlign w:val="center"/>
          </w:tcPr>
          <w:p w14:paraId="4E8E2C13">
            <w:pPr>
              <w:pageBreakBefore w:val="0"/>
              <w:kinsoku w:val="0"/>
              <w:wordWrap w:val="0"/>
              <w:overflowPunct/>
              <w:autoSpaceDE w:val="0"/>
              <w:autoSpaceDN w:val="0"/>
              <w:bidi w:val="0"/>
              <w:spacing w:line="240" w:lineRule="auto"/>
              <w:ind w:firstLine="0" w:firstLineChars="0"/>
              <w:jc w:val="center"/>
              <w:rPr>
                <w:color w:val="auto"/>
              </w:rPr>
            </w:pPr>
            <w:r>
              <w:rPr>
                <w:rFonts w:hint="eastAsia"/>
                <w:b/>
                <w:bCs/>
                <w:color w:val="auto"/>
              </w:rPr>
              <w:t>条款号</w:t>
            </w:r>
          </w:p>
        </w:tc>
        <w:tc>
          <w:tcPr>
            <w:tcW w:w="1465" w:type="dxa"/>
            <w:tcMar>
              <w:top w:w="57" w:type="dxa"/>
              <w:left w:w="57" w:type="dxa"/>
              <w:bottom w:w="57" w:type="dxa"/>
              <w:right w:w="57" w:type="dxa"/>
            </w:tcMar>
            <w:vAlign w:val="center"/>
          </w:tcPr>
          <w:p w14:paraId="0A9FAAE8">
            <w:pPr>
              <w:pageBreakBefore w:val="0"/>
              <w:kinsoku w:val="0"/>
              <w:wordWrap w:val="0"/>
              <w:overflowPunct/>
              <w:autoSpaceDE w:val="0"/>
              <w:autoSpaceDN w:val="0"/>
              <w:bidi w:val="0"/>
              <w:spacing w:line="240" w:lineRule="auto"/>
              <w:ind w:firstLine="0" w:firstLineChars="0"/>
              <w:jc w:val="center"/>
              <w:rPr>
                <w:b/>
                <w:bCs/>
                <w:color w:val="auto"/>
              </w:rPr>
            </w:pPr>
            <w:r>
              <w:rPr>
                <w:rFonts w:hint="eastAsia"/>
                <w:b/>
                <w:bCs/>
                <w:color w:val="auto"/>
              </w:rPr>
              <w:t>条款名称</w:t>
            </w:r>
          </w:p>
        </w:tc>
        <w:tc>
          <w:tcPr>
            <w:tcW w:w="7600" w:type="dxa"/>
            <w:tcMar>
              <w:top w:w="57" w:type="dxa"/>
              <w:left w:w="57" w:type="dxa"/>
              <w:bottom w:w="57" w:type="dxa"/>
              <w:right w:w="57" w:type="dxa"/>
            </w:tcMar>
            <w:vAlign w:val="center"/>
          </w:tcPr>
          <w:p w14:paraId="55CB3002">
            <w:pPr>
              <w:pageBreakBefore w:val="0"/>
              <w:kinsoku w:val="0"/>
              <w:wordWrap w:val="0"/>
              <w:overflowPunct/>
              <w:autoSpaceDE w:val="0"/>
              <w:autoSpaceDN w:val="0"/>
              <w:bidi w:val="0"/>
              <w:spacing w:line="240" w:lineRule="auto"/>
              <w:ind w:firstLine="0" w:firstLineChars="0"/>
              <w:jc w:val="center"/>
              <w:rPr>
                <w:b/>
                <w:bCs/>
                <w:color w:val="auto"/>
              </w:rPr>
            </w:pPr>
            <w:r>
              <w:rPr>
                <w:rFonts w:hint="eastAsia"/>
                <w:b/>
                <w:bCs/>
                <w:color w:val="auto"/>
              </w:rPr>
              <w:t>编列内容</w:t>
            </w:r>
          </w:p>
        </w:tc>
      </w:tr>
      <w:tr w14:paraId="798A5C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jc w:val="center"/>
        </w:trPr>
        <w:tc>
          <w:tcPr>
            <w:tcW w:w="1121" w:type="dxa"/>
            <w:gridSpan w:val="2"/>
            <w:vMerge w:val="restart"/>
            <w:tcBorders>
              <w:bottom w:val="nil"/>
            </w:tcBorders>
            <w:tcMar>
              <w:top w:w="57" w:type="dxa"/>
              <w:left w:w="57" w:type="dxa"/>
              <w:bottom w:w="57" w:type="dxa"/>
              <w:right w:w="57" w:type="dxa"/>
            </w:tcMar>
            <w:vAlign w:val="center"/>
          </w:tcPr>
          <w:p w14:paraId="1914B267">
            <w:pPr>
              <w:keepLines/>
              <w:pageBreakBefore w:val="0"/>
              <w:kinsoku w:val="0"/>
              <w:wordWrap w:val="0"/>
              <w:overflowPunct/>
              <w:bidi w:val="0"/>
              <w:spacing w:line="240" w:lineRule="auto"/>
              <w:ind w:firstLine="0" w:firstLineChars="0"/>
              <w:jc w:val="center"/>
              <w:rPr>
                <w:color w:val="auto"/>
              </w:rPr>
            </w:pPr>
            <w:r>
              <w:rPr>
                <w:rFonts w:hint="eastAsia"/>
                <w:color w:val="auto"/>
              </w:rPr>
              <w:t>1.1</w:t>
            </w:r>
          </w:p>
        </w:tc>
        <w:tc>
          <w:tcPr>
            <w:tcW w:w="1465" w:type="dxa"/>
            <w:tcMar>
              <w:top w:w="57" w:type="dxa"/>
              <w:left w:w="57" w:type="dxa"/>
              <w:bottom w:w="57" w:type="dxa"/>
              <w:right w:w="57" w:type="dxa"/>
            </w:tcMar>
            <w:vAlign w:val="center"/>
          </w:tcPr>
          <w:p w14:paraId="0CCA7754">
            <w:pPr>
              <w:keepLines/>
              <w:pageBreakBefore w:val="0"/>
              <w:kinsoku w:val="0"/>
              <w:wordWrap w:val="0"/>
              <w:overflowPunct/>
              <w:bidi w:val="0"/>
              <w:spacing w:line="240" w:lineRule="auto"/>
              <w:ind w:firstLine="0" w:firstLineChars="0"/>
              <w:jc w:val="center"/>
              <w:rPr>
                <w:color w:val="auto"/>
              </w:rPr>
            </w:pPr>
            <w:r>
              <w:rPr>
                <w:rFonts w:hint="eastAsia"/>
                <w:color w:val="auto"/>
              </w:rPr>
              <w:t>招标人</w:t>
            </w:r>
          </w:p>
        </w:tc>
        <w:tc>
          <w:tcPr>
            <w:tcW w:w="7600" w:type="dxa"/>
            <w:tcMar>
              <w:top w:w="57" w:type="dxa"/>
              <w:left w:w="57" w:type="dxa"/>
              <w:bottom w:w="57" w:type="dxa"/>
              <w:right w:w="57" w:type="dxa"/>
            </w:tcMar>
            <w:vAlign w:val="center"/>
          </w:tcPr>
          <w:p w14:paraId="0F4D2B66">
            <w:pPr>
              <w:pageBreakBefore w:val="0"/>
              <w:kinsoku w:val="0"/>
              <w:wordWrap w:val="0"/>
              <w:overflowPunct/>
              <w:autoSpaceDE w:val="0"/>
              <w:autoSpaceDN w:val="0"/>
              <w:bidi w:val="0"/>
              <w:spacing w:line="240" w:lineRule="auto"/>
              <w:ind w:firstLine="0" w:firstLineChars="0"/>
              <w:rPr>
                <w:color w:val="auto"/>
              </w:rPr>
            </w:pPr>
            <w:r>
              <w:rPr>
                <w:rFonts w:hint="eastAsia"/>
                <w:color w:val="auto"/>
              </w:rPr>
              <w:t>云南省消防救援总队</w:t>
            </w:r>
          </w:p>
        </w:tc>
      </w:tr>
      <w:tr w14:paraId="7573FB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jc w:val="center"/>
        </w:trPr>
        <w:tc>
          <w:tcPr>
            <w:tcW w:w="1121" w:type="dxa"/>
            <w:gridSpan w:val="2"/>
            <w:vMerge w:val="continue"/>
            <w:tcBorders>
              <w:top w:val="nil"/>
              <w:bottom w:val="nil"/>
            </w:tcBorders>
            <w:tcMar>
              <w:top w:w="57" w:type="dxa"/>
              <w:left w:w="57" w:type="dxa"/>
              <w:bottom w:w="57" w:type="dxa"/>
              <w:right w:w="57" w:type="dxa"/>
            </w:tcMar>
            <w:vAlign w:val="center"/>
          </w:tcPr>
          <w:p w14:paraId="305C6CCB">
            <w:pPr>
              <w:keepLines/>
              <w:pageBreakBefore w:val="0"/>
              <w:kinsoku w:val="0"/>
              <w:wordWrap w:val="0"/>
              <w:overflowPunct/>
              <w:bidi w:val="0"/>
              <w:spacing w:line="240" w:lineRule="auto"/>
              <w:ind w:firstLine="0" w:firstLineChars="0"/>
              <w:jc w:val="center"/>
              <w:rPr>
                <w:color w:val="auto"/>
              </w:rPr>
            </w:pPr>
          </w:p>
        </w:tc>
        <w:tc>
          <w:tcPr>
            <w:tcW w:w="1465" w:type="dxa"/>
            <w:tcMar>
              <w:top w:w="57" w:type="dxa"/>
              <w:left w:w="57" w:type="dxa"/>
              <w:bottom w:w="57" w:type="dxa"/>
              <w:right w:w="57" w:type="dxa"/>
            </w:tcMar>
            <w:vAlign w:val="center"/>
          </w:tcPr>
          <w:p w14:paraId="3AB0D1B8">
            <w:pPr>
              <w:keepLines/>
              <w:pageBreakBefore w:val="0"/>
              <w:kinsoku w:val="0"/>
              <w:wordWrap w:val="0"/>
              <w:overflowPunct/>
              <w:bidi w:val="0"/>
              <w:spacing w:line="240" w:lineRule="auto"/>
              <w:ind w:firstLine="0" w:firstLineChars="0"/>
              <w:jc w:val="center"/>
              <w:rPr>
                <w:color w:val="auto"/>
              </w:rPr>
            </w:pPr>
            <w:r>
              <w:rPr>
                <w:rFonts w:hint="eastAsia"/>
                <w:color w:val="auto"/>
              </w:rPr>
              <w:t>招标代理机构</w:t>
            </w:r>
          </w:p>
        </w:tc>
        <w:tc>
          <w:tcPr>
            <w:tcW w:w="7600" w:type="dxa"/>
            <w:tcMar>
              <w:top w:w="57" w:type="dxa"/>
              <w:left w:w="57" w:type="dxa"/>
              <w:bottom w:w="57" w:type="dxa"/>
              <w:right w:w="57" w:type="dxa"/>
            </w:tcMar>
            <w:vAlign w:val="center"/>
          </w:tcPr>
          <w:p w14:paraId="21A96A03">
            <w:pPr>
              <w:pageBreakBefore w:val="0"/>
              <w:kinsoku w:val="0"/>
              <w:wordWrap w:val="0"/>
              <w:overflowPunct/>
              <w:autoSpaceDE w:val="0"/>
              <w:autoSpaceDN w:val="0"/>
              <w:bidi w:val="0"/>
              <w:spacing w:line="240" w:lineRule="auto"/>
              <w:ind w:firstLine="0" w:firstLineChars="0"/>
              <w:rPr>
                <w:color w:val="auto"/>
              </w:rPr>
            </w:pPr>
            <w:r>
              <w:rPr>
                <w:rFonts w:hint="eastAsia"/>
                <w:color w:val="auto"/>
              </w:rPr>
              <w:t>中招国际招标有限公司</w:t>
            </w:r>
          </w:p>
        </w:tc>
      </w:tr>
      <w:tr w14:paraId="1B7FB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jc w:val="center"/>
        </w:trPr>
        <w:tc>
          <w:tcPr>
            <w:tcW w:w="1121" w:type="dxa"/>
            <w:gridSpan w:val="2"/>
            <w:vMerge w:val="continue"/>
            <w:tcBorders>
              <w:top w:val="nil"/>
              <w:bottom w:val="nil"/>
            </w:tcBorders>
            <w:tcMar>
              <w:top w:w="57" w:type="dxa"/>
              <w:left w:w="57" w:type="dxa"/>
              <w:bottom w:w="57" w:type="dxa"/>
              <w:right w:w="57" w:type="dxa"/>
            </w:tcMar>
            <w:vAlign w:val="center"/>
          </w:tcPr>
          <w:p w14:paraId="6E3EE4E8">
            <w:pPr>
              <w:keepLines/>
              <w:pageBreakBefore w:val="0"/>
              <w:kinsoku w:val="0"/>
              <w:wordWrap w:val="0"/>
              <w:overflowPunct/>
              <w:bidi w:val="0"/>
              <w:spacing w:line="240" w:lineRule="auto"/>
              <w:ind w:firstLine="0" w:firstLineChars="0"/>
              <w:jc w:val="center"/>
              <w:rPr>
                <w:color w:val="auto"/>
              </w:rPr>
            </w:pPr>
          </w:p>
        </w:tc>
        <w:tc>
          <w:tcPr>
            <w:tcW w:w="1465" w:type="dxa"/>
            <w:tcMar>
              <w:top w:w="57" w:type="dxa"/>
              <w:left w:w="57" w:type="dxa"/>
              <w:bottom w:w="57" w:type="dxa"/>
              <w:right w:w="57" w:type="dxa"/>
            </w:tcMar>
            <w:vAlign w:val="center"/>
          </w:tcPr>
          <w:p w14:paraId="38551EFB">
            <w:pPr>
              <w:keepLines/>
              <w:pageBreakBefore w:val="0"/>
              <w:kinsoku w:val="0"/>
              <w:wordWrap w:val="0"/>
              <w:overflowPunct/>
              <w:bidi w:val="0"/>
              <w:spacing w:line="240" w:lineRule="auto"/>
              <w:ind w:firstLine="0" w:firstLineChars="0"/>
              <w:jc w:val="center"/>
              <w:rPr>
                <w:color w:val="auto"/>
              </w:rPr>
            </w:pPr>
            <w:r>
              <w:rPr>
                <w:rFonts w:hint="eastAsia"/>
                <w:color w:val="auto"/>
              </w:rPr>
              <w:t>项目名称</w:t>
            </w:r>
          </w:p>
        </w:tc>
        <w:tc>
          <w:tcPr>
            <w:tcW w:w="7600" w:type="dxa"/>
            <w:tcMar>
              <w:top w:w="57" w:type="dxa"/>
              <w:left w:w="57" w:type="dxa"/>
              <w:bottom w:w="57" w:type="dxa"/>
              <w:right w:w="57" w:type="dxa"/>
            </w:tcMar>
            <w:vAlign w:val="center"/>
          </w:tcPr>
          <w:p w14:paraId="359DBFD8">
            <w:pPr>
              <w:pageBreakBefore w:val="0"/>
              <w:kinsoku w:val="0"/>
              <w:wordWrap w:val="0"/>
              <w:overflowPunct/>
              <w:autoSpaceDE w:val="0"/>
              <w:autoSpaceDN w:val="0"/>
              <w:bidi w:val="0"/>
              <w:spacing w:line="240" w:lineRule="auto"/>
              <w:ind w:firstLine="0" w:firstLineChars="0"/>
              <w:rPr>
                <w:rFonts w:hint="eastAsia" w:eastAsia="宋体"/>
                <w:color w:val="auto"/>
                <w:lang w:eastAsia="zh-CN"/>
              </w:rPr>
            </w:pPr>
            <w:r>
              <w:rPr>
                <w:rFonts w:hint="eastAsia"/>
                <w:color w:val="auto"/>
                <w:lang w:eastAsia="zh-CN"/>
              </w:rPr>
              <w:t>云南省消防救援总队2023年“自然灾害应急能力提升工程”装备配备项目（车辆部分）第一批次（二次招标）</w:t>
            </w:r>
          </w:p>
        </w:tc>
      </w:tr>
      <w:tr w14:paraId="11F33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1121" w:type="dxa"/>
            <w:gridSpan w:val="2"/>
            <w:vMerge w:val="continue"/>
            <w:tcBorders>
              <w:top w:val="nil"/>
            </w:tcBorders>
            <w:tcMar>
              <w:top w:w="57" w:type="dxa"/>
              <w:left w:w="57" w:type="dxa"/>
              <w:bottom w:w="57" w:type="dxa"/>
              <w:right w:w="57" w:type="dxa"/>
            </w:tcMar>
            <w:vAlign w:val="center"/>
          </w:tcPr>
          <w:p w14:paraId="5199CE86">
            <w:pPr>
              <w:keepLines/>
              <w:pageBreakBefore w:val="0"/>
              <w:kinsoku w:val="0"/>
              <w:wordWrap w:val="0"/>
              <w:overflowPunct/>
              <w:bidi w:val="0"/>
              <w:spacing w:line="240" w:lineRule="auto"/>
              <w:ind w:firstLine="0" w:firstLineChars="0"/>
              <w:jc w:val="center"/>
              <w:rPr>
                <w:color w:val="auto"/>
              </w:rPr>
            </w:pPr>
          </w:p>
        </w:tc>
        <w:tc>
          <w:tcPr>
            <w:tcW w:w="1465" w:type="dxa"/>
            <w:tcMar>
              <w:top w:w="57" w:type="dxa"/>
              <w:left w:w="57" w:type="dxa"/>
              <w:bottom w:w="57" w:type="dxa"/>
              <w:right w:w="57" w:type="dxa"/>
            </w:tcMar>
            <w:vAlign w:val="center"/>
          </w:tcPr>
          <w:p w14:paraId="40D65ACA">
            <w:pPr>
              <w:keepLines/>
              <w:pageBreakBefore w:val="0"/>
              <w:kinsoku w:val="0"/>
              <w:wordWrap w:val="0"/>
              <w:overflowPunct/>
              <w:bidi w:val="0"/>
              <w:spacing w:line="240" w:lineRule="auto"/>
              <w:ind w:firstLine="0" w:firstLineChars="0"/>
              <w:jc w:val="center"/>
              <w:rPr>
                <w:color w:val="auto"/>
              </w:rPr>
            </w:pPr>
            <w:r>
              <w:rPr>
                <w:rFonts w:hint="eastAsia"/>
                <w:color w:val="auto"/>
              </w:rPr>
              <w:t>项目编号</w:t>
            </w:r>
          </w:p>
        </w:tc>
        <w:tc>
          <w:tcPr>
            <w:tcW w:w="7600" w:type="dxa"/>
            <w:tcMar>
              <w:top w:w="57" w:type="dxa"/>
              <w:left w:w="57" w:type="dxa"/>
              <w:bottom w:w="57" w:type="dxa"/>
              <w:right w:w="57" w:type="dxa"/>
            </w:tcMar>
            <w:vAlign w:val="center"/>
          </w:tcPr>
          <w:p w14:paraId="2C2240DB">
            <w:pPr>
              <w:pageBreakBefore w:val="0"/>
              <w:kinsoku w:val="0"/>
              <w:wordWrap w:val="0"/>
              <w:overflowPunct/>
              <w:autoSpaceDE w:val="0"/>
              <w:autoSpaceDN w:val="0"/>
              <w:bidi w:val="0"/>
              <w:spacing w:line="240" w:lineRule="auto"/>
              <w:ind w:firstLine="0" w:firstLineChars="0"/>
              <w:rPr>
                <w:color w:val="auto"/>
              </w:rPr>
            </w:pPr>
            <w:r>
              <w:rPr>
                <w:rFonts w:hint="eastAsia"/>
                <w:color w:val="auto"/>
              </w:rPr>
              <w:t>YNSXFJYZD2023NZRZHYJNLTSGCZBPBXM（CLBF）DYPC</w:t>
            </w:r>
          </w:p>
        </w:tc>
      </w:tr>
      <w:tr w14:paraId="714414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1121" w:type="dxa"/>
            <w:gridSpan w:val="2"/>
            <w:tcMar>
              <w:top w:w="57" w:type="dxa"/>
              <w:left w:w="57" w:type="dxa"/>
              <w:bottom w:w="57" w:type="dxa"/>
              <w:right w:w="57" w:type="dxa"/>
            </w:tcMar>
            <w:vAlign w:val="center"/>
          </w:tcPr>
          <w:p w14:paraId="6B1C7F55">
            <w:pPr>
              <w:keepLines/>
              <w:pageBreakBefore w:val="0"/>
              <w:kinsoku w:val="0"/>
              <w:wordWrap w:val="0"/>
              <w:overflowPunct/>
              <w:bidi w:val="0"/>
              <w:spacing w:line="240" w:lineRule="auto"/>
              <w:ind w:firstLine="0" w:firstLineChars="0"/>
              <w:jc w:val="center"/>
              <w:rPr>
                <w:color w:val="auto"/>
              </w:rPr>
            </w:pPr>
            <w:r>
              <w:rPr>
                <w:rFonts w:hint="eastAsia"/>
                <w:color w:val="auto"/>
              </w:rPr>
              <w:t>2</w:t>
            </w:r>
          </w:p>
        </w:tc>
        <w:tc>
          <w:tcPr>
            <w:tcW w:w="1465" w:type="dxa"/>
            <w:tcMar>
              <w:top w:w="57" w:type="dxa"/>
              <w:left w:w="57" w:type="dxa"/>
              <w:bottom w:w="57" w:type="dxa"/>
              <w:right w:w="57" w:type="dxa"/>
            </w:tcMar>
            <w:vAlign w:val="center"/>
          </w:tcPr>
          <w:p w14:paraId="7E7592E5">
            <w:pPr>
              <w:keepLines/>
              <w:pageBreakBefore w:val="0"/>
              <w:kinsoku w:val="0"/>
              <w:wordWrap w:val="0"/>
              <w:overflowPunct/>
              <w:bidi w:val="0"/>
              <w:spacing w:line="240" w:lineRule="auto"/>
              <w:ind w:firstLine="0" w:firstLineChars="0"/>
              <w:jc w:val="center"/>
              <w:rPr>
                <w:color w:val="auto"/>
              </w:rPr>
            </w:pPr>
            <w:r>
              <w:rPr>
                <w:rFonts w:hint="eastAsia"/>
                <w:color w:val="auto"/>
              </w:rPr>
              <w:t>资金来源</w:t>
            </w:r>
          </w:p>
        </w:tc>
        <w:tc>
          <w:tcPr>
            <w:tcW w:w="7600" w:type="dxa"/>
            <w:tcMar>
              <w:top w:w="57" w:type="dxa"/>
              <w:left w:w="57" w:type="dxa"/>
              <w:bottom w:w="57" w:type="dxa"/>
              <w:right w:w="57" w:type="dxa"/>
            </w:tcMar>
            <w:vAlign w:val="center"/>
          </w:tcPr>
          <w:p w14:paraId="4D07BDA6">
            <w:pPr>
              <w:pageBreakBefore w:val="0"/>
              <w:kinsoku w:val="0"/>
              <w:wordWrap w:val="0"/>
              <w:overflowPunct/>
              <w:autoSpaceDE w:val="0"/>
              <w:autoSpaceDN w:val="0"/>
              <w:bidi w:val="0"/>
              <w:spacing w:line="240" w:lineRule="auto"/>
              <w:ind w:firstLine="0" w:firstLineChars="0"/>
              <w:rPr>
                <w:color w:val="auto"/>
              </w:rPr>
            </w:pPr>
            <w:r>
              <w:rPr>
                <w:rFonts w:hint="eastAsia"/>
                <w:color w:val="auto"/>
              </w:rPr>
              <w:t>已落实</w:t>
            </w:r>
          </w:p>
        </w:tc>
      </w:tr>
      <w:tr w14:paraId="3A458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jc w:val="center"/>
        </w:trPr>
        <w:tc>
          <w:tcPr>
            <w:tcW w:w="1121" w:type="dxa"/>
            <w:gridSpan w:val="2"/>
            <w:tcMar>
              <w:top w:w="57" w:type="dxa"/>
              <w:left w:w="57" w:type="dxa"/>
              <w:bottom w:w="57" w:type="dxa"/>
              <w:right w:w="57" w:type="dxa"/>
            </w:tcMar>
            <w:vAlign w:val="center"/>
          </w:tcPr>
          <w:p w14:paraId="1E5243D9">
            <w:pPr>
              <w:keepLines/>
              <w:pageBreakBefore w:val="0"/>
              <w:kinsoku w:val="0"/>
              <w:wordWrap w:val="0"/>
              <w:overflowPunct/>
              <w:bidi w:val="0"/>
              <w:spacing w:line="240" w:lineRule="auto"/>
              <w:ind w:firstLine="0" w:firstLineChars="0"/>
              <w:jc w:val="center"/>
              <w:rPr>
                <w:color w:val="auto"/>
              </w:rPr>
            </w:pPr>
            <w:r>
              <w:rPr>
                <w:rFonts w:hint="eastAsia"/>
                <w:color w:val="auto"/>
              </w:rPr>
              <w:t>3.1</w:t>
            </w:r>
          </w:p>
        </w:tc>
        <w:tc>
          <w:tcPr>
            <w:tcW w:w="1465" w:type="dxa"/>
            <w:tcMar>
              <w:top w:w="57" w:type="dxa"/>
              <w:left w:w="57" w:type="dxa"/>
              <w:bottom w:w="57" w:type="dxa"/>
              <w:right w:w="57" w:type="dxa"/>
            </w:tcMar>
            <w:vAlign w:val="center"/>
          </w:tcPr>
          <w:p w14:paraId="3EBA6F5F">
            <w:pPr>
              <w:keepLines/>
              <w:pageBreakBefore w:val="0"/>
              <w:kinsoku w:val="0"/>
              <w:wordWrap w:val="0"/>
              <w:overflowPunct/>
              <w:bidi w:val="0"/>
              <w:spacing w:line="240" w:lineRule="auto"/>
              <w:ind w:firstLine="0" w:firstLineChars="0"/>
              <w:jc w:val="center"/>
              <w:rPr>
                <w:color w:val="auto"/>
              </w:rPr>
            </w:pPr>
            <w:r>
              <w:rPr>
                <w:rFonts w:hint="eastAsia"/>
                <w:color w:val="auto"/>
              </w:rPr>
              <w:t>招标内容</w:t>
            </w:r>
          </w:p>
        </w:tc>
        <w:tc>
          <w:tcPr>
            <w:tcW w:w="7600" w:type="dxa"/>
            <w:tcMar>
              <w:top w:w="57" w:type="dxa"/>
              <w:left w:w="57" w:type="dxa"/>
              <w:bottom w:w="57" w:type="dxa"/>
              <w:right w:w="57" w:type="dxa"/>
            </w:tcMar>
            <w:vAlign w:val="center"/>
          </w:tcPr>
          <w:p w14:paraId="1764CC3C">
            <w:pPr>
              <w:pageBreakBefore w:val="0"/>
              <w:kinsoku w:val="0"/>
              <w:wordWrap w:val="0"/>
              <w:overflowPunct/>
              <w:autoSpaceDE w:val="0"/>
              <w:autoSpaceDN w:val="0"/>
              <w:bidi w:val="0"/>
              <w:spacing w:line="240" w:lineRule="auto"/>
              <w:ind w:firstLine="0" w:firstLineChars="0"/>
              <w:rPr>
                <w:color w:val="auto"/>
              </w:rPr>
            </w:pPr>
            <w:r>
              <w:rPr>
                <w:rFonts w:hint="eastAsia"/>
                <w:color w:val="auto"/>
              </w:rPr>
              <w:t>详见“第五章 技术要求”</w:t>
            </w:r>
          </w:p>
        </w:tc>
      </w:tr>
      <w:tr w14:paraId="011600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 w:hRule="atLeast"/>
          <w:jc w:val="center"/>
        </w:trPr>
        <w:tc>
          <w:tcPr>
            <w:tcW w:w="1121" w:type="dxa"/>
            <w:gridSpan w:val="2"/>
            <w:tcMar>
              <w:top w:w="57" w:type="dxa"/>
              <w:left w:w="57" w:type="dxa"/>
              <w:bottom w:w="57" w:type="dxa"/>
              <w:right w:w="57" w:type="dxa"/>
            </w:tcMar>
            <w:vAlign w:val="center"/>
          </w:tcPr>
          <w:p w14:paraId="08F2C685">
            <w:pPr>
              <w:keepLines/>
              <w:pageBreakBefore w:val="0"/>
              <w:kinsoku w:val="0"/>
              <w:wordWrap w:val="0"/>
              <w:overflowPunct/>
              <w:bidi w:val="0"/>
              <w:spacing w:line="240" w:lineRule="auto"/>
              <w:ind w:firstLine="0" w:firstLineChars="0"/>
              <w:jc w:val="center"/>
              <w:rPr>
                <w:color w:val="auto"/>
              </w:rPr>
            </w:pPr>
            <w:r>
              <w:rPr>
                <w:rFonts w:hint="eastAsia"/>
                <w:color w:val="auto"/>
              </w:rPr>
              <w:t>3.2</w:t>
            </w:r>
          </w:p>
        </w:tc>
        <w:tc>
          <w:tcPr>
            <w:tcW w:w="1465" w:type="dxa"/>
            <w:tcMar>
              <w:top w:w="57" w:type="dxa"/>
              <w:left w:w="57" w:type="dxa"/>
              <w:bottom w:w="57" w:type="dxa"/>
              <w:right w:w="57" w:type="dxa"/>
            </w:tcMar>
            <w:vAlign w:val="center"/>
          </w:tcPr>
          <w:p w14:paraId="70A1C653">
            <w:pPr>
              <w:keepLines/>
              <w:pageBreakBefore w:val="0"/>
              <w:kinsoku w:val="0"/>
              <w:wordWrap w:val="0"/>
              <w:overflowPunct/>
              <w:bidi w:val="0"/>
              <w:spacing w:line="240" w:lineRule="auto"/>
              <w:ind w:firstLine="0" w:firstLineChars="0"/>
              <w:jc w:val="center"/>
              <w:rPr>
                <w:color w:val="auto"/>
              </w:rPr>
            </w:pPr>
            <w:r>
              <w:rPr>
                <w:rFonts w:hint="eastAsia"/>
                <w:color w:val="auto"/>
              </w:rPr>
              <w:t>交货期、质量要求</w:t>
            </w:r>
          </w:p>
        </w:tc>
        <w:tc>
          <w:tcPr>
            <w:tcW w:w="7600" w:type="dxa"/>
            <w:tcMar>
              <w:top w:w="57" w:type="dxa"/>
              <w:left w:w="57" w:type="dxa"/>
              <w:bottom w:w="57" w:type="dxa"/>
              <w:right w:w="57" w:type="dxa"/>
            </w:tcMar>
            <w:vAlign w:val="center"/>
          </w:tcPr>
          <w:p w14:paraId="6243A4CF">
            <w:pPr>
              <w:pageBreakBefore w:val="0"/>
              <w:kinsoku w:val="0"/>
              <w:wordWrap w:val="0"/>
              <w:overflowPunct/>
              <w:autoSpaceDE w:val="0"/>
              <w:autoSpaceDN w:val="0"/>
              <w:bidi w:val="0"/>
              <w:spacing w:line="240" w:lineRule="auto"/>
              <w:ind w:firstLine="0" w:firstLineChars="0"/>
              <w:rPr>
                <w:color w:val="auto"/>
              </w:rPr>
            </w:pPr>
            <w:r>
              <w:rPr>
                <w:rFonts w:hint="eastAsia"/>
                <w:color w:val="auto"/>
              </w:rPr>
              <w:t>详见“第一章 招标公告”</w:t>
            </w:r>
          </w:p>
        </w:tc>
      </w:tr>
      <w:tr w14:paraId="4C971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jc w:val="center"/>
        </w:trPr>
        <w:tc>
          <w:tcPr>
            <w:tcW w:w="335" w:type="dxa"/>
            <w:vMerge w:val="restart"/>
            <w:tcMar>
              <w:top w:w="57" w:type="dxa"/>
              <w:left w:w="57" w:type="dxa"/>
              <w:bottom w:w="57" w:type="dxa"/>
              <w:right w:w="57" w:type="dxa"/>
            </w:tcMar>
            <w:vAlign w:val="center"/>
          </w:tcPr>
          <w:p w14:paraId="1BE0DAEB">
            <w:pPr>
              <w:keepLines/>
              <w:pageBreakBefore w:val="0"/>
              <w:kinsoku w:val="0"/>
              <w:wordWrap w:val="0"/>
              <w:overflowPunct/>
              <w:bidi w:val="0"/>
              <w:spacing w:line="240" w:lineRule="auto"/>
              <w:ind w:firstLine="0" w:firstLineChars="0"/>
              <w:jc w:val="center"/>
              <w:rPr>
                <w:color w:val="auto"/>
              </w:rPr>
            </w:pPr>
            <w:r>
              <w:rPr>
                <w:rFonts w:hint="eastAsia"/>
                <w:color w:val="auto"/>
              </w:rPr>
              <w:t>4</w:t>
            </w:r>
          </w:p>
        </w:tc>
        <w:tc>
          <w:tcPr>
            <w:tcW w:w="786" w:type="dxa"/>
            <w:tcMar>
              <w:top w:w="57" w:type="dxa"/>
              <w:left w:w="57" w:type="dxa"/>
              <w:bottom w:w="57" w:type="dxa"/>
              <w:right w:w="57" w:type="dxa"/>
            </w:tcMar>
            <w:vAlign w:val="center"/>
          </w:tcPr>
          <w:p w14:paraId="5F39D54C">
            <w:pPr>
              <w:keepLines/>
              <w:pageBreakBefore w:val="0"/>
              <w:kinsoku w:val="0"/>
              <w:wordWrap w:val="0"/>
              <w:overflowPunct/>
              <w:bidi w:val="0"/>
              <w:spacing w:line="240" w:lineRule="auto"/>
              <w:ind w:firstLine="0" w:firstLineChars="0"/>
              <w:jc w:val="center"/>
              <w:rPr>
                <w:color w:val="auto"/>
              </w:rPr>
            </w:pPr>
            <w:r>
              <w:rPr>
                <w:rFonts w:hint="eastAsia"/>
                <w:color w:val="auto"/>
              </w:rPr>
              <w:t>4.1.2</w:t>
            </w:r>
          </w:p>
        </w:tc>
        <w:tc>
          <w:tcPr>
            <w:tcW w:w="1465" w:type="dxa"/>
            <w:tcMar>
              <w:top w:w="57" w:type="dxa"/>
              <w:left w:w="57" w:type="dxa"/>
              <w:bottom w:w="57" w:type="dxa"/>
              <w:right w:w="57" w:type="dxa"/>
            </w:tcMar>
            <w:vAlign w:val="center"/>
          </w:tcPr>
          <w:p w14:paraId="743110E7">
            <w:pPr>
              <w:keepLines/>
              <w:pageBreakBefore w:val="0"/>
              <w:kinsoku w:val="0"/>
              <w:wordWrap w:val="0"/>
              <w:overflowPunct/>
              <w:bidi w:val="0"/>
              <w:spacing w:line="240" w:lineRule="auto"/>
              <w:ind w:firstLine="0" w:firstLineChars="0"/>
              <w:jc w:val="center"/>
              <w:rPr>
                <w:color w:val="auto"/>
              </w:rPr>
            </w:pPr>
            <w:r>
              <w:rPr>
                <w:rFonts w:hint="eastAsia"/>
                <w:color w:val="auto"/>
              </w:rPr>
              <w:t>良好的商业信誉和健全的财务会计制度</w:t>
            </w:r>
          </w:p>
        </w:tc>
        <w:tc>
          <w:tcPr>
            <w:tcW w:w="7600" w:type="dxa"/>
            <w:tcMar>
              <w:top w:w="57" w:type="dxa"/>
              <w:left w:w="57" w:type="dxa"/>
              <w:bottom w:w="57" w:type="dxa"/>
              <w:right w:w="57" w:type="dxa"/>
            </w:tcMar>
            <w:vAlign w:val="center"/>
          </w:tcPr>
          <w:p w14:paraId="026AEBB9">
            <w:pPr>
              <w:pageBreakBefore w:val="0"/>
              <w:numPr>
                <w:ilvl w:val="0"/>
                <w:numId w:val="3"/>
              </w:numPr>
              <w:kinsoku w:val="0"/>
              <w:wordWrap w:val="0"/>
              <w:overflowPunct/>
              <w:autoSpaceDE w:val="0"/>
              <w:autoSpaceDN w:val="0"/>
              <w:bidi w:val="0"/>
              <w:spacing w:line="240" w:lineRule="auto"/>
              <w:ind w:firstLine="0" w:firstLineChars="0"/>
              <w:rPr>
                <w:color w:val="auto"/>
              </w:rPr>
            </w:pPr>
            <w:r>
              <w:rPr>
                <w:rFonts w:hint="eastAsia"/>
                <w:color w:val="auto"/>
              </w:rPr>
              <w:t>提供2021年度-2023年度任意一年经审计的财务会计报表，包括财务审计报告、资产负债表、利润表、现金流量表；</w:t>
            </w:r>
          </w:p>
          <w:p w14:paraId="2286FFE8">
            <w:pPr>
              <w:pageBreakBefore w:val="0"/>
              <w:numPr>
                <w:ilvl w:val="0"/>
                <w:numId w:val="3"/>
              </w:numPr>
              <w:kinsoku w:val="0"/>
              <w:wordWrap w:val="0"/>
              <w:overflowPunct/>
              <w:autoSpaceDE w:val="0"/>
              <w:autoSpaceDN w:val="0"/>
              <w:bidi w:val="0"/>
              <w:spacing w:line="240" w:lineRule="auto"/>
              <w:ind w:firstLine="0" w:firstLineChars="0"/>
              <w:rPr>
                <w:color w:val="auto"/>
              </w:rPr>
            </w:pPr>
            <w:r>
              <w:rPr>
                <w:rFonts w:hint="eastAsia"/>
                <w:color w:val="auto"/>
              </w:rPr>
              <w:t>对于从取得营业执照时间起到递交投标文件截止时间为止不足1年的投标人，提供自投标文件提交截止时间前三个月内开户银行出具的资信证明。</w:t>
            </w:r>
          </w:p>
          <w:p w14:paraId="650C8649">
            <w:pPr>
              <w:pageBreakBefore w:val="0"/>
              <w:kinsoku w:val="0"/>
              <w:wordWrap w:val="0"/>
              <w:overflowPunct/>
              <w:autoSpaceDE w:val="0"/>
              <w:autoSpaceDN w:val="0"/>
              <w:bidi w:val="0"/>
              <w:spacing w:line="240" w:lineRule="auto"/>
              <w:ind w:firstLine="0" w:firstLineChars="0"/>
              <w:rPr>
                <w:color w:val="auto"/>
              </w:rPr>
            </w:pPr>
            <w:r>
              <w:rPr>
                <w:rFonts w:hint="eastAsia"/>
                <w:color w:val="auto"/>
              </w:rPr>
              <w:t>（3）财政部门认可的政府采购专业担保机构出具的关于财务状况的投标担保函（需同时提供专业担保机构经财政部门认可的证明文件）。</w:t>
            </w:r>
          </w:p>
          <w:p w14:paraId="27C51AA3">
            <w:pPr>
              <w:pageBreakBefore w:val="0"/>
              <w:kinsoku w:val="0"/>
              <w:wordWrap w:val="0"/>
              <w:overflowPunct/>
              <w:autoSpaceDE w:val="0"/>
              <w:autoSpaceDN w:val="0"/>
              <w:bidi w:val="0"/>
              <w:spacing w:line="240" w:lineRule="auto"/>
              <w:ind w:firstLine="0" w:firstLineChars="0"/>
              <w:rPr>
                <w:color w:val="auto"/>
              </w:rPr>
            </w:pPr>
            <w:r>
              <w:rPr>
                <w:rFonts w:hint="eastAsia"/>
                <w:b/>
                <w:bCs/>
                <w:color w:val="auto"/>
              </w:rPr>
              <w:t>备注：投标人可根据自身情况提供上述任意一种证明材料。</w:t>
            </w:r>
          </w:p>
        </w:tc>
      </w:tr>
      <w:tr w14:paraId="2DC02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35" w:type="dxa"/>
            <w:vMerge w:val="continue"/>
            <w:tcMar>
              <w:top w:w="57" w:type="dxa"/>
              <w:left w:w="57" w:type="dxa"/>
              <w:bottom w:w="57" w:type="dxa"/>
              <w:right w:w="57" w:type="dxa"/>
            </w:tcMar>
            <w:vAlign w:val="center"/>
          </w:tcPr>
          <w:p w14:paraId="2553B1CB">
            <w:pPr>
              <w:keepLines/>
              <w:pageBreakBefore w:val="0"/>
              <w:kinsoku w:val="0"/>
              <w:wordWrap w:val="0"/>
              <w:overflowPunct/>
              <w:bidi w:val="0"/>
              <w:spacing w:line="240" w:lineRule="auto"/>
              <w:ind w:firstLine="0" w:firstLineChars="0"/>
              <w:jc w:val="center"/>
              <w:rPr>
                <w:color w:val="auto"/>
              </w:rPr>
            </w:pPr>
          </w:p>
        </w:tc>
        <w:tc>
          <w:tcPr>
            <w:tcW w:w="786" w:type="dxa"/>
            <w:tcMar>
              <w:top w:w="57" w:type="dxa"/>
              <w:left w:w="57" w:type="dxa"/>
              <w:bottom w:w="57" w:type="dxa"/>
              <w:right w:w="57" w:type="dxa"/>
            </w:tcMar>
            <w:vAlign w:val="center"/>
          </w:tcPr>
          <w:p w14:paraId="5010CED0">
            <w:pPr>
              <w:keepLines/>
              <w:pageBreakBefore w:val="0"/>
              <w:kinsoku w:val="0"/>
              <w:wordWrap w:val="0"/>
              <w:overflowPunct/>
              <w:bidi w:val="0"/>
              <w:spacing w:line="240" w:lineRule="auto"/>
              <w:ind w:firstLine="0" w:firstLineChars="0"/>
              <w:jc w:val="center"/>
              <w:rPr>
                <w:color w:val="auto"/>
              </w:rPr>
            </w:pPr>
            <w:r>
              <w:rPr>
                <w:rFonts w:hint="eastAsia"/>
                <w:color w:val="auto"/>
              </w:rPr>
              <w:t>4.1.3</w:t>
            </w:r>
          </w:p>
        </w:tc>
        <w:tc>
          <w:tcPr>
            <w:tcW w:w="1465" w:type="dxa"/>
            <w:tcMar>
              <w:top w:w="57" w:type="dxa"/>
              <w:left w:w="57" w:type="dxa"/>
              <w:bottom w:w="57" w:type="dxa"/>
              <w:right w:w="57" w:type="dxa"/>
            </w:tcMar>
            <w:vAlign w:val="center"/>
          </w:tcPr>
          <w:p w14:paraId="2DFA8EF3">
            <w:pPr>
              <w:keepLines/>
              <w:pageBreakBefore w:val="0"/>
              <w:kinsoku w:val="0"/>
              <w:wordWrap w:val="0"/>
              <w:overflowPunct/>
              <w:bidi w:val="0"/>
              <w:spacing w:line="240" w:lineRule="auto"/>
              <w:ind w:firstLine="0" w:firstLineChars="0"/>
              <w:jc w:val="center"/>
              <w:rPr>
                <w:color w:val="auto"/>
              </w:rPr>
            </w:pPr>
            <w:r>
              <w:rPr>
                <w:rFonts w:hint="eastAsia"/>
                <w:color w:val="auto"/>
              </w:rPr>
              <w:t>缴纳税收</w:t>
            </w:r>
          </w:p>
        </w:tc>
        <w:tc>
          <w:tcPr>
            <w:tcW w:w="7600" w:type="dxa"/>
            <w:tcMar>
              <w:top w:w="57" w:type="dxa"/>
              <w:left w:w="57" w:type="dxa"/>
              <w:bottom w:w="57" w:type="dxa"/>
              <w:right w:w="57" w:type="dxa"/>
            </w:tcMar>
            <w:vAlign w:val="center"/>
          </w:tcPr>
          <w:p w14:paraId="0668BFBF">
            <w:pPr>
              <w:pageBreakBefore w:val="0"/>
              <w:kinsoku w:val="0"/>
              <w:wordWrap w:val="0"/>
              <w:overflowPunct/>
              <w:autoSpaceDE w:val="0"/>
              <w:autoSpaceDN w:val="0"/>
              <w:bidi w:val="0"/>
              <w:spacing w:line="240" w:lineRule="auto"/>
              <w:ind w:firstLine="0" w:firstLineChars="0"/>
              <w:rPr>
                <w:color w:val="auto"/>
              </w:rPr>
            </w:pPr>
            <w:r>
              <w:rPr>
                <w:rFonts w:hint="eastAsia"/>
                <w:color w:val="auto"/>
              </w:rPr>
              <w:t>缴税所属时间在</w:t>
            </w:r>
            <w:r>
              <w:rPr>
                <w:rFonts w:hint="eastAsia"/>
                <w:b/>
                <w:bCs/>
                <w:color w:val="auto"/>
              </w:rPr>
              <w:t>2023年1月至今期间任意3个月</w:t>
            </w:r>
            <w:r>
              <w:rPr>
                <w:rFonts w:hint="eastAsia"/>
                <w:color w:val="auto"/>
              </w:rPr>
              <w:t>的税务局税收通用缴款书复印件或银行电子缴税(费)凭证复印件或税务局出具纳税情况的相关证明复印件。</w:t>
            </w:r>
          </w:p>
          <w:p w14:paraId="64719AA9">
            <w:pPr>
              <w:pageBreakBefore w:val="0"/>
              <w:kinsoku w:val="0"/>
              <w:wordWrap w:val="0"/>
              <w:overflowPunct/>
              <w:autoSpaceDE w:val="0"/>
              <w:autoSpaceDN w:val="0"/>
              <w:bidi w:val="0"/>
              <w:spacing w:line="240" w:lineRule="auto"/>
              <w:ind w:firstLine="0" w:firstLineChars="0"/>
              <w:rPr>
                <w:color w:val="auto"/>
              </w:rPr>
            </w:pPr>
            <w:r>
              <w:rPr>
                <w:rFonts w:hint="eastAsia"/>
                <w:color w:val="auto"/>
              </w:rPr>
              <w:t>（依法免税的，应提供依法免税的相关证明文件；2024年1月份及以后成立的投标人需出具承诺函）。</w:t>
            </w:r>
          </w:p>
        </w:tc>
      </w:tr>
      <w:tr w14:paraId="769C7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335" w:type="dxa"/>
            <w:vMerge w:val="continue"/>
            <w:tcMar>
              <w:top w:w="57" w:type="dxa"/>
              <w:left w:w="57" w:type="dxa"/>
              <w:bottom w:w="57" w:type="dxa"/>
              <w:right w:w="57" w:type="dxa"/>
            </w:tcMar>
            <w:vAlign w:val="center"/>
          </w:tcPr>
          <w:p w14:paraId="340919BD">
            <w:pPr>
              <w:keepLines/>
              <w:pageBreakBefore w:val="0"/>
              <w:kinsoku w:val="0"/>
              <w:wordWrap w:val="0"/>
              <w:overflowPunct/>
              <w:bidi w:val="0"/>
              <w:spacing w:line="240" w:lineRule="auto"/>
              <w:ind w:firstLine="0" w:firstLineChars="0"/>
              <w:jc w:val="center"/>
              <w:rPr>
                <w:color w:val="auto"/>
              </w:rPr>
            </w:pPr>
          </w:p>
        </w:tc>
        <w:tc>
          <w:tcPr>
            <w:tcW w:w="786" w:type="dxa"/>
            <w:tcMar>
              <w:top w:w="57" w:type="dxa"/>
              <w:left w:w="57" w:type="dxa"/>
              <w:bottom w:w="57" w:type="dxa"/>
              <w:right w:w="57" w:type="dxa"/>
            </w:tcMar>
            <w:vAlign w:val="center"/>
          </w:tcPr>
          <w:p w14:paraId="32228240">
            <w:pPr>
              <w:keepLines/>
              <w:pageBreakBefore w:val="0"/>
              <w:kinsoku w:val="0"/>
              <w:wordWrap w:val="0"/>
              <w:overflowPunct/>
              <w:bidi w:val="0"/>
              <w:spacing w:line="240" w:lineRule="auto"/>
              <w:ind w:firstLine="0" w:firstLineChars="0"/>
              <w:jc w:val="center"/>
              <w:rPr>
                <w:color w:val="auto"/>
              </w:rPr>
            </w:pPr>
            <w:r>
              <w:rPr>
                <w:rFonts w:hint="eastAsia"/>
                <w:color w:val="auto"/>
              </w:rPr>
              <w:t>4.1.4</w:t>
            </w:r>
          </w:p>
        </w:tc>
        <w:tc>
          <w:tcPr>
            <w:tcW w:w="1465" w:type="dxa"/>
            <w:tcMar>
              <w:top w:w="57" w:type="dxa"/>
              <w:left w:w="57" w:type="dxa"/>
              <w:bottom w:w="57" w:type="dxa"/>
              <w:right w:w="57" w:type="dxa"/>
            </w:tcMar>
            <w:vAlign w:val="center"/>
          </w:tcPr>
          <w:p w14:paraId="79017C40">
            <w:pPr>
              <w:keepLines/>
              <w:pageBreakBefore w:val="0"/>
              <w:kinsoku w:val="0"/>
              <w:wordWrap w:val="0"/>
              <w:overflowPunct/>
              <w:bidi w:val="0"/>
              <w:spacing w:line="240" w:lineRule="auto"/>
              <w:ind w:firstLine="0" w:firstLineChars="0"/>
              <w:jc w:val="center"/>
              <w:rPr>
                <w:color w:val="auto"/>
              </w:rPr>
            </w:pPr>
            <w:r>
              <w:rPr>
                <w:rFonts w:hint="eastAsia"/>
                <w:color w:val="auto"/>
              </w:rPr>
              <w:t>缴纳社会保障资金</w:t>
            </w:r>
          </w:p>
        </w:tc>
        <w:tc>
          <w:tcPr>
            <w:tcW w:w="7600" w:type="dxa"/>
            <w:tcMar>
              <w:top w:w="57" w:type="dxa"/>
              <w:left w:w="57" w:type="dxa"/>
              <w:bottom w:w="57" w:type="dxa"/>
              <w:right w:w="57" w:type="dxa"/>
            </w:tcMar>
            <w:vAlign w:val="center"/>
          </w:tcPr>
          <w:p w14:paraId="4D9A1B0B">
            <w:pPr>
              <w:pageBreakBefore w:val="0"/>
              <w:kinsoku w:val="0"/>
              <w:wordWrap w:val="0"/>
              <w:overflowPunct/>
              <w:autoSpaceDE w:val="0"/>
              <w:autoSpaceDN w:val="0"/>
              <w:bidi w:val="0"/>
              <w:spacing w:line="240" w:lineRule="auto"/>
              <w:ind w:firstLine="0" w:firstLineChars="0"/>
              <w:rPr>
                <w:color w:val="auto"/>
              </w:rPr>
            </w:pPr>
            <w:r>
              <w:rPr>
                <w:rFonts w:hint="eastAsia"/>
                <w:color w:val="auto"/>
              </w:rPr>
              <w:t>缴费所属时间在</w:t>
            </w:r>
            <w:r>
              <w:rPr>
                <w:rFonts w:hint="eastAsia"/>
                <w:b/>
                <w:bCs/>
                <w:color w:val="auto"/>
              </w:rPr>
              <w:t>2023年1月至今期间任意3个月</w:t>
            </w:r>
            <w:r>
              <w:rPr>
                <w:rFonts w:hint="eastAsia"/>
                <w:color w:val="auto"/>
              </w:rPr>
              <w:t>的社会保险费缴款书复印件或银行电子缴税(费) 凭证复印件或社保管理部门出具的有效的缴款证明复印件。</w:t>
            </w:r>
          </w:p>
          <w:p w14:paraId="4D8D056B">
            <w:pPr>
              <w:pageBreakBefore w:val="0"/>
              <w:kinsoku w:val="0"/>
              <w:wordWrap w:val="0"/>
              <w:overflowPunct/>
              <w:autoSpaceDE w:val="0"/>
              <w:autoSpaceDN w:val="0"/>
              <w:bidi w:val="0"/>
              <w:spacing w:line="240" w:lineRule="auto"/>
              <w:ind w:firstLine="0" w:firstLineChars="0"/>
              <w:rPr>
                <w:color w:val="auto"/>
              </w:rPr>
            </w:pPr>
            <w:r>
              <w:rPr>
                <w:rFonts w:hint="eastAsia"/>
                <w:color w:val="auto"/>
              </w:rPr>
              <w:t>（依法免缴的，应提供依法免缴的相关证明文件；2024年1月份及以后成立的投标人需出具承诺函）。</w:t>
            </w:r>
          </w:p>
        </w:tc>
      </w:tr>
      <w:tr w14:paraId="08768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35" w:type="dxa"/>
            <w:vMerge w:val="continue"/>
            <w:tcMar>
              <w:top w:w="57" w:type="dxa"/>
              <w:left w:w="57" w:type="dxa"/>
              <w:bottom w:w="57" w:type="dxa"/>
              <w:right w:w="57" w:type="dxa"/>
            </w:tcMar>
            <w:vAlign w:val="center"/>
          </w:tcPr>
          <w:p w14:paraId="46098742">
            <w:pPr>
              <w:keepLines/>
              <w:pageBreakBefore w:val="0"/>
              <w:kinsoku w:val="0"/>
              <w:wordWrap w:val="0"/>
              <w:overflowPunct/>
              <w:bidi w:val="0"/>
              <w:spacing w:line="240" w:lineRule="auto"/>
              <w:ind w:firstLine="0" w:firstLineChars="0"/>
              <w:jc w:val="center"/>
              <w:rPr>
                <w:color w:val="auto"/>
              </w:rPr>
            </w:pPr>
          </w:p>
        </w:tc>
        <w:tc>
          <w:tcPr>
            <w:tcW w:w="786" w:type="dxa"/>
            <w:tcMar>
              <w:top w:w="57" w:type="dxa"/>
              <w:left w:w="57" w:type="dxa"/>
              <w:bottom w:w="57" w:type="dxa"/>
              <w:right w:w="57" w:type="dxa"/>
            </w:tcMar>
            <w:vAlign w:val="center"/>
          </w:tcPr>
          <w:p w14:paraId="3CB9A8C7">
            <w:pPr>
              <w:keepLines/>
              <w:pageBreakBefore w:val="0"/>
              <w:kinsoku w:val="0"/>
              <w:wordWrap w:val="0"/>
              <w:overflowPunct/>
              <w:bidi w:val="0"/>
              <w:spacing w:line="240" w:lineRule="auto"/>
              <w:ind w:firstLine="0" w:firstLineChars="0"/>
              <w:jc w:val="center"/>
              <w:rPr>
                <w:color w:val="auto"/>
              </w:rPr>
            </w:pPr>
            <w:r>
              <w:rPr>
                <w:rFonts w:hint="eastAsia"/>
                <w:color w:val="auto"/>
              </w:rPr>
              <w:t>4.1.6</w:t>
            </w:r>
          </w:p>
        </w:tc>
        <w:tc>
          <w:tcPr>
            <w:tcW w:w="1465" w:type="dxa"/>
            <w:tcMar>
              <w:top w:w="57" w:type="dxa"/>
              <w:left w:w="57" w:type="dxa"/>
              <w:bottom w:w="57" w:type="dxa"/>
              <w:right w:w="57" w:type="dxa"/>
            </w:tcMar>
            <w:vAlign w:val="center"/>
          </w:tcPr>
          <w:p w14:paraId="00651A62">
            <w:pPr>
              <w:keepLines/>
              <w:pageBreakBefore w:val="0"/>
              <w:kinsoku w:val="0"/>
              <w:wordWrap w:val="0"/>
              <w:overflowPunct/>
              <w:bidi w:val="0"/>
              <w:spacing w:line="240" w:lineRule="auto"/>
              <w:ind w:firstLine="0" w:firstLineChars="0"/>
              <w:jc w:val="center"/>
              <w:rPr>
                <w:color w:val="auto"/>
              </w:rPr>
            </w:pPr>
            <w:r>
              <w:rPr>
                <w:rFonts w:hint="eastAsia"/>
                <w:color w:val="auto"/>
              </w:rPr>
              <w:t>没有重大违法记录</w:t>
            </w:r>
          </w:p>
        </w:tc>
        <w:tc>
          <w:tcPr>
            <w:tcW w:w="7600" w:type="dxa"/>
            <w:tcMar>
              <w:top w:w="57" w:type="dxa"/>
              <w:left w:w="57" w:type="dxa"/>
              <w:bottom w:w="57" w:type="dxa"/>
              <w:right w:w="57" w:type="dxa"/>
            </w:tcMar>
            <w:vAlign w:val="center"/>
          </w:tcPr>
          <w:p w14:paraId="54F09DCF">
            <w:pPr>
              <w:pageBreakBefore w:val="0"/>
              <w:kinsoku w:val="0"/>
              <w:wordWrap w:val="0"/>
              <w:overflowPunct/>
              <w:autoSpaceDE w:val="0"/>
              <w:autoSpaceDN w:val="0"/>
              <w:bidi w:val="0"/>
              <w:spacing w:line="240" w:lineRule="auto"/>
              <w:ind w:firstLine="0" w:firstLineChars="0"/>
              <w:rPr>
                <w:color w:val="auto"/>
              </w:rPr>
            </w:pPr>
            <w:r>
              <w:rPr>
                <w:rFonts w:hint="eastAsia"/>
                <w:color w:val="auto"/>
              </w:rPr>
              <w:t>投标人必须提供参加本项目政府采购活动前 3 年内在经营活动中没有重大违法记录的书面声明。</w:t>
            </w:r>
          </w:p>
        </w:tc>
      </w:tr>
      <w:tr w14:paraId="4CB17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35" w:type="dxa"/>
            <w:vMerge w:val="continue"/>
            <w:tcMar>
              <w:top w:w="57" w:type="dxa"/>
              <w:left w:w="57" w:type="dxa"/>
              <w:bottom w:w="57" w:type="dxa"/>
              <w:right w:w="57" w:type="dxa"/>
            </w:tcMar>
            <w:vAlign w:val="center"/>
          </w:tcPr>
          <w:p w14:paraId="4AAA8521">
            <w:pPr>
              <w:keepLines/>
              <w:pageBreakBefore w:val="0"/>
              <w:kinsoku w:val="0"/>
              <w:wordWrap w:val="0"/>
              <w:overflowPunct/>
              <w:bidi w:val="0"/>
              <w:spacing w:line="240" w:lineRule="auto"/>
              <w:ind w:firstLine="0" w:firstLineChars="0"/>
              <w:jc w:val="center"/>
              <w:rPr>
                <w:color w:val="auto"/>
              </w:rPr>
            </w:pPr>
          </w:p>
        </w:tc>
        <w:tc>
          <w:tcPr>
            <w:tcW w:w="786" w:type="dxa"/>
            <w:tcMar>
              <w:top w:w="57" w:type="dxa"/>
              <w:left w:w="57" w:type="dxa"/>
              <w:bottom w:w="57" w:type="dxa"/>
              <w:right w:w="57" w:type="dxa"/>
            </w:tcMar>
            <w:vAlign w:val="center"/>
          </w:tcPr>
          <w:p w14:paraId="775751CF">
            <w:pPr>
              <w:keepLines/>
              <w:pageBreakBefore w:val="0"/>
              <w:kinsoku w:val="0"/>
              <w:wordWrap w:val="0"/>
              <w:overflowPunct/>
              <w:bidi w:val="0"/>
              <w:spacing w:line="240" w:lineRule="auto"/>
              <w:ind w:firstLine="0" w:firstLineChars="0"/>
              <w:jc w:val="center"/>
              <w:rPr>
                <w:color w:val="auto"/>
              </w:rPr>
            </w:pPr>
            <w:r>
              <w:rPr>
                <w:rFonts w:hint="eastAsia"/>
                <w:color w:val="auto"/>
              </w:rPr>
              <w:t>4.2</w:t>
            </w:r>
          </w:p>
        </w:tc>
        <w:tc>
          <w:tcPr>
            <w:tcW w:w="1465" w:type="dxa"/>
            <w:tcMar>
              <w:top w:w="57" w:type="dxa"/>
              <w:left w:w="57" w:type="dxa"/>
              <w:bottom w:w="57" w:type="dxa"/>
              <w:right w:w="57" w:type="dxa"/>
            </w:tcMar>
            <w:vAlign w:val="center"/>
          </w:tcPr>
          <w:p w14:paraId="4885A394">
            <w:pPr>
              <w:keepLines/>
              <w:pageBreakBefore w:val="0"/>
              <w:kinsoku w:val="0"/>
              <w:wordWrap w:val="0"/>
              <w:overflowPunct/>
              <w:bidi w:val="0"/>
              <w:spacing w:line="240" w:lineRule="auto"/>
              <w:ind w:firstLine="0" w:firstLineChars="0"/>
              <w:jc w:val="center"/>
              <w:rPr>
                <w:color w:val="auto"/>
              </w:rPr>
            </w:pPr>
            <w:r>
              <w:rPr>
                <w:rFonts w:hint="eastAsia"/>
                <w:color w:val="auto"/>
              </w:rPr>
              <w:t>落实政府采购政策需满足的资格要求</w:t>
            </w:r>
          </w:p>
        </w:tc>
        <w:tc>
          <w:tcPr>
            <w:tcW w:w="7600" w:type="dxa"/>
            <w:tcMar>
              <w:top w:w="57" w:type="dxa"/>
              <w:left w:w="57" w:type="dxa"/>
              <w:bottom w:w="57" w:type="dxa"/>
              <w:right w:w="57" w:type="dxa"/>
            </w:tcMar>
            <w:vAlign w:val="center"/>
          </w:tcPr>
          <w:p w14:paraId="6988EDF9">
            <w:pPr>
              <w:pageBreakBefore w:val="0"/>
              <w:kinsoku w:val="0"/>
              <w:wordWrap w:val="0"/>
              <w:overflowPunct/>
              <w:autoSpaceDE w:val="0"/>
              <w:autoSpaceDN w:val="0"/>
              <w:bidi w:val="0"/>
              <w:spacing w:line="240" w:lineRule="auto"/>
              <w:ind w:firstLine="0" w:firstLineChars="0"/>
              <w:rPr>
                <w:color w:val="auto"/>
              </w:rPr>
            </w:pPr>
            <w:r>
              <w:rPr>
                <w:rFonts w:hint="eastAsia"/>
                <w:color w:val="auto"/>
              </w:rPr>
              <w:t>见第一章 二、投标人的资格要求 2、落实政府采购政策需满足的资格要求</w:t>
            </w:r>
          </w:p>
        </w:tc>
      </w:tr>
      <w:tr w14:paraId="7A0F1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jc w:val="center"/>
        </w:trPr>
        <w:tc>
          <w:tcPr>
            <w:tcW w:w="335" w:type="dxa"/>
            <w:vMerge w:val="continue"/>
            <w:tcMar>
              <w:top w:w="57" w:type="dxa"/>
              <w:left w:w="57" w:type="dxa"/>
              <w:bottom w:w="57" w:type="dxa"/>
              <w:right w:w="57" w:type="dxa"/>
            </w:tcMar>
            <w:vAlign w:val="center"/>
          </w:tcPr>
          <w:p w14:paraId="35856ACF">
            <w:pPr>
              <w:keepLines/>
              <w:pageBreakBefore w:val="0"/>
              <w:kinsoku w:val="0"/>
              <w:wordWrap w:val="0"/>
              <w:overflowPunct/>
              <w:bidi w:val="0"/>
              <w:spacing w:line="240" w:lineRule="auto"/>
              <w:ind w:firstLine="0" w:firstLineChars="0"/>
              <w:jc w:val="center"/>
              <w:rPr>
                <w:color w:val="auto"/>
              </w:rPr>
            </w:pPr>
          </w:p>
        </w:tc>
        <w:tc>
          <w:tcPr>
            <w:tcW w:w="786" w:type="dxa"/>
            <w:tcMar>
              <w:top w:w="57" w:type="dxa"/>
              <w:left w:w="57" w:type="dxa"/>
              <w:bottom w:w="57" w:type="dxa"/>
              <w:right w:w="57" w:type="dxa"/>
            </w:tcMar>
            <w:vAlign w:val="center"/>
          </w:tcPr>
          <w:p w14:paraId="6CB82390">
            <w:pPr>
              <w:keepLines/>
              <w:pageBreakBefore w:val="0"/>
              <w:kinsoku w:val="0"/>
              <w:wordWrap w:val="0"/>
              <w:overflowPunct/>
              <w:bidi w:val="0"/>
              <w:spacing w:line="240" w:lineRule="auto"/>
              <w:ind w:firstLine="0" w:firstLineChars="0"/>
              <w:jc w:val="center"/>
              <w:rPr>
                <w:color w:val="auto"/>
              </w:rPr>
            </w:pPr>
            <w:r>
              <w:rPr>
                <w:rFonts w:hint="eastAsia"/>
                <w:color w:val="auto"/>
              </w:rPr>
              <w:t>4.3</w:t>
            </w:r>
          </w:p>
        </w:tc>
        <w:tc>
          <w:tcPr>
            <w:tcW w:w="1465" w:type="dxa"/>
            <w:tcMar>
              <w:top w:w="57" w:type="dxa"/>
              <w:left w:w="57" w:type="dxa"/>
              <w:bottom w:w="57" w:type="dxa"/>
              <w:right w:w="57" w:type="dxa"/>
            </w:tcMar>
            <w:vAlign w:val="center"/>
          </w:tcPr>
          <w:p w14:paraId="18C16458">
            <w:pPr>
              <w:keepLines/>
              <w:pageBreakBefore w:val="0"/>
              <w:kinsoku w:val="0"/>
              <w:wordWrap w:val="0"/>
              <w:overflowPunct/>
              <w:bidi w:val="0"/>
              <w:spacing w:line="240" w:lineRule="auto"/>
              <w:ind w:firstLine="0" w:firstLineChars="0"/>
              <w:jc w:val="center"/>
              <w:rPr>
                <w:color w:val="auto"/>
              </w:rPr>
            </w:pPr>
            <w:r>
              <w:rPr>
                <w:rFonts w:hint="eastAsia"/>
                <w:color w:val="auto"/>
              </w:rPr>
              <w:t>本项目的特定要求</w:t>
            </w:r>
          </w:p>
        </w:tc>
        <w:tc>
          <w:tcPr>
            <w:tcW w:w="7600" w:type="dxa"/>
            <w:tcMar>
              <w:top w:w="57" w:type="dxa"/>
              <w:left w:w="57" w:type="dxa"/>
              <w:bottom w:w="57" w:type="dxa"/>
              <w:right w:w="57" w:type="dxa"/>
            </w:tcMar>
            <w:vAlign w:val="center"/>
          </w:tcPr>
          <w:p w14:paraId="0DD152B9">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spacing w:val="-1"/>
              </w:rPr>
              <w:t>见第</w:t>
            </w:r>
            <w:r>
              <w:rPr>
                <w:rFonts w:hint="eastAsia"/>
                <w:color w:val="auto"/>
              </w:rPr>
              <w:t>一章 二、投标人的资格要求 3、本项目的特定资</w:t>
            </w:r>
            <w:r>
              <w:rPr>
                <w:rFonts w:hint="eastAsia"/>
                <w:color w:val="auto"/>
                <w:spacing w:val="-2"/>
              </w:rPr>
              <w:t>格</w:t>
            </w:r>
            <w:r>
              <w:rPr>
                <w:rFonts w:hint="eastAsia"/>
                <w:color w:val="auto"/>
                <w:spacing w:val="-1"/>
              </w:rPr>
              <w:t>要求</w:t>
            </w:r>
          </w:p>
        </w:tc>
      </w:tr>
      <w:tr w14:paraId="6897F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335" w:type="dxa"/>
            <w:vMerge w:val="continue"/>
            <w:tcBorders>
              <w:bottom w:val="single" w:color="auto" w:sz="4" w:space="0"/>
            </w:tcBorders>
            <w:tcMar>
              <w:top w:w="57" w:type="dxa"/>
              <w:left w:w="57" w:type="dxa"/>
              <w:bottom w:w="57" w:type="dxa"/>
              <w:right w:w="57" w:type="dxa"/>
            </w:tcMar>
            <w:vAlign w:val="center"/>
          </w:tcPr>
          <w:p w14:paraId="5D71AEFD">
            <w:pPr>
              <w:keepLines/>
              <w:pageBreakBefore w:val="0"/>
              <w:kinsoku w:val="0"/>
              <w:wordWrap w:val="0"/>
              <w:overflowPunct/>
              <w:bidi w:val="0"/>
              <w:spacing w:line="240" w:lineRule="auto"/>
              <w:ind w:firstLine="0" w:firstLineChars="0"/>
              <w:jc w:val="center"/>
              <w:rPr>
                <w:color w:val="auto"/>
              </w:rPr>
            </w:pPr>
          </w:p>
        </w:tc>
        <w:tc>
          <w:tcPr>
            <w:tcW w:w="786" w:type="dxa"/>
            <w:tcBorders>
              <w:bottom w:val="single" w:color="auto" w:sz="4" w:space="0"/>
            </w:tcBorders>
            <w:tcMar>
              <w:top w:w="57" w:type="dxa"/>
              <w:left w:w="57" w:type="dxa"/>
              <w:bottom w:w="57" w:type="dxa"/>
              <w:right w:w="57" w:type="dxa"/>
            </w:tcMar>
            <w:vAlign w:val="center"/>
          </w:tcPr>
          <w:p w14:paraId="01387BE4">
            <w:pPr>
              <w:keepLines/>
              <w:pageBreakBefore w:val="0"/>
              <w:kinsoku w:val="0"/>
              <w:wordWrap w:val="0"/>
              <w:overflowPunct/>
              <w:bidi w:val="0"/>
              <w:spacing w:line="240" w:lineRule="auto"/>
              <w:ind w:firstLine="0" w:firstLineChars="0"/>
              <w:jc w:val="center"/>
              <w:rPr>
                <w:color w:val="auto"/>
              </w:rPr>
            </w:pPr>
            <w:r>
              <w:rPr>
                <w:rFonts w:hint="eastAsia"/>
                <w:color w:val="auto"/>
              </w:rPr>
              <w:t>4.4</w:t>
            </w:r>
          </w:p>
        </w:tc>
        <w:tc>
          <w:tcPr>
            <w:tcW w:w="1465" w:type="dxa"/>
            <w:tcMar>
              <w:top w:w="57" w:type="dxa"/>
              <w:left w:w="57" w:type="dxa"/>
              <w:bottom w:w="57" w:type="dxa"/>
              <w:right w:w="57" w:type="dxa"/>
            </w:tcMar>
            <w:vAlign w:val="center"/>
          </w:tcPr>
          <w:p w14:paraId="4B3DEE13">
            <w:pPr>
              <w:keepLines/>
              <w:pageBreakBefore w:val="0"/>
              <w:kinsoku w:val="0"/>
              <w:wordWrap w:val="0"/>
              <w:overflowPunct/>
              <w:bidi w:val="0"/>
              <w:spacing w:line="240" w:lineRule="auto"/>
              <w:ind w:firstLine="0" w:firstLineChars="0"/>
              <w:jc w:val="center"/>
              <w:rPr>
                <w:color w:val="auto"/>
              </w:rPr>
            </w:pPr>
            <w:r>
              <w:rPr>
                <w:rFonts w:hint="eastAsia"/>
                <w:color w:val="auto"/>
              </w:rPr>
              <w:t>是否接受联合体参加投标</w:t>
            </w:r>
          </w:p>
        </w:tc>
        <w:tc>
          <w:tcPr>
            <w:tcW w:w="7600" w:type="dxa"/>
            <w:tcMar>
              <w:top w:w="57" w:type="dxa"/>
              <w:left w:w="57" w:type="dxa"/>
              <w:bottom w:w="57" w:type="dxa"/>
              <w:right w:w="57" w:type="dxa"/>
            </w:tcMar>
            <w:vAlign w:val="center"/>
          </w:tcPr>
          <w:p w14:paraId="0634309C">
            <w:pPr>
              <w:pageBreakBefore w:val="0"/>
              <w:kinsoku w:val="0"/>
              <w:wordWrap w:val="0"/>
              <w:overflowPunct/>
              <w:autoSpaceDE w:val="0"/>
              <w:autoSpaceDN w:val="0"/>
              <w:bidi w:val="0"/>
              <w:adjustRightInd/>
              <w:spacing w:line="240" w:lineRule="auto"/>
              <w:ind w:firstLine="0" w:firstLineChars="0"/>
              <w:jc w:val="both"/>
              <w:rPr>
                <w:color w:val="auto"/>
              </w:rPr>
            </w:pPr>
            <w:r>
              <w:rPr>
                <w:rFonts w:hint="eastAsia"/>
                <w:color w:val="auto"/>
                <w:spacing w:val="-4"/>
              </w:rPr>
              <w:t>□接</w:t>
            </w:r>
            <w:r>
              <w:rPr>
                <w:rFonts w:hint="eastAsia"/>
                <w:color w:val="auto"/>
                <w:spacing w:val="-2"/>
              </w:rPr>
              <w:t xml:space="preserve">受    </w:t>
            </w:r>
            <w:r>
              <w:rPr>
                <w:rFonts w:hint="eastAsia"/>
                <w:color w:val="auto"/>
                <w:spacing w:val="-4"/>
              </w:rPr>
              <w:t>☑</w:t>
            </w:r>
            <w:r>
              <w:rPr>
                <w:rFonts w:hint="eastAsia"/>
                <w:color w:val="auto"/>
                <w:spacing w:val="-2"/>
              </w:rPr>
              <w:t>不接受</w:t>
            </w:r>
          </w:p>
        </w:tc>
      </w:tr>
      <w:tr w14:paraId="7ECB79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2CD71FD8">
            <w:pPr>
              <w:keepLines/>
              <w:pageBreakBefore w:val="0"/>
              <w:kinsoku w:val="0"/>
              <w:wordWrap w:val="0"/>
              <w:overflowPunct/>
              <w:bidi w:val="0"/>
              <w:spacing w:line="240" w:lineRule="auto"/>
              <w:ind w:firstLine="0" w:firstLineChars="0"/>
              <w:jc w:val="center"/>
              <w:rPr>
                <w:color w:val="auto"/>
              </w:rPr>
            </w:pPr>
            <w:r>
              <w:rPr>
                <w:rFonts w:hint="eastAsia"/>
                <w:color w:val="auto"/>
              </w:rPr>
              <w:t>11.2投标</w:t>
            </w:r>
          </w:p>
        </w:tc>
        <w:tc>
          <w:tcPr>
            <w:tcW w:w="1465" w:type="dxa"/>
            <w:tcBorders>
              <w:left w:val="single" w:color="auto" w:sz="4" w:space="0"/>
            </w:tcBorders>
            <w:tcMar>
              <w:top w:w="57" w:type="dxa"/>
              <w:left w:w="57" w:type="dxa"/>
              <w:bottom w:w="57" w:type="dxa"/>
              <w:right w:w="57" w:type="dxa"/>
            </w:tcMar>
            <w:vAlign w:val="center"/>
          </w:tcPr>
          <w:p w14:paraId="47BB7C0F">
            <w:pPr>
              <w:keepLines/>
              <w:pageBreakBefore w:val="0"/>
              <w:kinsoku w:val="0"/>
              <w:wordWrap w:val="0"/>
              <w:overflowPunct/>
              <w:bidi w:val="0"/>
              <w:spacing w:line="240" w:lineRule="auto"/>
              <w:ind w:firstLine="0" w:firstLineChars="0"/>
              <w:jc w:val="center"/>
              <w:rPr>
                <w:color w:val="auto"/>
              </w:rPr>
            </w:pPr>
            <w:r>
              <w:rPr>
                <w:rFonts w:hint="eastAsia"/>
                <w:color w:val="auto"/>
              </w:rPr>
              <w:t>构成投标文件的其他资料</w:t>
            </w:r>
          </w:p>
        </w:tc>
        <w:tc>
          <w:tcPr>
            <w:tcW w:w="7600" w:type="dxa"/>
            <w:tcMar>
              <w:top w:w="57" w:type="dxa"/>
              <w:left w:w="57" w:type="dxa"/>
              <w:bottom w:w="57" w:type="dxa"/>
              <w:right w:w="57" w:type="dxa"/>
            </w:tcMar>
            <w:vAlign w:val="center"/>
          </w:tcPr>
          <w:p w14:paraId="38C9C1FA">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（1）</w:t>
            </w:r>
            <w:r>
              <w:rPr>
                <w:rFonts w:hint="eastAsia"/>
                <w:color w:val="auto"/>
                <w:spacing w:val="-2"/>
              </w:rPr>
              <w:t>“第五章 技术要求”中要求提供的其他资料。</w:t>
            </w:r>
          </w:p>
          <w:p w14:paraId="329DE1CA">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（2）招标文件中所涉及到的相关资料及证明文件</w:t>
            </w:r>
            <w:r>
              <w:rPr>
                <w:rFonts w:hint="eastAsia"/>
                <w:color w:val="auto"/>
                <w:spacing w:val="-2"/>
              </w:rPr>
              <w:t>或投标人</w:t>
            </w:r>
            <w:r>
              <w:rPr>
                <w:rFonts w:hint="eastAsia"/>
                <w:color w:val="auto"/>
                <w:spacing w:val="-1"/>
              </w:rPr>
              <w:t>认为必须提供的其他相关资料。</w:t>
            </w:r>
          </w:p>
        </w:tc>
      </w:tr>
      <w:tr w14:paraId="3A3D2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22ADACEF">
            <w:pPr>
              <w:keepLines/>
              <w:pageBreakBefore w:val="0"/>
              <w:kinsoku w:val="0"/>
              <w:wordWrap w:val="0"/>
              <w:overflowPunct/>
              <w:bidi w:val="0"/>
              <w:spacing w:line="240" w:lineRule="auto"/>
              <w:ind w:firstLine="0" w:firstLineChars="0"/>
              <w:jc w:val="center"/>
              <w:rPr>
                <w:color w:val="auto"/>
              </w:rPr>
            </w:pPr>
            <w:r>
              <w:rPr>
                <w:rFonts w:hint="eastAsia"/>
                <w:color w:val="auto"/>
              </w:rPr>
              <w:t>13.1</w:t>
            </w:r>
          </w:p>
        </w:tc>
        <w:tc>
          <w:tcPr>
            <w:tcW w:w="1465" w:type="dxa"/>
            <w:tcBorders>
              <w:left w:val="single" w:color="auto" w:sz="4" w:space="0"/>
            </w:tcBorders>
            <w:tcMar>
              <w:top w:w="57" w:type="dxa"/>
              <w:left w:w="57" w:type="dxa"/>
              <w:bottom w:w="57" w:type="dxa"/>
              <w:right w:w="57" w:type="dxa"/>
            </w:tcMar>
            <w:vAlign w:val="center"/>
          </w:tcPr>
          <w:p w14:paraId="51FBD4C3">
            <w:pPr>
              <w:keepLines/>
              <w:pageBreakBefore w:val="0"/>
              <w:kinsoku w:val="0"/>
              <w:wordWrap w:val="0"/>
              <w:overflowPunct/>
              <w:bidi w:val="0"/>
              <w:spacing w:line="240" w:lineRule="auto"/>
              <w:ind w:firstLine="0" w:firstLineChars="0"/>
              <w:jc w:val="center"/>
              <w:rPr>
                <w:color w:val="auto"/>
              </w:rPr>
            </w:pPr>
            <w:r>
              <w:rPr>
                <w:rFonts w:hint="eastAsia"/>
                <w:color w:val="auto"/>
              </w:rPr>
              <w:t>投标有效期</w:t>
            </w:r>
          </w:p>
        </w:tc>
        <w:tc>
          <w:tcPr>
            <w:tcW w:w="7600" w:type="dxa"/>
            <w:tcMar>
              <w:top w:w="57" w:type="dxa"/>
              <w:left w:w="57" w:type="dxa"/>
              <w:bottom w:w="57" w:type="dxa"/>
              <w:right w:w="57" w:type="dxa"/>
            </w:tcMar>
            <w:vAlign w:val="center"/>
          </w:tcPr>
          <w:p w14:paraId="28EB00F1">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spacing w:val="-11"/>
              </w:rPr>
              <w:t xml:space="preserve">从递交投标文件截止之日起 </w:t>
            </w:r>
            <w:r>
              <w:rPr>
                <w:rFonts w:hint="eastAsia"/>
                <w:color w:val="auto"/>
                <w:spacing w:val="-11"/>
                <w:u w:val="single"/>
              </w:rPr>
              <w:t xml:space="preserve">90 </w:t>
            </w:r>
            <w:r>
              <w:rPr>
                <w:rFonts w:hint="eastAsia"/>
                <w:color w:val="auto"/>
                <w:spacing w:val="-11"/>
              </w:rPr>
              <w:t>日历</w:t>
            </w:r>
            <w:r>
              <w:rPr>
                <w:rFonts w:hint="eastAsia"/>
                <w:color w:val="auto"/>
                <w:spacing w:val="-8"/>
              </w:rPr>
              <w:t>天。</w:t>
            </w:r>
          </w:p>
        </w:tc>
      </w:tr>
      <w:tr w14:paraId="58F1F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7B8073AC">
            <w:pPr>
              <w:keepLines/>
              <w:pageBreakBefore w:val="0"/>
              <w:kinsoku w:val="0"/>
              <w:wordWrap w:val="0"/>
              <w:overflowPunct/>
              <w:bidi w:val="0"/>
              <w:spacing w:line="240" w:lineRule="auto"/>
              <w:ind w:firstLine="0" w:firstLineChars="0"/>
              <w:jc w:val="center"/>
              <w:rPr>
                <w:color w:val="auto"/>
              </w:rPr>
            </w:pPr>
            <w:r>
              <w:rPr>
                <w:rFonts w:hint="eastAsia"/>
                <w:color w:val="auto"/>
              </w:rPr>
              <w:t>14.4</w:t>
            </w:r>
          </w:p>
        </w:tc>
        <w:tc>
          <w:tcPr>
            <w:tcW w:w="1465" w:type="dxa"/>
            <w:tcBorders>
              <w:left w:val="single" w:color="auto" w:sz="4" w:space="0"/>
            </w:tcBorders>
            <w:tcMar>
              <w:top w:w="57" w:type="dxa"/>
              <w:left w:w="57" w:type="dxa"/>
              <w:bottom w:w="57" w:type="dxa"/>
              <w:right w:w="57" w:type="dxa"/>
            </w:tcMar>
            <w:vAlign w:val="center"/>
          </w:tcPr>
          <w:p w14:paraId="39C1ED3C">
            <w:pPr>
              <w:keepLines/>
              <w:pageBreakBefore w:val="0"/>
              <w:kinsoku w:val="0"/>
              <w:wordWrap w:val="0"/>
              <w:overflowPunct/>
              <w:bidi w:val="0"/>
              <w:spacing w:line="240" w:lineRule="auto"/>
              <w:ind w:firstLine="0" w:firstLineChars="0"/>
              <w:jc w:val="center"/>
              <w:rPr>
                <w:color w:val="auto"/>
              </w:rPr>
            </w:pPr>
            <w:r>
              <w:rPr>
                <w:rFonts w:hint="eastAsia"/>
                <w:color w:val="auto"/>
              </w:rPr>
              <w:t>投标文件份数</w:t>
            </w:r>
          </w:p>
        </w:tc>
        <w:tc>
          <w:tcPr>
            <w:tcW w:w="7600" w:type="dxa"/>
            <w:tcMar>
              <w:top w:w="57" w:type="dxa"/>
              <w:left w:w="57" w:type="dxa"/>
              <w:bottom w:w="57" w:type="dxa"/>
              <w:right w:w="57" w:type="dxa"/>
            </w:tcMar>
            <w:vAlign w:val="center"/>
          </w:tcPr>
          <w:p w14:paraId="4FF66867">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纸质版投标文件正本壹份，副本贰份；电子版投标文件贰份(内容提供word 版）、投标文件正本的 PDF 扫描件各 1 份，存储介质为U盘和光盘各壹份，随纸质文件一起封装递交)。</w:t>
            </w:r>
          </w:p>
          <w:p w14:paraId="52FE136D">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投标文件的正本与副本应分别装订成册，不得采用活页夹等可随时拆换的方式装订。投标文件应编制目录，并编制页码，否则，招标人对由于投标文件装订松散而造成的丢失或其他后果不承担任何责任。</w:t>
            </w:r>
          </w:p>
          <w:p w14:paraId="45595E27">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注：资格审查文件不单独成册，与投标文件一同装订</w:t>
            </w:r>
          </w:p>
        </w:tc>
      </w:tr>
      <w:tr w14:paraId="694463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56AD9534">
            <w:pPr>
              <w:keepLines/>
              <w:pageBreakBefore w:val="0"/>
              <w:kinsoku w:val="0"/>
              <w:wordWrap w:val="0"/>
              <w:overflowPunct/>
              <w:bidi w:val="0"/>
              <w:spacing w:line="240" w:lineRule="auto"/>
              <w:ind w:firstLine="0" w:firstLineChars="0"/>
              <w:jc w:val="center"/>
              <w:rPr>
                <w:color w:val="auto"/>
              </w:rPr>
            </w:pPr>
            <w:r>
              <w:rPr>
                <w:rFonts w:hint="eastAsia"/>
                <w:color w:val="auto"/>
              </w:rPr>
              <w:t>14.6</w:t>
            </w:r>
          </w:p>
        </w:tc>
        <w:tc>
          <w:tcPr>
            <w:tcW w:w="1465" w:type="dxa"/>
            <w:tcBorders>
              <w:left w:val="single" w:color="auto" w:sz="4" w:space="0"/>
            </w:tcBorders>
            <w:tcMar>
              <w:top w:w="57" w:type="dxa"/>
              <w:left w:w="57" w:type="dxa"/>
              <w:bottom w:w="57" w:type="dxa"/>
              <w:right w:w="57" w:type="dxa"/>
            </w:tcMar>
            <w:vAlign w:val="center"/>
          </w:tcPr>
          <w:p w14:paraId="0F85690B">
            <w:pPr>
              <w:keepLines/>
              <w:pageBreakBefore w:val="0"/>
              <w:kinsoku w:val="0"/>
              <w:wordWrap w:val="0"/>
              <w:overflowPunct/>
              <w:bidi w:val="0"/>
              <w:spacing w:line="240" w:lineRule="auto"/>
              <w:ind w:firstLine="0" w:firstLineChars="0"/>
              <w:jc w:val="center"/>
              <w:rPr>
                <w:color w:val="auto"/>
              </w:rPr>
            </w:pPr>
            <w:r>
              <w:rPr>
                <w:rFonts w:hint="eastAsia"/>
                <w:color w:val="auto"/>
                <w:kern w:val="2"/>
              </w:rPr>
              <w:t>封套上应载明的信息</w:t>
            </w:r>
          </w:p>
        </w:tc>
        <w:tc>
          <w:tcPr>
            <w:tcW w:w="7600" w:type="dxa"/>
            <w:tcMar>
              <w:top w:w="57" w:type="dxa"/>
              <w:left w:w="57" w:type="dxa"/>
              <w:bottom w:w="57" w:type="dxa"/>
              <w:right w:w="57" w:type="dxa"/>
            </w:tcMar>
            <w:vAlign w:val="center"/>
          </w:tcPr>
          <w:p w14:paraId="2D51A838">
            <w:pPr>
              <w:pageBreakBefore w:val="0"/>
              <w:wordWrap w:val="0"/>
              <w:overflowPunct/>
              <w:topLinePunct/>
              <w:bidi w:val="0"/>
              <w:spacing w:line="240" w:lineRule="auto"/>
              <w:ind w:right="6" w:firstLine="0" w:firstLineChars="0"/>
              <w:rPr>
                <w:color w:val="auto"/>
                <w:spacing w:val="-3"/>
                <w:u w:val="single"/>
              </w:rPr>
            </w:pPr>
            <w:r>
              <w:rPr>
                <w:rFonts w:hint="eastAsia"/>
                <w:color w:val="auto"/>
              </w:rPr>
              <w:t>投标人名</w:t>
            </w:r>
            <w:r>
              <w:rPr>
                <w:rFonts w:hint="eastAsia"/>
                <w:color w:val="auto"/>
                <w:spacing w:val="-3"/>
              </w:rPr>
              <w:t>称：</w:t>
            </w:r>
            <w:r>
              <w:rPr>
                <w:rFonts w:hint="eastAsia"/>
                <w:color w:val="auto"/>
                <w:u w:val="single"/>
              </w:rPr>
              <w:t xml:space="preserve">               （加盖公章）</w:t>
            </w:r>
          </w:p>
          <w:p w14:paraId="57183345">
            <w:pPr>
              <w:pageBreakBefore w:val="0"/>
              <w:wordWrap w:val="0"/>
              <w:overflowPunct/>
              <w:topLinePunct/>
              <w:bidi w:val="0"/>
              <w:spacing w:line="240" w:lineRule="auto"/>
              <w:ind w:right="6" w:firstLine="0" w:firstLineChars="0"/>
              <w:rPr>
                <w:color w:val="auto"/>
                <w:u w:val="single"/>
              </w:rPr>
            </w:pPr>
            <w:r>
              <w:rPr>
                <w:rFonts w:hint="eastAsia"/>
                <w:color w:val="auto"/>
              </w:rPr>
              <w:t>投标人地</w:t>
            </w:r>
            <w:r>
              <w:rPr>
                <w:rFonts w:hint="eastAsia"/>
                <w:color w:val="auto"/>
                <w:spacing w:val="-3"/>
              </w:rPr>
              <w:t>址</w:t>
            </w:r>
            <w:r>
              <w:rPr>
                <w:rFonts w:hint="eastAsia"/>
                <w:color w:val="auto"/>
              </w:rPr>
              <w:t>：</w:t>
            </w:r>
            <w:r>
              <w:rPr>
                <w:rFonts w:hint="eastAsia"/>
                <w:color w:val="auto"/>
                <w:u w:val="single"/>
              </w:rPr>
              <w:t xml:space="preserve">              </w:t>
            </w:r>
          </w:p>
          <w:p w14:paraId="2641401C">
            <w:pPr>
              <w:pStyle w:val="56"/>
              <w:pageBreakBefore w:val="0"/>
              <w:tabs>
                <w:tab w:val="left" w:pos="1156"/>
              </w:tabs>
              <w:wordWrap w:val="0"/>
              <w:overflowPunct/>
              <w:topLinePunct/>
              <w:bidi w:val="0"/>
              <w:spacing w:line="240" w:lineRule="auto"/>
              <w:ind w:right="6" w:firstLine="0" w:firstLineChars="0"/>
              <w:rPr>
                <w:color w:val="auto"/>
              </w:rPr>
            </w:pPr>
            <w:r>
              <w:rPr>
                <w:rFonts w:hint="eastAsia"/>
                <w:color w:val="auto"/>
                <w:u w:val="single"/>
              </w:rPr>
              <w:t xml:space="preserve">          （</w:t>
            </w:r>
            <w:r>
              <w:rPr>
                <w:rFonts w:hint="eastAsia"/>
                <w:color w:val="auto"/>
                <w:spacing w:val="2"/>
                <w:u w:val="single"/>
              </w:rPr>
              <w:t>项目名称</w:t>
            </w:r>
            <w:r>
              <w:rPr>
                <w:rFonts w:hint="eastAsia"/>
                <w:color w:val="auto"/>
                <w:u w:val="single"/>
              </w:rPr>
              <w:t xml:space="preserve">）          </w:t>
            </w:r>
            <w:r>
              <w:rPr>
                <w:rFonts w:hint="eastAsia"/>
                <w:color w:val="auto"/>
                <w:spacing w:val="2"/>
              </w:rPr>
              <w:t>项目</w:t>
            </w:r>
            <w:r>
              <w:rPr>
                <w:rFonts w:hint="eastAsia"/>
                <w:color w:val="auto"/>
                <w:spacing w:val="2"/>
                <w:u w:val="single"/>
              </w:rPr>
              <w:t xml:space="preserve">     </w:t>
            </w:r>
            <w:r>
              <w:rPr>
                <w:rFonts w:hint="eastAsia"/>
                <w:color w:val="auto"/>
                <w:spacing w:val="2"/>
              </w:rPr>
              <w:t>标包投</w:t>
            </w:r>
            <w:r>
              <w:rPr>
                <w:rFonts w:hint="eastAsia"/>
                <w:color w:val="auto"/>
              </w:rPr>
              <w:t>标文件</w:t>
            </w:r>
          </w:p>
          <w:p w14:paraId="276D651D">
            <w:pPr>
              <w:pageBreakBefore w:val="0"/>
              <w:wordWrap w:val="0"/>
              <w:overflowPunct/>
              <w:topLinePunct/>
              <w:bidi w:val="0"/>
              <w:spacing w:line="240" w:lineRule="auto"/>
              <w:ind w:right="6" w:firstLine="0" w:firstLineChars="0"/>
              <w:rPr>
                <w:color w:val="auto"/>
              </w:rPr>
            </w:pPr>
            <w:r>
              <w:rPr>
                <w:rFonts w:hint="eastAsia"/>
                <w:color w:val="auto"/>
              </w:rPr>
              <w:t>项目</w:t>
            </w:r>
            <w:r>
              <w:rPr>
                <w:rFonts w:hint="eastAsia"/>
                <w:color w:val="auto"/>
                <w:spacing w:val="-3"/>
              </w:rPr>
              <w:t>编号</w:t>
            </w:r>
            <w:r>
              <w:rPr>
                <w:rFonts w:hint="eastAsia"/>
                <w:color w:val="auto"/>
              </w:rPr>
              <w:t>：</w:t>
            </w:r>
          </w:p>
          <w:p w14:paraId="67B54D19">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在</w:t>
            </w:r>
            <w:r>
              <w:rPr>
                <w:rFonts w:hint="eastAsia"/>
                <w:color w:val="auto"/>
                <w:u w:val="single" w:color="000000"/>
              </w:rPr>
              <w:t xml:space="preserve">      </w:t>
            </w:r>
            <w:r>
              <w:rPr>
                <w:rFonts w:hint="eastAsia"/>
                <w:color w:val="auto"/>
              </w:rPr>
              <w:t>年</w:t>
            </w:r>
            <w:r>
              <w:rPr>
                <w:rFonts w:hint="eastAsia"/>
                <w:color w:val="auto"/>
                <w:u w:val="single" w:color="000000"/>
              </w:rPr>
              <w:tab/>
            </w:r>
            <w:r>
              <w:rPr>
                <w:rFonts w:hint="eastAsia"/>
                <w:color w:val="auto"/>
                <w:u w:val="single" w:color="000000"/>
              </w:rPr>
              <w:t xml:space="preserve">   </w:t>
            </w:r>
            <w:r>
              <w:rPr>
                <w:rFonts w:hint="eastAsia"/>
                <w:color w:val="auto"/>
                <w:spacing w:val="-3"/>
              </w:rPr>
              <w:t>月</w:t>
            </w:r>
            <w:r>
              <w:rPr>
                <w:rFonts w:hint="eastAsia"/>
                <w:color w:val="auto"/>
                <w:spacing w:val="-3"/>
                <w:u w:val="single" w:color="000000"/>
              </w:rPr>
              <w:tab/>
            </w:r>
            <w:r>
              <w:rPr>
                <w:rFonts w:hint="eastAsia"/>
                <w:color w:val="auto"/>
                <w:spacing w:val="-3"/>
                <w:u w:val="single" w:color="000000"/>
              </w:rPr>
              <w:t xml:space="preserve">    </w:t>
            </w:r>
            <w:r>
              <w:rPr>
                <w:rFonts w:hint="eastAsia"/>
                <w:color w:val="auto"/>
              </w:rPr>
              <w:t>日</w:t>
            </w:r>
            <w:r>
              <w:rPr>
                <w:rFonts w:hint="eastAsia"/>
                <w:color w:val="auto"/>
                <w:u w:val="single" w:color="000000"/>
              </w:rPr>
              <w:tab/>
            </w:r>
            <w:r>
              <w:rPr>
                <w:rFonts w:hint="eastAsia"/>
                <w:color w:val="auto"/>
                <w:u w:val="single" w:color="000000"/>
              </w:rPr>
              <w:t xml:space="preserve">     </w:t>
            </w:r>
            <w:r>
              <w:rPr>
                <w:rFonts w:hint="eastAsia"/>
                <w:color w:val="auto"/>
              </w:rPr>
              <w:t>时</w:t>
            </w:r>
            <w:r>
              <w:rPr>
                <w:rFonts w:hint="eastAsia"/>
                <w:color w:val="auto"/>
                <w:spacing w:val="-3"/>
              </w:rPr>
              <w:t>前</w:t>
            </w:r>
            <w:r>
              <w:rPr>
                <w:rFonts w:hint="eastAsia"/>
                <w:color w:val="auto"/>
              </w:rPr>
              <w:t>不</w:t>
            </w:r>
            <w:r>
              <w:rPr>
                <w:rFonts w:hint="eastAsia"/>
                <w:color w:val="auto"/>
                <w:spacing w:val="-3"/>
              </w:rPr>
              <w:t>得</w:t>
            </w:r>
            <w:r>
              <w:rPr>
                <w:rFonts w:hint="eastAsia"/>
                <w:color w:val="auto"/>
              </w:rPr>
              <w:t>开启</w:t>
            </w:r>
          </w:p>
        </w:tc>
      </w:tr>
      <w:tr w14:paraId="573C95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0A9809F9">
            <w:pPr>
              <w:keepLines/>
              <w:pageBreakBefore w:val="0"/>
              <w:kinsoku w:val="0"/>
              <w:wordWrap w:val="0"/>
              <w:overflowPunct/>
              <w:bidi w:val="0"/>
              <w:spacing w:line="240" w:lineRule="auto"/>
              <w:ind w:firstLine="0" w:firstLineChars="0"/>
              <w:jc w:val="center"/>
              <w:rPr>
                <w:color w:val="auto"/>
              </w:rPr>
            </w:pPr>
            <w:r>
              <w:rPr>
                <w:rFonts w:hint="eastAsia"/>
                <w:color w:val="auto"/>
              </w:rPr>
              <w:t>15.1</w:t>
            </w:r>
          </w:p>
        </w:tc>
        <w:tc>
          <w:tcPr>
            <w:tcW w:w="1465" w:type="dxa"/>
            <w:tcBorders>
              <w:left w:val="single" w:color="auto" w:sz="4" w:space="0"/>
            </w:tcBorders>
            <w:tcMar>
              <w:top w:w="57" w:type="dxa"/>
              <w:left w:w="57" w:type="dxa"/>
              <w:bottom w:w="57" w:type="dxa"/>
              <w:right w:w="57" w:type="dxa"/>
            </w:tcMar>
            <w:vAlign w:val="center"/>
          </w:tcPr>
          <w:p w14:paraId="2D68B438">
            <w:pPr>
              <w:keepLines/>
              <w:pageBreakBefore w:val="0"/>
              <w:kinsoku w:val="0"/>
              <w:wordWrap w:val="0"/>
              <w:overflowPunct/>
              <w:bidi w:val="0"/>
              <w:spacing w:line="240" w:lineRule="auto"/>
              <w:ind w:firstLine="0" w:firstLineChars="0"/>
              <w:jc w:val="center"/>
              <w:rPr>
                <w:color w:val="auto"/>
              </w:rPr>
            </w:pPr>
            <w:r>
              <w:rPr>
                <w:rFonts w:hint="eastAsia"/>
                <w:color w:val="auto"/>
              </w:rPr>
              <w:t>投标保证金</w:t>
            </w:r>
          </w:p>
        </w:tc>
        <w:tc>
          <w:tcPr>
            <w:tcW w:w="7600" w:type="dxa"/>
            <w:tcMar>
              <w:top w:w="57" w:type="dxa"/>
              <w:left w:w="57" w:type="dxa"/>
              <w:bottom w:w="57" w:type="dxa"/>
              <w:right w:w="57" w:type="dxa"/>
            </w:tcMar>
            <w:vAlign w:val="center"/>
          </w:tcPr>
          <w:p w14:paraId="0CF98ECE">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投标保证金应当以银行转账、支票、汇票、本票或者金融机构、担保机构出具的保函等非现金形式提交。投标人未按照招标文件要求提交投标保证金的，投标无效。</w:t>
            </w:r>
          </w:p>
          <w:p w14:paraId="767FB8F8">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保证金金额：(不超1%)</w:t>
            </w:r>
          </w:p>
          <w:p w14:paraId="031D2066">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5标包：50000元（大写：伍万元整）</w:t>
            </w:r>
          </w:p>
          <w:p w14:paraId="77FFD1ED">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6标包：35000元（大写：叁万伍仟元整）</w:t>
            </w:r>
          </w:p>
          <w:p w14:paraId="42900862">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11标包：9000元（大写：玖仟元整）</w:t>
            </w:r>
          </w:p>
          <w:p w14:paraId="1A431AD5">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13标包：4500元（大写：肆仟伍佰元整）</w:t>
            </w:r>
          </w:p>
          <w:p w14:paraId="1C758E01">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14标包：7000元（大写：柒仟元整）</w:t>
            </w:r>
          </w:p>
          <w:p w14:paraId="3654D1BA">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到账截止时间同投标文件递交截止时间，到账时间以项目专项账户实际到账时间为准，未按时到账的保证金视为未按照招标文件要求提交投标保证金。</w:t>
            </w:r>
          </w:p>
          <w:p w14:paraId="675732E9">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以银行转账形式递交投标保证金请按以下流程操作：</w:t>
            </w:r>
          </w:p>
          <w:p w14:paraId="25EA1EC9">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（一）登录中招联合招标采购平台（http://www.365trade.com.cn；以下简称“交易平台”）进行免费注册；</w:t>
            </w:r>
          </w:p>
          <w:p w14:paraId="1927E554">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（二）凭注册时的用户名、密码验证身份登录，进入中招联合电子招标采购平台在线免费下载招标文件（因已经线下支付过招标文件费，所以无需在平台上缴纳任何服务费）</w:t>
            </w:r>
          </w:p>
          <w:p w14:paraId="77F0FEFF">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（三）招标文件下载完成后进入“缴纳保证金”功能模块，填写相关信息后通过平台自动获取保证金收款账户信息。请投标人按此信息将保证金电汇或银行转账至指定账户。</w:t>
            </w:r>
          </w:p>
          <w:p w14:paraId="2138A6B4">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特别注意：该账号为虚拟账号，仅针对本投标人本标包有效，对于其他投标人、其他项目或标包无效。同一个标包的不同供应商虚拟账户信息不相同；同一供应商不同标包的虚拟账户信息也不相同。请勿泄露虚拟账户信息。（特别提示：同一虚拟账户出现不同供应商汇款，即视为围标、串标，请妥善保管虚拟账户信息。）</w:t>
            </w:r>
          </w:p>
          <w:p w14:paraId="40CD53EC">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中招国际招标有限公司委托中招联合信息股份有限公司及平安银行股份有限公司北京分行办理投标保证金收、退、转及结账、结算等相关业务。保证金办理相关问题请咨询中招联合（010-86397110）</w:t>
            </w:r>
          </w:p>
          <w:p w14:paraId="47B2C825">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注：（1）办理保证金手续时，请务必在银行进账单或电汇单的用途栏或空白栏上注明项目名称及标包号（可简写）。因标包众多，如投多个标包，各标包保证金务必分开缴纳。</w:t>
            </w:r>
          </w:p>
          <w:p w14:paraId="7780E95D">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（2）中标公示期结束后，若无质疑或投诉，自中标通知书发出之日起5个工作日内退还未中标人的投标保证金。如有质疑或投诉，将在质疑或投诉处理完毕后5个工作日内退还。</w:t>
            </w:r>
          </w:p>
        </w:tc>
      </w:tr>
      <w:tr w14:paraId="05A86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right w:val="single" w:color="auto" w:sz="4" w:space="0"/>
            </w:tcBorders>
            <w:tcMar>
              <w:top w:w="57" w:type="dxa"/>
              <w:left w:w="57" w:type="dxa"/>
              <w:bottom w:w="57" w:type="dxa"/>
              <w:right w:w="57" w:type="dxa"/>
            </w:tcMar>
            <w:vAlign w:val="center"/>
          </w:tcPr>
          <w:p w14:paraId="525A8560">
            <w:pPr>
              <w:keepLines/>
              <w:pageBreakBefore w:val="0"/>
              <w:kinsoku w:val="0"/>
              <w:wordWrap w:val="0"/>
              <w:overflowPunct/>
              <w:bidi w:val="0"/>
              <w:spacing w:line="240" w:lineRule="auto"/>
              <w:ind w:firstLine="0" w:firstLineChars="0"/>
              <w:jc w:val="center"/>
              <w:rPr>
                <w:color w:val="auto"/>
              </w:rPr>
            </w:pPr>
            <w:r>
              <w:rPr>
                <w:rFonts w:hint="eastAsia"/>
                <w:color w:val="auto"/>
              </w:rPr>
              <w:t>16</w:t>
            </w:r>
          </w:p>
        </w:tc>
        <w:tc>
          <w:tcPr>
            <w:tcW w:w="1465" w:type="dxa"/>
            <w:tcBorders>
              <w:left w:val="single" w:color="auto" w:sz="4" w:space="0"/>
            </w:tcBorders>
            <w:tcMar>
              <w:top w:w="57" w:type="dxa"/>
              <w:left w:w="57" w:type="dxa"/>
              <w:bottom w:w="57" w:type="dxa"/>
              <w:right w:w="57" w:type="dxa"/>
            </w:tcMar>
            <w:vAlign w:val="center"/>
          </w:tcPr>
          <w:p w14:paraId="2AE7534C">
            <w:pPr>
              <w:keepLines/>
              <w:pageBreakBefore w:val="0"/>
              <w:kinsoku w:val="0"/>
              <w:wordWrap w:val="0"/>
              <w:overflowPunct/>
              <w:bidi w:val="0"/>
              <w:spacing w:line="240" w:lineRule="auto"/>
              <w:ind w:firstLine="0" w:firstLineChars="0"/>
              <w:jc w:val="center"/>
              <w:rPr>
                <w:color w:val="auto"/>
              </w:rPr>
            </w:pPr>
            <w:r>
              <w:rPr>
                <w:rFonts w:hint="eastAsia"/>
                <w:color w:val="auto"/>
              </w:rPr>
              <w:t>投标文件的密封与标记</w:t>
            </w:r>
          </w:p>
        </w:tc>
        <w:tc>
          <w:tcPr>
            <w:tcW w:w="7600" w:type="dxa"/>
            <w:tcMar>
              <w:top w:w="57" w:type="dxa"/>
              <w:left w:w="57" w:type="dxa"/>
              <w:bottom w:w="57" w:type="dxa"/>
              <w:right w:w="57" w:type="dxa"/>
            </w:tcMar>
            <w:vAlign w:val="center"/>
          </w:tcPr>
          <w:p w14:paraId="0A99FF9F">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（1）投标人应将正、副本投标文件加以密封，并在封贴处盖密封章或公章。逾期送达或者未按照招标文件要求密封与标记的投标文件，采购人、采购代理机构应当拒收。</w:t>
            </w:r>
          </w:p>
          <w:p w14:paraId="6EE9C0B0">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（2）投标文件袋的封面应注明项目名称、项目编号、标包号、投标人名称。</w:t>
            </w:r>
          </w:p>
        </w:tc>
      </w:tr>
      <w:tr w14:paraId="0A381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52C76D3F">
            <w:pPr>
              <w:keepLines/>
              <w:pageBreakBefore w:val="0"/>
              <w:kinsoku w:val="0"/>
              <w:wordWrap w:val="0"/>
              <w:overflowPunct/>
              <w:bidi w:val="0"/>
              <w:spacing w:line="240" w:lineRule="auto"/>
              <w:ind w:firstLine="0" w:firstLineChars="0"/>
              <w:jc w:val="center"/>
              <w:rPr>
                <w:color w:val="auto"/>
              </w:rPr>
            </w:pPr>
            <w:r>
              <w:rPr>
                <w:rFonts w:hint="eastAsia"/>
                <w:color w:val="auto"/>
              </w:rPr>
              <w:t>17.1</w:t>
            </w:r>
          </w:p>
        </w:tc>
        <w:tc>
          <w:tcPr>
            <w:tcW w:w="1465" w:type="dxa"/>
            <w:tcBorders>
              <w:left w:val="single" w:color="auto" w:sz="4" w:space="0"/>
            </w:tcBorders>
            <w:tcMar>
              <w:top w:w="57" w:type="dxa"/>
              <w:left w:w="57" w:type="dxa"/>
              <w:bottom w:w="57" w:type="dxa"/>
              <w:right w:w="57" w:type="dxa"/>
            </w:tcMar>
            <w:vAlign w:val="center"/>
          </w:tcPr>
          <w:p w14:paraId="6B887052">
            <w:pPr>
              <w:keepLines/>
              <w:pageBreakBefore w:val="0"/>
              <w:kinsoku w:val="0"/>
              <w:wordWrap w:val="0"/>
              <w:overflowPunct/>
              <w:bidi w:val="0"/>
              <w:spacing w:line="240" w:lineRule="auto"/>
              <w:ind w:firstLine="0" w:firstLineChars="0"/>
              <w:jc w:val="center"/>
              <w:rPr>
                <w:color w:val="auto"/>
              </w:rPr>
            </w:pPr>
            <w:r>
              <w:rPr>
                <w:rFonts w:hint="eastAsia"/>
                <w:color w:val="auto"/>
              </w:rPr>
              <w:t>递交投标文件截止时间</w:t>
            </w:r>
          </w:p>
        </w:tc>
        <w:tc>
          <w:tcPr>
            <w:tcW w:w="7600" w:type="dxa"/>
            <w:tcMar>
              <w:top w:w="57" w:type="dxa"/>
              <w:left w:w="57" w:type="dxa"/>
              <w:bottom w:w="57" w:type="dxa"/>
              <w:right w:w="57" w:type="dxa"/>
            </w:tcMar>
            <w:vAlign w:val="center"/>
          </w:tcPr>
          <w:p w14:paraId="62394BE6">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spacing w:val="8"/>
              </w:rPr>
              <w:t>详</w:t>
            </w:r>
            <w:r>
              <w:rPr>
                <w:rFonts w:hint="eastAsia"/>
                <w:color w:val="auto"/>
                <w:spacing w:val="7"/>
              </w:rPr>
              <w:t>见第一章“招标公告”</w:t>
            </w:r>
          </w:p>
        </w:tc>
      </w:tr>
      <w:tr w14:paraId="190BE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5552D9E4">
            <w:pPr>
              <w:keepLines/>
              <w:pageBreakBefore w:val="0"/>
              <w:kinsoku w:val="0"/>
              <w:wordWrap w:val="0"/>
              <w:overflowPunct/>
              <w:bidi w:val="0"/>
              <w:spacing w:line="240" w:lineRule="auto"/>
              <w:ind w:firstLine="0" w:firstLineChars="0"/>
              <w:jc w:val="center"/>
              <w:rPr>
                <w:color w:val="auto"/>
              </w:rPr>
            </w:pPr>
            <w:r>
              <w:rPr>
                <w:rFonts w:hint="eastAsia"/>
                <w:color w:val="auto"/>
              </w:rPr>
              <w:t>17.2</w:t>
            </w:r>
          </w:p>
        </w:tc>
        <w:tc>
          <w:tcPr>
            <w:tcW w:w="1465" w:type="dxa"/>
            <w:tcBorders>
              <w:left w:val="single" w:color="auto" w:sz="4" w:space="0"/>
            </w:tcBorders>
            <w:tcMar>
              <w:top w:w="57" w:type="dxa"/>
              <w:left w:w="57" w:type="dxa"/>
              <w:bottom w:w="57" w:type="dxa"/>
              <w:right w:w="57" w:type="dxa"/>
            </w:tcMar>
            <w:vAlign w:val="center"/>
          </w:tcPr>
          <w:p w14:paraId="4705C312">
            <w:pPr>
              <w:keepLines/>
              <w:pageBreakBefore w:val="0"/>
              <w:kinsoku w:val="0"/>
              <w:wordWrap w:val="0"/>
              <w:overflowPunct/>
              <w:bidi w:val="0"/>
              <w:spacing w:line="240" w:lineRule="auto"/>
              <w:ind w:firstLine="0" w:firstLineChars="0"/>
              <w:jc w:val="center"/>
              <w:rPr>
                <w:color w:val="auto"/>
              </w:rPr>
            </w:pPr>
            <w:r>
              <w:rPr>
                <w:rFonts w:hint="eastAsia"/>
                <w:color w:val="auto"/>
              </w:rPr>
              <w:t>递交投标文件地点</w:t>
            </w:r>
          </w:p>
        </w:tc>
        <w:tc>
          <w:tcPr>
            <w:tcW w:w="7600" w:type="dxa"/>
            <w:tcMar>
              <w:top w:w="57" w:type="dxa"/>
              <w:left w:w="57" w:type="dxa"/>
              <w:bottom w:w="57" w:type="dxa"/>
              <w:right w:w="57" w:type="dxa"/>
            </w:tcMar>
            <w:vAlign w:val="center"/>
          </w:tcPr>
          <w:p w14:paraId="2D0BD970">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spacing w:val="8"/>
              </w:rPr>
              <w:t>详</w:t>
            </w:r>
            <w:r>
              <w:rPr>
                <w:rFonts w:hint="eastAsia"/>
                <w:color w:val="auto"/>
                <w:spacing w:val="7"/>
              </w:rPr>
              <w:t>见第一章“招标公告”</w:t>
            </w:r>
          </w:p>
        </w:tc>
      </w:tr>
      <w:tr w14:paraId="7ECA26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3DC5975A">
            <w:pPr>
              <w:keepLines/>
              <w:pageBreakBefore w:val="0"/>
              <w:kinsoku w:val="0"/>
              <w:wordWrap w:val="0"/>
              <w:overflowPunct/>
              <w:bidi w:val="0"/>
              <w:spacing w:line="240" w:lineRule="auto"/>
              <w:ind w:firstLine="0" w:firstLineChars="0"/>
              <w:jc w:val="center"/>
              <w:rPr>
                <w:color w:val="auto"/>
              </w:rPr>
            </w:pPr>
            <w:r>
              <w:rPr>
                <w:rFonts w:hint="eastAsia"/>
                <w:color w:val="auto"/>
              </w:rPr>
              <w:t>17.3</w:t>
            </w:r>
          </w:p>
        </w:tc>
        <w:tc>
          <w:tcPr>
            <w:tcW w:w="1465" w:type="dxa"/>
            <w:tcBorders>
              <w:left w:val="single" w:color="auto" w:sz="4" w:space="0"/>
            </w:tcBorders>
            <w:tcMar>
              <w:top w:w="57" w:type="dxa"/>
              <w:left w:w="57" w:type="dxa"/>
              <w:bottom w:w="57" w:type="dxa"/>
              <w:right w:w="57" w:type="dxa"/>
            </w:tcMar>
            <w:vAlign w:val="center"/>
          </w:tcPr>
          <w:p w14:paraId="1FBA9303">
            <w:pPr>
              <w:keepLines/>
              <w:pageBreakBefore w:val="0"/>
              <w:kinsoku w:val="0"/>
              <w:wordWrap w:val="0"/>
              <w:overflowPunct/>
              <w:bidi w:val="0"/>
              <w:spacing w:line="240" w:lineRule="auto"/>
              <w:ind w:firstLine="0" w:firstLineChars="0"/>
              <w:jc w:val="center"/>
              <w:rPr>
                <w:color w:val="auto"/>
              </w:rPr>
            </w:pPr>
            <w:r>
              <w:rPr>
                <w:rFonts w:hint="eastAsia"/>
                <w:color w:val="auto"/>
              </w:rPr>
              <w:t>是否退还投标文件</w:t>
            </w:r>
          </w:p>
        </w:tc>
        <w:tc>
          <w:tcPr>
            <w:tcW w:w="7600" w:type="dxa"/>
            <w:tcMar>
              <w:top w:w="57" w:type="dxa"/>
              <w:left w:w="57" w:type="dxa"/>
              <w:bottom w:w="57" w:type="dxa"/>
              <w:right w:w="57" w:type="dxa"/>
            </w:tcMar>
            <w:vAlign w:val="center"/>
          </w:tcPr>
          <w:p w14:paraId="53312158">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spacing w:val="-2"/>
              </w:rPr>
              <w:t>☑</w:t>
            </w:r>
            <w:r>
              <w:rPr>
                <w:rFonts w:hint="eastAsia"/>
                <w:color w:val="auto"/>
                <w:spacing w:val="-4"/>
              </w:rPr>
              <w:t>不</w:t>
            </w:r>
            <w:r>
              <w:rPr>
                <w:rFonts w:hint="eastAsia"/>
                <w:color w:val="auto"/>
                <w:spacing w:val="-3"/>
              </w:rPr>
              <w:t>予</w:t>
            </w:r>
            <w:r>
              <w:rPr>
                <w:rFonts w:hint="eastAsia"/>
                <w:color w:val="auto"/>
                <w:spacing w:val="-2"/>
              </w:rPr>
              <w:t>退还   □退还</w:t>
            </w:r>
          </w:p>
        </w:tc>
      </w:tr>
      <w:tr w14:paraId="767A0F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16AD412A">
            <w:pPr>
              <w:keepLines/>
              <w:pageBreakBefore w:val="0"/>
              <w:kinsoku w:val="0"/>
              <w:wordWrap w:val="0"/>
              <w:overflowPunct/>
              <w:bidi w:val="0"/>
              <w:spacing w:line="240" w:lineRule="auto"/>
              <w:ind w:firstLine="0" w:firstLineChars="0"/>
              <w:jc w:val="center"/>
              <w:rPr>
                <w:color w:val="auto"/>
              </w:rPr>
            </w:pPr>
            <w:r>
              <w:rPr>
                <w:rFonts w:hint="eastAsia"/>
                <w:color w:val="auto"/>
              </w:rPr>
              <w:t>18.1</w:t>
            </w:r>
          </w:p>
        </w:tc>
        <w:tc>
          <w:tcPr>
            <w:tcW w:w="1465" w:type="dxa"/>
            <w:tcBorders>
              <w:left w:val="single" w:color="auto" w:sz="4" w:space="0"/>
            </w:tcBorders>
            <w:tcMar>
              <w:top w:w="57" w:type="dxa"/>
              <w:left w:w="57" w:type="dxa"/>
              <w:bottom w:w="57" w:type="dxa"/>
              <w:right w:w="57" w:type="dxa"/>
            </w:tcMar>
            <w:vAlign w:val="center"/>
          </w:tcPr>
          <w:p w14:paraId="3EC3C547">
            <w:pPr>
              <w:keepLines/>
              <w:pageBreakBefore w:val="0"/>
              <w:kinsoku w:val="0"/>
              <w:wordWrap w:val="0"/>
              <w:overflowPunct/>
              <w:bidi w:val="0"/>
              <w:spacing w:line="240" w:lineRule="auto"/>
              <w:ind w:firstLine="0" w:firstLineChars="0"/>
              <w:jc w:val="center"/>
              <w:rPr>
                <w:color w:val="auto"/>
              </w:rPr>
            </w:pPr>
            <w:r>
              <w:rPr>
                <w:rFonts w:hint="eastAsia"/>
                <w:color w:val="auto"/>
              </w:rPr>
              <w:t>开标时间和地点</w:t>
            </w:r>
          </w:p>
        </w:tc>
        <w:tc>
          <w:tcPr>
            <w:tcW w:w="7600" w:type="dxa"/>
            <w:tcMar>
              <w:top w:w="57" w:type="dxa"/>
              <w:left w:w="57" w:type="dxa"/>
              <w:bottom w:w="57" w:type="dxa"/>
              <w:right w:w="57" w:type="dxa"/>
            </w:tcMar>
            <w:vAlign w:val="center"/>
          </w:tcPr>
          <w:p w14:paraId="537F84E6">
            <w:pPr>
              <w:pageBreakBefore w:val="0"/>
              <w:kinsoku w:val="0"/>
              <w:wordWrap w:val="0"/>
              <w:overflowPunct/>
              <w:autoSpaceDE w:val="0"/>
              <w:autoSpaceDN w:val="0"/>
              <w:bidi w:val="0"/>
              <w:adjustRightInd/>
              <w:spacing w:line="240" w:lineRule="auto"/>
              <w:ind w:firstLine="0" w:firstLineChars="0"/>
              <w:rPr>
                <w:color w:val="auto"/>
                <w:spacing w:val="-6"/>
              </w:rPr>
            </w:pPr>
            <w:r>
              <w:rPr>
                <w:rFonts w:hint="eastAsia"/>
                <w:color w:val="auto"/>
                <w:spacing w:val="-11"/>
              </w:rPr>
              <w:t>开标</w:t>
            </w:r>
            <w:r>
              <w:rPr>
                <w:rFonts w:hint="eastAsia"/>
                <w:color w:val="auto"/>
                <w:spacing w:val="-6"/>
              </w:rPr>
              <w:t>时间：同递交投标文件截止时间</w:t>
            </w:r>
          </w:p>
          <w:p w14:paraId="346B6BCD">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spacing w:val="-7"/>
              </w:rPr>
              <w:t>开标地点：同递交投标文件地点</w:t>
            </w:r>
          </w:p>
        </w:tc>
      </w:tr>
      <w:tr w14:paraId="49BA3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3CF430BC">
            <w:pPr>
              <w:keepLines/>
              <w:pageBreakBefore w:val="0"/>
              <w:kinsoku w:val="0"/>
              <w:wordWrap w:val="0"/>
              <w:overflowPunct/>
              <w:bidi w:val="0"/>
              <w:spacing w:line="240" w:lineRule="auto"/>
              <w:ind w:firstLine="0" w:firstLineChars="0"/>
              <w:jc w:val="center"/>
              <w:rPr>
                <w:color w:val="auto"/>
              </w:rPr>
            </w:pPr>
            <w:r>
              <w:rPr>
                <w:rFonts w:hint="eastAsia"/>
                <w:color w:val="auto"/>
              </w:rPr>
              <w:t>20.1</w:t>
            </w:r>
          </w:p>
          <w:p w14:paraId="58442B3C">
            <w:pPr>
              <w:keepLines/>
              <w:pageBreakBefore w:val="0"/>
              <w:kinsoku w:val="0"/>
              <w:wordWrap w:val="0"/>
              <w:overflowPunct/>
              <w:bidi w:val="0"/>
              <w:spacing w:line="240" w:lineRule="auto"/>
              <w:ind w:firstLine="0" w:firstLineChars="0"/>
              <w:jc w:val="center"/>
              <w:rPr>
                <w:color w:val="auto"/>
              </w:rPr>
            </w:pPr>
            <w:r>
              <w:rPr>
                <w:rFonts w:hint="eastAsia"/>
                <w:color w:val="auto"/>
              </w:rPr>
              <w:t>20.2</w:t>
            </w:r>
          </w:p>
        </w:tc>
        <w:tc>
          <w:tcPr>
            <w:tcW w:w="1465" w:type="dxa"/>
            <w:tcBorders>
              <w:left w:val="single" w:color="auto" w:sz="4" w:space="0"/>
            </w:tcBorders>
            <w:tcMar>
              <w:top w:w="57" w:type="dxa"/>
              <w:left w:w="57" w:type="dxa"/>
              <w:bottom w:w="57" w:type="dxa"/>
              <w:right w:w="57" w:type="dxa"/>
            </w:tcMar>
            <w:vAlign w:val="center"/>
          </w:tcPr>
          <w:p w14:paraId="025263E3">
            <w:pPr>
              <w:keepLines/>
              <w:pageBreakBefore w:val="0"/>
              <w:kinsoku w:val="0"/>
              <w:wordWrap w:val="0"/>
              <w:overflowPunct/>
              <w:bidi w:val="0"/>
              <w:spacing w:line="240" w:lineRule="auto"/>
              <w:ind w:firstLine="0" w:firstLineChars="0"/>
              <w:jc w:val="center"/>
              <w:rPr>
                <w:color w:val="auto"/>
              </w:rPr>
            </w:pPr>
            <w:r>
              <w:rPr>
                <w:rFonts w:hint="eastAsia"/>
                <w:color w:val="auto"/>
              </w:rPr>
              <w:t>评标委员会的组建</w:t>
            </w:r>
          </w:p>
        </w:tc>
        <w:tc>
          <w:tcPr>
            <w:tcW w:w="7600" w:type="dxa"/>
            <w:tcMar>
              <w:top w:w="57" w:type="dxa"/>
              <w:left w:w="57" w:type="dxa"/>
              <w:bottom w:w="57" w:type="dxa"/>
              <w:right w:w="57" w:type="dxa"/>
            </w:tcMar>
            <w:vAlign w:val="center"/>
          </w:tcPr>
          <w:p w14:paraId="15D0DFC8">
            <w:pPr>
              <w:keepLines/>
              <w:pageBreakBefore w:val="0"/>
              <w:kinsoku w:val="0"/>
              <w:wordWrap w:val="0"/>
              <w:overflowPunct/>
              <w:bidi w:val="0"/>
              <w:spacing w:line="240" w:lineRule="auto"/>
              <w:ind w:firstLine="0" w:firstLineChars="0"/>
              <w:rPr>
                <w:color w:val="auto"/>
                <w:spacing w:val="-7"/>
              </w:rPr>
            </w:pPr>
            <w:r>
              <w:rPr>
                <w:rFonts w:hint="eastAsia"/>
                <w:color w:val="auto"/>
              </w:rPr>
              <w:t>评标委员会由采购人代表2人和有关技术、经济等方面的评审专家5人，共7人组成。其中评审专家人数不得少于评标委员会成员总数的2/3。招标代理机构人员不得参加本机构代理的采购项目的评审。评标委员会应当推选组长，但采购人评审代表不得担任组长。技术、经济等方面由采购人依法在云南省政府采购专家管理子系统随机抽取。</w:t>
            </w:r>
          </w:p>
        </w:tc>
      </w:tr>
      <w:tr w14:paraId="625586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01CD2891">
            <w:pPr>
              <w:keepLines/>
              <w:pageBreakBefore w:val="0"/>
              <w:kinsoku w:val="0"/>
              <w:wordWrap w:val="0"/>
              <w:overflowPunct/>
              <w:bidi w:val="0"/>
              <w:spacing w:line="240" w:lineRule="auto"/>
              <w:ind w:firstLine="0" w:firstLineChars="0"/>
              <w:jc w:val="center"/>
              <w:rPr>
                <w:color w:val="auto"/>
              </w:rPr>
            </w:pPr>
            <w:r>
              <w:rPr>
                <w:rFonts w:hint="eastAsia"/>
                <w:color w:val="auto"/>
              </w:rPr>
              <w:t>25.1</w:t>
            </w:r>
          </w:p>
        </w:tc>
        <w:tc>
          <w:tcPr>
            <w:tcW w:w="1465" w:type="dxa"/>
            <w:tcBorders>
              <w:left w:val="single" w:color="auto" w:sz="4" w:space="0"/>
            </w:tcBorders>
            <w:tcMar>
              <w:top w:w="57" w:type="dxa"/>
              <w:left w:w="57" w:type="dxa"/>
              <w:bottom w:w="57" w:type="dxa"/>
              <w:right w:w="57" w:type="dxa"/>
            </w:tcMar>
            <w:vAlign w:val="center"/>
          </w:tcPr>
          <w:p w14:paraId="2AE895D0">
            <w:pPr>
              <w:keepLines/>
              <w:pageBreakBefore w:val="0"/>
              <w:kinsoku w:val="0"/>
              <w:wordWrap w:val="0"/>
              <w:overflowPunct/>
              <w:bidi w:val="0"/>
              <w:spacing w:line="240" w:lineRule="auto"/>
              <w:ind w:firstLine="0" w:firstLineChars="0"/>
              <w:jc w:val="center"/>
              <w:rPr>
                <w:color w:val="auto"/>
              </w:rPr>
            </w:pPr>
            <w:r>
              <w:rPr>
                <w:rFonts w:hint="eastAsia"/>
                <w:color w:val="auto"/>
              </w:rPr>
              <w:t>履约保证金金额</w:t>
            </w:r>
          </w:p>
        </w:tc>
        <w:tc>
          <w:tcPr>
            <w:tcW w:w="7600" w:type="dxa"/>
            <w:tcMar>
              <w:top w:w="57" w:type="dxa"/>
              <w:left w:w="57" w:type="dxa"/>
              <w:bottom w:w="57" w:type="dxa"/>
              <w:right w:w="57" w:type="dxa"/>
            </w:tcMar>
            <w:vAlign w:val="center"/>
          </w:tcPr>
          <w:p w14:paraId="24BE9839">
            <w:pPr>
              <w:pageBreakBefore w:val="0"/>
              <w:kinsoku w:val="0"/>
              <w:wordWrap w:val="0"/>
              <w:overflowPunct/>
              <w:autoSpaceDE w:val="0"/>
              <w:autoSpaceDN w:val="0"/>
              <w:bidi w:val="0"/>
              <w:adjustRightInd/>
              <w:spacing w:line="240" w:lineRule="auto"/>
              <w:rPr>
                <w:color w:val="auto"/>
              </w:rPr>
            </w:pPr>
            <w:r>
              <w:rPr>
                <w:rFonts w:hint="eastAsia"/>
                <w:color w:val="auto"/>
              </w:rPr>
              <w:t>乙方于合同签订前向甲方</w:t>
            </w:r>
            <w:r>
              <w:rPr>
                <w:rFonts w:hint="eastAsia" w:ascii="宋体" w:hAnsi="宋体"/>
                <w:color w:val="auto"/>
                <w:kern w:val="2"/>
                <w:highlight w:val="yellow"/>
                <w:shd w:val="clear" w:color="auto" w:fill="auto"/>
              </w:rPr>
              <w:t>所属各支队</w:t>
            </w:r>
            <w:r>
              <w:rPr>
                <w:rFonts w:hint="eastAsia"/>
                <w:color w:val="auto"/>
              </w:rPr>
              <w:t>提交合同总价的5%（金额：XXX元，大写：人民币 XXX元整）作为履约保证金。</w:t>
            </w:r>
          </w:p>
          <w:p w14:paraId="358C25F2">
            <w:pPr>
              <w:pageBreakBefore w:val="0"/>
              <w:kinsoku w:val="0"/>
              <w:wordWrap w:val="0"/>
              <w:overflowPunct/>
              <w:autoSpaceDE w:val="0"/>
              <w:autoSpaceDN w:val="0"/>
              <w:bidi w:val="0"/>
              <w:adjustRightInd/>
              <w:spacing w:line="240" w:lineRule="auto"/>
              <w:rPr>
                <w:rFonts w:hint="eastAsia"/>
                <w:color w:val="auto"/>
              </w:rPr>
            </w:pPr>
            <w:r>
              <w:rPr>
                <w:rFonts w:hint="eastAsia"/>
                <w:color w:val="auto"/>
              </w:rPr>
              <w:t>履约保证金收取方式：银行汇款</w:t>
            </w:r>
          </w:p>
          <w:p w14:paraId="7DBF252F">
            <w:pPr>
              <w:pageBreakBefore w:val="0"/>
              <w:kinsoku w:val="0"/>
              <w:wordWrap w:val="0"/>
              <w:overflowPunct/>
              <w:autoSpaceDE w:val="0"/>
              <w:autoSpaceDN w:val="0"/>
              <w:bidi w:val="0"/>
              <w:adjustRightInd/>
              <w:spacing w:line="240" w:lineRule="auto"/>
              <w:rPr>
                <w:rFonts w:hint="default" w:eastAsia="宋体"/>
                <w:color w:val="auto"/>
                <w:highlight w:val="yellow"/>
                <w:lang w:val="en-US" w:eastAsia="zh-CN"/>
              </w:rPr>
            </w:pPr>
            <w:r>
              <w:rPr>
                <w:rFonts w:hint="eastAsia"/>
                <w:color w:val="auto"/>
                <w:highlight w:val="yellow"/>
                <w:lang w:val="en-US" w:eastAsia="zh-CN"/>
              </w:rPr>
              <w:t>履约保证金收款账户信息另行通知。</w:t>
            </w:r>
          </w:p>
          <w:p w14:paraId="22C32C9A">
            <w:pPr>
              <w:pageBreakBefore w:val="0"/>
              <w:kinsoku w:val="0"/>
              <w:wordWrap w:val="0"/>
              <w:overflowPunct/>
              <w:autoSpaceDE w:val="0"/>
              <w:autoSpaceDN w:val="0"/>
              <w:bidi w:val="0"/>
              <w:adjustRightInd/>
              <w:spacing w:line="240" w:lineRule="auto"/>
              <w:rPr>
                <w:color w:val="auto"/>
              </w:rPr>
            </w:pPr>
            <w:r>
              <w:rPr>
                <w:rFonts w:hint="eastAsia"/>
                <w:color w:val="auto"/>
              </w:rPr>
              <w:t>履约保证金退还：自验收合格之日起1年期满后，无质量问题，甲方在30个日历天内一次性无息退还。</w:t>
            </w:r>
          </w:p>
        </w:tc>
      </w:tr>
      <w:tr w14:paraId="168142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275A6227">
            <w:pPr>
              <w:keepLines/>
              <w:pageBreakBefore w:val="0"/>
              <w:kinsoku w:val="0"/>
              <w:wordWrap w:val="0"/>
              <w:overflowPunct/>
              <w:bidi w:val="0"/>
              <w:spacing w:line="240" w:lineRule="auto"/>
              <w:ind w:firstLine="0" w:firstLineChars="0"/>
              <w:jc w:val="center"/>
              <w:rPr>
                <w:color w:val="auto"/>
              </w:rPr>
            </w:pPr>
            <w:r>
              <w:rPr>
                <w:rFonts w:hint="eastAsia"/>
                <w:color w:val="auto"/>
              </w:rPr>
              <w:t>26.1</w:t>
            </w:r>
          </w:p>
        </w:tc>
        <w:tc>
          <w:tcPr>
            <w:tcW w:w="1465" w:type="dxa"/>
            <w:tcBorders>
              <w:left w:val="single" w:color="auto" w:sz="4" w:space="0"/>
            </w:tcBorders>
            <w:tcMar>
              <w:top w:w="57" w:type="dxa"/>
              <w:left w:w="57" w:type="dxa"/>
              <w:bottom w:w="57" w:type="dxa"/>
              <w:right w:w="57" w:type="dxa"/>
            </w:tcMar>
            <w:vAlign w:val="center"/>
          </w:tcPr>
          <w:p w14:paraId="454A454D">
            <w:pPr>
              <w:keepLines/>
              <w:pageBreakBefore w:val="0"/>
              <w:kinsoku w:val="0"/>
              <w:wordWrap w:val="0"/>
              <w:overflowPunct/>
              <w:bidi w:val="0"/>
              <w:spacing w:line="240" w:lineRule="auto"/>
              <w:ind w:firstLine="0" w:firstLineChars="0"/>
              <w:jc w:val="center"/>
              <w:rPr>
                <w:color w:val="auto"/>
              </w:rPr>
            </w:pPr>
            <w:r>
              <w:rPr>
                <w:rFonts w:hint="eastAsia"/>
                <w:color w:val="auto"/>
              </w:rPr>
              <w:t>招标代理服务费</w:t>
            </w:r>
          </w:p>
        </w:tc>
        <w:tc>
          <w:tcPr>
            <w:tcW w:w="7600" w:type="dxa"/>
            <w:tcMar>
              <w:top w:w="57" w:type="dxa"/>
              <w:left w:w="57" w:type="dxa"/>
              <w:bottom w:w="57" w:type="dxa"/>
              <w:right w:w="57" w:type="dxa"/>
            </w:tcMar>
            <w:vAlign w:val="center"/>
          </w:tcPr>
          <w:p w14:paraId="28C26AB3">
            <w:pPr>
              <w:pageBreakBefore w:val="0"/>
              <w:kinsoku w:val="0"/>
              <w:wordWrap w:val="0"/>
              <w:overflowPunct/>
              <w:autoSpaceDE w:val="0"/>
              <w:autoSpaceDN w:val="0"/>
              <w:bidi w:val="0"/>
              <w:adjustRightInd/>
              <w:spacing w:line="240" w:lineRule="auto"/>
              <w:rPr>
                <w:color w:val="auto"/>
              </w:rPr>
            </w:pPr>
            <w:r>
              <w:rPr>
                <w:rFonts w:hint="eastAsia"/>
                <w:color w:val="auto"/>
              </w:rPr>
              <w:t>本项目招标代理服务费按照“云建招协〔2023〕51号 《云南省建设工程招标代理服务收费指导意见（试行）》中的《云南省招标代理服务收费指导标准》”货物类标准下浮20%收取。由中标人在领取中标通知书前向代理机构一次性支付。</w:t>
            </w:r>
          </w:p>
          <w:p w14:paraId="4C65D6D3">
            <w:pPr>
              <w:pageBreakBefore w:val="0"/>
              <w:kinsoku w:val="0"/>
              <w:wordWrap w:val="0"/>
              <w:overflowPunct/>
              <w:autoSpaceDE w:val="0"/>
              <w:autoSpaceDN w:val="0"/>
              <w:bidi w:val="0"/>
              <w:adjustRightInd/>
              <w:spacing w:line="240" w:lineRule="auto"/>
              <w:rPr>
                <w:color w:val="auto"/>
              </w:rPr>
            </w:pPr>
            <w:r>
              <w:rPr>
                <w:rFonts w:hint="eastAsia"/>
                <w:color w:val="auto"/>
              </w:rPr>
              <w:t>代理服务费缴纳形式：转账或现金</w:t>
            </w:r>
          </w:p>
          <w:p w14:paraId="3F78BC30">
            <w:pPr>
              <w:pageBreakBefore w:val="0"/>
              <w:kinsoku w:val="0"/>
              <w:wordWrap w:val="0"/>
              <w:overflowPunct/>
              <w:autoSpaceDE w:val="0"/>
              <w:autoSpaceDN w:val="0"/>
              <w:bidi w:val="0"/>
              <w:adjustRightInd/>
              <w:spacing w:line="240" w:lineRule="auto"/>
              <w:rPr>
                <w:color w:val="auto"/>
              </w:rPr>
            </w:pPr>
            <w:r>
              <w:rPr>
                <w:rFonts w:hint="eastAsia"/>
                <w:color w:val="auto"/>
              </w:rPr>
              <w:t>收款账户信息如下：</w:t>
            </w:r>
          </w:p>
          <w:p w14:paraId="70E79E5A">
            <w:pPr>
              <w:pageBreakBefore w:val="0"/>
              <w:kinsoku w:val="0"/>
              <w:wordWrap w:val="0"/>
              <w:overflowPunct/>
              <w:autoSpaceDE w:val="0"/>
              <w:autoSpaceDN w:val="0"/>
              <w:bidi w:val="0"/>
              <w:adjustRightInd/>
              <w:spacing w:line="240" w:lineRule="auto"/>
              <w:rPr>
                <w:color w:val="auto"/>
              </w:rPr>
            </w:pPr>
            <w:r>
              <w:rPr>
                <w:color w:val="auto"/>
              </w:rPr>
              <w:t>公司名称:中招国际招标有限公司云南分公司</w:t>
            </w:r>
          </w:p>
          <w:p w14:paraId="3A28D2E9">
            <w:pPr>
              <w:pageBreakBefore w:val="0"/>
              <w:kinsoku w:val="0"/>
              <w:wordWrap w:val="0"/>
              <w:overflowPunct/>
              <w:autoSpaceDE w:val="0"/>
              <w:autoSpaceDN w:val="0"/>
              <w:bidi w:val="0"/>
              <w:adjustRightInd/>
              <w:spacing w:line="240" w:lineRule="auto"/>
              <w:rPr>
                <w:color w:val="auto"/>
              </w:rPr>
            </w:pPr>
            <w:r>
              <w:rPr>
                <w:color w:val="auto"/>
              </w:rPr>
              <w:t>纳税人识别号:91530100582370297L</w:t>
            </w:r>
          </w:p>
          <w:p w14:paraId="45F543CC">
            <w:pPr>
              <w:pageBreakBefore w:val="0"/>
              <w:kinsoku w:val="0"/>
              <w:wordWrap w:val="0"/>
              <w:overflowPunct/>
              <w:autoSpaceDE w:val="0"/>
              <w:autoSpaceDN w:val="0"/>
              <w:bidi w:val="0"/>
              <w:adjustRightInd/>
              <w:spacing w:line="240" w:lineRule="auto"/>
              <w:rPr>
                <w:color w:val="auto"/>
              </w:rPr>
            </w:pPr>
            <w:r>
              <w:rPr>
                <w:color w:val="auto"/>
              </w:rPr>
              <w:t>地址:云南省昆明市高新区滇景名筑小区9#5层501-516号</w:t>
            </w:r>
          </w:p>
          <w:p w14:paraId="5E7127E0">
            <w:pPr>
              <w:pageBreakBefore w:val="0"/>
              <w:kinsoku w:val="0"/>
              <w:wordWrap w:val="0"/>
              <w:overflowPunct/>
              <w:autoSpaceDE w:val="0"/>
              <w:autoSpaceDN w:val="0"/>
              <w:bidi w:val="0"/>
              <w:adjustRightInd/>
              <w:spacing w:line="240" w:lineRule="auto"/>
              <w:rPr>
                <w:color w:val="auto"/>
              </w:rPr>
            </w:pPr>
            <w:r>
              <w:rPr>
                <w:color w:val="auto"/>
              </w:rPr>
              <w:t>电话</w:t>
            </w:r>
            <w:r>
              <w:rPr>
                <w:rFonts w:hint="eastAsia"/>
                <w:color w:val="auto"/>
              </w:rPr>
              <w:t>：</w:t>
            </w:r>
            <w:r>
              <w:rPr>
                <w:color w:val="auto"/>
              </w:rPr>
              <w:t>0871-68316488</w:t>
            </w:r>
          </w:p>
          <w:p w14:paraId="4FE27E11">
            <w:pPr>
              <w:pageBreakBefore w:val="0"/>
              <w:kinsoku w:val="0"/>
              <w:wordWrap w:val="0"/>
              <w:overflowPunct/>
              <w:autoSpaceDE w:val="0"/>
              <w:autoSpaceDN w:val="0"/>
              <w:bidi w:val="0"/>
              <w:adjustRightInd/>
              <w:spacing w:line="240" w:lineRule="auto"/>
              <w:rPr>
                <w:color w:val="auto"/>
              </w:rPr>
            </w:pPr>
            <w:r>
              <w:rPr>
                <w:color w:val="auto"/>
              </w:rPr>
              <w:t>开户行:中国工商银行股份有限公司昆明花园支行</w:t>
            </w:r>
          </w:p>
          <w:p w14:paraId="24247E87">
            <w:pPr>
              <w:pageBreakBefore w:val="0"/>
              <w:kinsoku w:val="0"/>
              <w:wordWrap w:val="0"/>
              <w:overflowPunct/>
              <w:autoSpaceDE w:val="0"/>
              <w:autoSpaceDN w:val="0"/>
              <w:bidi w:val="0"/>
              <w:adjustRightInd/>
              <w:spacing w:line="240" w:lineRule="auto"/>
              <w:rPr>
                <w:color w:val="auto"/>
              </w:rPr>
            </w:pPr>
            <w:r>
              <w:rPr>
                <w:color w:val="auto"/>
              </w:rPr>
              <w:t>账号：2502124119024521401</w:t>
            </w:r>
          </w:p>
        </w:tc>
      </w:tr>
      <w:tr w14:paraId="48EAF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1FB8ADA7">
            <w:pPr>
              <w:keepLines/>
              <w:pageBreakBefore w:val="0"/>
              <w:kinsoku w:val="0"/>
              <w:wordWrap w:val="0"/>
              <w:overflowPunct/>
              <w:bidi w:val="0"/>
              <w:spacing w:line="240" w:lineRule="auto"/>
              <w:ind w:firstLine="0" w:firstLineChars="0"/>
              <w:jc w:val="center"/>
              <w:rPr>
                <w:color w:val="auto"/>
              </w:rPr>
            </w:pPr>
            <w:r>
              <w:rPr>
                <w:rFonts w:hint="eastAsia"/>
                <w:color w:val="auto"/>
              </w:rPr>
              <w:t>28.1</w:t>
            </w:r>
          </w:p>
        </w:tc>
        <w:tc>
          <w:tcPr>
            <w:tcW w:w="1465" w:type="dxa"/>
            <w:tcBorders>
              <w:left w:val="single" w:color="auto" w:sz="4" w:space="0"/>
            </w:tcBorders>
            <w:tcMar>
              <w:top w:w="57" w:type="dxa"/>
              <w:left w:w="57" w:type="dxa"/>
              <w:bottom w:w="57" w:type="dxa"/>
              <w:right w:w="57" w:type="dxa"/>
            </w:tcMar>
            <w:vAlign w:val="center"/>
          </w:tcPr>
          <w:p w14:paraId="5BE617D2">
            <w:pPr>
              <w:keepLines/>
              <w:pageBreakBefore w:val="0"/>
              <w:kinsoku w:val="0"/>
              <w:wordWrap w:val="0"/>
              <w:overflowPunct/>
              <w:bidi w:val="0"/>
              <w:spacing w:line="240" w:lineRule="auto"/>
              <w:ind w:firstLine="0" w:firstLineChars="0"/>
              <w:jc w:val="center"/>
              <w:rPr>
                <w:color w:val="auto"/>
              </w:rPr>
            </w:pPr>
            <w:r>
              <w:rPr>
                <w:rFonts w:hint="eastAsia"/>
                <w:color w:val="auto"/>
              </w:rPr>
              <w:t>备选方案</w:t>
            </w:r>
          </w:p>
        </w:tc>
        <w:tc>
          <w:tcPr>
            <w:tcW w:w="7600" w:type="dxa"/>
            <w:tcMar>
              <w:top w:w="57" w:type="dxa"/>
              <w:left w:w="57" w:type="dxa"/>
              <w:bottom w:w="57" w:type="dxa"/>
              <w:right w:w="57" w:type="dxa"/>
            </w:tcMar>
            <w:vAlign w:val="center"/>
          </w:tcPr>
          <w:p w14:paraId="44030C0B">
            <w:pPr>
              <w:pageBreakBefore w:val="0"/>
              <w:kinsoku w:val="0"/>
              <w:wordWrap w:val="0"/>
              <w:overflowPunct/>
              <w:autoSpaceDE w:val="0"/>
              <w:autoSpaceDN w:val="0"/>
              <w:bidi w:val="0"/>
              <w:adjustRightInd/>
              <w:spacing w:line="240" w:lineRule="auto"/>
              <w:ind w:firstLine="404"/>
              <w:jc w:val="both"/>
              <w:rPr>
                <w:color w:val="auto"/>
              </w:rPr>
            </w:pPr>
            <w:r>
              <w:rPr>
                <w:rFonts w:hint="eastAsia"/>
                <w:color w:val="auto"/>
                <w:spacing w:val="-4"/>
              </w:rPr>
              <w:t>□</w:t>
            </w:r>
            <w:r>
              <w:rPr>
                <w:rFonts w:hint="eastAsia"/>
                <w:color w:val="auto"/>
                <w:spacing w:val="-3"/>
              </w:rPr>
              <w:t>接</w:t>
            </w:r>
            <w:r>
              <w:rPr>
                <w:rFonts w:hint="eastAsia"/>
                <w:color w:val="auto"/>
                <w:spacing w:val="-2"/>
              </w:rPr>
              <w:t xml:space="preserve">受     </w:t>
            </w:r>
            <w:r>
              <w:rPr>
                <w:rFonts w:hint="eastAsia"/>
                <w:color w:val="auto"/>
                <w:spacing w:val="-4"/>
              </w:rPr>
              <w:t>☑</w:t>
            </w:r>
            <w:r>
              <w:rPr>
                <w:rFonts w:hint="eastAsia"/>
                <w:color w:val="auto"/>
                <w:spacing w:val="-2"/>
              </w:rPr>
              <w:t>不接受</w:t>
            </w:r>
          </w:p>
        </w:tc>
      </w:tr>
      <w:tr w14:paraId="34EA1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jc w:val="center"/>
        </w:trPr>
        <w:tc>
          <w:tcPr>
            <w:tcW w:w="1121" w:type="dxa"/>
            <w:gridSpan w:val="2"/>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4F9EAB73">
            <w:pPr>
              <w:pageBreakBefore w:val="0"/>
              <w:kinsoku w:val="0"/>
              <w:wordWrap w:val="0"/>
              <w:overflowPunct/>
              <w:autoSpaceDE w:val="0"/>
              <w:autoSpaceDN w:val="0"/>
              <w:bidi w:val="0"/>
              <w:spacing w:line="240" w:lineRule="auto"/>
              <w:ind w:firstLine="0" w:firstLineChars="0"/>
              <w:jc w:val="center"/>
              <w:rPr>
                <w:color w:val="auto"/>
              </w:rPr>
            </w:pPr>
            <w:r>
              <w:rPr>
                <w:rFonts w:hint="eastAsia"/>
                <w:color w:val="auto"/>
              </w:rPr>
              <w:t>29</w:t>
            </w:r>
          </w:p>
        </w:tc>
        <w:tc>
          <w:tcPr>
            <w:tcW w:w="9065" w:type="dxa"/>
            <w:gridSpan w:val="2"/>
            <w:tcBorders>
              <w:left w:val="single" w:color="auto" w:sz="4" w:space="0"/>
            </w:tcBorders>
            <w:tcMar>
              <w:top w:w="57" w:type="dxa"/>
              <w:left w:w="57" w:type="dxa"/>
              <w:bottom w:w="57" w:type="dxa"/>
              <w:right w:w="57" w:type="dxa"/>
            </w:tcMar>
            <w:vAlign w:val="center"/>
          </w:tcPr>
          <w:p w14:paraId="58745843">
            <w:pPr>
              <w:pageBreakBefore w:val="0"/>
              <w:kinsoku w:val="0"/>
              <w:wordWrap w:val="0"/>
              <w:overflowPunct/>
              <w:autoSpaceDE w:val="0"/>
              <w:autoSpaceDN w:val="0"/>
              <w:bidi w:val="0"/>
              <w:adjustRightInd/>
              <w:spacing w:line="240" w:lineRule="auto"/>
              <w:ind w:firstLine="422"/>
              <w:jc w:val="center"/>
              <w:rPr>
                <w:color w:val="auto"/>
              </w:rPr>
            </w:pPr>
            <w:r>
              <w:rPr>
                <w:rFonts w:hint="eastAsia"/>
                <w:b/>
                <w:bCs/>
                <w:color w:val="auto"/>
              </w:rPr>
              <w:t>本项目不允许分包。</w:t>
            </w:r>
          </w:p>
        </w:tc>
      </w:tr>
    </w:tbl>
    <w:p w14:paraId="2EB7199B">
      <w:pPr>
        <w:pageBreakBefore w:val="0"/>
        <w:wordWrap w:val="0"/>
        <w:overflowPunct/>
        <w:bidi w:val="0"/>
        <w:spacing w:line="240" w:lineRule="auto"/>
        <w:rPr>
          <w:color w:val="auto"/>
        </w:rPr>
      </w:pPr>
      <w:r>
        <w:rPr>
          <w:rFonts w:hint="eastAsia"/>
          <w:color w:val="auto"/>
        </w:rPr>
        <w:br w:type="page"/>
      </w:r>
    </w:p>
    <w:p w14:paraId="182FE00B">
      <w:pPr>
        <w:pStyle w:val="3"/>
        <w:pageBreakBefore w:val="0"/>
        <w:wordWrap w:val="0"/>
        <w:overflowPunct/>
        <w:bidi w:val="0"/>
        <w:ind w:firstLine="482"/>
        <w:jc w:val="center"/>
        <w:rPr>
          <w:color w:val="auto"/>
        </w:rPr>
      </w:pPr>
      <w:bookmarkStart w:id="9" w:name="_Toc7810"/>
      <w:r>
        <w:rPr>
          <w:rFonts w:hint="eastAsia"/>
          <w:color w:val="auto"/>
        </w:rPr>
        <w:t>一、总则</w:t>
      </w:r>
      <w:bookmarkEnd w:id="9"/>
    </w:p>
    <w:p w14:paraId="51708BFC">
      <w:pPr>
        <w:pageBreakBefore w:val="0"/>
        <w:wordWrap w:val="0"/>
        <w:overflowPunct/>
        <w:bidi w:val="0"/>
        <w:rPr>
          <w:color w:val="auto"/>
        </w:rPr>
      </w:pPr>
      <w:r>
        <w:rPr>
          <w:rFonts w:hint="eastAsia"/>
          <w:color w:val="auto"/>
        </w:rPr>
        <w:t>1、项目概况</w:t>
      </w:r>
    </w:p>
    <w:p w14:paraId="41B9CAA3">
      <w:pPr>
        <w:pageBreakBefore w:val="0"/>
        <w:wordWrap w:val="0"/>
        <w:overflowPunct/>
        <w:bidi w:val="0"/>
        <w:rPr>
          <w:color w:val="auto"/>
        </w:rPr>
      </w:pPr>
      <w:r>
        <w:rPr>
          <w:rFonts w:hint="eastAsia"/>
          <w:color w:val="auto"/>
        </w:rPr>
        <w:t>1.1 招标人、招标代理机构、项目名称及项目编号：见“投标人须知前附表”。</w:t>
      </w:r>
    </w:p>
    <w:p w14:paraId="194F387E">
      <w:pPr>
        <w:pageBreakBefore w:val="0"/>
        <w:wordWrap w:val="0"/>
        <w:overflowPunct/>
        <w:bidi w:val="0"/>
        <w:rPr>
          <w:color w:val="auto"/>
        </w:rPr>
      </w:pPr>
      <w:r>
        <w:rPr>
          <w:rFonts w:hint="eastAsia"/>
          <w:color w:val="auto"/>
        </w:rPr>
        <w:t>2、资金来源</w:t>
      </w:r>
    </w:p>
    <w:p w14:paraId="16E300D1">
      <w:pPr>
        <w:pageBreakBefore w:val="0"/>
        <w:wordWrap w:val="0"/>
        <w:overflowPunct/>
        <w:bidi w:val="0"/>
        <w:rPr>
          <w:color w:val="auto"/>
        </w:rPr>
      </w:pPr>
      <w:r>
        <w:rPr>
          <w:rFonts w:hint="eastAsia"/>
          <w:color w:val="auto"/>
        </w:rPr>
        <w:t>2.1 “投标人须知前附表”中所述的招标资金，用于招标“第五章 技术要求”所列货物。</w:t>
      </w:r>
    </w:p>
    <w:p w14:paraId="729A3702">
      <w:pPr>
        <w:pageBreakBefore w:val="0"/>
        <w:wordWrap w:val="0"/>
        <w:overflowPunct/>
        <w:bidi w:val="0"/>
        <w:rPr>
          <w:color w:val="auto"/>
        </w:rPr>
      </w:pPr>
      <w:r>
        <w:rPr>
          <w:rFonts w:hint="eastAsia"/>
          <w:color w:val="auto"/>
        </w:rPr>
        <w:t>3、招标范围</w:t>
      </w:r>
    </w:p>
    <w:p w14:paraId="29B54F7B">
      <w:pPr>
        <w:pageBreakBefore w:val="0"/>
        <w:wordWrap w:val="0"/>
        <w:overflowPunct/>
        <w:bidi w:val="0"/>
        <w:rPr>
          <w:color w:val="auto"/>
        </w:rPr>
      </w:pPr>
      <w:r>
        <w:rPr>
          <w:rFonts w:hint="eastAsia"/>
          <w:color w:val="auto"/>
        </w:rPr>
        <w:t>3.1 本项目招标内容：见“投标人须知前附表”。</w:t>
      </w:r>
    </w:p>
    <w:p w14:paraId="24592463">
      <w:pPr>
        <w:pageBreakBefore w:val="0"/>
        <w:wordWrap w:val="0"/>
        <w:overflowPunct/>
        <w:bidi w:val="0"/>
        <w:rPr>
          <w:color w:val="auto"/>
        </w:rPr>
      </w:pPr>
      <w:r>
        <w:rPr>
          <w:rFonts w:hint="eastAsia"/>
          <w:color w:val="auto"/>
        </w:rPr>
        <w:t>3.2 本项目交货期、质量要求：见“投标人须知前附表”。</w:t>
      </w:r>
    </w:p>
    <w:p w14:paraId="7CDA5DAC">
      <w:pPr>
        <w:pageBreakBefore w:val="0"/>
        <w:wordWrap w:val="0"/>
        <w:overflowPunct/>
        <w:bidi w:val="0"/>
        <w:rPr>
          <w:color w:val="auto"/>
        </w:rPr>
      </w:pPr>
      <w:r>
        <w:rPr>
          <w:rFonts w:hint="eastAsia"/>
          <w:color w:val="auto"/>
        </w:rPr>
        <w:t>4、合格的投标人(以下简称投标人)</w:t>
      </w:r>
    </w:p>
    <w:p w14:paraId="56C28C8C">
      <w:pPr>
        <w:pageBreakBefore w:val="0"/>
        <w:wordWrap w:val="0"/>
        <w:overflowPunct/>
        <w:bidi w:val="0"/>
        <w:rPr>
          <w:color w:val="auto"/>
        </w:rPr>
      </w:pPr>
      <w:r>
        <w:rPr>
          <w:rFonts w:hint="eastAsia"/>
          <w:color w:val="auto"/>
        </w:rPr>
        <w:t>4.1 投标人应具备《中华人民共和国政府采购法》第二十二条规定的条件，并提供下列材料：</w:t>
      </w:r>
    </w:p>
    <w:p w14:paraId="38ACDBCF">
      <w:pPr>
        <w:pageBreakBefore w:val="0"/>
        <w:wordWrap w:val="0"/>
        <w:overflowPunct/>
        <w:bidi w:val="0"/>
        <w:rPr>
          <w:color w:val="auto"/>
        </w:rPr>
      </w:pPr>
      <w:r>
        <w:rPr>
          <w:rFonts w:hint="eastAsia"/>
          <w:color w:val="auto"/>
        </w:rPr>
        <w:t>4.1.1 投标人必须是具有独立承担民事责任能力的法人、其他组织；提供营业执照(复印件加盖公章）；</w:t>
      </w:r>
    </w:p>
    <w:p w14:paraId="01A6305C">
      <w:pPr>
        <w:pageBreakBefore w:val="0"/>
        <w:wordWrap w:val="0"/>
        <w:overflowPunct/>
        <w:bidi w:val="0"/>
        <w:rPr>
          <w:color w:val="auto"/>
        </w:rPr>
      </w:pPr>
      <w:r>
        <w:rPr>
          <w:rFonts w:hint="eastAsia"/>
          <w:color w:val="auto"/>
        </w:rPr>
        <w:t>4.1.2 投标人须提供财务状况报告，内容详见“投标人须知前附表”；</w:t>
      </w:r>
    </w:p>
    <w:p w14:paraId="15813512">
      <w:pPr>
        <w:pageBreakBefore w:val="0"/>
        <w:wordWrap w:val="0"/>
        <w:overflowPunct/>
        <w:bidi w:val="0"/>
        <w:rPr>
          <w:color w:val="auto"/>
        </w:rPr>
      </w:pPr>
      <w:r>
        <w:rPr>
          <w:rFonts w:hint="eastAsia"/>
          <w:color w:val="auto"/>
        </w:rPr>
        <w:t>4.1.3 投标人提供近期内(具体月份详见“投标人须知前附表”)依法缴纳税收如税务局税收通用缴款书复印件或银行电子缴税(费) 凭证复印件或税务局出具纳税情况的相关证明复印件；</w:t>
      </w:r>
    </w:p>
    <w:p w14:paraId="1E2D71A4">
      <w:pPr>
        <w:pageBreakBefore w:val="0"/>
        <w:wordWrap w:val="0"/>
        <w:overflowPunct/>
        <w:bidi w:val="0"/>
        <w:rPr>
          <w:color w:val="auto"/>
        </w:rPr>
      </w:pPr>
      <w:r>
        <w:rPr>
          <w:rFonts w:hint="eastAsia"/>
          <w:color w:val="auto"/>
        </w:rPr>
        <w:t>4.1.4 投标人提供近期内(具体月份详见“投标人须知前附表”)的社会保险费缴款书复印件或银行电子缴税(费)凭证复印件或社保管理部门出具的有效的缴款证明复印件；</w:t>
      </w:r>
    </w:p>
    <w:p w14:paraId="67BD0CA2">
      <w:pPr>
        <w:pageBreakBefore w:val="0"/>
        <w:wordWrap w:val="0"/>
        <w:overflowPunct/>
        <w:bidi w:val="0"/>
        <w:rPr>
          <w:color w:val="auto"/>
        </w:rPr>
      </w:pPr>
      <w:r>
        <w:rPr>
          <w:rFonts w:hint="eastAsia"/>
          <w:color w:val="auto"/>
        </w:rPr>
        <w:t>4.1.5 投标人须提供具备履行合同所必需的设备和专业技术能力的证明材料；</w:t>
      </w:r>
    </w:p>
    <w:p w14:paraId="6DD69557">
      <w:pPr>
        <w:pageBreakBefore w:val="0"/>
        <w:wordWrap w:val="0"/>
        <w:overflowPunct/>
        <w:bidi w:val="0"/>
        <w:rPr>
          <w:color w:val="auto"/>
        </w:rPr>
      </w:pPr>
      <w:r>
        <w:rPr>
          <w:rFonts w:hint="eastAsia"/>
          <w:color w:val="auto"/>
        </w:rPr>
        <w:t>4.1.6 投标人必须提供参加本项目政府采购活动前 3 年内在经营活动中没有重大违法记录的书面声明(重大违法记录，是指投标人因违法经营受到刑事处罚或者责令停产停业、吊销许可证或者执照、较大数额罚款等行政处罚) ；</w:t>
      </w:r>
    </w:p>
    <w:p w14:paraId="17E06D77">
      <w:pPr>
        <w:pageBreakBefore w:val="0"/>
        <w:wordWrap w:val="0"/>
        <w:overflowPunct/>
        <w:bidi w:val="0"/>
        <w:rPr>
          <w:color w:val="auto"/>
        </w:rPr>
      </w:pPr>
      <w:r>
        <w:rPr>
          <w:rFonts w:hint="eastAsia"/>
          <w:color w:val="auto"/>
        </w:rPr>
        <w:t>4.2 落实政府采购政策需满足的资格要求：见“投标人须知前附表”。</w:t>
      </w:r>
    </w:p>
    <w:p w14:paraId="2DB21EF5">
      <w:pPr>
        <w:pageBreakBefore w:val="0"/>
        <w:wordWrap w:val="0"/>
        <w:overflowPunct/>
        <w:bidi w:val="0"/>
        <w:rPr>
          <w:color w:val="auto"/>
        </w:rPr>
      </w:pPr>
      <w:r>
        <w:rPr>
          <w:rFonts w:hint="eastAsia"/>
          <w:color w:val="auto"/>
        </w:rPr>
        <w:t>4.3 本项目的特定要求： 见“投标人须知前附表”。</w:t>
      </w:r>
    </w:p>
    <w:p w14:paraId="2C4F8060">
      <w:pPr>
        <w:pageBreakBefore w:val="0"/>
        <w:wordWrap w:val="0"/>
        <w:overflowPunct/>
        <w:bidi w:val="0"/>
        <w:rPr>
          <w:color w:val="auto"/>
        </w:rPr>
      </w:pPr>
      <w:r>
        <w:rPr>
          <w:rFonts w:hint="eastAsia"/>
          <w:color w:val="auto"/>
        </w:rPr>
        <w:t>5、投标费用</w:t>
      </w:r>
    </w:p>
    <w:p w14:paraId="7DF20D4C">
      <w:pPr>
        <w:pageBreakBefore w:val="0"/>
        <w:wordWrap w:val="0"/>
        <w:overflowPunct/>
        <w:bidi w:val="0"/>
        <w:rPr>
          <w:color w:val="auto"/>
        </w:rPr>
      </w:pPr>
      <w:r>
        <w:rPr>
          <w:rFonts w:hint="eastAsia"/>
          <w:color w:val="auto"/>
        </w:rPr>
        <w:t>5.1 无论是否中标，投标人自行承担所有与参加投标有关的全部费用。</w:t>
      </w:r>
    </w:p>
    <w:p w14:paraId="37AA787A">
      <w:pPr>
        <w:pageBreakBefore w:val="0"/>
        <w:wordWrap w:val="0"/>
        <w:overflowPunct/>
        <w:bidi w:val="0"/>
        <w:rPr>
          <w:color w:val="auto"/>
        </w:rPr>
      </w:pPr>
      <w:r>
        <w:rPr>
          <w:rFonts w:hint="eastAsia"/>
          <w:color w:val="auto"/>
        </w:rPr>
        <w:t>6.1 投标人认为招标文件、评审过程和中标结果使自己的权益受到损害的，可以在知道或者应知其权益受到损害之日起 7 个工作日内，以书面形式向招标人、招标代理机构提出质疑，质疑内容不得含有虚假、恶意成分。投标人需在法定质疑期内一次性提出针对同一程序环节的质疑。当事人对自己提出的主张，有责任提供证据，提出质疑时应同时提交相关证据材料和注明事实的确切来源且证据合法、真实、有效。招标人或招标代理机构应当在 7 个工作日内对投标人依法提出的质疑作出书面答复，但答复的内容不得涉及商业秘密。投标人知其权益受到损害之日，是指：</w:t>
      </w:r>
    </w:p>
    <w:p w14:paraId="45879DD2">
      <w:pPr>
        <w:pageBreakBefore w:val="0"/>
        <w:wordWrap w:val="0"/>
        <w:overflowPunct/>
        <w:bidi w:val="0"/>
        <w:rPr>
          <w:color w:val="auto"/>
        </w:rPr>
      </w:pPr>
      <w:r>
        <w:rPr>
          <w:rFonts w:hint="eastAsia"/>
          <w:color w:val="auto"/>
        </w:rPr>
        <w:t>(一)对可以质疑的招标文件提出质疑的，为收到招标文件之日或者招标文件公告期限届满之日；</w:t>
      </w:r>
    </w:p>
    <w:p w14:paraId="29002B62">
      <w:pPr>
        <w:pageBreakBefore w:val="0"/>
        <w:wordWrap w:val="0"/>
        <w:overflowPunct/>
        <w:bidi w:val="0"/>
        <w:rPr>
          <w:color w:val="auto"/>
        </w:rPr>
      </w:pPr>
      <w:r>
        <w:rPr>
          <w:rFonts w:hint="eastAsia"/>
          <w:color w:val="auto"/>
        </w:rPr>
        <w:t>(二)对招标过程提出质疑的，为各招标程序环节结束之日；</w:t>
      </w:r>
    </w:p>
    <w:p w14:paraId="776F88D1">
      <w:pPr>
        <w:pageBreakBefore w:val="0"/>
        <w:wordWrap w:val="0"/>
        <w:overflowPunct/>
        <w:bidi w:val="0"/>
        <w:rPr>
          <w:color w:val="auto"/>
        </w:rPr>
      </w:pPr>
      <w:r>
        <w:rPr>
          <w:rFonts w:hint="eastAsia"/>
          <w:color w:val="auto"/>
        </w:rPr>
        <w:t>(三)对中标结果提出质疑的，为中标结果公告期限届满之日。(中标公告发布之日起七个工作日内)</w:t>
      </w:r>
    </w:p>
    <w:p w14:paraId="450BA9ED">
      <w:pPr>
        <w:pageBreakBefore w:val="0"/>
        <w:wordWrap w:val="0"/>
        <w:overflowPunct/>
        <w:bidi w:val="0"/>
        <w:rPr>
          <w:color w:val="auto"/>
        </w:rPr>
      </w:pPr>
      <w:r>
        <w:rPr>
          <w:rFonts w:hint="eastAsia"/>
          <w:color w:val="auto"/>
        </w:rPr>
        <w:t>6.2 投标人提供的质疑书(如材料中有外文资料应同时附上中文译本)应当包括以下主要内容：</w:t>
      </w:r>
    </w:p>
    <w:p w14:paraId="35662ECD">
      <w:pPr>
        <w:pageBreakBefore w:val="0"/>
        <w:wordWrap w:val="0"/>
        <w:overflowPunct/>
        <w:bidi w:val="0"/>
        <w:rPr>
          <w:color w:val="auto"/>
        </w:rPr>
      </w:pPr>
      <w:r>
        <w:rPr>
          <w:rFonts w:hint="eastAsia"/>
          <w:color w:val="auto"/>
        </w:rPr>
        <w:t>(1) 投标人的姓名或者名称、地址、邮编、联系人及联系电话；</w:t>
      </w:r>
    </w:p>
    <w:p w14:paraId="2ECC4BF0">
      <w:pPr>
        <w:pageBreakBefore w:val="0"/>
        <w:wordWrap w:val="0"/>
        <w:overflowPunct/>
        <w:bidi w:val="0"/>
        <w:rPr>
          <w:color w:val="auto"/>
        </w:rPr>
      </w:pPr>
      <w:r>
        <w:rPr>
          <w:rFonts w:hint="eastAsia"/>
          <w:color w:val="auto"/>
        </w:rPr>
        <w:t>(2) 质疑项目的名称、编号；</w:t>
      </w:r>
    </w:p>
    <w:p w14:paraId="439EDBFD">
      <w:pPr>
        <w:pageBreakBefore w:val="0"/>
        <w:wordWrap w:val="0"/>
        <w:overflowPunct/>
        <w:bidi w:val="0"/>
        <w:rPr>
          <w:color w:val="auto"/>
        </w:rPr>
      </w:pPr>
      <w:r>
        <w:rPr>
          <w:rFonts w:hint="eastAsia"/>
          <w:color w:val="auto"/>
        </w:rPr>
        <w:t>(3) 具体、明确的质疑事项和与质疑事项相关的请求；</w:t>
      </w:r>
    </w:p>
    <w:p w14:paraId="6D9660E1">
      <w:pPr>
        <w:pageBreakBefore w:val="0"/>
        <w:wordWrap w:val="0"/>
        <w:overflowPunct/>
        <w:bidi w:val="0"/>
        <w:rPr>
          <w:color w:val="auto"/>
        </w:rPr>
      </w:pPr>
      <w:r>
        <w:rPr>
          <w:rFonts w:hint="eastAsia"/>
          <w:color w:val="auto"/>
        </w:rPr>
        <w:t>(4) 事实依据；</w:t>
      </w:r>
    </w:p>
    <w:p w14:paraId="415DDEFD">
      <w:pPr>
        <w:pageBreakBefore w:val="0"/>
        <w:wordWrap w:val="0"/>
        <w:overflowPunct/>
        <w:bidi w:val="0"/>
        <w:rPr>
          <w:color w:val="auto"/>
        </w:rPr>
      </w:pPr>
      <w:r>
        <w:rPr>
          <w:rFonts w:hint="eastAsia"/>
          <w:color w:val="auto"/>
        </w:rPr>
        <w:t>(5) 必要的法律依据；</w:t>
      </w:r>
    </w:p>
    <w:p w14:paraId="73AD8CE3">
      <w:pPr>
        <w:pageBreakBefore w:val="0"/>
        <w:wordWrap w:val="0"/>
        <w:overflowPunct/>
        <w:bidi w:val="0"/>
        <w:rPr>
          <w:color w:val="auto"/>
        </w:rPr>
      </w:pPr>
      <w:r>
        <w:rPr>
          <w:rFonts w:hint="eastAsia"/>
          <w:color w:val="auto"/>
        </w:rPr>
        <w:t>(6) 提出质疑的日期。</w:t>
      </w:r>
    </w:p>
    <w:p w14:paraId="7576AD8B">
      <w:pPr>
        <w:pageBreakBefore w:val="0"/>
        <w:wordWrap w:val="0"/>
        <w:overflowPunct/>
        <w:bidi w:val="0"/>
        <w:ind w:firstLine="422"/>
        <w:rPr>
          <w:b/>
          <w:bCs/>
          <w:color w:val="auto"/>
        </w:rPr>
      </w:pPr>
      <w:r>
        <w:rPr>
          <w:rFonts w:hint="eastAsia"/>
          <w:b/>
          <w:bCs/>
          <w:color w:val="auto"/>
        </w:rPr>
        <w:t>质疑书实行实名制，应当由法定代表人或者其授权代表签字或者盖章，并加盖公章。</w:t>
      </w:r>
    </w:p>
    <w:p w14:paraId="46EF20EC">
      <w:pPr>
        <w:pageBreakBefore w:val="0"/>
        <w:wordWrap w:val="0"/>
        <w:overflowPunct/>
        <w:bidi w:val="0"/>
        <w:rPr>
          <w:color w:val="auto"/>
        </w:rPr>
      </w:pPr>
      <w:r>
        <w:rPr>
          <w:rFonts w:hint="eastAsia"/>
          <w:color w:val="auto"/>
        </w:rPr>
        <w:t>受理质疑部门：XX公司     电话：XX</w:t>
      </w:r>
    </w:p>
    <w:p w14:paraId="150EE19D">
      <w:pPr>
        <w:pageBreakBefore w:val="0"/>
        <w:wordWrap w:val="0"/>
        <w:overflowPunct/>
        <w:bidi w:val="0"/>
        <w:rPr>
          <w:color w:val="auto"/>
        </w:rPr>
      </w:pPr>
      <w:r>
        <w:rPr>
          <w:rFonts w:hint="eastAsia"/>
          <w:color w:val="auto"/>
        </w:rPr>
        <w:t>通讯地址：昆明市XX            邮编：650000</w:t>
      </w:r>
    </w:p>
    <w:p w14:paraId="12659F2E">
      <w:pPr>
        <w:pStyle w:val="12"/>
        <w:pageBreakBefore w:val="0"/>
        <w:wordWrap w:val="0"/>
        <w:overflowPunct/>
        <w:bidi w:val="0"/>
        <w:spacing w:after="0"/>
        <w:ind w:left="0" w:leftChars="0"/>
        <w:rPr>
          <w:color w:val="auto"/>
        </w:rPr>
      </w:pPr>
      <w:r>
        <w:rPr>
          <w:rFonts w:hint="eastAsia"/>
          <w:color w:val="auto"/>
        </w:rPr>
        <w:t>6.3 提出质疑的供应商应当是参与所质疑项目采购活动的供应商。</w:t>
      </w:r>
    </w:p>
    <w:p w14:paraId="082FEF0E">
      <w:pPr>
        <w:pageBreakBefore w:val="0"/>
        <w:wordWrap w:val="0"/>
        <w:overflowPunct/>
        <w:bidi w:val="0"/>
        <w:rPr>
          <w:color w:val="auto"/>
        </w:rPr>
      </w:pPr>
      <w:r>
        <w:rPr>
          <w:rFonts w:hint="eastAsia"/>
          <w:color w:val="auto"/>
        </w:rPr>
        <w:t>7、投诉</w:t>
      </w:r>
    </w:p>
    <w:p w14:paraId="26822E97">
      <w:pPr>
        <w:pageBreakBefore w:val="0"/>
        <w:wordWrap w:val="0"/>
        <w:overflowPunct/>
        <w:bidi w:val="0"/>
        <w:rPr>
          <w:color w:val="auto"/>
        </w:rPr>
      </w:pPr>
      <w:r>
        <w:rPr>
          <w:rFonts w:hint="eastAsia"/>
          <w:color w:val="auto"/>
        </w:rPr>
        <w:t>当事人提出的投诉事项必须首先经过质疑程序。质疑投标人对招标人、招标代理机构的答复不满意，或者招标人、招标代理机构未在规定时间内作出答复的，可以在答复期满后 15 个工作日内向本级财政部门提起投诉。</w:t>
      </w:r>
    </w:p>
    <w:p w14:paraId="7F63DFCC">
      <w:pPr>
        <w:pStyle w:val="3"/>
        <w:pageBreakBefore w:val="0"/>
        <w:wordWrap w:val="0"/>
        <w:overflowPunct/>
        <w:bidi w:val="0"/>
        <w:ind w:firstLine="482"/>
        <w:jc w:val="center"/>
        <w:rPr>
          <w:color w:val="auto"/>
        </w:rPr>
      </w:pPr>
      <w:bookmarkStart w:id="10" w:name="_Toc17171"/>
      <w:r>
        <w:rPr>
          <w:rFonts w:hint="eastAsia"/>
          <w:color w:val="auto"/>
        </w:rPr>
        <w:t>二、招标文件</w:t>
      </w:r>
      <w:bookmarkEnd w:id="10"/>
    </w:p>
    <w:p w14:paraId="18DCF212">
      <w:pPr>
        <w:pageBreakBefore w:val="0"/>
        <w:wordWrap w:val="0"/>
        <w:overflowPunct/>
        <w:bidi w:val="0"/>
        <w:rPr>
          <w:color w:val="auto"/>
        </w:rPr>
      </w:pPr>
      <w:r>
        <w:rPr>
          <w:rFonts w:hint="eastAsia"/>
          <w:color w:val="auto"/>
        </w:rPr>
        <w:t>8、招标文件的组成</w:t>
      </w:r>
    </w:p>
    <w:p w14:paraId="382246C8">
      <w:pPr>
        <w:pageBreakBefore w:val="0"/>
        <w:wordWrap w:val="0"/>
        <w:overflowPunct/>
        <w:bidi w:val="0"/>
        <w:rPr>
          <w:color w:val="auto"/>
        </w:rPr>
      </w:pPr>
      <w:r>
        <w:rPr>
          <w:rFonts w:hint="eastAsia"/>
          <w:color w:val="auto"/>
        </w:rPr>
        <w:t>第一章：招标公告</w:t>
      </w:r>
    </w:p>
    <w:p w14:paraId="0EB33320">
      <w:pPr>
        <w:pageBreakBefore w:val="0"/>
        <w:wordWrap w:val="0"/>
        <w:overflowPunct/>
        <w:bidi w:val="0"/>
        <w:rPr>
          <w:color w:val="auto"/>
        </w:rPr>
      </w:pPr>
      <w:r>
        <w:rPr>
          <w:rFonts w:hint="eastAsia"/>
          <w:color w:val="auto"/>
        </w:rPr>
        <w:t>第二章：投标人须知</w:t>
      </w:r>
    </w:p>
    <w:p w14:paraId="1E2EC480">
      <w:pPr>
        <w:pageBreakBefore w:val="0"/>
        <w:wordWrap w:val="0"/>
        <w:overflowPunct/>
        <w:bidi w:val="0"/>
        <w:rPr>
          <w:color w:val="auto"/>
        </w:rPr>
      </w:pPr>
      <w:r>
        <w:rPr>
          <w:rFonts w:hint="eastAsia"/>
          <w:color w:val="auto"/>
        </w:rPr>
        <w:t>第三章：合同书样式及主要条款</w:t>
      </w:r>
    </w:p>
    <w:p w14:paraId="30FC2EF0">
      <w:pPr>
        <w:pageBreakBefore w:val="0"/>
        <w:wordWrap w:val="0"/>
        <w:overflowPunct/>
        <w:bidi w:val="0"/>
        <w:rPr>
          <w:color w:val="auto"/>
        </w:rPr>
      </w:pPr>
      <w:r>
        <w:rPr>
          <w:rFonts w:hint="eastAsia"/>
          <w:color w:val="auto"/>
        </w:rPr>
        <w:t>第四章：投标文件格式</w:t>
      </w:r>
    </w:p>
    <w:p w14:paraId="2D8981BC">
      <w:pPr>
        <w:pageBreakBefore w:val="0"/>
        <w:wordWrap w:val="0"/>
        <w:overflowPunct/>
        <w:bidi w:val="0"/>
        <w:rPr>
          <w:color w:val="auto"/>
        </w:rPr>
      </w:pPr>
      <w:r>
        <w:rPr>
          <w:rFonts w:hint="eastAsia"/>
          <w:color w:val="auto"/>
        </w:rPr>
        <w:t>第五章：技术要求</w:t>
      </w:r>
    </w:p>
    <w:p w14:paraId="7C1C80A4">
      <w:pPr>
        <w:pageBreakBefore w:val="0"/>
        <w:wordWrap w:val="0"/>
        <w:overflowPunct/>
        <w:bidi w:val="0"/>
        <w:rPr>
          <w:color w:val="auto"/>
        </w:rPr>
      </w:pPr>
      <w:r>
        <w:rPr>
          <w:rFonts w:hint="eastAsia"/>
          <w:color w:val="auto"/>
        </w:rPr>
        <w:t>第六章：资格审查</w:t>
      </w:r>
    </w:p>
    <w:p w14:paraId="3E96F28D">
      <w:pPr>
        <w:pageBreakBefore w:val="0"/>
        <w:wordWrap w:val="0"/>
        <w:overflowPunct/>
        <w:bidi w:val="0"/>
        <w:rPr>
          <w:color w:val="auto"/>
        </w:rPr>
      </w:pPr>
      <w:r>
        <w:rPr>
          <w:rFonts w:hint="eastAsia"/>
          <w:color w:val="auto"/>
        </w:rPr>
        <w:t>第七章评审办法</w:t>
      </w:r>
    </w:p>
    <w:p w14:paraId="1C1A9ED7">
      <w:pPr>
        <w:pageBreakBefore w:val="0"/>
        <w:wordWrap w:val="0"/>
        <w:overflowPunct/>
        <w:bidi w:val="0"/>
        <w:rPr>
          <w:color w:val="auto"/>
        </w:rPr>
      </w:pPr>
      <w:r>
        <w:rPr>
          <w:rFonts w:hint="eastAsia"/>
          <w:color w:val="auto"/>
        </w:rPr>
        <w:t>9、招标文件的澄清、修改</w:t>
      </w:r>
    </w:p>
    <w:p w14:paraId="11D38643">
      <w:pPr>
        <w:pageBreakBefore w:val="0"/>
        <w:wordWrap w:val="0"/>
        <w:overflowPunct/>
        <w:bidi w:val="0"/>
        <w:rPr>
          <w:color w:val="auto"/>
        </w:rPr>
      </w:pPr>
      <w:r>
        <w:rPr>
          <w:rFonts w:hint="eastAsia"/>
          <w:color w:val="auto"/>
        </w:rPr>
        <w:t>9.1 招标代理机构对已发出的招标文件进行必要澄清或者修改的，在发布招标公告相同媒体上发布更正公告，并以书面形式通知所有获取招标文件的投标人。该澄清或者修改的内容为招标文件的组成部分。</w:t>
      </w:r>
    </w:p>
    <w:p w14:paraId="0293CF79">
      <w:pPr>
        <w:pageBreakBefore w:val="0"/>
        <w:wordWrap w:val="0"/>
        <w:overflowPunct/>
        <w:bidi w:val="0"/>
        <w:rPr>
          <w:color w:val="auto"/>
        </w:rPr>
      </w:pPr>
      <w:r>
        <w:rPr>
          <w:rFonts w:hint="eastAsia"/>
          <w:color w:val="auto"/>
        </w:rPr>
        <w:t>9.2 澄清或者修改的内容可能影响投标文件编制的，招标代理机构在投标截止时间至少 15 日前，以书面形式通知所有获取招标文件的潜在投标人；不足 15 日的，招标代理机构将顺延提交投标文件的截止时间。</w:t>
      </w:r>
    </w:p>
    <w:p w14:paraId="3D799ACF">
      <w:pPr>
        <w:pageBreakBefore w:val="0"/>
        <w:wordWrap w:val="0"/>
        <w:overflowPunct/>
        <w:bidi w:val="0"/>
        <w:rPr>
          <w:color w:val="auto"/>
          <w:spacing w:val="-4"/>
        </w:rPr>
      </w:pPr>
      <w:r>
        <w:rPr>
          <w:rFonts w:hint="eastAsia"/>
          <w:color w:val="auto"/>
        </w:rPr>
        <w:t>9.3 招标代理机构和招标人可以视项目具体情况，延长投标截止时间和推迟开标时间，但至少在招标文件要求提交投标文件的截止时间前将变更时间书面通知所有获取招标文件的投标人，并在发布招标公告相同媒体上发布变更公告。</w:t>
      </w:r>
    </w:p>
    <w:p w14:paraId="23BF94D4">
      <w:pPr>
        <w:pStyle w:val="3"/>
        <w:pageBreakBefore w:val="0"/>
        <w:wordWrap w:val="0"/>
        <w:overflowPunct/>
        <w:bidi w:val="0"/>
        <w:ind w:firstLine="482"/>
        <w:jc w:val="center"/>
        <w:rPr>
          <w:color w:val="auto"/>
        </w:rPr>
      </w:pPr>
      <w:bookmarkStart w:id="11" w:name="_Toc26335"/>
      <w:r>
        <w:rPr>
          <w:rFonts w:hint="eastAsia"/>
          <w:color w:val="auto"/>
        </w:rPr>
        <w:t>三、投标文件</w:t>
      </w:r>
      <w:bookmarkEnd w:id="11"/>
    </w:p>
    <w:p w14:paraId="38AC7F51">
      <w:pPr>
        <w:pageBreakBefore w:val="0"/>
        <w:wordWrap w:val="0"/>
        <w:overflowPunct/>
        <w:bidi w:val="0"/>
        <w:rPr>
          <w:color w:val="auto"/>
        </w:rPr>
      </w:pPr>
      <w:r>
        <w:rPr>
          <w:rFonts w:hint="eastAsia"/>
          <w:color w:val="auto"/>
        </w:rPr>
        <w:t>10、投标文件编写注意事项</w:t>
      </w:r>
    </w:p>
    <w:p w14:paraId="0D32C24B">
      <w:pPr>
        <w:pageBreakBefore w:val="0"/>
        <w:wordWrap w:val="0"/>
        <w:overflowPunct/>
        <w:bidi w:val="0"/>
        <w:rPr>
          <w:color w:val="auto"/>
        </w:rPr>
      </w:pPr>
      <w:r>
        <w:rPr>
          <w:rFonts w:hint="eastAsia"/>
          <w:color w:val="auto"/>
        </w:rPr>
        <w:t>10.1 投标人应仔细阅读招标文件，在完全了解招标的内容、技术要求(见第五章“技术要求”)和商务条件后，编写投标文件。</w:t>
      </w:r>
    </w:p>
    <w:p w14:paraId="17315A49">
      <w:pPr>
        <w:pageBreakBefore w:val="0"/>
        <w:wordWrap w:val="0"/>
        <w:overflowPunct/>
        <w:bidi w:val="0"/>
        <w:rPr>
          <w:color w:val="auto"/>
        </w:rPr>
      </w:pPr>
      <w:r>
        <w:rPr>
          <w:rFonts w:hint="eastAsia"/>
          <w:color w:val="auto"/>
        </w:rPr>
        <w:t>10.2 对招标文件提出的实质性要求和条件作出响应是指投标人必须对招标文件中规定的中标实质性要求和条件作出满足或者优于原要求和条件的承诺，并提供相应的证明材料。</w:t>
      </w:r>
    </w:p>
    <w:p w14:paraId="6BABD435">
      <w:pPr>
        <w:pageBreakBefore w:val="0"/>
        <w:wordWrap w:val="0"/>
        <w:overflowPunct/>
        <w:bidi w:val="0"/>
        <w:rPr>
          <w:color w:val="auto"/>
        </w:rPr>
      </w:pPr>
      <w:r>
        <w:rPr>
          <w:rFonts w:hint="eastAsia"/>
          <w:color w:val="auto"/>
        </w:rPr>
        <w:t>11、投标文件构成</w:t>
      </w:r>
    </w:p>
    <w:p w14:paraId="150C79DE">
      <w:pPr>
        <w:pageBreakBefore w:val="0"/>
        <w:wordWrap w:val="0"/>
        <w:overflowPunct/>
        <w:bidi w:val="0"/>
        <w:rPr>
          <w:color w:val="auto"/>
        </w:rPr>
      </w:pPr>
      <w:r>
        <w:rPr>
          <w:rFonts w:hint="eastAsia"/>
          <w:color w:val="auto"/>
        </w:rPr>
        <w:t>11.1 投标人编写的投标文件应按第四章“投标文件格式”要求填写。有关文件的提交如未特别注明需提供原件的，可提供复印件。</w:t>
      </w:r>
    </w:p>
    <w:p w14:paraId="21F526CD">
      <w:pPr>
        <w:pageBreakBefore w:val="0"/>
        <w:wordWrap w:val="0"/>
        <w:overflowPunct/>
        <w:bidi w:val="0"/>
        <w:rPr>
          <w:color w:val="auto"/>
        </w:rPr>
      </w:pPr>
      <w:r>
        <w:rPr>
          <w:rFonts w:hint="eastAsia"/>
          <w:color w:val="auto"/>
        </w:rPr>
        <w:t>11.2 构成投标文件的其他资料：见“投标人须知前附表”。</w:t>
      </w:r>
    </w:p>
    <w:p w14:paraId="4E29AF6B">
      <w:pPr>
        <w:pageBreakBefore w:val="0"/>
        <w:wordWrap w:val="0"/>
        <w:overflowPunct/>
        <w:bidi w:val="0"/>
        <w:rPr>
          <w:color w:val="auto"/>
        </w:rPr>
      </w:pPr>
      <w:r>
        <w:rPr>
          <w:rFonts w:hint="eastAsia"/>
          <w:color w:val="auto"/>
        </w:rPr>
        <w:t>12、报价和报价货币</w:t>
      </w:r>
    </w:p>
    <w:p w14:paraId="5CB4537A">
      <w:pPr>
        <w:pageBreakBefore w:val="0"/>
        <w:wordWrap w:val="0"/>
        <w:overflowPunct/>
        <w:bidi w:val="0"/>
        <w:ind w:firstLine="422"/>
        <w:rPr>
          <w:color w:val="auto"/>
        </w:rPr>
      </w:pPr>
      <w:r>
        <w:rPr>
          <w:rFonts w:hint="eastAsia"/>
          <w:b/>
          <w:bCs/>
          <w:color w:val="auto"/>
        </w:rPr>
        <w:t>12.1 投标人须就“第五章 技术要求”中所参与投标的项目内容作完整唯一报价。</w:t>
      </w:r>
    </w:p>
    <w:p w14:paraId="0A0328BF">
      <w:pPr>
        <w:pageBreakBefore w:val="0"/>
        <w:wordWrap w:val="0"/>
        <w:overflowPunct/>
        <w:bidi w:val="0"/>
        <w:rPr>
          <w:color w:val="auto"/>
        </w:rPr>
      </w:pPr>
      <w:r>
        <w:rPr>
          <w:rFonts w:hint="eastAsia"/>
          <w:color w:val="auto"/>
        </w:rPr>
        <w:t>12.2 投标人应依据招标文件的要求及有关资料，执行国家或行业现行技术经济标准规范，自行测算出满足采购要求的货物的投标报价。报价包括但不仅限于人员工资、福利、招标代理服务费，市场价格变化的风险费用、利润、税金等的总和，该报价应考虑市场风险、政策性风险、汇率风险等因素，并能保证投标人完成履行合同所需的全部工作。合同一旦签订，此价格在合同实施期间将不作调整。投标人应根据本企业的成本自行决定报价，但不得以低于成本的报价竞标。</w:t>
      </w:r>
    </w:p>
    <w:p w14:paraId="1F176311">
      <w:pPr>
        <w:pageBreakBefore w:val="0"/>
        <w:wordWrap w:val="0"/>
        <w:overflowPunct/>
        <w:bidi w:val="0"/>
        <w:rPr>
          <w:color w:val="auto"/>
        </w:rPr>
      </w:pPr>
      <w:r>
        <w:rPr>
          <w:rFonts w:hint="eastAsia"/>
          <w:color w:val="auto"/>
        </w:rPr>
        <w:t>12.3投标人不得哄抬报价，也不应低于成本价（或进价）报价。评标委员会认为投标人的最低报价或者某些分项报价明显不合理或者低于成本，有可能影响商品质量和不能诚信履约的，将要求其在规定的期限内提供书面文件予以解释说明，并提交相关证明材料。否则，评标委员会可以否决该投标人的投标文件。</w:t>
      </w:r>
    </w:p>
    <w:p w14:paraId="659816B0">
      <w:pPr>
        <w:pageBreakBefore w:val="0"/>
        <w:wordWrap w:val="0"/>
        <w:overflowPunct/>
        <w:bidi w:val="0"/>
        <w:rPr>
          <w:color w:val="auto"/>
        </w:rPr>
      </w:pPr>
      <w:r>
        <w:rPr>
          <w:rFonts w:hint="eastAsia"/>
          <w:color w:val="auto"/>
        </w:rPr>
        <w:t>12.</w:t>
      </w:r>
      <w:r>
        <w:rPr>
          <w:color w:val="auto"/>
        </w:rPr>
        <w:t>4</w:t>
      </w:r>
      <w:r>
        <w:rPr>
          <w:rFonts w:hint="eastAsia"/>
          <w:color w:val="auto"/>
        </w:rPr>
        <w:t xml:space="preserve"> 报价货币为人民币。</w:t>
      </w:r>
    </w:p>
    <w:p w14:paraId="068FA044">
      <w:pPr>
        <w:pageBreakBefore w:val="0"/>
        <w:wordWrap w:val="0"/>
        <w:overflowPunct/>
        <w:bidi w:val="0"/>
        <w:rPr>
          <w:color w:val="auto"/>
        </w:rPr>
      </w:pPr>
      <w:r>
        <w:rPr>
          <w:rFonts w:hint="eastAsia"/>
          <w:color w:val="auto"/>
        </w:rPr>
        <w:t>13、投标有效期</w:t>
      </w:r>
    </w:p>
    <w:p w14:paraId="736C1504">
      <w:pPr>
        <w:pageBreakBefore w:val="0"/>
        <w:wordWrap w:val="0"/>
        <w:overflowPunct/>
        <w:bidi w:val="0"/>
        <w:rPr>
          <w:color w:val="auto"/>
        </w:rPr>
      </w:pPr>
      <w:r>
        <w:rPr>
          <w:rFonts w:hint="eastAsia"/>
          <w:color w:val="auto"/>
        </w:rPr>
        <w:t>13.1 在“投标人须知前附表”规定的有效期内，投标人不得要求撤销或修改其投标文件。</w:t>
      </w:r>
    </w:p>
    <w:p w14:paraId="7F908D9B">
      <w:pPr>
        <w:pageBreakBefore w:val="0"/>
        <w:wordWrap w:val="0"/>
        <w:overflowPunct/>
        <w:bidi w:val="0"/>
        <w:rPr>
          <w:color w:val="auto"/>
        </w:rPr>
      </w:pPr>
      <w:r>
        <w:rPr>
          <w:rFonts w:hint="eastAsia"/>
          <w:color w:val="auto"/>
        </w:rPr>
        <w:t>13.2 因特殊情况需要延长有效期的，招标代理机构以书面形式通知所有投标人延长有效期。投标人同意延长的，应相应延长其保证金的有效期，但不得要求或被允许修改或撤销其投标文件；投标人拒绝延长的，其投标文件失效，但投标人有权收回其投标保证金。</w:t>
      </w:r>
    </w:p>
    <w:p w14:paraId="4178DBF1">
      <w:pPr>
        <w:pageBreakBefore w:val="0"/>
        <w:wordWrap w:val="0"/>
        <w:overflowPunct/>
        <w:bidi w:val="0"/>
        <w:rPr>
          <w:color w:val="auto"/>
        </w:rPr>
      </w:pPr>
      <w:r>
        <w:rPr>
          <w:rFonts w:hint="eastAsia"/>
          <w:color w:val="auto"/>
        </w:rPr>
        <w:t>14、投标文件的编制</w:t>
      </w:r>
    </w:p>
    <w:p w14:paraId="0316C408">
      <w:pPr>
        <w:pageBreakBefore w:val="0"/>
        <w:wordWrap w:val="0"/>
        <w:overflowPunct/>
        <w:bidi w:val="0"/>
        <w:rPr>
          <w:color w:val="auto"/>
        </w:rPr>
      </w:pPr>
      <w:r>
        <w:rPr>
          <w:rFonts w:hint="eastAsia"/>
          <w:color w:val="auto"/>
        </w:rPr>
        <w:t>14.1 投标文件须用不褪色的墨水书写或打印。并按招标文件要求由投标人的法定代表人或其委托代理人签字或盖单位章。委托代理人签字的，投标文件应附法定代表人签署的授权委托书。</w:t>
      </w:r>
    </w:p>
    <w:p w14:paraId="3D891032">
      <w:pPr>
        <w:pageBreakBefore w:val="0"/>
        <w:wordWrap w:val="0"/>
        <w:overflowPunct/>
        <w:bidi w:val="0"/>
        <w:rPr>
          <w:color w:val="auto"/>
        </w:rPr>
      </w:pPr>
      <w:r>
        <w:rPr>
          <w:rFonts w:hint="eastAsia"/>
          <w:color w:val="auto"/>
        </w:rPr>
        <w:t>14.2 投标文件应尽量避免涂改、行间插字或删除。如果出现上述情况，改动之处应加盖单位章或投标人法定代表人或其授权的代理人签字确认。</w:t>
      </w:r>
    </w:p>
    <w:p w14:paraId="0A4E46DF">
      <w:pPr>
        <w:pageBreakBefore w:val="0"/>
        <w:wordWrap w:val="0"/>
        <w:overflowPunct/>
        <w:bidi w:val="0"/>
        <w:rPr>
          <w:color w:val="auto"/>
        </w:rPr>
      </w:pPr>
      <w:r>
        <w:rPr>
          <w:rFonts w:hint="eastAsia"/>
          <w:color w:val="auto"/>
        </w:rPr>
        <w:t>14.3 投标文件应由法定代表人或其委托代理人在凡规定签字处逐一签字，要求盖章处应盖单位章，若以投标专用章或合同专用章代替的，须出具投标人单位公章对投标专用章或合同专用章的授权函原件。</w:t>
      </w:r>
    </w:p>
    <w:p w14:paraId="20E7832D">
      <w:pPr>
        <w:pageBreakBefore w:val="0"/>
        <w:wordWrap w:val="0"/>
        <w:overflowPunct/>
        <w:bidi w:val="0"/>
        <w:rPr>
          <w:color w:val="auto"/>
        </w:rPr>
      </w:pPr>
      <w:r>
        <w:rPr>
          <w:rFonts w:hint="eastAsia"/>
          <w:color w:val="auto"/>
        </w:rPr>
        <w:t>14.4 投标文件应按“投标人须知前附表”中规定的数量准备正本和副本。投标文件封面上应标明“正本”或“副本”以及项目名称、项目编号、投标人名称等内容。若副本和正本不符，以正本为准。副本可以是正本的复印件。</w:t>
      </w:r>
    </w:p>
    <w:p w14:paraId="0330B1D6">
      <w:pPr>
        <w:pageBreakBefore w:val="0"/>
        <w:wordWrap w:val="0"/>
        <w:overflowPunct/>
        <w:bidi w:val="0"/>
        <w:rPr>
          <w:color w:val="auto"/>
        </w:rPr>
      </w:pPr>
      <w:r>
        <w:rPr>
          <w:rFonts w:hint="eastAsia"/>
          <w:color w:val="auto"/>
        </w:rPr>
        <w:t>14.5 投标文件正本与副本应分别装订成册，并编制目录。投标文件装订应牢固，不得采用活页夹，并要求逐页标注连续页码。</w:t>
      </w:r>
    </w:p>
    <w:p w14:paraId="1ABD47BB">
      <w:pPr>
        <w:pStyle w:val="11"/>
        <w:pageBreakBefore w:val="0"/>
        <w:wordWrap w:val="0"/>
        <w:overflowPunct/>
        <w:bidi w:val="0"/>
        <w:spacing w:after="0"/>
        <w:rPr>
          <w:color w:val="auto"/>
        </w:rPr>
      </w:pPr>
      <w:r>
        <w:rPr>
          <w:rFonts w:hint="eastAsia"/>
          <w:color w:val="auto"/>
        </w:rPr>
        <w:t>14.6投标文件的密封：投标</w:t>
      </w:r>
      <w:r>
        <w:rPr>
          <w:rFonts w:hint="eastAsia"/>
          <w:color w:val="auto"/>
          <w:spacing w:val="-3"/>
        </w:rPr>
        <w:t>文</w:t>
      </w:r>
      <w:r>
        <w:rPr>
          <w:rFonts w:hint="eastAsia"/>
          <w:color w:val="auto"/>
        </w:rPr>
        <w:t>件</w:t>
      </w:r>
      <w:r>
        <w:rPr>
          <w:rFonts w:hint="eastAsia"/>
          <w:color w:val="auto"/>
          <w:spacing w:val="-3"/>
        </w:rPr>
        <w:t>应</w:t>
      </w:r>
      <w:r>
        <w:rPr>
          <w:rFonts w:hint="eastAsia"/>
          <w:color w:val="auto"/>
        </w:rPr>
        <w:t>密封包装（包含电子版），并</w:t>
      </w:r>
      <w:r>
        <w:rPr>
          <w:rFonts w:hint="eastAsia"/>
          <w:color w:val="auto"/>
          <w:spacing w:val="-3"/>
        </w:rPr>
        <w:t>在</w:t>
      </w:r>
      <w:r>
        <w:rPr>
          <w:rFonts w:hint="eastAsia"/>
          <w:color w:val="auto"/>
        </w:rPr>
        <w:t>封</w:t>
      </w:r>
      <w:r>
        <w:rPr>
          <w:rFonts w:hint="eastAsia"/>
          <w:color w:val="auto"/>
          <w:spacing w:val="-3"/>
        </w:rPr>
        <w:t>套</w:t>
      </w:r>
      <w:r>
        <w:rPr>
          <w:rFonts w:hint="eastAsia"/>
          <w:color w:val="auto"/>
        </w:rPr>
        <w:t>的</w:t>
      </w:r>
      <w:r>
        <w:rPr>
          <w:rFonts w:hint="eastAsia"/>
          <w:color w:val="auto"/>
          <w:spacing w:val="-3"/>
        </w:rPr>
        <w:t>封口</w:t>
      </w:r>
      <w:r>
        <w:rPr>
          <w:rFonts w:hint="eastAsia"/>
          <w:color w:val="auto"/>
        </w:rPr>
        <w:t>处加</w:t>
      </w:r>
      <w:r>
        <w:rPr>
          <w:rFonts w:hint="eastAsia"/>
          <w:color w:val="auto"/>
          <w:spacing w:val="-3"/>
        </w:rPr>
        <w:t>盖</w:t>
      </w:r>
      <w:r>
        <w:rPr>
          <w:rFonts w:hint="eastAsia"/>
          <w:color w:val="auto"/>
        </w:rPr>
        <w:t>投</w:t>
      </w:r>
      <w:r>
        <w:rPr>
          <w:rFonts w:hint="eastAsia"/>
          <w:color w:val="auto"/>
          <w:spacing w:val="-3"/>
        </w:rPr>
        <w:t>标</w:t>
      </w:r>
      <w:r>
        <w:rPr>
          <w:rFonts w:hint="eastAsia"/>
          <w:color w:val="auto"/>
        </w:rPr>
        <w:t>人</w:t>
      </w:r>
      <w:r>
        <w:rPr>
          <w:rFonts w:hint="eastAsia"/>
          <w:color w:val="auto"/>
          <w:spacing w:val="-3"/>
        </w:rPr>
        <w:t>单</w:t>
      </w:r>
      <w:r>
        <w:rPr>
          <w:rFonts w:hint="eastAsia"/>
          <w:color w:val="auto"/>
        </w:rPr>
        <w:t>位</w:t>
      </w:r>
      <w:r>
        <w:rPr>
          <w:rFonts w:hint="eastAsia"/>
          <w:color w:val="auto"/>
          <w:spacing w:val="-3"/>
        </w:rPr>
        <w:t>章</w:t>
      </w:r>
      <w:r>
        <w:rPr>
          <w:rFonts w:hint="eastAsia"/>
          <w:color w:val="auto"/>
        </w:rPr>
        <w:t>或</w:t>
      </w:r>
      <w:r>
        <w:rPr>
          <w:rFonts w:hint="eastAsia"/>
          <w:color w:val="auto"/>
          <w:spacing w:val="-3"/>
        </w:rPr>
        <w:t>由</w:t>
      </w:r>
      <w:r>
        <w:rPr>
          <w:rFonts w:hint="eastAsia"/>
          <w:color w:val="auto"/>
        </w:rPr>
        <w:t>投标</w:t>
      </w:r>
      <w:r>
        <w:rPr>
          <w:rFonts w:hint="eastAsia"/>
          <w:color w:val="auto"/>
          <w:spacing w:val="-3"/>
        </w:rPr>
        <w:t>人</w:t>
      </w:r>
      <w:r>
        <w:rPr>
          <w:rFonts w:hint="eastAsia"/>
          <w:color w:val="auto"/>
        </w:rPr>
        <w:t>的</w:t>
      </w:r>
      <w:r>
        <w:rPr>
          <w:rFonts w:hint="eastAsia"/>
          <w:color w:val="auto"/>
          <w:spacing w:val="-3"/>
        </w:rPr>
        <w:t>法</w:t>
      </w:r>
      <w:r>
        <w:rPr>
          <w:rFonts w:hint="eastAsia"/>
          <w:color w:val="auto"/>
        </w:rPr>
        <w:t>定代表</w:t>
      </w:r>
      <w:r>
        <w:rPr>
          <w:rFonts w:hint="eastAsia"/>
          <w:color w:val="auto"/>
          <w:spacing w:val="-3"/>
        </w:rPr>
        <w:t>人</w:t>
      </w:r>
      <w:r>
        <w:rPr>
          <w:rFonts w:hint="eastAsia"/>
          <w:color w:val="auto"/>
        </w:rPr>
        <w:t>或</w:t>
      </w:r>
      <w:r>
        <w:rPr>
          <w:rFonts w:hint="eastAsia"/>
          <w:color w:val="auto"/>
          <w:spacing w:val="-3"/>
        </w:rPr>
        <w:t>其</w:t>
      </w:r>
      <w:r>
        <w:rPr>
          <w:rFonts w:hint="eastAsia"/>
          <w:color w:val="auto"/>
        </w:rPr>
        <w:t>授</w:t>
      </w:r>
      <w:r>
        <w:rPr>
          <w:rFonts w:hint="eastAsia"/>
          <w:color w:val="auto"/>
          <w:spacing w:val="-3"/>
        </w:rPr>
        <w:t>权</w:t>
      </w:r>
      <w:r>
        <w:rPr>
          <w:rFonts w:hint="eastAsia"/>
          <w:color w:val="auto"/>
        </w:rPr>
        <w:t>的</w:t>
      </w:r>
      <w:r>
        <w:rPr>
          <w:rFonts w:hint="eastAsia"/>
          <w:color w:val="auto"/>
          <w:spacing w:val="-3"/>
        </w:rPr>
        <w:t>代</w:t>
      </w:r>
      <w:r>
        <w:rPr>
          <w:rFonts w:hint="eastAsia"/>
          <w:color w:val="auto"/>
        </w:rPr>
        <w:t>理</w:t>
      </w:r>
      <w:r>
        <w:rPr>
          <w:rFonts w:hint="eastAsia"/>
          <w:color w:val="auto"/>
          <w:spacing w:val="-3"/>
        </w:rPr>
        <w:t>人</w:t>
      </w:r>
      <w:r>
        <w:rPr>
          <w:rFonts w:hint="eastAsia"/>
          <w:color w:val="auto"/>
        </w:rPr>
        <w:t>签字。投</w:t>
      </w:r>
      <w:r>
        <w:rPr>
          <w:rFonts w:hint="eastAsia"/>
          <w:color w:val="auto"/>
          <w:spacing w:val="-3"/>
        </w:rPr>
        <w:t>标</w:t>
      </w:r>
      <w:r>
        <w:rPr>
          <w:rFonts w:hint="eastAsia"/>
          <w:color w:val="auto"/>
        </w:rPr>
        <w:t>文</w:t>
      </w:r>
      <w:r>
        <w:rPr>
          <w:rFonts w:hint="eastAsia"/>
          <w:color w:val="auto"/>
          <w:spacing w:val="-3"/>
        </w:rPr>
        <w:t>件</w:t>
      </w:r>
      <w:r>
        <w:rPr>
          <w:rFonts w:hint="eastAsia"/>
          <w:color w:val="auto"/>
        </w:rPr>
        <w:t>封</w:t>
      </w:r>
      <w:r>
        <w:rPr>
          <w:rFonts w:hint="eastAsia"/>
          <w:color w:val="auto"/>
          <w:spacing w:val="-3"/>
        </w:rPr>
        <w:t>套</w:t>
      </w:r>
      <w:r>
        <w:rPr>
          <w:rFonts w:hint="eastAsia"/>
          <w:color w:val="auto"/>
        </w:rPr>
        <w:t>上</w:t>
      </w:r>
      <w:r>
        <w:rPr>
          <w:rFonts w:hint="eastAsia"/>
          <w:color w:val="auto"/>
          <w:spacing w:val="-3"/>
        </w:rPr>
        <w:t>应写</w:t>
      </w:r>
      <w:r>
        <w:rPr>
          <w:rFonts w:hint="eastAsia"/>
          <w:color w:val="auto"/>
        </w:rPr>
        <w:t>明的</w:t>
      </w:r>
      <w:r>
        <w:rPr>
          <w:rFonts w:hint="eastAsia"/>
          <w:color w:val="auto"/>
          <w:spacing w:val="-3"/>
        </w:rPr>
        <w:t>内</w:t>
      </w:r>
      <w:r>
        <w:rPr>
          <w:rFonts w:hint="eastAsia"/>
          <w:color w:val="auto"/>
        </w:rPr>
        <w:t>容</w:t>
      </w:r>
      <w:r>
        <w:rPr>
          <w:rFonts w:hint="eastAsia"/>
          <w:color w:val="auto"/>
          <w:spacing w:val="-3"/>
        </w:rPr>
        <w:t>见</w:t>
      </w:r>
      <w:r>
        <w:rPr>
          <w:rFonts w:hint="eastAsia"/>
          <w:color w:val="auto"/>
        </w:rPr>
        <w:t>投</w:t>
      </w:r>
      <w:r>
        <w:rPr>
          <w:rFonts w:hint="eastAsia"/>
          <w:color w:val="auto"/>
          <w:spacing w:val="-3"/>
        </w:rPr>
        <w:t>标</w:t>
      </w:r>
      <w:r>
        <w:rPr>
          <w:rFonts w:hint="eastAsia"/>
          <w:color w:val="auto"/>
        </w:rPr>
        <w:t>人</w:t>
      </w:r>
      <w:r>
        <w:rPr>
          <w:rFonts w:hint="eastAsia"/>
          <w:color w:val="auto"/>
          <w:spacing w:val="-3"/>
        </w:rPr>
        <w:t>须</w:t>
      </w:r>
      <w:r>
        <w:rPr>
          <w:rFonts w:hint="eastAsia"/>
          <w:color w:val="auto"/>
        </w:rPr>
        <w:t>知</w:t>
      </w:r>
      <w:r>
        <w:rPr>
          <w:rFonts w:hint="eastAsia"/>
          <w:color w:val="auto"/>
          <w:spacing w:val="-3"/>
        </w:rPr>
        <w:t>前</w:t>
      </w:r>
      <w:r>
        <w:rPr>
          <w:rFonts w:hint="eastAsia"/>
          <w:color w:val="auto"/>
        </w:rPr>
        <w:t>附表。</w:t>
      </w:r>
    </w:p>
    <w:p w14:paraId="23CACA46">
      <w:pPr>
        <w:pageBreakBefore w:val="0"/>
        <w:wordWrap w:val="0"/>
        <w:overflowPunct/>
        <w:bidi w:val="0"/>
        <w:ind w:firstLine="422"/>
        <w:rPr>
          <w:b/>
          <w:bCs/>
          <w:color w:val="auto"/>
        </w:rPr>
      </w:pPr>
      <w:r>
        <w:rPr>
          <w:rFonts w:hint="eastAsia"/>
          <w:b/>
          <w:bCs/>
          <w:color w:val="auto"/>
        </w:rPr>
        <w:t>14.7如投标人投多个标包，各标包文件应按招标文件规定分开编制密封。</w:t>
      </w:r>
    </w:p>
    <w:p w14:paraId="61ED8EC9">
      <w:pPr>
        <w:pageBreakBefore w:val="0"/>
        <w:wordWrap w:val="0"/>
        <w:overflowPunct/>
        <w:bidi w:val="0"/>
        <w:rPr>
          <w:color w:val="auto"/>
        </w:rPr>
      </w:pPr>
      <w:r>
        <w:rPr>
          <w:rFonts w:hint="eastAsia"/>
          <w:color w:val="auto"/>
        </w:rPr>
        <w:t>15、投标保证金</w:t>
      </w:r>
    </w:p>
    <w:p w14:paraId="009A5F6C">
      <w:pPr>
        <w:pageBreakBefore w:val="0"/>
        <w:wordWrap w:val="0"/>
        <w:overflowPunct/>
        <w:bidi w:val="0"/>
        <w:rPr>
          <w:color w:val="auto"/>
        </w:rPr>
      </w:pPr>
      <w:r>
        <w:rPr>
          <w:rFonts w:hint="eastAsia"/>
          <w:color w:val="auto"/>
        </w:rPr>
        <w:t>15.1 投标保证金为人民币。投标人应在递交投标文件截止时间以前按“投标人须知前附表”规定的方式及金额交至招标代理机构，并在投标有效期内保持有效。</w:t>
      </w:r>
    </w:p>
    <w:p w14:paraId="4E1CC032">
      <w:pPr>
        <w:pageBreakBefore w:val="0"/>
        <w:wordWrap w:val="0"/>
        <w:overflowPunct/>
        <w:bidi w:val="0"/>
        <w:rPr>
          <w:color w:val="auto"/>
        </w:rPr>
      </w:pPr>
      <w:r>
        <w:rPr>
          <w:rFonts w:hint="eastAsia"/>
          <w:color w:val="auto"/>
        </w:rPr>
        <w:t>15.2 投标保证金形式：投标保证金应按“投标人须知前附表”规定的形式提交。</w:t>
      </w:r>
    </w:p>
    <w:p w14:paraId="14DD9917">
      <w:pPr>
        <w:pageBreakBefore w:val="0"/>
        <w:wordWrap w:val="0"/>
        <w:overflowPunct/>
        <w:bidi w:val="0"/>
        <w:rPr>
          <w:color w:val="auto"/>
        </w:rPr>
      </w:pPr>
      <w:r>
        <w:rPr>
          <w:rFonts w:hint="eastAsia"/>
          <w:color w:val="auto"/>
        </w:rPr>
        <w:t>15.3 办理保证金手续时，请务必在银行进账单或电汇单的用途栏或空白栏上注明项目名称及标包号（可简写）。</w:t>
      </w:r>
    </w:p>
    <w:p w14:paraId="10C0CBD4">
      <w:pPr>
        <w:pageBreakBefore w:val="0"/>
        <w:wordWrap w:val="0"/>
        <w:overflowPunct/>
        <w:bidi w:val="0"/>
        <w:rPr>
          <w:color w:val="auto"/>
        </w:rPr>
      </w:pPr>
      <w:r>
        <w:rPr>
          <w:rFonts w:hint="eastAsia"/>
          <w:color w:val="auto"/>
        </w:rPr>
        <w:t>15.4 投标人应在递交投标文件时向招标代理机构提交招标代理机构出具的保证金到账收据凭证，如果以电汇或网银转账等方式提交的则仅需出示电汇或网银转账凭证。</w:t>
      </w:r>
    </w:p>
    <w:p w14:paraId="4F003C6C">
      <w:pPr>
        <w:pageBreakBefore w:val="0"/>
        <w:wordWrap w:val="0"/>
        <w:overflowPunct/>
        <w:bidi w:val="0"/>
        <w:rPr>
          <w:color w:val="auto"/>
        </w:rPr>
      </w:pPr>
      <w:r>
        <w:rPr>
          <w:rFonts w:hint="eastAsia"/>
          <w:color w:val="auto"/>
        </w:rPr>
        <w:t>15.5 未中标的投标人可在中标结果公告发出后五个工作日按招标文件规定办理退还投标保证金手续；中标人在签订合同后五个工作日内按招标文件规定办理退还投标保证金手续。</w:t>
      </w:r>
    </w:p>
    <w:p w14:paraId="596B3720">
      <w:pPr>
        <w:pageBreakBefore w:val="0"/>
        <w:wordWrap w:val="0"/>
        <w:overflowPunct/>
        <w:bidi w:val="0"/>
        <w:rPr>
          <w:color w:val="auto"/>
        </w:rPr>
      </w:pPr>
      <w:r>
        <w:rPr>
          <w:rFonts w:hint="eastAsia"/>
          <w:color w:val="auto"/>
        </w:rPr>
        <w:t>15.6 下列情况发生时，投标保证金将不予退还：</w:t>
      </w:r>
    </w:p>
    <w:p w14:paraId="7F6605CD">
      <w:pPr>
        <w:pageBreakBefore w:val="0"/>
        <w:wordWrap w:val="0"/>
        <w:overflowPunct/>
        <w:bidi w:val="0"/>
        <w:rPr>
          <w:color w:val="auto"/>
        </w:rPr>
      </w:pPr>
      <w:r>
        <w:rPr>
          <w:rFonts w:hint="eastAsia"/>
          <w:color w:val="auto"/>
        </w:rPr>
        <w:t>(1)投标人在投标截止时间后要求撤回投标文件的；</w:t>
      </w:r>
    </w:p>
    <w:p w14:paraId="33C9154B">
      <w:pPr>
        <w:pageBreakBefore w:val="0"/>
        <w:wordWrap w:val="0"/>
        <w:overflowPunct/>
        <w:bidi w:val="0"/>
        <w:rPr>
          <w:color w:val="auto"/>
        </w:rPr>
      </w:pPr>
      <w:r>
        <w:rPr>
          <w:rFonts w:hint="eastAsia"/>
          <w:color w:val="auto"/>
        </w:rPr>
        <w:t>(2)中标后投标人无正当理由不与招标人或者招标代理机构签订合同的；</w:t>
      </w:r>
    </w:p>
    <w:p w14:paraId="182434E2">
      <w:pPr>
        <w:pageBreakBefore w:val="0"/>
        <w:wordWrap w:val="0"/>
        <w:overflowPunct/>
        <w:bidi w:val="0"/>
        <w:rPr>
          <w:color w:val="auto"/>
        </w:rPr>
      </w:pPr>
      <w:r>
        <w:rPr>
          <w:rFonts w:hint="eastAsia"/>
          <w:color w:val="auto"/>
        </w:rPr>
        <w:t>(3)中标人将中标项目转让给他人，或者在投标文件中未说明，且未经招标人同意，将中标项目分包给他人的；</w:t>
      </w:r>
    </w:p>
    <w:p w14:paraId="142FABE0">
      <w:pPr>
        <w:pageBreakBefore w:val="0"/>
        <w:wordWrap w:val="0"/>
        <w:overflowPunct/>
        <w:bidi w:val="0"/>
        <w:rPr>
          <w:color w:val="auto"/>
        </w:rPr>
      </w:pPr>
      <w:r>
        <w:rPr>
          <w:rFonts w:hint="eastAsia"/>
          <w:color w:val="auto"/>
        </w:rPr>
        <w:t>(4)中标人拒绝履行合同义务的。</w:t>
      </w:r>
    </w:p>
    <w:p w14:paraId="013E4421">
      <w:pPr>
        <w:pStyle w:val="3"/>
        <w:pageBreakBefore w:val="0"/>
        <w:wordWrap w:val="0"/>
        <w:overflowPunct/>
        <w:bidi w:val="0"/>
        <w:ind w:firstLine="482"/>
        <w:jc w:val="center"/>
        <w:rPr>
          <w:color w:val="auto"/>
        </w:rPr>
      </w:pPr>
      <w:bookmarkStart w:id="12" w:name="_Toc32177"/>
      <w:r>
        <w:rPr>
          <w:rFonts w:hint="eastAsia"/>
          <w:color w:val="auto"/>
        </w:rPr>
        <w:t>四、投标文件的提交</w:t>
      </w:r>
      <w:bookmarkEnd w:id="12"/>
    </w:p>
    <w:p w14:paraId="41FBCF91">
      <w:pPr>
        <w:pageBreakBefore w:val="0"/>
        <w:wordWrap w:val="0"/>
        <w:overflowPunct/>
        <w:bidi w:val="0"/>
        <w:rPr>
          <w:color w:val="auto"/>
        </w:rPr>
      </w:pPr>
      <w:r>
        <w:rPr>
          <w:rFonts w:hint="eastAsia"/>
          <w:color w:val="auto"/>
        </w:rPr>
        <w:t>16、投标文件的密封与标记详见“投标人须知前附表”的规定。</w:t>
      </w:r>
    </w:p>
    <w:p w14:paraId="3865AE64">
      <w:pPr>
        <w:pageBreakBefore w:val="0"/>
        <w:wordWrap w:val="0"/>
        <w:overflowPunct/>
        <w:bidi w:val="0"/>
        <w:rPr>
          <w:color w:val="auto"/>
        </w:rPr>
      </w:pPr>
      <w:r>
        <w:rPr>
          <w:rFonts w:hint="eastAsia"/>
          <w:color w:val="auto"/>
        </w:rPr>
        <w:t>17、递交投标文件的截止时间和地点</w:t>
      </w:r>
    </w:p>
    <w:p w14:paraId="067BC1E3">
      <w:pPr>
        <w:pageBreakBefore w:val="0"/>
        <w:wordWrap w:val="0"/>
        <w:overflowPunct/>
        <w:bidi w:val="0"/>
        <w:rPr>
          <w:color w:val="auto"/>
        </w:rPr>
      </w:pPr>
      <w:r>
        <w:rPr>
          <w:rFonts w:hint="eastAsia"/>
          <w:color w:val="auto"/>
        </w:rPr>
        <w:t>17.1 投标文件的递交不得迟于“投标人须知前附表”规定的递交投标文件截止时间。逾期送达或者未按规定密封标记的投标文件，招标人不予接收。</w:t>
      </w:r>
    </w:p>
    <w:p w14:paraId="66FFBAAE">
      <w:pPr>
        <w:pageBreakBefore w:val="0"/>
        <w:wordWrap w:val="0"/>
        <w:overflowPunct/>
        <w:bidi w:val="0"/>
        <w:rPr>
          <w:color w:val="auto"/>
        </w:rPr>
      </w:pPr>
      <w:r>
        <w:rPr>
          <w:rFonts w:hint="eastAsia"/>
          <w:color w:val="auto"/>
        </w:rPr>
        <w:t>17.2 投标人必须在规定时间内将投标文件递交到“投标人须知前附表”规定的地点。</w:t>
      </w:r>
    </w:p>
    <w:p w14:paraId="49ADDE21">
      <w:pPr>
        <w:pageBreakBefore w:val="0"/>
        <w:wordWrap w:val="0"/>
        <w:overflowPunct/>
        <w:bidi w:val="0"/>
        <w:rPr>
          <w:color w:val="auto"/>
        </w:rPr>
      </w:pPr>
      <w:r>
        <w:rPr>
          <w:rFonts w:hint="eastAsia"/>
          <w:color w:val="auto"/>
        </w:rPr>
        <w:t>17.3 除“投标人须知前附表”另有规定外，投标人所递交的投标文件不予退还。</w:t>
      </w:r>
    </w:p>
    <w:p w14:paraId="51A292DD">
      <w:pPr>
        <w:pStyle w:val="3"/>
        <w:pageBreakBefore w:val="0"/>
        <w:wordWrap w:val="0"/>
        <w:overflowPunct/>
        <w:bidi w:val="0"/>
        <w:ind w:firstLine="482"/>
        <w:jc w:val="center"/>
        <w:rPr>
          <w:color w:val="auto"/>
        </w:rPr>
      </w:pPr>
      <w:bookmarkStart w:id="13" w:name="_Toc20106"/>
      <w:r>
        <w:rPr>
          <w:rFonts w:hint="eastAsia"/>
          <w:color w:val="auto"/>
        </w:rPr>
        <w:t>五、开标与评标</w:t>
      </w:r>
      <w:bookmarkEnd w:id="13"/>
    </w:p>
    <w:p w14:paraId="78154254">
      <w:pPr>
        <w:pageBreakBefore w:val="0"/>
        <w:wordWrap w:val="0"/>
        <w:overflowPunct/>
        <w:bidi w:val="0"/>
        <w:rPr>
          <w:color w:val="auto"/>
        </w:rPr>
      </w:pPr>
      <w:r>
        <w:rPr>
          <w:rFonts w:hint="eastAsia"/>
          <w:color w:val="auto"/>
        </w:rPr>
        <w:t>18、开标</w:t>
      </w:r>
    </w:p>
    <w:p w14:paraId="59D17CB4">
      <w:pPr>
        <w:pageBreakBefore w:val="0"/>
        <w:wordWrap w:val="0"/>
        <w:overflowPunct/>
        <w:bidi w:val="0"/>
        <w:rPr>
          <w:color w:val="auto"/>
        </w:rPr>
      </w:pPr>
      <w:r>
        <w:rPr>
          <w:rFonts w:hint="eastAsia"/>
          <w:color w:val="auto"/>
        </w:rPr>
        <w:t>18.1 招标代理机构将在“投标人须知前附表”规定的时间和地点进行开标，投标人的法定代表人或其委托代理人应按时参加。如投标人未参加开标的，视同认可开标结果。评标委员会成员不得参加开标活动。</w:t>
      </w:r>
    </w:p>
    <w:p w14:paraId="1DB6F6D5">
      <w:pPr>
        <w:pageBreakBefore w:val="0"/>
        <w:wordWrap w:val="0"/>
        <w:overflowPunct/>
        <w:bidi w:val="0"/>
        <w:rPr>
          <w:color w:val="auto"/>
        </w:rPr>
      </w:pPr>
      <w:r>
        <w:rPr>
          <w:rFonts w:hint="eastAsia"/>
          <w:color w:val="auto"/>
        </w:rPr>
        <w:t>18.2 投标截止后投标人不足 3 家的，不得开标。</w:t>
      </w:r>
    </w:p>
    <w:p w14:paraId="1A2B3FA5">
      <w:pPr>
        <w:pageBreakBefore w:val="0"/>
        <w:wordWrap w:val="0"/>
        <w:overflowPunct/>
        <w:bidi w:val="0"/>
        <w:rPr>
          <w:color w:val="auto"/>
        </w:rPr>
      </w:pPr>
      <w:r>
        <w:rPr>
          <w:rFonts w:hint="eastAsia"/>
          <w:color w:val="auto"/>
        </w:rPr>
        <w:t>18.3 开标程序：</w:t>
      </w:r>
    </w:p>
    <w:p w14:paraId="10DF232C">
      <w:pPr>
        <w:pageBreakBefore w:val="0"/>
        <w:wordWrap w:val="0"/>
        <w:overflowPunct/>
        <w:bidi w:val="0"/>
        <w:rPr>
          <w:color w:val="auto"/>
        </w:rPr>
      </w:pPr>
      <w:r>
        <w:rPr>
          <w:rFonts w:hint="eastAsia"/>
          <w:color w:val="auto"/>
        </w:rPr>
        <w:t>(1)开标会由招标代理机构主持；</w:t>
      </w:r>
    </w:p>
    <w:p w14:paraId="56BD977E">
      <w:pPr>
        <w:pageBreakBefore w:val="0"/>
        <w:wordWrap w:val="0"/>
        <w:overflowPunct/>
        <w:bidi w:val="0"/>
        <w:rPr>
          <w:color w:val="auto"/>
        </w:rPr>
      </w:pPr>
      <w:r>
        <w:rPr>
          <w:rFonts w:hint="eastAsia"/>
          <w:color w:val="auto"/>
        </w:rPr>
        <w:t>(2)由投标人或者其推选的代表检查投标文件的密封情况；</w:t>
      </w:r>
    </w:p>
    <w:p w14:paraId="63631D44">
      <w:pPr>
        <w:pageBreakBefore w:val="0"/>
        <w:wordWrap w:val="0"/>
        <w:overflowPunct/>
        <w:bidi w:val="0"/>
        <w:rPr>
          <w:color w:val="auto"/>
        </w:rPr>
      </w:pPr>
      <w:r>
        <w:rPr>
          <w:rFonts w:hint="eastAsia"/>
          <w:color w:val="auto"/>
        </w:rPr>
        <w:t>(3)投标文件密封情况经确认无误后，由招标人或者招标代理机构工作人员当众拆封，宣布投标人名称、投标价格等招标文件《开标一览表》中的内容。（开启顺序：随机开启）</w:t>
      </w:r>
    </w:p>
    <w:p w14:paraId="07676060">
      <w:pPr>
        <w:pageBreakBefore w:val="0"/>
        <w:wordWrap w:val="0"/>
        <w:overflowPunct/>
        <w:bidi w:val="0"/>
        <w:rPr>
          <w:color w:val="auto"/>
        </w:rPr>
      </w:pPr>
      <w:r>
        <w:rPr>
          <w:rFonts w:hint="eastAsia"/>
          <w:color w:val="auto"/>
        </w:rPr>
        <w:t>18.4 开标工作人员将做开标记录，投标人代表须签字确认。</w:t>
      </w:r>
    </w:p>
    <w:p w14:paraId="6D6096C2">
      <w:pPr>
        <w:pageBreakBefore w:val="0"/>
        <w:wordWrap w:val="0"/>
        <w:overflowPunct/>
        <w:bidi w:val="0"/>
        <w:rPr>
          <w:color w:val="auto"/>
        </w:rPr>
      </w:pPr>
      <w:r>
        <w:rPr>
          <w:rFonts w:hint="eastAsia"/>
          <w:color w:val="auto"/>
        </w:rPr>
        <w:t xml:space="preserve">18.5 投标人代表对开标过程和开标记录有疑义，以及认为招标人、招标代理机构相关工作人员有需要回避的情形的，应当场提出询问或者回避申请。招标人、招标代理机构对投标人代表提出的询问或者回避申请应当及时处理。 </w:t>
      </w:r>
    </w:p>
    <w:p w14:paraId="0E466AD7">
      <w:pPr>
        <w:pageBreakBefore w:val="0"/>
        <w:wordWrap w:val="0"/>
        <w:overflowPunct/>
        <w:bidi w:val="0"/>
        <w:rPr>
          <w:color w:val="auto"/>
        </w:rPr>
      </w:pPr>
      <w:r>
        <w:rPr>
          <w:rFonts w:hint="eastAsia"/>
          <w:color w:val="auto"/>
        </w:rPr>
        <w:t xml:space="preserve">19. 资格审查 </w:t>
      </w:r>
    </w:p>
    <w:p w14:paraId="7E3B25E3">
      <w:pPr>
        <w:pageBreakBefore w:val="0"/>
        <w:wordWrap w:val="0"/>
        <w:overflowPunct/>
        <w:bidi w:val="0"/>
        <w:rPr>
          <w:color w:val="auto"/>
        </w:rPr>
      </w:pPr>
      <w:r>
        <w:rPr>
          <w:rFonts w:hint="eastAsia"/>
          <w:color w:val="auto"/>
        </w:rPr>
        <w:t>19.1 开标结束后，招标人或者招标代理机构应当按照“第六章 资格审查”中的资格审查评审标准依法对投标人的资格进行审查，合格投标人不足 3 家的，不得评标。</w:t>
      </w:r>
    </w:p>
    <w:p w14:paraId="13AE37F5">
      <w:pPr>
        <w:pageBreakBefore w:val="0"/>
        <w:wordWrap w:val="0"/>
        <w:overflowPunct/>
        <w:bidi w:val="0"/>
        <w:rPr>
          <w:color w:val="auto"/>
        </w:rPr>
      </w:pPr>
      <w:r>
        <w:rPr>
          <w:rFonts w:hint="eastAsia"/>
          <w:color w:val="auto"/>
        </w:rPr>
        <w:t xml:space="preserve">20. 评标 </w:t>
      </w:r>
    </w:p>
    <w:p w14:paraId="09B00E52">
      <w:pPr>
        <w:keepLines/>
        <w:pageBreakBefore w:val="0"/>
        <w:kinsoku w:val="0"/>
        <w:wordWrap w:val="0"/>
        <w:overflowPunct/>
        <w:bidi w:val="0"/>
        <w:rPr>
          <w:color w:val="auto"/>
        </w:rPr>
      </w:pPr>
      <w:r>
        <w:rPr>
          <w:rFonts w:hint="eastAsia"/>
          <w:color w:val="auto"/>
        </w:rPr>
        <w:t>20.1 评标委员会由采购人代表2人和有关技术、经济等方面的评审专家5人，共7人组成。其中评审专家人数不得少于评标委员会成员总数的2/3。招标代理机构人员不得参加本机构代理的采购项目的评审。</w:t>
      </w:r>
    </w:p>
    <w:p w14:paraId="113F0284">
      <w:pPr>
        <w:keepLines/>
        <w:pageBreakBefore w:val="0"/>
        <w:kinsoku w:val="0"/>
        <w:wordWrap w:val="0"/>
        <w:overflowPunct/>
        <w:bidi w:val="0"/>
        <w:rPr>
          <w:color w:val="auto"/>
        </w:rPr>
      </w:pPr>
      <w:r>
        <w:rPr>
          <w:rFonts w:hint="eastAsia"/>
          <w:color w:val="auto"/>
        </w:rPr>
        <w:t>20.2 评标委员会应当推选组长，但采购人评审代表不得担任组长。技术、经济等方面由采购人依法在云南省政府采购专家管理子系统随机抽取。</w:t>
      </w:r>
    </w:p>
    <w:p w14:paraId="4B72E58B">
      <w:pPr>
        <w:pageBreakBefore w:val="0"/>
        <w:wordWrap w:val="0"/>
        <w:overflowPunct/>
        <w:bidi w:val="0"/>
        <w:rPr>
          <w:color w:val="auto"/>
        </w:rPr>
      </w:pPr>
      <w:r>
        <w:rPr>
          <w:rFonts w:hint="eastAsia"/>
          <w:color w:val="auto"/>
        </w:rPr>
        <w:t xml:space="preserve">20.3评标原则及方法 </w:t>
      </w:r>
    </w:p>
    <w:p w14:paraId="7EF4BA41">
      <w:pPr>
        <w:pageBreakBefore w:val="0"/>
        <w:wordWrap w:val="0"/>
        <w:overflowPunct/>
        <w:bidi w:val="0"/>
        <w:rPr>
          <w:color w:val="auto"/>
        </w:rPr>
      </w:pPr>
      <w:r>
        <w:rPr>
          <w:rFonts w:hint="eastAsia"/>
          <w:color w:val="auto"/>
        </w:rPr>
        <w:t xml:space="preserve">评标活动遵循客观、公正、审慎的原则，评审专家应当根据招标文件规定的评审程序、评审方法和评审标准进行独立评审。 </w:t>
      </w:r>
    </w:p>
    <w:p w14:paraId="67414D13">
      <w:pPr>
        <w:pageBreakBefore w:val="0"/>
        <w:wordWrap w:val="0"/>
        <w:overflowPunct/>
        <w:bidi w:val="0"/>
        <w:rPr>
          <w:color w:val="auto"/>
        </w:rPr>
      </w:pPr>
      <w:r>
        <w:rPr>
          <w:rFonts w:hint="eastAsia"/>
          <w:color w:val="auto"/>
        </w:rPr>
        <w:t xml:space="preserve">20.4 评标方法 </w:t>
      </w:r>
    </w:p>
    <w:p w14:paraId="32785060">
      <w:pPr>
        <w:pageBreakBefore w:val="0"/>
        <w:wordWrap w:val="0"/>
        <w:overflowPunct/>
        <w:bidi w:val="0"/>
        <w:rPr>
          <w:color w:val="auto"/>
        </w:rPr>
      </w:pPr>
      <w:r>
        <w:rPr>
          <w:rFonts w:hint="eastAsia"/>
          <w:color w:val="auto"/>
        </w:rPr>
        <w:t xml:space="preserve">本项目按本招标文件第七章“评审方法”规定的评标方法评标。在评标中，不得改变招标文件中规定的评标标准、方法和中标条件。第七章“评审方法”没有规定的评审因素和标准，不作为评标依据。 </w:t>
      </w:r>
    </w:p>
    <w:p w14:paraId="124A1A49">
      <w:pPr>
        <w:pageBreakBefore w:val="0"/>
        <w:wordWrap w:val="0"/>
        <w:overflowPunct/>
        <w:bidi w:val="0"/>
        <w:rPr>
          <w:color w:val="auto"/>
        </w:rPr>
      </w:pPr>
      <w:r>
        <w:rPr>
          <w:rFonts w:hint="eastAsia"/>
          <w:color w:val="auto"/>
        </w:rPr>
        <w:t xml:space="preserve">20.5评标应当在严格保密的情况下进行。 任何单位和个人不得非法干预、影响评标办法的确定，以及评标过程和结果。评标委员会成员和与评标活动有关的人员在政府采购活动中应严格遵守政府采购评审工作纪律，不得向外界泄露评审情况。 </w:t>
      </w:r>
    </w:p>
    <w:p w14:paraId="43A9C69D">
      <w:pPr>
        <w:pageBreakBefore w:val="0"/>
        <w:wordWrap w:val="0"/>
        <w:overflowPunct/>
        <w:bidi w:val="0"/>
        <w:rPr>
          <w:color w:val="auto"/>
        </w:rPr>
      </w:pPr>
      <w:r>
        <w:rPr>
          <w:color w:val="auto"/>
        </w:rPr>
        <w:t>2</w:t>
      </w:r>
      <w:r>
        <w:rPr>
          <w:rFonts w:hint="eastAsia"/>
          <w:color w:val="auto"/>
        </w:rPr>
        <w:t>0</w:t>
      </w:r>
      <w:r>
        <w:rPr>
          <w:color w:val="auto"/>
        </w:rPr>
        <w:t>.</w:t>
      </w:r>
      <w:r>
        <w:rPr>
          <w:rFonts w:hint="eastAsia"/>
          <w:color w:val="auto"/>
        </w:rPr>
        <w:t>6</w:t>
      </w:r>
      <w:r>
        <w:rPr>
          <w:color w:val="auto"/>
        </w:rPr>
        <w:t xml:space="preserve"> </w:t>
      </w:r>
      <w:r>
        <w:rPr>
          <w:rFonts w:hint="eastAsia"/>
          <w:color w:val="auto"/>
        </w:rPr>
        <w:t>有下列情形之一的，属于恶意串通，对供应商依照政府采购法第七十七条第一款的规定追究法律责任，对采购人、采购代理机构及其工作人员依照政府采购法第七十二条的规定追究法律责任：</w:t>
      </w:r>
    </w:p>
    <w:p w14:paraId="34E7A645">
      <w:pPr>
        <w:pageBreakBefore w:val="0"/>
        <w:wordWrap w:val="0"/>
        <w:overflowPunct/>
        <w:bidi w:val="0"/>
        <w:rPr>
          <w:color w:val="auto"/>
        </w:rPr>
      </w:pPr>
      <w:r>
        <w:rPr>
          <w:rFonts w:hint="eastAsia"/>
          <w:color w:val="auto"/>
        </w:rPr>
        <w:t>（一）供应商直接或者间接从采购人或者采购代理机构处获得其他供应商的相关情况并修改其投标文件或者响应文件；</w:t>
      </w:r>
    </w:p>
    <w:p w14:paraId="732F1B66">
      <w:pPr>
        <w:pageBreakBefore w:val="0"/>
        <w:wordWrap w:val="0"/>
        <w:overflowPunct/>
        <w:bidi w:val="0"/>
        <w:rPr>
          <w:color w:val="auto"/>
        </w:rPr>
      </w:pPr>
      <w:r>
        <w:rPr>
          <w:rFonts w:hint="eastAsia"/>
          <w:color w:val="auto"/>
        </w:rPr>
        <w:t>（二）供应商按照采购人或者采购代理机构的授意撤换、修改投标文件或者响应文件；</w:t>
      </w:r>
    </w:p>
    <w:p w14:paraId="757CD57D">
      <w:pPr>
        <w:pageBreakBefore w:val="0"/>
        <w:wordWrap w:val="0"/>
        <w:overflowPunct/>
        <w:bidi w:val="0"/>
        <w:rPr>
          <w:color w:val="auto"/>
        </w:rPr>
      </w:pPr>
      <w:r>
        <w:rPr>
          <w:rFonts w:hint="eastAsia"/>
          <w:color w:val="auto"/>
        </w:rPr>
        <w:t>（三）供应商之间协商报价、技术方案等投标文件或者响应文件的实质性内容；</w:t>
      </w:r>
    </w:p>
    <w:p w14:paraId="26D17A6F">
      <w:pPr>
        <w:pageBreakBefore w:val="0"/>
        <w:wordWrap w:val="0"/>
        <w:overflowPunct/>
        <w:bidi w:val="0"/>
        <w:rPr>
          <w:color w:val="auto"/>
        </w:rPr>
      </w:pPr>
      <w:r>
        <w:rPr>
          <w:rFonts w:hint="eastAsia"/>
          <w:color w:val="auto"/>
        </w:rPr>
        <w:t>（四）属于同一集团、协会、商会等组织成员的供应商按照该组织要求协同参加政府采购活动；</w:t>
      </w:r>
    </w:p>
    <w:p w14:paraId="201775E7">
      <w:pPr>
        <w:pageBreakBefore w:val="0"/>
        <w:wordWrap w:val="0"/>
        <w:overflowPunct/>
        <w:bidi w:val="0"/>
        <w:rPr>
          <w:color w:val="auto"/>
        </w:rPr>
      </w:pPr>
      <w:r>
        <w:rPr>
          <w:rFonts w:hint="eastAsia"/>
          <w:color w:val="auto"/>
        </w:rPr>
        <w:t>（五）供应商之间事先约定由某一特定供应商中标、成交；</w:t>
      </w:r>
    </w:p>
    <w:p w14:paraId="5CFB6F73">
      <w:pPr>
        <w:pageBreakBefore w:val="0"/>
        <w:wordWrap w:val="0"/>
        <w:overflowPunct/>
        <w:bidi w:val="0"/>
        <w:rPr>
          <w:color w:val="auto"/>
        </w:rPr>
      </w:pPr>
      <w:r>
        <w:rPr>
          <w:rFonts w:hint="eastAsia"/>
          <w:color w:val="auto"/>
        </w:rPr>
        <w:t>（六）供应商之间商定部分供应商放弃参加政府采购活动或者放弃中标、成交；</w:t>
      </w:r>
    </w:p>
    <w:p w14:paraId="79A7EB81">
      <w:pPr>
        <w:pageBreakBefore w:val="0"/>
        <w:wordWrap w:val="0"/>
        <w:overflowPunct/>
        <w:bidi w:val="0"/>
        <w:rPr>
          <w:color w:val="auto"/>
        </w:rPr>
      </w:pPr>
      <w:r>
        <w:rPr>
          <w:rFonts w:hint="eastAsia"/>
          <w:color w:val="auto"/>
        </w:rPr>
        <w:t>（七）供应商与采购人或者采购代理机构之间、供应商相互之间，为谋求特定供应商中标、成交或者排斥其他供应商的其他串通行为。</w:t>
      </w:r>
    </w:p>
    <w:p w14:paraId="416AB76C">
      <w:pPr>
        <w:pageBreakBefore w:val="0"/>
        <w:wordWrap w:val="0"/>
        <w:overflowPunct/>
        <w:bidi w:val="0"/>
        <w:rPr>
          <w:color w:val="auto"/>
        </w:rPr>
      </w:pPr>
      <w:r>
        <w:rPr>
          <w:color w:val="auto"/>
        </w:rPr>
        <w:t>2</w:t>
      </w:r>
      <w:r>
        <w:rPr>
          <w:rFonts w:hint="eastAsia"/>
          <w:color w:val="auto"/>
        </w:rPr>
        <w:t>0</w:t>
      </w:r>
      <w:r>
        <w:rPr>
          <w:color w:val="auto"/>
        </w:rPr>
        <w:t>.</w:t>
      </w:r>
      <w:r>
        <w:rPr>
          <w:rFonts w:hint="eastAsia"/>
          <w:color w:val="auto"/>
        </w:rPr>
        <w:t xml:space="preserve">7有下列情形之一的，视为投标人串通投标，其投标无效： </w:t>
      </w:r>
    </w:p>
    <w:p w14:paraId="25184D7E">
      <w:pPr>
        <w:pageBreakBefore w:val="0"/>
        <w:wordWrap w:val="0"/>
        <w:overflowPunct/>
        <w:bidi w:val="0"/>
        <w:rPr>
          <w:color w:val="auto"/>
        </w:rPr>
      </w:pPr>
      <w:r>
        <w:rPr>
          <w:rFonts w:hint="eastAsia"/>
          <w:color w:val="auto"/>
        </w:rPr>
        <w:t xml:space="preserve">（一）不同投标人的投标文件由同一单位或者个人编制； </w:t>
      </w:r>
    </w:p>
    <w:p w14:paraId="4959B453">
      <w:pPr>
        <w:pageBreakBefore w:val="0"/>
        <w:wordWrap w:val="0"/>
        <w:overflowPunct/>
        <w:bidi w:val="0"/>
        <w:rPr>
          <w:color w:val="auto"/>
        </w:rPr>
      </w:pPr>
      <w:r>
        <w:rPr>
          <w:rFonts w:hint="eastAsia"/>
          <w:color w:val="auto"/>
        </w:rPr>
        <w:t xml:space="preserve">（二）不同投标人委托同一单位或者个人办理投标事宜； </w:t>
      </w:r>
    </w:p>
    <w:p w14:paraId="4E150F6F">
      <w:pPr>
        <w:pageBreakBefore w:val="0"/>
        <w:wordWrap w:val="0"/>
        <w:overflowPunct/>
        <w:bidi w:val="0"/>
        <w:rPr>
          <w:color w:val="auto"/>
        </w:rPr>
      </w:pPr>
      <w:r>
        <w:rPr>
          <w:rFonts w:hint="eastAsia"/>
          <w:color w:val="auto"/>
        </w:rPr>
        <w:t xml:space="preserve">（三）不同投标人的投标文件载明的项目管理成员或者联系人员为同一人； </w:t>
      </w:r>
    </w:p>
    <w:p w14:paraId="07F40651">
      <w:pPr>
        <w:pageBreakBefore w:val="0"/>
        <w:wordWrap w:val="0"/>
        <w:overflowPunct/>
        <w:bidi w:val="0"/>
        <w:rPr>
          <w:color w:val="auto"/>
        </w:rPr>
      </w:pPr>
      <w:r>
        <w:rPr>
          <w:rFonts w:hint="eastAsia"/>
          <w:color w:val="auto"/>
        </w:rPr>
        <w:t xml:space="preserve">（四）不同投标人的投标文件异常一致或者投标报价呈规律性差异； </w:t>
      </w:r>
    </w:p>
    <w:p w14:paraId="093DBCC1">
      <w:pPr>
        <w:pageBreakBefore w:val="0"/>
        <w:wordWrap w:val="0"/>
        <w:overflowPunct/>
        <w:bidi w:val="0"/>
        <w:rPr>
          <w:color w:val="auto"/>
        </w:rPr>
      </w:pPr>
      <w:r>
        <w:rPr>
          <w:rFonts w:hint="eastAsia"/>
          <w:color w:val="auto"/>
        </w:rPr>
        <w:t xml:space="preserve">（五）不同投标人的投标文件相互混装； </w:t>
      </w:r>
    </w:p>
    <w:p w14:paraId="00128245">
      <w:pPr>
        <w:pageBreakBefore w:val="0"/>
        <w:wordWrap w:val="0"/>
        <w:overflowPunct/>
        <w:bidi w:val="0"/>
        <w:rPr>
          <w:color w:val="auto"/>
        </w:rPr>
      </w:pPr>
      <w:r>
        <w:rPr>
          <w:rFonts w:hint="eastAsia"/>
          <w:color w:val="auto"/>
        </w:rPr>
        <w:t xml:space="preserve">（六）不同投标人的投标保证金从同一单位或者个人的账户转出。 </w:t>
      </w:r>
    </w:p>
    <w:p w14:paraId="72846C72">
      <w:pPr>
        <w:pageBreakBefore w:val="0"/>
        <w:wordWrap w:val="0"/>
        <w:overflowPunct/>
        <w:bidi w:val="0"/>
        <w:rPr>
          <w:color w:val="auto"/>
        </w:rPr>
      </w:pPr>
      <w:r>
        <w:rPr>
          <w:rFonts w:hint="eastAsia"/>
          <w:color w:val="auto"/>
        </w:rPr>
        <w:t xml:space="preserve">21. 在招标采购中，出现下列情形之一的，应予废标： </w:t>
      </w:r>
    </w:p>
    <w:p w14:paraId="4E59EE65">
      <w:pPr>
        <w:pageBreakBefore w:val="0"/>
        <w:wordWrap w:val="0"/>
        <w:overflowPunct/>
        <w:bidi w:val="0"/>
        <w:rPr>
          <w:color w:val="auto"/>
        </w:rPr>
      </w:pPr>
      <w:r>
        <w:rPr>
          <w:rFonts w:hint="eastAsia"/>
          <w:color w:val="auto"/>
        </w:rPr>
        <w:t xml:space="preserve">（一）符合专业条件的供应商或者对招标文件作实质响应的供应商不足三家的； </w:t>
      </w:r>
    </w:p>
    <w:p w14:paraId="0CD0051F">
      <w:pPr>
        <w:pageBreakBefore w:val="0"/>
        <w:wordWrap w:val="0"/>
        <w:overflowPunct/>
        <w:bidi w:val="0"/>
        <w:rPr>
          <w:color w:val="auto"/>
        </w:rPr>
      </w:pPr>
      <w:r>
        <w:rPr>
          <w:rFonts w:hint="eastAsia"/>
          <w:color w:val="auto"/>
        </w:rPr>
        <w:t xml:space="preserve">（二）出现影响采购公正的违法、违规行为的； </w:t>
      </w:r>
    </w:p>
    <w:p w14:paraId="1B905503">
      <w:pPr>
        <w:pageBreakBefore w:val="0"/>
        <w:wordWrap w:val="0"/>
        <w:overflowPunct/>
        <w:bidi w:val="0"/>
        <w:rPr>
          <w:color w:val="auto"/>
        </w:rPr>
      </w:pPr>
      <w:r>
        <w:rPr>
          <w:rFonts w:hint="eastAsia"/>
          <w:color w:val="auto"/>
        </w:rPr>
        <w:t xml:space="preserve">（三）投标人的报价均超过了采购预算，采购人不能支付的； </w:t>
      </w:r>
    </w:p>
    <w:p w14:paraId="49A17881">
      <w:pPr>
        <w:pageBreakBefore w:val="0"/>
        <w:wordWrap w:val="0"/>
        <w:overflowPunct/>
        <w:bidi w:val="0"/>
        <w:rPr>
          <w:color w:val="auto"/>
        </w:rPr>
      </w:pPr>
      <w:r>
        <w:rPr>
          <w:rFonts w:hint="eastAsia"/>
          <w:color w:val="auto"/>
        </w:rPr>
        <w:t xml:space="preserve">（四）因重大变故，采购任务取消的。 </w:t>
      </w:r>
    </w:p>
    <w:p w14:paraId="4E3D768F">
      <w:pPr>
        <w:pageBreakBefore w:val="0"/>
        <w:wordWrap w:val="0"/>
        <w:overflowPunct/>
        <w:bidi w:val="0"/>
        <w:rPr>
          <w:color w:val="auto"/>
        </w:rPr>
      </w:pPr>
      <w:r>
        <w:rPr>
          <w:rFonts w:hint="eastAsia"/>
          <w:color w:val="auto"/>
        </w:rPr>
        <w:t xml:space="preserve">　　废标后，采购人应当将废标理由通知所有投标人。 </w:t>
      </w:r>
    </w:p>
    <w:p w14:paraId="1CB7023A">
      <w:pPr>
        <w:pStyle w:val="3"/>
        <w:pageBreakBefore w:val="0"/>
        <w:wordWrap w:val="0"/>
        <w:overflowPunct/>
        <w:bidi w:val="0"/>
        <w:ind w:firstLine="482"/>
        <w:jc w:val="center"/>
        <w:rPr>
          <w:color w:val="auto"/>
        </w:rPr>
      </w:pPr>
      <w:r>
        <w:rPr>
          <w:rFonts w:hint="eastAsia"/>
          <w:color w:val="auto"/>
        </w:rPr>
        <w:t>　　</w:t>
      </w:r>
      <w:bookmarkStart w:id="14" w:name="_Toc2119"/>
      <w:r>
        <w:rPr>
          <w:rFonts w:hint="eastAsia"/>
          <w:color w:val="auto"/>
        </w:rPr>
        <w:t>六、中标结果</w:t>
      </w:r>
      <w:bookmarkEnd w:id="14"/>
    </w:p>
    <w:p w14:paraId="5D68B587">
      <w:pPr>
        <w:pageBreakBefore w:val="0"/>
        <w:wordWrap w:val="0"/>
        <w:overflowPunct/>
        <w:bidi w:val="0"/>
        <w:rPr>
          <w:color w:val="auto"/>
        </w:rPr>
      </w:pPr>
      <w:r>
        <w:rPr>
          <w:rFonts w:hint="eastAsia"/>
          <w:color w:val="auto"/>
        </w:rPr>
        <w:t>22、中标人的确定</w:t>
      </w:r>
    </w:p>
    <w:p w14:paraId="60125D36">
      <w:pPr>
        <w:pageBreakBefore w:val="0"/>
        <w:wordWrap w:val="0"/>
        <w:overflowPunct/>
        <w:bidi w:val="0"/>
        <w:rPr>
          <w:color w:val="auto"/>
        </w:rPr>
      </w:pPr>
      <w:r>
        <w:rPr>
          <w:rFonts w:hint="eastAsia"/>
          <w:color w:val="auto"/>
        </w:rPr>
        <w:t>22.1 招标代理机构在评标结束后 2 个工作日内将评审报告送招标人确认。</w:t>
      </w:r>
    </w:p>
    <w:p w14:paraId="68D8E783">
      <w:pPr>
        <w:pageBreakBefore w:val="0"/>
        <w:wordWrap w:val="0"/>
        <w:overflowPunct/>
        <w:bidi w:val="0"/>
        <w:rPr>
          <w:color w:val="auto"/>
        </w:rPr>
      </w:pPr>
      <w:r>
        <w:rPr>
          <w:rFonts w:hint="eastAsia"/>
          <w:color w:val="auto"/>
        </w:rPr>
        <w:t>22.2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65083C12">
      <w:pPr>
        <w:pageBreakBefore w:val="0"/>
        <w:wordWrap w:val="0"/>
        <w:overflowPunct/>
        <w:bidi w:val="0"/>
        <w:rPr>
          <w:color w:val="auto"/>
        </w:rPr>
      </w:pPr>
      <w:r>
        <w:rPr>
          <w:rFonts w:hint="eastAsia"/>
          <w:color w:val="auto"/>
        </w:rPr>
        <w:t>采购人在收到评标报告5个工作日内未按评标报告推荐的中标候选人顺序确定中标人，又不能说明合法理由的，视同按评标报告推荐的顺序确定排名第一的中标候选人为中标人。</w:t>
      </w:r>
    </w:p>
    <w:p w14:paraId="0D265508">
      <w:pPr>
        <w:pageBreakBefore w:val="0"/>
        <w:wordWrap w:val="0"/>
        <w:overflowPunct/>
        <w:bidi w:val="0"/>
        <w:rPr>
          <w:color w:val="auto"/>
        </w:rPr>
      </w:pPr>
      <w:r>
        <w:rPr>
          <w:rFonts w:hint="eastAsia"/>
          <w:color w:val="auto"/>
        </w:rPr>
        <w:t>23、中标通知书</w:t>
      </w:r>
    </w:p>
    <w:p w14:paraId="6F5867E6">
      <w:pPr>
        <w:pageBreakBefore w:val="0"/>
        <w:wordWrap w:val="0"/>
        <w:overflowPunct/>
        <w:bidi w:val="0"/>
        <w:rPr>
          <w:color w:val="auto"/>
        </w:rPr>
      </w:pPr>
      <w:r>
        <w:rPr>
          <w:rFonts w:hint="eastAsia"/>
          <w:color w:val="auto"/>
        </w:rPr>
        <w:t>23.1 采购人或者采购代理机构应当自中标人确定之日起2个工作日内，在省级以上财政部门指定的媒体上公告中标结果，招标文件应当随中标结果同时公告。</w:t>
      </w:r>
    </w:p>
    <w:p w14:paraId="298B08CF">
      <w:pPr>
        <w:pageBreakBefore w:val="0"/>
        <w:wordWrap w:val="0"/>
        <w:overflowPunct/>
        <w:bidi w:val="0"/>
        <w:rPr>
          <w:color w:val="auto"/>
        </w:rPr>
      </w:pPr>
      <w:r>
        <w:rPr>
          <w:rFonts w:hint="eastAsia"/>
          <w:color w:val="auto"/>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14:paraId="52C4CF76">
      <w:pPr>
        <w:pageBreakBefore w:val="0"/>
        <w:wordWrap w:val="0"/>
        <w:overflowPunct/>
        <w:bidi w:val="0"/>
        <w:rPr>
          <w:color w:val="auto"/>
        </w:rPr>
      </w:pPr>
      <w:r>
        <w:rPr>
          <w:rFonts w:hint="eastAsia"/>
          <w:color w:val="auto"/>
        </w:rPr>
        <w:t>中标公告期限为1个工作日。</w:t>
      </w:r>
    </w:p>
    <w:p w14:paraId="0919570C">
      <w:pPr>
        <w:pageBreakBefore w:val="0"/>
        <w:wordWrap w:val="0"/>
        <w:overflowPunct/>
        <w:bidi w:val="0"/>
        <w:rPr>
          <w:color w:val="auto"/>
        </w:rPr>
      </w:pPr>
      <w:r>
        <w:rPr>
          <w:rFonts w:hint="eastAsia"/>
          <w:color w:val="auto"/>
        </w:rPr>
        <w:t>在公告中标结果的同时，采购人或者采购代理机构应当向中标人发出中标通知书。</w:t>
      </w:r>
    </w:p>
    <w:p w14:paraId="39559BF9">
      <w:pPr>
        <w:pageBreakBefore w:val="0"/>
        <w:wordWrap w:val="0"/>
        <w:overflowPunct/>
        <w:bidi w:val="0"/>
        <w:rPr>
          <w:color w:val="auto"/>
        </w:rPr>
      </w:pPr>
      <w:r>
        <w:rPr>
          <w:rFonts w:hint="eastAsia"/>
          <w:color w:val="auto"/>
        </w:rPr>
        <w:t>23.2 中标通知书是合同的一个组成部分。</w:t>
      </w:r>
    </w:p>
    <w:p w14:paraId="4C4588FE">
      <w:pPr>
        <w:pageBreakBefore w:val="0"/>
        <w:wordWrap w:val="0"/>
        <w:overflowPunct/>
        <w:bidi w:val="0"/>
        <w:rPr>
          <w:color w:val="auto"/>
        </w:rPr>
      </w:pPr>
      <w:r>
        <w:rPr>
          <w:rFonts w:hint="eastAsia"/>
          <w:color w:val="auto"/>
        </w:rPr>
        <w:t>24、签订合同</w:t>
      </w:r>
    </w:p>
    <w:p w14:paraId="480950C5">
      <w:pPr>
        <w:pageBreakBefore w:val="0"/>
        <w:wordWrap w:val="0"/>
        <w:overflowPunct/>
        <w:bidi w:val="0"/>
        <w:rPr>
          <w:color w:val="auto"/>
        </w:rPr>
      </w:pPr>
      <w:r>
        <w:rPr>
          <w:rFonts w:hint="eastAsia"/>
          <w:color w:val="auto"/>
        </w:rPr>
        <w:t>24.1 招标人与中标人应当在中标通知书发出之日起30日内，按照招标文件确定的合同文本以及技术和服务要求等事项签订政府采购合同。如中标通知书发出之日起 30 日内，中标人未与招标人联系协商合同签订事宜，则视为自动放弃本次中标，招标人有权单方面终止中标人的中标资格,并另行委托招标代理机构重新组织招标，所发生的一切法律和经济责任由中标人承担。</w:t>
      </w:r>
    </w:p>
    <w:p w14:paraId="757F06D1">
      <w:pPr>
        <w:pageBreakBefore w:val="0"/>
        <w:wordWrap w:val="0"/>
        <w:overflowPunct/>
        <w:bidi w:val="0"/>
        <w:rPr>
          <w:color w:val="auto"/>
        </w:rPr>
      </w:pPr>
      <w:r>
        <w:rPr>
          <w:rFonts w:hint="eastAsia"/>
          <w:color w:val="auto"/>
        </w:rPr>
        <w:t>24.2 该项目采取“统招分签”方式，由总队统一审核合同模板，下发各支队签订合同文本，先由总队分别与各批次各标段中标单位签订总体框架合同后，支队根据总队下发的模板分别与相关中标单位签订合同。</w:t>
      </w:r>
    </w:p>
    <w:p w14:paraId="270717A9">
      <w:pPr>
        <w:pageBreakBefore w:val="0"/>
        <w:wordWrap w:val="0"/>
        <w:overflowPunct/>
        <w:bidi w:val="0"/>
        <w:rPr>
          <w:color w:val="auto"/>
        </w:rPr>
      </w:pPr>
      <w:r>
        <w:rPr>
          <w:rFonts w:hint="eastAsia"/>
          <w:color w:val="auto"/>
        </w:rPr>
        <w:t>24.3中标人因不可抗力或者自身原因不能履行政府采购合同的，招标人可以与排位在中标人之后第一位的中标候选人协商签订政府采购合同，以此类推。也可以重新组织招标。</w:t>
      </w:r>
    </w:p>
    <w:p w14:paraId="1E14DA5D">
      <w:pPr>
        <w:pageBreakBefore w:val="0"/>
        <w:wordWrap w:val="0"/>
        <w:overflowPunct/>
        <w:bidi w:val="0"/>
        <w:rPr>
          <w:color w:val="auto"/>
        </w:rPr>
      </w:pPr>
      <w:r>
        <w:rPr>
          <w:rFonts w:hint="eastAsia"/>
          <w:color w:val="auto"/>
        </w:rPr>
        <w:t>25、履约保证金</w:t>
      </w:r>
    </w:p>
    <w:p w14:paraId="267ABF32">
      <w:pPr>
        <w:pageBreakBefore w:val="0"/>
        <w:wordWrap w:val="0"/>
        <w:overflowPunct/>
        <w:bidi w:val="0"/>
        <w:rPr>
          <w:color w:val="auto"/>
        </w:rPr>
      </w:pPr>
      <w:r>
        <w:rPr>
          <w:rFonts w:hint="eastAsia"/>
          <w:color w:val="auto"/>
        </w:rPr>
        <w:t>25.1 详见“投标人须知前附表”的规定。</w:t>
      </w:r>
    </w:p>
    <w:p w14:paraId="7211B4F5">
      <w:pPr>
        <w:pageBreakBefore w:val="0"/>
        <w:wordWrap w:val="0"/>
        <w:overflowPunct/>
        <w:bidi w:val="0"/>
        <w:rPr>
          <w:color w:val="auto"/>
        </w:rPr>
      </w:pPr>
      <w:r>
        <w:rPr>
          <w:rFonts w:hint="eastAsia"/>
          <w:color w:val="auto"/>
        </w:rPr>
        <w:t>25.2 签订合同后，如中标人不按双方签订合同约定履约，则没收其全部履约保证金，履约保证金不足以赔偿损失的，按实际损失赔偿。</w:t>
      </w:r>
    </w:p>
    <w:p w14:paraId="2882B94A">
      <w:pPr>
        <w:pStyle w:val="3"/>
        <w:pageBreakBefore w:val="0"/>
        <w:wordWrap w:val="0"/>
        <w:overflowPunct/>
        <w:bidi w:val="0"/>
        <w:ind w:firstLine="482"/>
        <w:jc w:val="center"/>
        <w:rPr>
          <w:color w:val="auto"/>
        </w:rPr>
      </w:pPr>
      <w:bookmarkStart w:id="15" w:name="_Toc20902"/>
      <w:r>
        <w:rPr>
          <w:rFonts w:hint="eastAsia"/>
          <w:color w:val="auto"/>
        </w:rPr>
        <w:t>七、其他事项</w:t>
      </w:r>
      <w:bookmarkEnd w:id="15"/>
    </w:p>
    <w:p w14:paraId="4DF3E85A">
      <w:pPr>
        <w:pageBreakBefore w:val="0"/>
        <w:wordWrap w:val="0"/>
        <w:overflowPunct/>
        <w:bidi w:val="0"/>
        <w:rPr>
          <w:color w:val="auto"/>
        </w:rPr>
      </w:pPr>
      <w:r>
        <w:rPr>
          <w:rFonts w:hint="eastAsia"/>
          <w:color w:val="auto"/>
        </w:rPr>
        <w:t>26、招标代理服务费</w:t>
      </w:r>
    </w:p>
    <w:p w14:paraId="2E202C37">
      <w:pPr>
        <w:pageBreakBefore w:val="0"/>
        <w:wordWrap w:val="0"/>
        <w:overflowPunct/>
        <w:bidi w:val="0"/>
        <w:rPr>
          <w:color w:val="auto"/>
        </w:rPr>
      </w:pPr>
      <w:r>
        <w:rPr>
          <w:rFonts w:hint="eastAsia"/>
          <w:color w:val="auto"/>
        </w:rPr>
        <w:t>26.1 招标代理服务费由招标代理机构向中标人收取，收取标准详见“投标人须知前附表”。</w:t>
      </w:r>
    </w:p>
    <w:p w14:paraId="595DF6E6">
      <w:pPr>
        <w:pageBreakBefore w:val="0"/>
        <w:wordWrap w:val="0"/>
        <w:overflowPunct/>
        <w:bidi w:val="0"/>
        <w:rPr>
          <w:color w:val="auto"/>
        </w:rPr>
      </w:pPr>
      <w:r>
        <w:rPr>
          <w:rFonts w:hint="eastAsia"/>
          <w:color w:val="auto"/>
        </w:rPr>
        <w:t>26.2 中标人应在接受“中标通知书”之前向招标代理机构一次付清招标代理服务费。</w:t>
      </w:r>
    </w:p>
    <w:p w14:paraId="0B3E1A5A">
      <w:pPr>
        <w:pageBreakBefore w:val="0"/>
        <w:wordWrap w:val="0"/>
        <w:overflowPunct/>
        <w:bidi w:val="0"/>
        <w:rPr>
          <w:color w:val="auto"/>
        </w:rPr>
      </w:pPr>
      <w:r>
        <w:rPr>
          <w:rFonts w:hint="eastAsia"/>
          <w:color w:val="auto"/>
        </w:rPr>
        <w:t>27、招标文件编制依据</w:t>
      </w:r>
    </w:p>
    <w:p w14:paraId="042BA586">
      <w:pPr>
        <w:pageBreakBefore w:val="0"/>
        <w:wordWrap w:val="0"/>
        <w:overflowPunct/>
        <w:bidi w:val="0"/>
        <w:rPr>
          <w:color w:val="auto"/>
        </w:rPr>
      </w:pPr>
      <w:r>
        <w:rPr>
          <w:rFonts w:hint="eastAsia"/>
          <w:color w:val="auto"/>
        </w:rPr>
        <w:t>本招标文件是根据《中华人民共和国政府采购法》、《中华人民共和国政府采购实施条例》及相关法律法规编制。</w:t>
      </w:r>
    </w:p>
    <w:p w14:paraId="35964D2C">
      <w:pPr>
        <w:pageBreakBefore w:val="0"/>
        <w:wordWrap w:val="0"/>
        <w:overflowPunct/>
        <w:bidi w:val="0"/>
        <w:rPr>
          <w:color w:val="auto"/>
        </w:rPr>
      </w:pPr>
      <w:r>
        <w:rPr>
          <w:rFonts w:hint="eastAsia"/>
          <w:color w:val="auto"/>
        </w:rPr>
        <w:t>28、需要补充的其他内容</w:t>
      </w:r>
    </w:p>
    <w:p w14:paraId="38864091">
      <w:pPr>
        <w:pageBreakBefore w:val="0"/>
        <w:wordWrap w:val="0"/>
        <w:overflowPunct/>
        <w:bidi w:val="0"/>
        <w:rPr>
          <w:color w:val="auto"/>
        </w:rPr>
      </w:pPr>
      <w:r>
        <w:rPr>
          <w:rFonts w:hint="eastAsia"/>
          <w:color w:val="auto"/>
        </w:rPr>
        <w:t>28.1 备选方案按“投标人须知前附表”的规定执行。</w:t>
      </w:r>
    </w:p>
    <w:p w14:paraId="4142BA31">
      <w:pPr>
        <w:pageBreakBefore w:val="0"/>
        <w:wordWrap w:val="0"/>
        <w:overflowPunct/>
        <w:bidi w:val="0"/>
        <w:rPr>
          <w:color w:val="auto"/>
        </w:rPr>
      </w:pPr>
      <w:r>
        <w:rPr>
          <w:rFonts w:hint="eastAsia"/>
          <w:color w:val="auto"/>
        </w:rPr>
        <w:t>28.2 需要补充的其他内容：见“投标人须知前附表”。</w:t>
      </w:r>
    </w:p>
    <w:p w14:paraId="76529D87">
      <w:pPr>
        <w:pageBreakBefore w:val="0"/>
        <w:wordWrap w:val="0"/>
        <w:overflowPunct/>
        <w:bidi w:val="0"/>
        <w:adjustRightInd/>
        <w:ind w:firstLine="404"/>
        <w:rPr>
          <w:color w:val="auto"/>
          <w:sz w:val="2"/>
        </w:rPr>
      </w:pPr>
      <w:r>
        <w:rPr>
          <w:rFonts w:hint="eastAsia"/>
          <w:color w:val="auto"/>
          <w:spacing w:val="-4"/>
        </w:rPr>
        <w:br w:type="column"/>
      </w:r>
    </w:p>
    <w:p w14:paraId="008580A6">
      <w:pPr>
        <w:pStyle w:val="2"/>
        <w:pageBreakBefore w:val="0"/>
        <w:wordWrap w:val="0"/>
        <w:overflowPunct/>
        <w:bidi w:val="0"/>
        <w:rPr>
          <w:color w:val="auto"/>
        </w:rPr>
      </w:pPr>
      <w:bookmarkStart w:id="16" w:name="_Toc24434"/>
      <w:r>
        <w:rPr>
          <w:rFonts w:hint="eastAsia"/>
          <w:color w:val="auto"/>
        </w:rPr>
        <w:t>第三章 合同书样式及主要条款</w:t>
      </w:r>
      <w:bookmarkEnd w:id="16"/>
    </w:p>
    <w:p w14:paraId="340E87B2">
      <w:pPr>
        <w:keepNext/>
        <w:keepLines/>
        <w:pageBreakBefore w:val="0"/>
        <w:widowControl w:val="0"/>
        <w:wordWrap w:val="0"/>
        <w:overflowPunct/>
        <w:bidi w:val="0"/>
        <w:spacing w:before="240" w:line="400" w:lineRule="exact"/>
        <w:ind w:firstLine="803"/>
        <w:jc w:val="center"/>
        <w:outlineLvl w:val="1"/>
        <w:rPr>
          <w:b/>
          <w:color w:val="auto"/>
          <w:spacing w:val="40"/>
          <w:sz w:val="32"/>
        </w:rPr>
      </w:pPr>
      <w:bookmarkStart w:id="17" w:name="_Toc20292"/>
      <w:r>
        <w:rPr>
          <w:rFonts w:hint="eastAsia"/>
          <w:b/>
          <w:bCs/>
          <w:color w:val="auto"/>
          <w:spacing w:val="40"/>
          <w:sz w:val="32"/>
          <w:szCs w:val="22"/>
        </w:rPr>
        <w:t>合同条款前附表</w:t>
      </w:r>
      <w:bookmarkEnd w:id="17"/>
    </w:p>
    <w:tbl>
      <w:tblPr>
        <w:tblStyle w:val="26"/>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1800"/>
        <w:gridCol w:w="5898"/>
      </w:tblGrid>
      <w:tr w14:paraId="11781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352" w:type="dxa"/>
            <w:vAlign w:val="center"/>
          </w:tcPr>
          <w:p w14:paraId="738273C4">
            <w:pPr>
              <w:pageBreakBefore w:val="0"/>
              <w:widowControl w:val="0"/>
              <w:wordWrap w:val="0"/>
              <w:overflowPunct/>
              <w:bidi w:val="0"/>
              <w:adjustRightInd/>
              <w:snapToGrid/>
              <w:spacing w:line="400" w:lineRule="exact"/>
              <w:ind w:firstLine="0" w:firstLineChars="0"/>
              <w:jc w:val="center"/>
              <w:rPr>
                <w:b/>
                <w:color w:val="auto"/>
              </w:rPr>
            </w:pPr>
            <w:r>
              <w:rPr>
                <w:rFonts w:hint="eastAsia"/>
                <w:b/>
                <w:color w:val="auto"/>
              </w:rPr>
              <w:t>合同条款号</w:t>
            </w:r>
          </w:p>
        </w:tc>
        <w:tc>
          <w:tcPr>
            <w:tcW w:w="1800" w:type="dxa"/>
            <w:vAlign w:val="center"/>
          </w:tcPr>
          <w:p w14:paraId="7643B23A">
            <w:pPr>
              <w:pageBreakBefore w:val="0"/>
              <w:widowControl w:val="0"/>
              <w:wordWrap w:val="0"/>
              <w:overflowPunct/>
              <w:bidi w:val="0"/>
              <w:adjustRightInd/>
              <w:snapToGrid/>
              <w:spacing w:line="400" w:lineRule="exact"/>
              <w:ind w:firstLine="0" w:firstLineChars="0"/>
              <w:jc w:val="center"/>
              <w:rPr>
                <w:b/>
                <w:color w:val="auto"/>
              </w:rPr>
            </w:pPr>
            <w:r>
              <w:rPr>
                <w:rFonts w:hint="eastAsia"/>
                <w:b/>
                <w:color w:val="auto"/>
              </w:rPr>
              <w:t>项 目</w:t>
            </w:r>
          </w:p>
        </w:tc>
        <w:tc>
          <w:tcPr>
            <w:tcW w:w="5898" w:type="dxa"/>
            <w:vAlign w:val="center"/>
          </w:tcPr>
          <w:p w14:paraId="36145E86">
            <w:pPr>
              <w:pageBreakBefore w:val="0"/>
              <w:widowControl w:val="0"/>
              <w:wordWrap w:val="0"/>
              <w:overflowPunct/>
              <w:bidi w:val="0"/>
              <w:adjustRightInd/>
              <w:snapToGrid/>
              <w:spacing w:line="400" w:lineRule="exact"/>
              <w:ind w:firstLine="0" w:firstLineChars="0"/>
              <w:jc w:val="center"/>
              <w:rPr>
                <w:b/>
                <w:color w:val="auto"/>
              </w:rPr>
            </w:pPr>
            <w:r>
              <w:rPr>
                <w:rFonts w:hint="eastAsia"/>
                <w:b/>
                <w:color w:val="auto"/>
              </w:rPr>
              <w:t>内  容</w:t>
            </w:r>
          </w:p>
        </w:tc>
      </w:tr>
      <w:tr w14:paraId="24141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vAlign w:val="center"/>
          </w:tcPr>
          <w:p w14:paraId="055DD0FB">
            <w:pPr>
              <w:pageBreakBefore w:val="0"/>
              <w:widowControl w:val="0"/>
              <w:wordWrap w:val="0"/>
              <w:overflowPunct/>
              <w:bidi w:val="0"/>
              <w:adjustRightInd/>
              <w:snapToGrid/>
              <w:spacing w:line="400" w:lineRule="exact"/>
              <w:ind w:firstLine="0" w:firstLineChars="0"/>
              <w:jc w:val="center"/>
              <w:rPr>
                <w:color w:val="auto"/>
              </w:rPr>
            </w:pPr>
            <w:r>
              <w:rPr>
                <w:rFonts w:hint="eastAsia"/>
                <w:color w:val="auto"/>
              </w:rPr>
              <w:t>1</w:t>
            </w:r>
          </w:p>
        </w:tc>
        <w:tc>
          <w:tcPr>
            <w:tcW w:w="1800" w:type="dxa"/>
            <w:vAlign w:val="center"/>
          </w:tcPr>
          <w:p w14:paraId="4FE23116">
            <w:pPr>
              <w:pageBreakBefore w:val="0"/>
              <w:widowControl w:val="0"/>
              <w:wordWrap w:val="0"/>
              <w:overflowPunct/>
              <w:bidi w:val="0"/>
              <w:adjustRightInd/>
              <w:snapToGrid/>
              <w:spacing w:line="400" w:lineRule="exact"/>
              <w:ind w:firstLine="0" w:firstLineChars="0"/>
              <w:jc w:val="center"/>
              <w:rPr>
                <w:color w:val="auto"/>
              </w:rPr>
            </w:pPr>
            <w:r>
              <w:rPr>
                <w:rFonts w:hint="eastAsia"/>
                <w:color w:val="auto"/>
              </w:rPr>
              <w:t>交付、验收期</w:t>
            </w:r>
          </w:p>
        </w:tc>
        <w:tc>
          <w:tcPr>
            <w:tcW w:w="5898" w:type="dxa"/>
            <w:vAlign w:val="center"/>
          </w:tcPr>
          <w:p w14:paraId="1BB01186">
            <w:pPr>
              <w:pageBreakBefore w:val="0"/>
              <w:widowControl w:val="0"/>
              <w:wordWrap w:val="0"/>
              <w:overflowPunct/>
              <w:bidi w:val="0"/>
              <w:adjustRightInd/>
              <w:snapToGrid/>
              <w:spacing w:line="400" w:lineRule="exact"/>
              <w:ind w:firstLine="0" w:firstLineChars="0"/>
              <w:jc w:val="center"/>
              <w:rPr>
                <w:color w:val="auto"/>
              </w:rPr>
            </w:pPr>
          </w:p>
        </w:tc>
      </w:tr>
      <w:tr w14:paraId="4A2D0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vAlign w:val="center"/>
          </w:tcPr>
          <w:p w14:paraId="6A0D95AC">
            <w:pPr>
              <w:pageBreakBefore w:val="0"/>
              <w:widowControl w:val="0"/>
              <w:wordWrap w:val="0"/>
              <w:overflowPunct/>
              <w:bidi w:val="0"/>
              <w:adjustRightInd/>
              <w:snapToGrid/>
              <w:spacing w:line="400" w:lineRule="exact"/>
              <w:ind w:firstLine="0" w:firstLineChars="0"/>
              <w:jc w:val="center"/>
              <w:rPr>
                <w:color w:val="auto"/>
              </w:rPr>
            </w:pPr>
            <w:r>
              <w:rPr>
                <w:rFonts w:hint="eastAsia"/>
                <w:color w:val="auto"/>
              </w:rPr>
              <w:t>2</w:t>
            </w:r>
          </w:p>
        </w:tc>
        <w:tc>
          <w:tcPr>
            <w:tcW w:w="1800" w:type="dxa"/>
            <w:vAlign w:val="center"/>
          </w:tcPr>
          <w:p w14:paraId="1C9338B1">
            <w:pPr>
              <w:pageBreakBefore w:val="0"/>
              <w:widowControl w:val="0"/>
              <w:wordWrap w:val="0"/>
              <w:overflowPunct/>
              <w:bidi w:val="0"/>
              <w:adjustRightInd/>
              <w:snapToGrid/>
              <w:spacing w:line="400" w:lineRule="exact"/>
              <w:ind w:firstLine="0" w:firstLineChars="0"/>
              <w:jc w:val="center"/>
              <w:rPr>
                <w:color w:val="auto"/>
              </w:rPr>
            </w:pPr>
            <w:r>
              <w:rPr>
                <w:rFonts w:hint="eastAsia"/>
                <w:color w:val="auto"/>
              </w:rPr>
              <w:t>付款方式</w:t>
            </w:r>
          </w:p>
        </w:tc>
        <w:tc>
          <w:tcPr>
            <w:tcW w:w="5898" w:type="dxa"/>
            <w:vAlign w:val="center"/>
          </w:tcPr>
          <w:p w14:paraId="7C60D09B">
            <w:pPr>
              <w:pageBreakBefore w:val="0"/>
              <w:widowControl w:val="0"/>
              <w:wordWrap w:val="0"/>
              <w:overflowPunct/>
              <w:bidi w:val="0"/>
              <w:adjustRightInd/>
              <w:snapToGrid/>
              <w:spacing w:line="400" w:lineRule="exact"/>
              <w:ind w:firstLine="0" w:firstLineChars="0"/>
              <w:jc w:val="center"/>
              <w:rPr>
                <w:color w:val="auto"/>
              </w:rPr>
            </w:pPr>
          </w:p>
        </w:tc>
      </w:tr>
      <w:tr w14:paraId="580AA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vAlign w:val="center"/>
          </w:tcPr>
          <w:p w14:paraId="06D7AEB5">
            <w:pPr>
              <w:pageBreakBefore w:val="0"/>
              <w:widowControl w:val="0"/>
              <w:wordWrap w:val="0"/>
              <w:overflowPunct/>
              <w:bidi w:val="0"/>
              <w:adjustRightInd/>
              <w:snapToGrid/>
              <w:spacing w:line="400" w:lineRule="exact"/>
              <w:ind w:firstLine="0" w:firstLineChars="0"/>
              <w:jc w:val="center"/>
              <w:rPr>
                <w:color w:val="auto"/>
              </w:rPr>
            </w:pPr>
            <w:r>
              <w:rPr>
                <w:rFonts w:hint="eastAsia"/>
                <w:color w:val="auto"/>
              </w:rPr>
              <w:t>3</w:t>
            </w:r>
          </w:p>
        </w:tc>
        <w:tc>
          <w:tcPr>
            <w:tcW w:w="1800" w:type="dxa"/>
            <w:vAlign w:val="center"/>
          </w:tcPr>
          <w:p w14:paraId="0C516542">
            <w:pPr>
              <w:pageBreakBefore w:val="0"/>
              <w:widowControl w:val="0"/>
              <w:wordWrap w:val="0"/>
              <w:overflowPunct/>
              <w:bidi w:val="0"/>
              <w:adjustRightInd/>
              <w:snapToGrid/>
              <w:spacing w:line="400" w:lineRule="exact"/>
              <w:ind w:firstLine="0" w:firstLineChars="0"/>
              <w:jc w:val="center"/>
              <w:rPr>
                <w:color w:val="auto"/>
              </w:rPr>
            </w:pPr>
            <w:r>
              <w:rPr>
                <w:rFonts w:hint="eastAsia"/>
                <w:color w:val="auto"/>
              </w:rPr>
              <w:t>验收</w:t>
            </w:r>
          </w:p>
        </w:tc>
        <w:tc>
          <w:tcPr>
            <w:tcW w:w="5898" w:type="dxa"/>
            <w:vAlign w:val="center"/>
          </w:tcPr>
          <w:p w14:paraId="1E142FB8">
            <w:pPr>
              <w:pageBreakBefore w:val="0"/>
              <w:widowControl w:val="0"/>
              <w:wordWrap w:val="0"/>
              <w:overflowPunct/>
              <w:bidi w:val="0"/>
              <w:adjustRightInd/>
              <w:snapToGrid/>
              <w:spacing w:line="400" w:lineRule="exact"/>
              <w:ind w:firstLine="0" w:firstLineChars="0"/>
              <w:jc w:val="center"/>
              <w:rPr>
                <w:color w:val="auto"/>
              </w:rPr>
            </w:pPr>
          </w:p>
        </w:tc>
      </w:tr>
      <w:tr w14:paraId="1676A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vAlign w:val="center"/>
          </w:tcPr>
          <w:p w14:paraId="20A4A632">
            <w:pPr>
              <w:pageBreakBefore w:val="0"/>
              <w:widowControl w:val="0"/>
              <w:wordWrap w:val="0"/>
              <w:overflowPunct/>
              <w:bidi w:val="0"/>
              <w:adjustRightInd/>
              <w:snapToGrid/>
              <w:spacing w:line="400" w:lineRule="exact"/>
              <w:ind w:firstLine="0" w:firstLineChars="0"/>
              <w:jc w:val="center"/>
              <w:rPr>
                <w:color w:val="auto"/>
              </w:rPr>
            </w:pPr>
            <w:r>
              <w:rPr>
                <w:rFonts w:hint="eastAsia"/>
                <w:color w:val="auto"/>
              </w:rPr>
              <w:t>4</w:t>
            </w:r>
          </w:p>
        </w:tc>
        <w:tc>
          <w:tcPr>
            <w:tcW w:w="1800" w:type="dxa"/>
            <w:vAlign w:val="center"/>
          </w:tcPr>
          <w:p w14:paraId="506DC9E2">
            <w:pPr>
              <w:pageBreakBefore w:val="0"/>
              <w:widowControl w:val="0"/>
              <w:wordWrap w:val="0"/>
              <w:overflowPunct/>
              <w:bidi w:val="0"/>
              <w:adjustRightInd/>
              <w:snapToGrid/>
              <w:spacing w:line="400" w:lineRule="exact"/>
              <w:ind w:firstLine="0" w:firstLineChars="0"/>
              <w:jc w:val="center"/>
              <w:rPr>
                <w:color w:val="auto"/>
              </w:rPr>
            </w:pPr>
            <w:r>
              <w:rPr>
                <w:rFonts w:hint="eastAsia"/>
                <w:color w:val="auto"/>
              </w:rPr>
              <w:t>质保期</w:t>
            </w:r>
          </w:p>
        </w:tc>
        <w:tc>
          <w:tcPr>
            <w:tcW w:w="5898" w:type="dxa"/>
            <w:vAlign w:val="center"/>
          </w:tcPr>
          <w:p w14:paraId="51735175">
            <w:pPr>
              <w:pageBreakBefore w:val="0"/>
              <w:widowControl w:val="0"/>
              <w:wordWrap w:val="0"/>
              <w:overflowPunct/>
              <w:bidi w:val="0"/>
              <w:adjustRightInd/>
              <w:snapToGrid/>
              <w:spacing w:line="400" w:lineRule="exact"/>
              <w:ind w:firstLine="0" w:firstLineChars="0"/>
              <w:jc w:val="center"/>
              <w:rPr>
                <w:color w:val="auto"/>
              </w:rPr>
            </w:pPr>
          </w:p>
        </w:tc>
      </w:tr>
      <w:tr w14:paraId="2611F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352" w:type="dxa"/>
            <w:vAlign w:val="center"/>
          </w:tcPr>
          <w:p w14:paraId="05A269D8">
            <w:pPr>
              <w:pageBreakBefore w:val="0"/>
              <w:widowControl w:val="0"/>
              <w:wordWrap w:val="0"/>
              <w:overflowPunct/>
              <w:bidi w:val="0"/>
              <w:adjustRightInd/>
              <w:snapToGrid/>
              <w:spacing w:line="400" w:lineRule="exact"/>
              <w:ind w:firstLine="0" w:firstLineChars="0"/>
              <w:jc w:val="center"/>
              <w:rPr>
                <w:color w:val="auto"/>
              </w:rPr>
            </w:pPr>
            <w:r>
              <w:rPr>
                <w:rFonts w:hint="eastAsia"/>
                <w:color w:val="auto"/>
              </w:rPr>
              <w:t>......</w:t>
            </w:r>
          </w:p>
        </w:tc>
        <w:tc>
          <w:tcPr>
            <w:tcW w:w="1800" w:type="dxa"/>
            <w:vAlign w:val="center"/>
          </w:tcPr>
          <w:p w14:paraId="7AB22BD4">
            <w:pPr>
              <w:pageBreakBefore w:val="0"/>
              <w:widowControl w:val="0"/>
              <w:wordWrap w:val="0"/>
              <w:overflowPunct/>
              <w:bidi w:val="0"/>
              <w:adjustRightInd/>
              <w:snapToGrid/>
              <w:spacing w:line="400" w:lineRule="exact"/>
              <w:ind w:firstLine="0" w:firstLineChars="0"/>
              <w:jc w:val="center"/>
              <w:rPr>
                <w:color w:val="auto"/>
              </w:rPr>
            </w:pPr>
          </w:p>
        </w:tc>
        <w:tc>
          <w:tcPr>
            <w:tcW w:w="5898" w:type="dxa"/>
            <w:vAlign w:val="center"/>
          </w:tcPr>
          <w:p w14:paraId="483A037F">
            <w:pPr>
              <w:pageBreakBefore w:val="0"/>
              <w:widowControl w:val="0"/>
              <w:wordWrap w:val="0"/>
              <w:overflowPunct/>
              <w:bidi w:val="0"/>
              <w:adjustRightInd/>
              <w:snapToGrid/>
              <w:spacing w:line="400" w:lineRule="exact"/>
              <w:ind w:firstLine="0" w:firstLineChars="0"/>
              <w:jc w:val="center"/>
              <w:rPr>
                <w:color w:val="auto"/>
              </w:rPr>
            </w:pPr>
          </w:p>
        </w:tc>
      </w:tr>
    </w:tbl>
    <w:p w14:paraId="159BE8F9">
      <w:pPr>
        <w:pageBreakBefore w:val="0"/>
        <w:wordWrap w:val="0"/>
        <w:overflowPunct/>
        <w:bidi w:val="0"/>
        <w:adjustRightInd/>
        <w:snapToGrid/>
        <w:ind w:firstLine="0" w:firstLineChars="0"/>
        <w:jc w:val="center"/>
        <w:rPr>
          <w:color w:val="auto"/>
        </w:rPr>
      </w:pPr>
      <w:r>
        <w:rPr>
          <w:rFonts w:hint="eastAsia"/>
          <w:color w:val="auto"/>
          <w:spacing w:val="8"/>
          <w:shd w:val="clear" w:color="auto" w:fill="FFFFFF"/>
        </w:rPr>
        <w:br w:type="page"/>
      </w:r>
      <w:r>
        <w:rPr>
          <w:rFonts w:hint="eastAsia"/>
          <w:color w:val="auto"/>
          <w:sz w:val="30"/>
          <w:szCs w:val="30"/>
        </w:rPr>
        <w:t>合同编号：</w:t>
      </w:r>
      <w:r>
        <w:rPr>
          <w:rFonts w:hint="eastAsia"/>
          <w:b/>
          <w:bCs/>
          <w:color w:val="auto"/>
          <w:spacing w:val="6"/>
          <w:sz w:val="32"/>
          <w:szCs w:val="32"/>
        </w:rPr>
        <w:t>X标包号</w:t>
      </w:r>
    </w:p>
    <w:p w14:paraId="5EED0DCB">
      <w:pPr>
        <w:pageBreakBefore w:val="0"/>
        <w:widowControl w:val="0"/>
        <w:wordWrap w:val="0"/>
        <w:overflowPunct/>
        <w:bidi w:val="0"/>
        <w:adjustRightInd/>
        <w:snapToGrid/>
        <w:spacing w:line="440" w:lineRule="exact"/>
        <w:ind w:firstLine="0" w:firstLineChars="0"/>
        <w:jc w:val="both"/>
        <w:rPr>
          <w:color w:val="auto"/>
          <w:sz w:val="30"/>
          <w:szCs w:val="30"/>
        </w:rPr>
      </w:pPr>
    </w:p>
    <w:p w14:paraId="7C67534F">
      <w:pPr>
        <w:pageBreakBefore w:val="0"/>
        <w:widowControl w:val="0"/>
        <w:tabs>
          <w:tab w:val="left" w:pos="4775"/>
        </w:tabs>
        <w:wordWrap w:val="0"/>
        <w:overflowPunct/>
        <w:bidi w:val="0"/>
        <w:adjustRightInd/>
        <w:snapToGrid/>
        <w:ind w:firstLine="0" w:firstLineChars="0"/>
        <w:jc w:val="center"/>
        <w:rPr>
          <w:b/>
          <w:bCs/>
          <w:color w:val="auto"/>
          <w:sz w:val="40"/>
          <w:szCs w:val="36"/>
        </w:rPr>
      </w:pPr>
      <w:r>
        <w:rPr>
          <w:rFonts w:hint="eastAsia"/>
          <w:b/>
          <w:bCs/>
          <w:color w:val="auto"/>
          <w:sz w:val="40"/>
          <w:szCs w:val="36"/>
        </w:rPr>
        <w:t>云南省消防救援总队XX采购项目</w:t>
      </w:r>
    </w:p>
    <w:p w14:paraId="2B1CC5C3">
      <w:pPr>
        <w:pageBreakBefore w:val="0"/>
        <w:widowControl w:val="0"/>
        <w:tabs>
          <w:tab w:val="left" w:pos="4775"/>
        </w:tabs>
        <w:wordWrap w:val="0"/>
        <w:overflowPunct/>
        <w:bidi w:val="0"/>
        <w:adjustRightInd/>
        <w:snapToGrid/>
        <w:ind w:firstLine="0" w:firstLineChars="0"/>
        <w:jc w:val="center"/>
        <w:rPr>
          <w:b/>
          <w:bCs/>
          <w:color w:val="auto"/>
          <w:sz w:val="40"/>
          <w:szCs w:val="36"/>
        </w:rPr>
      </w:pPr>
      <w:r>
        <w:rPr>
          <w:rFonts w:hint="eastAsia"/>
          <w:b/>
          <w:bCs/>
          <w:color w:val="auto"/>
          <w:sz w:val="40"/>
          <w:szCs w:val="36"/>
        </w:rPr>
        <w:t>（车辆部分）</w:t>
      </w:r>
    </w:p>
    <w:p w14:paraId="2701DB9D">
      <w:pPr>
        <w:pageBreakBefore w:val="0"/>
        <w:widowControl w:val="0"/>
        <w:tabs>
          <w:tab w:val="left" w:pos="4775"/>
        </w:tabs>
        <w:wordWrap w:val="0"/>
        <w:overflowPunct/>
        <w:bidi w:val="0"/>
        <w:adjustRightInd/>
        <w:snapToGrid/>
        <w:spacing w:line="440" w:lineRule="exact"/>
        <w:ind w:firstLine="0" w:firstLineChars="0"/>
        <w:jc w:val="center"/>
        <w:rPr>
          <w:b/>
          <w:color w:val="auto"/>
          <w:sz w:val="36"/>
          <w:szCs w:val="36"/>
        </w:rPr>
      </w:pPr>
      <w:r>
        <w:rPr>
          <w:rFonts w:hint="eastAsia"/>
          <w:b/>
          <w:color w:val="auto"/>
          <w:sz w:val="36"/>
          <w:szCs w:val="36"/>
        </w:rPr>
        <w:t>（</w:t>
      </w:r>
      <w:r>
        <w:rPr>
          <w:rFonts w:hint="eastAsia"/>
          <w:b/>
          <w:color w:val="auto"/>
          <w:sz w:val="36"/>
          <w:szCs w:val="36"/>
          <w:u w:val="single"/>
        </w:rPr>
        <w:t xml:space="preserve">    </w:t>
      </w:r>
      <w:r>
        <w:rPr>
          <w:rFonts w:hint="eastAsia"/>
          <w:b/>
          <w:color w:val="auto"/>
          <w:sz w:val="36"/>
          <w:szCs w:val="36"/>
        </w:rPr>
        <w:t>标包）</w:t>
      </w:r>
    </w:p>
    <w:p w14:paraId="62CC698E">
      <w:pPr>
        <w:pageBreakBefore w:val="0"/>
        <w:widowControl w:val="0"/>
        <w:wordWrap w:val="0"/>
        <w:overflowPunct/>
        <w:bidi w:val="0"/>
        <w:adjustRightInd/>
        <w:snapToGrid/>
        <w:spacing w:line="440" w:lineRule="exact"/>
        <w:ind w:firstLine="0" w:firstLineChars="0"/>
        <w:jc w:val="both"/>
        <w:rPr>
          <w:b/>
          <w:bCs/>
          <w:color w:val="auto"/>
          <w:sz w:val="48"/>
          <w:szCs w:val="48"/>
        </w:rPr>
      </w:pPr>
    </w:p>
    <w:p w14:paraId="4EAB42E9">
      <w:pPr>
        <w:pageBreakBefore w:val="0"/>
        <w:widowControl w:val="0"/>
        <w:wordWrap w:val="0"/>
        <w:overflowPunct/>
        <w:bidi w:val="0"/>
        <w:adjustRightInd/>
        <w:snapToGrid/>
        <w:spacing w:line="440" w:lineRule="exact"/>
        <w:ind w:firstLine="0" w:firstLineChars="0"/>
        <w:jc w:val="both"/>
        <w:rPr>
          <w:b/>
          <w:bCs/>
          <w:color w:val="auto"/>
          <w:sz w:val="48"/>
          <w:szCs w:val="48"/>
        </w:rPr>
      </w:pPr>
    </w:p>
    <w:p w14:paraId="48432488">
      <w:pPr>
        <w:pageBreakBefore w:val="0"/>
        <w:widowControl w:val="0"/>
        <w:wordWrap w:val="0"/>
        <w:overflowPunct/>
        <w:bidi w:val="0"/>
        <w:adjustRightInd/>
        <w:snapToGrid/>
        <w:spacing w:line="440" w:lineRule="exact"/>
        <w:ind w:firstLine="0" w:firstLineChars="0"/>
        <w:jc w:val="both"/>
        <w:rPr>
          <w:b/>
          <w:bCs/>
          <w:color w:val="auto"/>
          <w:sz w:val="48"/>
          <w:szCs w:val="48"/>
        </w:rPr>
      </w:pPr>
    </w:p>
    <w:p w14:paraId="02984E9D">
      <w:pPr>
        <w:pageBreakBefore w:val="0"/>
        <w:widowControl w:val="0"/>
        <w:wordWrap w:val="0"/>
        <w:overflowPunct/>
        <w:bidi w:val="0"/>
        <w:adjustRightInd/>
        <w:snapToGrid/>
        <w:spacing w:before="312" w:beforeLines="100" w:after="312" w:afterLines="100" w:line="480" w:lineRule="auto"/>
        <w:ind w:firstLine="0" w:firstLineChars="0"/>
        <w:jc w:val="center"/>
        <w:rPr>
          <w:b/>
          <w:bCs/>
          <w:color w:val="auto"/>
          <w:sz w:val="72"/>
          <w:szCs w:val="72"/>
        </w:rPr>
      </w:pPr>
    </w:p>
    <w:p w14:paraId="5717E757">
      <w:pPr>
        <w:pageBreakBefore w:val="0"/>
        <w:widowControl w:val="0"/>
        <w:wordWrap w:val="0"/>
        <w:overflowPunct/>
        <w:bidi w:val="0"/>
        <w:adjustRightInd/>
        <w:snapToGrid/>
        <w:spacing w:before="312" w:beforeLines="100" w:after="312" w:afterLines="100" w:line="480" w:lineRule="auto"/>
        <w:ind w:firstLine="0" w:firstLineChars="0"/>
        <w:jc w:val="center"/>
        <w:rPr>
          <w:b/>
          <w:bCs/>
          <w:color w:val="auto"/>
          <w:sz w:val="72"/>
          <w:szCs w:val="72"/>
        </w:rPr>
      </w:pPr>
      <w:r>
        <w:rPr>
          <w:rFonts w:hint="eastAsia"/>
          <w:b/>
          <w:bCs/>
          <w:color w:val="auto"/>
          <w:sz w:val="72"/>
          <w:szCs w:val="72"/>
        </w:rPr>
        <w:t>合</w:t>
      </w:r>
    </w:p>
    <w:p w14:paraId="43252B01">
      <w:pPr>
        <w:pageBreakBefore w:val="0"/>
        <w:widowControl w:val="0"/>
        <w:wordWrap w:val="0"/>
        <w:overflowPunct/>
        <w:bidi w:val="0"/>
        <w:adjustRightInd/>
        <w:snapToGrid/>
        <w:spacing w:before="312" w:beforeLines="100" w:after="312" w:afterLines="100" w:line="480" w:lineRule="auto"/>
        <w:ind w:firstLine="0" w:firstLineChars="0"/>
        <w:jc w:val="center"/>
        <w:rPr>
          <w:b/>
          <w:bCs/>
          <w:color w:val="auto"/>
          <w:sz w:val="72"/>
          <w:szCs w:val="72"/>
        </w:rPr>
      </w:pPr>
      <w:r>
        <w:rPr>
          <w:rFonts w:hint="eastAsia"/>
          <w:b/>
          <w:bCs/>
          <w:color w:val="auto"/>
          <w:sz w:val="72"/>
          <w:szCs w:val="72"/>
        </w:rPr>
        <w:t>同</w:t>
      </w:r>
    </w:p>
    <w:p w14:paraId="2E94FC05">
      <w:pPr>
        <w:pageBreakBefore w:val="0"/>
        <w:widowControl w:val="0"/>
        <w:wordWrap w:val="0"/>
        <w:overflowPunct/>
        <w:bidi w:val="0"/>
        <w:adjustRightInd/>
        <w:snapToGrid/>
        <w:spacing w:before="312" w:beforeLines="100" w:after="312" w:afterLines="100" w:line="480" w:lineRule="auto"/>
        <w:ind w:firstLine="0" w:firstLineChars="0"/>
        <w:jc w:val="center"/>
        <w:rPr>
          <w:b/>
          <w:bCs/>
          <w:color w:val="auto"/>
          <w:sz w:val="72"/>
          <w:szCs w:val="72"/>
        </w:rPr>
      </w:pPr>
      <w:r>
        <w:rPr>
          <w:rFonts w:hint="eastAsia"/>
          <w:b/>
          <w:bCs/>
          <w:color w:val="auto"/>
          <w:sz w:val="72"/>
          <w:szCs w:val="72"/>
        </w:rPr>
        <w:t>书</w:t>
      </w:r>
    </w:p>
    <w:p w14:paraId="082F839F">
      <w:pPr>
        <w:pageBreakBefore w:val="0"/>
        <w:widowControl w:val="0"/>
        <w:wordWrap w:val="0"/>
        <w:overflowPunct/>
        <w:bidi w:val="0"/>
        <w:adjustRightInd/>
        <w:snapToGrid/>
        <w:spacing w:line="440" w:lineRule="exact"/>
        <w:ind w:firstLine="0" w:firstLineChars="0"/>
        <w:jc w:val="both"/>
        <w:rPr>
          <w:b/>
          <w:bCs/>
          <w:color w:val="auto"/>
          <w:sz w:val="48"/>
          <w:szCs w:val="48"/>
        </w:rPr>
      </w:pPr>
    </w:p>
    <w:p w14:paraId="24828BE4">
      <w:pPr>
        <w:pageBreakBefore w:val="0"/>
        <w:widowControl w:val="0"/>
        <w:wordWrap w:val="0"/>
        <w:overflowPunct/>
        <w:bidi w:val="0"/>
        <w:adjustRightInd/>
        <w:snapToGrid/>
        <w:spacing w:before="156" w:beforeLines="50" w:after="156" w:afterLines="50" w:line="440" w:lineRule="exact"/>
        <w:ind w:firstLine="0" w:firstLineChars="0"/>
        <w:jc w:val="center"/>
        <w:rPr>
          <w:b/>
          <w:bCs/>
          <w:color w:val="auto"/>
          <w:sz w:val="30"/>
          <w:szCs w:val="30"/>
        </w:rPr>
      </w:pPr>
    </w:p>
    <w:p w14:paraId="1C78F5E7">
      <w:pPr>
        <w:pageBreakBefore w:val="0"/>
        <w:widowControl w:val="0"/>
        <w:wordWrap w:val="0"/>
        <w:overflowPunct/>
        <w:bidi w:val="0"/>
        <w:adjustRightInd/>
        <w:snapToGrid/>
        <w:spacing w:before="156" w:beforeLines="50" w:after="156" w:afterLines="50" w:line="440" w:lineRule="exact"/>
        <w:ind w:firstLine="0" w:firstLineChars="0"/>
        <w:jc w:val="both"/>
        <w:rPr>
          <w:b/>
          <w:bCs/>
          <w:color w:val="auto"/>
          <w:sz w:val="30"/>
          <w:szCs w:val="30"/>
        </w:rPr>
      </w:pPr>
    </w:p>
    <w:p w14:paraId="4E86CF63">
      <w:pPr>
        <w:pageBreakBefore w:val="0"/>
        <w:widowControl w:val="0"/>
        <w:wordWrap w:val="0"/>
        <w:overflowPunct/>
        <w:bidi w:val="0"/>
        <w:adjustRightInd/>
        <w:snapToGrid/>
        <w:spacing w:before="156" w:beforeLines="50" w:after="156" w:afterLines="50" w:line="440" w:lineRule="exact"/>
        <w:ind w:firstLine="0" w:firstLineChars="0"/>
        <w:jc w:val="center"/>
        <w:rPr>
          <w:b/>
          <w:bCs/>
          <w:color w:val="auto"/>
          <w:sz w:val="30"/>
          <w:szCs w:val="30"/>
        </w:rPr>
      </w:pPr>
    </w:p>
    <w:p w14:paraId="4463EAEA">
      <w:pPr>
        <w:pageBreakBefore w:val="0"/>
        <w:widowControl w:val="0"/>
        <w:wordWrap w:val="0"/>
        <w:overflowPunct/>
        <w:bidi w:val="0"/>
        <w:adjustRightInd/>
        <w:snapToGrid/>
        <w:spacing w:before="156" w:beforeLines="50" w:after="156" w:afterLines="50" w:line="440" w:lineRule="exact"/>
        <w:ind w:firstLine="0" w:firstLineChars="0"/>
        <w:jc w:val="both"/>
        <w:rPr>
          <w:b/>
          <w:bCs/>
          <w:color w:val="auto"/>
          <w:sz w:val="30"/>
          <w:szCs w:val="30"/>
        </w:rPr>
      </w:pPr>
    </w:p>
    <w:p w14:paraId="4F015F7C">
      <w:pPr>
        <w:pageBreakBefore w:val="0"/>
        <w:widowControl w:val="0"/>
        <w:wordWrap w:val="0"/>
        <w:overflowPunct/>
        <w:bidi w:val="0"/>
        <w:adjustRightInd/>
        <w:snapToGrid/>
        <w:spacing w:before="156" w:beforeLines="50" w:after="156" w:afterLines="50" w:line="440" w:lineRule="exact"/>
        <w:ind w:firstLine="0" w:firstLineChars="0"/>
        <w:jc w:val="center"/>
        <w:rPr>
          <w:b/>
          <w:bCs/>
          <w:color w:val="auto"/>
          <w:sz w:val="30"/>
          <w:szCs w:val="30"/>
        </w:rPr>
      </w:pPr>
    </w:p>
    <w:p w14:paraId="22B3582C">
      <w:pPr>
        <w:pageBreakBefore w:val="0"/>
        <w:widowControl w:val="0"/>
        <w:wordWrap w:val="0"/>
        <w:overflowPunct/>
        <w:bidi w:val="0"/>
        <w:adjustRightInd/>
        <w:snapToGrid/>
        <w:spacing w:before="156" w:beforeLines="50" w:after="156" w:afterLines="50" w:line="440" w:lineRule="exact"/>
        <w:ind w:firstLine="0" w:firstLineChars="0"/>
        <w:jc w:val="center"/>
        <w:rPr>
          <w:color w:val="auto"/>
          <w:sz w:val="32"/>
          <w:szCs w:val="32"/>
          <w:lang w:val="zh-CN"/>
        </w:rPr>
      </w:pPr>
      <w:r>
        <w:rPr>
          <w:rFonts w:hint="eastAsia"/>
          <w:b/>
          <w:bCs/>
          <w:color w:val="auto"/>
          <w:sz w:val="30"/>
          <w:szCs w:val="30"/>
        </w:rPr>
        <w:t>签订地点：</w:t>
      </w:r>
      <w:r>
        <w:rPr>
          <w:rFonts w:hint="eastAsia"/>
          <w:b/>
          <w:bCs/>
          <w:color w:val="auto"/>
          <w:sz w:val="30"/>
          <w:szCs w:val="30"/>
          <w:u w:val="single"/>
          <w:lang w:val="zh-CN"/>
        </w:rPr>
        <w:t>云南省消防救援总队（云南昆明）</w:t>
      </w:r>
    </w:p>
    <w:p w14:paraId="274C9C38">
      <w:pPr>
        <w:pageBreakBefore w:val="0"/>
        <w:widowControl w:val="0"/>
        <w:wordWrap w:val="0"/>
        <w:overflowPunct/>
        <w:bidi w:val="0"/>
        <w:adjustRightInd/>
        <w:snapToGrid/>
        <w:spacing w:line="440" w:lineRule="exact"/>
        <w:ind w:firstLine="0" w:firstLineChars="0"/>
        <w:jc w:val="both"/>
        <w:rPr>
          <w:b/>
          <w:bCs/>
          <w:color w:val="auto"/>
          <w:lang w:val="zh-CN"/>
        </w:rPr>
      </w:pPr>
      <w:r>
        <w:rPr>
          <w:rFonts w:hint="eastAsia"/>
          <w:color w:val="auto"/>
          <w:sz w:val="32"/>
          <w:szCs w:val="32"/>
          <w:lang w:val="zh-CN"/>
        </w:rPr>
        <w:br w:type="page"/>
      </w:r>
      <w:r>
        <w:rPr>
          <w:rFonts w:hint="eastAsia"/>
          <w:b/>
          <w:bCs/>
          <w:color w:val="auto"/>
          <w:lang w:val="zh-CN"/>
        </w:rPr>
        <w:t>甲方（</w:t>
      </w:r>
      <w:r>
        <w:rPr>
          <w:rFonts w:hint="eastAsia"/>
          <w:b/>
          <w:bCs/>
          <w:color w:val="auto"/>
        </w:rPr>
        <w:t>招标</w:t>
      </w:r>
      <w:r>
        <w:rPr>
          <w:rFonts w:hint="eastAsia"/>
          <w:b/>
          <w:bCs/>
          <w:color w:val="auto"/>
          <w:lang w:val="zh-CN"/>
        </w:rPr>
        <w:t>人）名      称：云南省消防救援总队</w:t>
      </w:r>
      <w:r>
        <w:rPr>
          <w:rFonts w:hint="eastAsia"/>
          <w:b/>
          <w:bCs/>
          <w:color w:val="auto"/>
        </w:rPr>
        <w:t xml:space="preserve"> </w:t>
      </w:r>
    </w:p>
    <w:p w14:paraId="42978A54">
      <w:pPr>
        <w:pageBreakBefore w:val="0"/>
        <w:widowControl w:val="0"/>
        <w:tabs>
          <w:tab w:val="left" w:pos="0"/>
        </w:tabs>
        <w:wordWrap w:val="0"/>
        <w:overflowPunct/>
        <w:bidi w:val="0"/>
        <w:spacing w:line="579" w:lineRule="exact"/>
        <w:jc w:val="both"/>
        <w:rPr>
          <w:color w:val="auto"/>
          <w:lang w:val="zh-CN"/>
        </w:rPr>
      </w:pPr>
      <w:r>
        <w:rPr>
          <w:rFonts w:hint="eastAsia"/>
          <w:color w:val="auto"/>
          <w:lang w:val="zh-CN"/>
        </w:rPr>
        <w:t xml:space="preserve">          </w:t>
      </w:r>
      <w:r>
        <w:rPr>
          <w:rFonts w:hint="eastAsia"/>
          <w:color w:val="auto"/>
        </w:rPr>
        <w:t xml:space="preserve"> </w:t>
      </w:r>
      <w:r>
        <w:rPr>
          <w:rFonts w:hint="eastAsia"/>
          <w:color w:val="auto"/>
          <w:lang w:val="zh-CN"/>
        </w:rPr>
        <w:t xml:space="preserve">地     址：昆明市官渡区海塘路666号 </w:t>
      </w:r>
    </w:p>
    <w:p w14:paraId="329181A2">
      <w:pPr>
        <w:pageBreakBefore w:val="0"/>
        <w:widowControl w:val="0"/>
        <w:tabs>
          <w:tab w:val="left" w:pos="0"/>
        </w:tabs>
        <w:wordWrap w:val="0"/>
        <w:overflowPunct/>
        <w:bidi w:val="0"/>
        <w:spacing w:line="579" w:lineRule="exact"/>
        <w:jc w:val="both"/>
        <w:rPr>
          <w:color w:val="auto"/>
          <w:lang w:val="zh-CN"/>
        </w:rPr>
      </w:pPr>
      <w:r>
        <w:rPr>
          <w:rFonts w:hint="eastAsia"/>
          <w:color w:val="auto"/>
          <w:lang w:val="zh-CN"/>
        </w:rPr>
        <w:t xml:space="preserve">           邮     编：650200 </w:t>
      </w:r>
    </w:p>
    <w:p w14:paraId="706D9D62">
      <w:pPr>
        <w:pageBreakBefore w:val="0"/>
        <w:widowControl w:val="0"/>
        <w:tabs>
          <w:tab w:val="left" w:pos="0"/>
        </w:tabs>
        <w:wordWrap w:val="0"/>
        <w:overflowPunct/>
        <w:bidi w:val="0"/>
        <w:spacing w:line="579" w:lineRule="exact"/>
        <w:jc w:val="both"/>
        <w:rPr>
          <w:color w:val="auto"/>
          <w:lang w:val="zh-CN"/>
        </w:rPr>
      </w:pPr>
      <w:r>
        <w:rPr>
          <w:rFonts w:hint="eastAsia"/>
          <w:color w:val="auto"/>
          <w:lang w:val="zh-CN"/>
        </w:rPr>
        <w:t xml:space="preserve">           负  责  人：</w:t>
      </w:r>
    </w:p>
    <w:p w14:paraId="09B958A5">
      <w:pPr>
        <w:pageBreakBefore w:val="0"/>
        <w:widowControl w:val="0"/>
        <w:tabs>
          <w:tab w:val="left" w:pos="0"/>
        </w:tabs>
        <w:wordWrap w:val="0"/>
        <w:overflowPunct/>
        <w:bidi w:val="0"/>
        <w:spacing w:line="579" w:lineRule="exact"/>
        <w:jc w:val="both"/>
        <w:rPr>
          <w:color w:val="auto"/>
          <w:lang w:val="zh-CN"/>
        </w:rPr>
      </w:pPr>
      <w:r>
        <w:rPr>
          <w:rFonts w:hint="eastAsia"/>
          <w:color w:val="auto"/>
          <w:lang w:val="zh-CN"/>
        </w:rPr>
        <w:t xml:space="preserve">           </w:t>
      </w:r>
      <w:r>
        <w:rPr>
          <w:color w:val="auto"/>
          <w:lang w:val="zh-CN"/>
        </w:rPr>
        <w:t xml:space="preserve"> </w:t>
      </w:r>
      <w:r>
        <w:rPr>
          <w:rFonts w:hint="eastAsia"/>
          <w:color w:val="auto"/>
          <w:lang w:val="zh-CN"/>
        </w:rPr>
        <w:t>其委托代理人：</w:t>
      </w:r>
    </w:p>
    <w:p w14:paraId="63108497">
      <w:pPr>
        <w:pageBreakBefore w:val="0"/>
        <w:widowControl w:val="0"/>
        <w:tabs>
          <w:tab w:val="left" w:pos="0"/>
        </w:tabs>
        <w:wordWrap w:val="0"/>
        <w:overflowPunct/>
        <w:bidi w:val="0"/>
        <w:spacing w:line="579" w:lineRule="exact"/>
        <w:jc w:val="both"/>
        <w:rPr>
          <w:color w:val="auto"/>
          <w:lang w:val="zh-CN"/>
        </w:rPr>
      </w:pPr>
      <w:r>
        <w:rPr>
          <w:rFonts w:hint="eastAsia"/>
          <w:color w:val="auto"/>
          <w:lang w:val="zh-CN"/>
        </w:rPr>
        <w:t xml:space="preserve">           </w:t>
      </w:r>
      <w:r>
        <w:rPr>
          <w:color w:val="auto"/>
          <w:lang w:val="zh-CN"/>
        </w:rPr>
        <w:t xml:space="preserve"> </w:t>
      </w:r>
      <w:r>
        <w:rPr>
          <w:rFonts w:hint="eastAsia"/>
          <w:color w:val="auto"/>
          <w:lang w:val="zh-CN"/>
        </w:rPr>
        <w:t>经  办  人：</w:t>
      </w:r>
    </w:p>
    <w:p w14:paraId="33A45A59">
      <w:pPr>
        <w:pageBreakBefore w:val="0"/>
        <w:widowControl w:val="0"/>
        <w:tabs>
          <w:tab w:val="left" w:pos="0"/>
        </w:tabs>
        <w:wordWrap w:val="0"/>
        <w:overflowPunct/>
        <w:bidi w:val="0"/>
        <w:spacing w:line="579" w:lineRule="exact"/>
        <w:ind w:firstLine="1486" w:firstLineChars="708"/>
        <w:jc w:val="both"/>
        <w:rPr>
          <w:color w:val="auto"/>
        </w:rPr>
      </w:pPr>
      <w:r>
        <w:rPr>
          <w:rFonts w:hint="eastAsia"/>
          <w:color w:val="auto"/>
          <w:lang w:val="zh-CN"/>
        </w:rPr>
        <w:t xml:space="preserve">电 </w:t>
      </w:r>
      <w:r>
        <w:rPr>
          <w:color w:val="auto"/>
          <w:lang w:val="zh-CN"/>
        </w:rPr>
        <w:t xml:space="preserve">      </w:t>
      </w:r>
      <w:r>
        <w:rPr>
          <w:rFonts w:hint="eastAsia"/>
          <w:color w:val="auto"/>
          <w:lang w:val="zh-CN"/>
        </w:rPr>
        <w:t>话： 0871-6456</w:t>
      </w:r>
      <w:r>
        <w:rPr>
          <w:rFonts w:hint="eastAsia"/>
          <w:color w:val="auto"/>
        </w:rPr>
        <w:t>9342</w:t>
      </w:r>
    </w:p>
    <w:p w14:paraId="5FF30422">
      <w:pPr>
        <w:pageBreakBefore w:val="0"/>
        <w:widowControl w:val="0"/>
        <w:tabs>
          <w:tab w:val="left" w:pos="0"/>
        </w:tabs>
        <w:wordWrap w:val="0"/>
        <w:overflowPunct/>
        <w:bidi w:val="0"/>
        <w:spacing w:line="579" w:lineRule="exact"/>
        <w:jc w:val="both"/>
        <w:rPr>
          <w:color w:val="auto"/>
        </w:rPr>
      </w:pPr>
    </w:p>
    <w:p w14:paraId="2A4D463A">
      <w:pPr>
        <w:pageBreakBefore w:val="0"/>
        <w:widowControl w:val="0"/>
        <w:wordWrap w:val="0"/>
        <w:overflowPunct/>
        <w:bidi w:val="0"/>
        <w:adjustRightInd/>
        <w:snapToGrid/>
        <w:spacing w:line="440" w:lineRule="exact"/>
        <w:ind w:firstLine="0" w:firstLineChars="0"/>
        <w:jc w:val="both"/>
        <w:rPr>
          <w:color w:val="auto"/>
        </w:rPr>
      </w:pPr>
    </w:p>
    <w:p w14:paraId="0D70238D">
      <w:pPr>
        <w:pageBreakBefore w:val="0"/>
        <w:widowControl w:val="0"/>
        <w:wordWrap w:val="0"/>
        <w:overflowPunct/>
        <w:bidi w:val="0"/>
        <w:adjustRightInd/>
        <w:snapToGrid/>
        <w:spacing w:before="156" w:beforeLines="50" w:line="579" w:lineRule="exact"/>
        <w:ind w:firstLine="0" w:firstLineChars="0"/>
        <w:jc w:val="both"/>
        <w:rPr>
          <w:b/>
          <w:bCs/>
          <w:color w:val="auto"/>
        </w:rPr>
      </w:pPr>
      <w:r>
        <w:rPr>
          <w:rFonts w:hint="eastAsia"/>
          <w:b/>
          <w:bCs/>
          <w:color w:val="auto"/>
          <w:lang w:val="zh-CN"/>
        </w:rPr>
        <w:t>乙方（中标</w:t>
      </w:r>
      <w:r>
        <w:rPr>
          <w:rFonts w:hint="eastAsia"/>
          <w:b/>
          <w:bCs/>
          <w:color w:val="auto"/>
        </w:rPr>
        <w:t>人</w:t>
      </w:r>
      <w:r>
        <w:rPr>
          <w:rFonts w:hint="eastAsia"/>
          <w:b/>
          <w:bCs/>
          <w:color w:val="auto"/>
          <w:lang w:val="zh-CN"/>
        </w:rPr>
        <w:t>）名      称：</w:t>
      </w:r>
    </w:p>
    <w:p w14:paraId="043853D0">
      <w:pPr>
        <w:pageBreakBefore w:val="0"/>
        <w:widowControl w:val="0"/>
        <w:wordWrap w:val="0"/>
        <w:overflowPunct/>
        <w:bidi w:val="0"/>
        <w:adjustRightInd/>
        <w:snapToGrid/>
        <w:spacing w:before="156" w:beforeLines="50" w:line="579" w:lineRule="exact"/>
        <w:ind w:left="2940" w:hanging="2940" w:hangingChars="1400"/>
        <w:jc w:val="both"/>
        <w:rPr>
          <w:color w:val="auto"/>
        </w:rPr>
      </w:pPr>
      <w:r>
        <w:rPr>
          <w:rFonts w:hint="eastAsia"/>
          <w:color w:val="auto"/>
          <w:lang w:val="zh-CN"/>
        </w:rPr>
        <w:t xml:space="preserve">              地      址：</w:t>
      </w:r>
    </w:p>
    <w:p w14:paraId="5BB42DAF">
      <w:pPr>
        <w:pageBreakBefore w:val="0"/>
        <w:widowControl w:val="0"/>
        <w:wordWrap w:val="0"/>
        <w:overflowPunct/>
        <w:bidi w:val="0"/>
        <w:adjustRightInd/>
        <w:snapToGrid/>
        <w:spacing w:before="156" w:beforeLines="50" w:line="579" w:lineRule="exact"/>
        <w:ind w:firstLine="0" w:firstLineChars="0"/>
        <w:jc w:val="both"/>
        <w:rPr>
          <w:color w:val="auto"/>
          <w:lang w:val="zh-CN"/>
        </w:rPr>
      </w:pPr>
      <w:r>
        <w:rPr>
          <w:rFonts w:hint="eastAsia"/>
          <w:color w:val="auto"/>
          <w:lang w:val="zh-CN"/>
        </w:rPr>
        <w:t xml:space="preserve">              邮      编：</w:t>
      </w:r>
    </w:p>
    <w:p w14:paraId="2A832CF7">
      <w:pPr>
        <w:pageBreakBefore w:val="0"/>
        <w:widowControl w:val="0"/>
        <w:wordWrap w:val="0"/>
        <w:overflowPunct/>
        <w:bidi w:val="0"/>
        <w:adjustRightInd/>
        <w:snapToGrid/>
        <w:spacing w:before="156" w:beforeLines="50" w:line="579" w:lineRule="exact"/>
        <w:ind w:firstLine="0" w:firstLineChars="0"/>
        <w:jc w:val="both"/>
        <w:rPr>
          <w:color w:val="auto"/>
        </w:rPr>
      </w:pPr>
      <w:r>
        <w:rPr>
          <w:rFonts w:hint="eastAsia"/>
          <w:color w:val="auto"/>
          <w:lang w:val="zh-CN"/>
        </w:rPr>
        <w:t xml:space="preserve">              法定代表人：</w:t>
      </w:r>
    </w:p>
    <w:p w14:paraId="28260B1A">
      <w:pPr>
        <w:pageBreakBefore w:val="0"/>
        <w:widowControl w:val="0"/>
        <w:wordWrap w:val="0"/>
        <w:overflowPunct/>
        <w:bidi w:val="0"/>
        <w:adjustRightInd/>
        <w:snapToGrid/>
        <w:spacing w:before="156" w:beforeLines="50" w:line="579" w:lineRule="exact"/>
        <w:ind w:firstLine="1470" w:firstLineChars="700"/>
        <w:jc w:val="both"/>
        <w:rPr>
          <w:color w:val="auto"/>
        </w:rPr>
      </w:pPr>
      <w:r>
        <w:rPr>
          <w:rFonts w:hint="eastAsia"/>
          <w:color w:val="auto"/>
          <w:lang w:val="zh-CN"/>
        </w:rPr>
        <w:t>其委托代理人：       电话：</w:t>
      </w:r>
    </w:p>
    <w:p w14:paraId="44250B0B">
      <w:pPr>
        <w:pageBreakBefore w:val="0"/>
        <w:widowControl w:val="0"/>
        <w:wordWrap w:val="0"/>
        <w:overflowPunct/>
        <w:bidi w:val="0"/>
        <w:adjustRightInd/>
        <w:snapToGrid/>
        <w:spacing w:before="156" w:beforeLines="50" w:line="579" w:lineRule="exact"/>
        <w:ind w:firstLine="1470" w:firstLineChars="700"/>
        <w:jc w:val="both"/>
        <w:rPr>
          <w:color w:val="auto"/>
        </w:rPr>
      </w:pPr>
      <w:r>
        <w:rPr>
          <w:rFonts w:hint="eastAsia"/>
          <w:color w:val="auto"/>
          <w:lang w:val="zh-CN"/>
        </w:rPr>
        <w:t>售后技术联系人：</w:t>
      </w:r>
      <w:r>
        <w:rPr>
          <w:rFonts w:hint="eastAsia"/>
          <w:color w:val="auto"/>
        </w:rPr>
        <w:t xml:space="preserve">       </w:t>
      </w:r>
      <w:r>
        <w:rPr>
          <w:rFonts w:hint="eastAsia"/>
          <w:color w:val="auto"/>
          <w:lang w:val="zh-CN"/>
        </w:rPr>
        <w:t>电话：</w:t>
      </w:r>
    </w:p>
    <w:p w14:paraId="173A1261">
      <w:pPr>
        <w:pageBreakBefore w:val="0"/>
        <w:widowControl w:val="0"/>
        <w:wordWrap w:val="0"/>
        <w:overflowPunct/>
        <w:bidi w:val="0"/>
        <w:adjustRightInd/>
        <w:snapToGrid/>
        <w:spacing w:before="156" w:beforeLines="50" w:line="579" w:lineRule="exact"/>
        <w:ind w:firstLine="1680" w:firstLineChars="800"/>
        <w:jc w:val="both"/>
        <w:rPr>
          <w:color w:val="auto"/>
        </w:rPr>
      </w:pPr>
      <w:r>
        <w:rPr>
          <w:rFonts w:hint="eastAsia"/>
          <w:color w:val="auto"/>
        </w:rPr>
        <w:t>开户银行：</w:t>
      </w:r>
    </w:p>
    <w:p w14:paraId="5A08F982">
      <w:pPr>
        <w:pageBreakBefore w:val="0"/>
        <w:widowControl w:val="0"/>
        <w:wordWrap w:val="0"/>
        <w:overflowPunct/>
        <w:bidi w:val="0"/>
        <w:adjustRightInd/>
        <w:snapToGrid/>
        <w:spacing w:before="156" w:beforeLines="50" w:line="579" w:lineRule="exact"/>
        <w:ind w:firstLine="1680" w:firstLineChars="800"/>
        <w:jc w:val="both"/>
        <w:rPr>
          <w:color w:val="auto"/>
          <w:lang w:val="zh-CN"/>
        </w:rPr>
      </w:pPr>
      <w:r>
        <w:rPr>
          <w:rFonts w:hint="eastAsia"/>
          <w:color w:val="auto"/>
        </w:rPr>
        <w:t>账</w:t>
      </w:r>
      <w:r>
        <w:rPr>
          <w:rFonts w:hint="eastAsia"/>
          <w:color w:val="auto"/>
          <w:lang w:val="zh-CN"/>
        </w:rPr>
        <w:t xml:space="preserve"> </w:t>
      </w:r>
      <w:r>
        <w:rPr>
          <w:rFonts w:hint="eastAsia"/>
          <w:color w:val="auto"/>
        </w:rPr>
        <w:t xml:space="preserve">  </w:t>
      </w:r>
      <w:r>
        <w:rPr>
          <w:rFonts w:hint="eastAsia"/>
          <w:color w:val="auto"/>
          <w:lang w:val="zh-CN"/>
        </w:rPr>
        <w:t xml:space="preserve"> </w:t>
      </w:r>
      <w:r>
        <w:rPr>
          <w:rFonts w:hint="eastAsia"/>
          <w:color w:val="auto"/>
        </w:rPr>
        <w:t>号：</w:t>
      </w:r>
    </w:p>
    <w:p w14:paraId="6070F8D2">
      <w:pPr>
        <w:pageBreakBefore w:val="0"/>
        <w:widowControl w:val="0"/>
        <w:wordWrap w:val="0"/>
        <w:overflowPunct/>
        <w:bidi w:val="0"/>
        <w:adjustRightInd/>
        <w:snapToGrid/>
        <w:spacing w:before="312" w:beforeLines="100" w:line="579" w:lineRule="exact"/>
        <w:ind w:firstLine="630" w:firstLineChars="300"/>
        <w:jc w:val="both"/>
        <w:rPr>
          <w:color w:val="auto"/>
          <w:lang w:val="zh-CN"/>
        </w:rPr>
      </w:pPr>
    </w:p>
    <w:p w14:paraId="4A3F459E">
      <w:pPr>
        <w:pageBreakBefore w:val="0"/>
        <w:widowControl w:val="0"/>
        <w:wordWrap w:val="0"/>
        <w:overflowPunct/>
        <w:bidi w:val="0"/>
        <w:adjustRightInd/>
        <w:snapToGrid/>
        <w:spacing w:before="312" w:beforeLines="100" w:line="579" w:lineRule="exact"/>
        <w:ind w:firstLine="630" w:firstLineChars="300"/>
        <w:jc w:val="both"/>
        <w:rPr>
          <w:b/>
          <w:bCs/>
          <w:color w:val="auto"/>
        </w:rPr>
      </w:pPr>
      <w:bookmarkStart w:id="18" w:name="_Toc71213599"/>
      <w:bookmarkStart w:id="19" w:name="_Toc6473"/>
      <w:r>
        <w:rPr>
          <w:rFonts w:hint="eastAsia"/>
          <w:color w:val="auto"/>
          <w:lang w:val="zh-CN"/>
        </w:rPr>
        <w:t xml:space="preserve">签订日期： </w:t>
      </w:r>
      <w:r>
        <w:rPr>
          <w:rFonts w:hint="eastAsia"/>
          <w:color w:val="auto"/>
          <w:u w:val="single"/>
          <w:lang w:val="zh-CN"/>
        </w:rPr>
        <w:t xml:space="preserve">  </w:t>
      </w:r>
      <w:r>
        <w:rPr>
          <w:rFonts w:hint="eastAsia"/>
          <w:color w:val="auto"/>
          <w:u w:val="single"/>
        </w:rPr>
        <w:t xml:space="preserve">     </w:t>
      </w:r>
      <w:r>
        <w:rPr>
          <w:rFonts w:hint="eastAsia"/>
          <w:color w:val="auto"/>
          <w:lang w:val="zh-CN"/>
        </w:rPr>
        <w:t>年</w:t>
      </w:r>
      <w:r>
        <w:rPr>
          <w:rFonts w:hint="eastAsia"/>
          <w:color w:val="auto"/>
          <w:u w:val="single"/>
          <w:lang w:val="zh-CN"/>
        </w:rPr>
        <w:t xml:space="preserve">  </w:t>
      </w:r>
      <w:r>
        <w:rPr>
          <w:rFonts w:hint="eastAsia"/>
          <w:color w:val="auto"/>
          <w:u w:val="single"/>
        </w:rPr>
        <w:t xml:space="preserve">  </w:t>
      </w:r>
      <w:r>
        <w:rPr>
          <w:rFonts w:hint="eastAsia"/>
          <w:color w:val="auto"/>
          <w:u w:val="single"/>
          <w:lang w:val="zh-CN"/>
        </w:rPr>
        <w:t xml:space="preserve"> </w:t>
      </w:r>
      <w:r>
        <w:rPr>
          <w:rFonts w:hint="eastAsia"/>
          <w:color w:val="auto"/>
          <w:lang w:val="zh-CN"/>
        </w:rPr>
        <w:t>月</w:t>
      </w:r>
      <w:r>
        <w:rPr>
          <w:rFonts w:hint="eastAsia"/>
          <w:color w:val="auto"/>
          <w:u w:val="single"/>
          <w:lang w:val="zh-CN"/>
        </w:rPr>
        <w:t xml:space="preserve"> </w:t>
      </w:r>
      <w:r>
        <w:rPr>
          <w:rFonts w:hint="eastAsia"/>
          <w:color w:val="auto"/>
          <w:u w:val="single"/>
        </w:rPr>
        <w:t xml:space="preserve">  </w:t>
      </w:r>
      <w:r>
        <w:rPr>
          <w:rFonts w:hint="eastAsia"/>
          <w:color w:val="auto"/>
          <w:u w:val="single"/>
          <w:lang w:val="zh-CN"/>
        </w:rPr>
        <w:t xml:space="preserve">  </w:t>
      </w:r>
      <w:r>
        <w:rPr>
          <w:rFonts w:hint="eastAsia"/>
          <w:color w:val="auto"/>
          <w:lang w:val="zh-CN"/>
        </w:rPr>
        <w:t>日</w:t>
      </w:r>
    </w:p>
    <w:p w14:paraId="6F5CD6D3">
      <w:pPr>
        <w:pageBreakBefore w:val="0"/>
        <w:widowControl w:val="0"/>
        <w:wordWrap w:val="0"/>
        <w:overflowPunct/>
        <w:bidi w:val="0"/>
        <w:adjustRightInd/>
        <w:snapToGrid/>
        <w:spacing w:line="440" w:lineRule="exact"/>
        <w:ind w:firstLine="0" w:firstLineChars="0"/>
        <w:jc w:val="both"/>
        <w:rPr>
          <w:rFonts w:ascii="Times New Roman" w:hAnsi="Times New Roman"/>
          <w:color w:val="auto"/>
        </w:rPr>
      </w:pPr>
    </w:p>
    <w:bookmarkEnd w:id="18"/>
    <w:bookmarkEnd w:id="19"/>
    <w:p w14:paraId="08C7FB3A">
      <w:pPr>
        <w:keepNext/>
        <w:keepLines/>
        <w:pageBreakBefore w:val="0"/>
        <w:widowControl w:val="0"/>
        <w:wordWrap w:val="0"/>
        <w:overflowPunct/>
        <w:bidi w:val="0"/>
        <w:ind w:firstLine="803"/>
        <w:jc w:val="center"/>
        <w:outlineLvl w:val="1"/>
        <w:rPr>
          <w:b/>
          <w:color w:val="auto"/>
          <w:spacing w:val="40"/>
          <w:sz w:val="32"/>
          <w:szCs w:val="32"/>
        </w:rPr>
      </w:pPr>
      <w:bookmarkStart w:id="20" w:name="_Toc18733"/>
      <w:bookmarkEnd w:id="20"/>
      <w:r>
        <w:rPr>
          <w:rFonts w:hint="eastAsia"/>
          <w:b/>
          <w:bCs/>
          <w:color w:val="auto"/>
          <w:spacing w:val="40"/>
          <w:sz w:val="32"/>
          <w:szCs w:val="32"/>
        </w:rPr>
        <w:br w:type="page"/>
      </w:r>
      <w:bookmarkStart w:id="21" w:name="_Toc28512"/>
      <w:r>
        <w:rPr>
          <w:rFonts w:hint="eastAsia"/>
          <w:b/>
          <w:bCs/>
          <w:color w:val="auto"/>
          <w:spacing w:val="40"/>
          <w:sz w:val="32"/>
          <w:szCs w:val="32"/>
        </w:rPr>
        <w:t>合 同 书</w:t>
      </w:r>
      <w:bookmarkEnd w:id="21"/>
    </w:p>
    <w:p w14:paraId="26963C98">
      <w:pPr>
        <w:pageBreakBefore w:val="0"/>
        <w:wordWrap w:val="0"/>
        <w:overflowPunct/>
        <w:bidi w:val="0"/>
        <w:spacing w:line="360" w:lineRule="auto"/>
        <w:ind w:firstLine="420" w:firstLineChars="200"/>
        <w:rPr>
          <w:rFonts w:ascii="宋体" w:hAnsi="宋体"/>
          <w:color w:val="auto"/>
          <w:highlight w:val="none"/>
          <w:shd w:val="clear" w:color="auto" w:fill="auto"/>
        </w:rPr>
      </w:pPr>
      <w:bookmarkStart w:id="22" w:name="_Hlk167813415"/>
      <w:r>
        <w:rPr>
          <w:rFonts w:hint="eastAsia" w:ascii="宋体" w:hAnsi="宋体"/>
          <w:color w:val="auto"/>
          <w:kern w:val="2"/>
          <w:highlight w:val="none"/>
          <w:shd w:val="clear" w:color="auto" w:fill="auto"/>
        </w:rPr>
        <w:t>根据《中华人民共和国政府采购法》、《中华人民共和国政府采购法实施条例》、《政府采购货物和服务招标投标管理办法（财政部令第87号）》、《中华人民共和国民法典》等法律、法规和相关规定，通过</w:t>
      </w:r>
      <w:r>
        <w:rPr>
          <w:rFonts w:hint="eastAsia" w:ascii="宋体" w:hAnsi="宋体"/>
          <w:color w:val="auto"/>
          <w:highlight w:val="none"/>
          <w:u w:val="single"/>
          <w:shd w:val="clear" w:color="auto" w:fill="auto"/>
        </w:rPr>
        <w:t xml:space="preserve"> </w:t>
      </w:r>
      <w:r>
        <w:rPr>
          <w:rFonts w:hint="eastAsia" w:ascii="宋体" w:hAnsi="宋体"/>
          <w:color w:val="auto"/>
          <w:highlight w:val="none"/>
          <w:u w:val="single"/>
          <w:shd w:val="clear" w:color="auto" w:fill="auto"/>
          <w:lang w:val="en-US" w:eastAsia="zh-CN"/>
        </w:rPr>
        <w:t xml:space="preserve"> （项目名称）                     </w:t>
      </w:r>
      <w:r>
        <w:rPr>
          <w:rFonts w:hint="eastAsia" w:ascii="宋体" w:hAnsi="宋体"/>
          <w:color w:val="auto"/>
          <w:kern w:val="2"/>
          <w:highlight w:val="none"/>
          <w:shd w:val="clear" w:color="auto" w:fill="auto"/>
        </w:rPr>
        <w:t>（项目编号：</w:t>
      </w:r>
      <w:r>
        <w:rPr>
          <w:rFonts w:hint="eastAsia" w:ascii="宋体" w:hAnsi="宋体"/>
          <w:color w:val="auto"/>
          <w:highlight w:val="none"/>
          <w:u w:val="single"/>
          <w:shd w:val="clear" w:color="auto" w:fill="auto"/>
        </w:rPr>
        <w:t xml:space="preserve">YNSXFJYZD2023NZRZHYJNLTSGCZBPBXM（CLBF）DYPC   </w:t>
      </w:r>
      <w:r>
        <w:rPr>
          <w:rFonts w:hint="eastAsia" w:ascii="宋体" w:hAnsi="宋体"/>
          <w:color w:val="auto"/>
          <w:kern w:val="2"/>
          <w:highlight w:val="none"/>
          <w:shd w:val="clear" w:color="auto" w:fill="auto"/>
        </w:rPr>
        <w:t>）的采购并经评审专家评定，确定</w:t>
      </w:r>
      <w:r>
        <w:rPr>
          <w:rFonts w:hint="eastAsia" w:ascii="宋体" w:hAnsi="宋体"/>
          <w:color w:val="auto"/>
          <w:highlight w:val="none"/>
          <w:u w:val="single"/>
          <w:shd w:val="clear" w:color="auto" w:fill="auto"/>
        </w:rPr>
        <w:t xml:space="preserve"> </w:t>
      </w:r>
      <w:r>
        <w:rPr>
          <w:rFonts w:hint="eastAsia" w:ascii="宋体" w:hAnsi="宋体"/>
          <w:color w:val="auto"/>
          <w:highlight w:val="none"/>
          <w:u w:val="single"/>
          <w:shd w:val="clear" w:color="auto" w:fill="auto"/>
          <w:lang w:val="en-US" w:eastAsia="zh-CN"/>
        </w:rPr>
        <w:t xml:space="preserve">  </w:t>
      </w:r>
      <w:r>
        <w:rPr>
          <w:rFonts w:hint="eastAsia" w:ascii="宋体" w:hAnsi="宋体"/>
          <w:color w:val="auto"/>
          <w:highlight w:val="none"/>
          <w:u w:val="single"/>
          <w:shd w:val="clear" w:color="auto" w:fill="auto"/>
        </w:rPr>
        <w:t xml:space="preserve"> （中标人名称）</w:t>
      </w:r>
      <w:r>
        <w:rPr>
          <w:rFonts w:hint="eastAsia" w:ascii="宋体" w:hAnsi="宋体"/>
          <w:color w:val="auto"/>
          <w:highlight w:val="none"/>
          <w:u w:val="single"/>
          <w:shd w:val="clear" w:color="auto" w:fill="auto"/>
          <w:lang w:val="en-US" w:eastAsia="zh-CN"/>
        </w:rPr>
        <w:t xml:space="preserve"> </w:t>
      </w:r>
      <w:r>
        <w:rPr>
          <w:rFonts w:hint="eastAsia" w:ascii="宋体" w:hAnsi="宋体"/>
          <w:color w:val="auto"/>
          <w:highlight w:val="none"/>
          <w:u w:val="single"/>
          <w:shd w:val="clear" w:color="auto" w:fill="auto"/>
        </w:rPr>
        <w:t xml:space="preserve">                 </w:t>
      </w:r>
      <w:r>
        <w:rPr>
          <w:rFonts w:hint="eastAsia" w:ascii="宋体" w:hAnsi="宋体"/>
          <w:color w:val="auto"/>
          <w:kern w:val="2"/>
          <w:highlight w:val="none"/>
          <w:shd w:val="clear" w:color="auto" w:fill="auto"/>
        </w:rPr>
        <w:t xml:space="preserve">为该项目中标单位。 </w:t>
      </w:r>
      <w:r>
        <w:rPr>
          <w:rFonts w:hint="eastAsia" w:ascii="宋体" w:hAnsi="宋体"/>
          <w:color w:val="auto"/>
          <w:kern w:val="2"/>
          <w:highlight w:val="none"/>
          <w:u w:val="single"/>
          <w:shd w:val="clear" w:color="auto" w:fill="auto"/>
          <w:lang w:val="zh-CN"/>
        </w:rPr>
        <w:t>云南省消防救援总队</w:t>
      </w:r>
      <w:r>
        <w:rPr>
          <w:rFonts w:hint="eastAsia" w:ascii="宋体" w:hAnsi="宋体"/>
          <w:color w:val="auto"/>
          <w:kern w:val="2"/>
          <w:highlight w:val="none"/>
          <w:shd w:val="clear" w:color="auto" w:fill="auto"/>
        </w:rPr>
        <w:t>（以下简称甲方）与</w:t>
      </w:r>
      <w:r>
        <w:rPr>
          <w:rFonts w:hint="eastAsia" w:ascii="宋体" w:hAnsi="宋体"/>
          <w:color w:val="auto"/>
          <w:highlight w:val="none"/>
          <w:u w:val="single"/>
          <w:shd w:val="clear" w:color="auto" w:fill="auto"/>
        </w:rPr>
        <w:t xml:space="preserve">  </w:t>
      </w:r>
      <w:r>
        <w:rPr>
          <w:rFonts w:hint="eastAsia" w:ascii="宋体" w:hAnsi="宋体"/>
          <w:color w:val="auto"/>
          <w:highlight w:val="none"/>
          <w:u w:val="single"/>
          <w:shd w:val="clear" w:color="auto" w:fill="auto"/>
          <w:lang w:val="en-US" w:eastAsia="zh-CN"/>
        </w:rPr>
        <w:t xml:space="preserve">  （中标人名称）       </w:t>
      </w:r>
      <w:r>
        <w:rPr>
          <w:rFonts w:hint="eastAsia" w:ascii="宋体" w:hAnsi="宋体"/>
          <w:color w:val="auto"/>
          <w:highlight w:val="none"/>
          <w:u w:val="single"/>
          <w:shd w:val="clear" w:color="auto" w:fill="auto"/>
        </w:rPr>
        <w:t xml:space="preserve"> </w:t>
      </w:r>
      <w:r>
        <w:rPr>
          <w:rFonts w:hint="eastAsia" w:ascii="宋体" w:hAnsi="宋体"/>
          <w:color w:val="auto"/>
          <w:kern w:val="2"/>
          <w:highlight w:val="none"/>
          <w:shd w:val="clear" w:color="auto" w:fill="auto"/>
        </w:rPr>
        <w:t>（以下简称乙方）经友好协商，在平等自愿、诚实守信的原则下，同意按照下面条款签署本合同。</w:t>
      </w:r>
    </w:p>
    <w:bookmarkEnd w:id="22"/>
    <w:p w14:paraId="0D7D2FD7">
      <w:pPr>
        <w:pageBreakBefore w:val="0"/>
        <w:wordWrap w:val="0"/>
        <w:overflowPunct/>
        <w:bidi w:val="0"/>
        <w:adjustRightInd w:val="0"/>
        <w:snapToGrid w:val="0"/>
        <w:spacing w:line="360" w:lineRule="auto"/>
        <w:ind w:firstLine="422" w:firstLineChars="200"/>
        <w:rPr>
          <w:rFonts w:ascii="宋体" w:hAnsi="宋体"/>
          <w:b/>
          <w:color w:val="auto"/>
          <w:highlight w:val="none"/>
          <w:shd w:val="clear" w:color="auto" w:fill="auto"/>
        </w:rPr>
      </w:pPr>
      <w:r>
        <w:rPr>
          <w:rFonts w:hint="eastAsia" w:ascii="宋体" w:hAnsi="宋体"/>
          <w:b/>
          <w:color w:val="auto"/>
          <w:highlight w:val="none"/>
          <w:shd w:val="clear" w:color="auto" w:fill="auto"/>
        </w:rPr>
        <w:t>一、合同及相关文件</w:t>
      </w:r>
    </w:p>
    <w:p w14:paraId="1016E905">
      <w:pPr>
        <w:pageBreakBefore w:val="0"/>
        <w:wordWrap w:val="0"/>
        <w:overflowPunct/>
        <w:bidi w:val="0"/>
        <w:spacing w:line="360" w:lineRule="auto"/>
        <w:ind w:firstLine="420" w:firstLineChars="200"/>
        <w:rPr>
          <w:rFonts w:ascii="宋体" w:hAnsi="宋体"/>
          <w:color w:val="auto"/>
          <w:highlight w:val="none"/>
          <w:shd w:val="clear" w:color="auto" w:fill="auto"/>
        </w:rPr>
      </w:pPr>
      <w:r>
        <w:rPr>
          <w:rFonts w:hint="eastAsia" w:ascii="宋体" w:hAnsi="宋体"/>
          <w:color w:val="auto"/>
          <w:highlight w:val="none"/>
          <w:shd w:val="clear" w:color="auto" w:fill="auto"/>
        </w:rPr>
        <w:t>（一）下列文件构成本合同的组成部分，应该认为是一个整体，彼此相互解释，相互补充：</w:t>
      </w:r>
    </w:p>
    <w:p w14:paraId="48688038">
      <w:pPr>
        <w:pageBreakBefore w:val="0"/>
        <w:wordWrap w:val="0"/>
        <w:overflowPunct/>
        <w:bidi w:val="0"/>
        <w:spacing w:line="360" w:lineRule="auto"/>
        <w:ind w:firstLine="420" w:firstLineChars="200"/>
        <w:rPr>
          <w:rFonts w:ascii="宋体" w:hAnsi="宋体"/>
          <w:color w:val="auto"/>
          <w:highlight w:val="none"/>
          <w:shd w:val="clear" w:color="auto" w:fill="auto"/>
        </w:rPr>
      </w:pPr>
      <w:r>
        <w:rPr>
          <w:rFonts w:hint="eastAsia" w:ascii="宋体" w:hAnsi="宋体"/>
          <w:color w:val="auto"/>
          <w:highlight w:val="none"/>
          <w:shd w:val="clear" w:color="auto" w:fill="auto"/>
        </w:rPr>
        <w:t>1、本合同书；</w:t>
      </w:r>
    </w:p>
    <w:p w14:paraId="4BF4D2F1">
      <w:pPr>
        <w:pageBreakBefore w:val="0"/>
        <w:wordWrap w:val="0"/>
        <w:overflowPunct/>
        <w:bidi w:val="0"/>
        <w:spacing w:line="360" w:lineRule="auto"/>
        <w:ind w:firstLine="420" w:firstLineChars="200"/>
        <w:rPr>
          <w:rFonts w:ascii="宋体" w:hAnsi="宋体"/>
          <w:color w:val="auto"/>
          <w:highlight w:val="none"/>
          <w:shd w:val="clear" w:color="auto" w:fill="auto"/>
        </w:rPr>
      </w:pPr>
      <w:r>
        <w:rPr>
          <w:rFonts w:hint="eastAsia" w:ascii="宋体" w:hAnsi="宋体"/>
          <w:color w:val="auto"/>
          <w:highlight w:val="none"/>
          <w:shd w:val="clear" w:color="auto" w:fill="auto"/>
        </w:rPr>
        <w:t>2、中标通知书；</w:t>
      </w:r>
    </w:p>
    <w:p w14:paraId="742B3250">
      <w:pPr>
        <w:pageBreakBefore w:val="0"/>
        <w:wordWrap w:val="0"/>
        <w:overflowPunct/>
        <w:bidi w:val="0"/>
        <w:spacing w:line="360" w:lineRule="auto"/>
        <w:ind w:firstLine="420" w:firstLineChars="200"/>
        <w:rPr>
          <w:rFonts w:ascii="宋体" w:hAnsi="宋体"/>
          <w:color w:val="auto"/>
          <w:highlight w:val="none"/>
          <w:shd w:val="clear" w:color="auto" w:fill="auto"/>
        </w:rPr>
      </w:pPr>
      <w:r>
        <w:rPr>
          <w:rFonts w:hint="eastAsia" w:ascii="宋体" w:hAnsi="宋体"/>
          <w:color w:val="auto"/>
          <w:highlight w:val="none"/>
          <w:shd w:val="clear" w:color="auto" w:fill="auto"/>
        </w:rPr>
        <w:t>3、投标文件 (含澄清文件)；</w:t>
      </w:r>
    </w:p>
    <w:p w14:paraId="0A4BEB73">
      <w:pPr>
        <w:pageBreakBefore w:val="0"/>
        <w:wordWrap w:val="0"/>
        <w:overflowPunct/>
        <w:bidi w:val="0"/>
        <w:spacing w:line="360" w:lineRule="auto"/>
        <w:ind w:firstLine="420" w:firstLineChars="200"/>
        <w:rPr>
          <w:rFonts w:ascii="宋体" w:hAnsi="宋体"/>
          <w:color w:val="auto"/>
          <w:highlight w:val="none"/>
          <w:shd w:val="clear" w:color="auto" w:fill="auto"/>
        </w:rPr>
      </w:pPr>
      <w:r>
        <w:rPr>
          <w:rFonts w:hint="eastAsia" w:ascii="宋体" w:hAnsi="宋体"/>
          <w:color w:val="auto"/>
          <w:highlight w:val="none"/>
          <w:shd w:val="clear" w:color="auto" w:fill="auto"/>
        </w:rPr>
        <w:t>4、招标文件 (含招标文件补充通知)。</w:t>
      </w:r>
    </w:p>
    <w:p w14:paraId="7A1F9162">
      <w:pPr>
        <w:pageBreakBefore w:val="0"/>
        <w:wordWrap w:val="0"/>
        <w:overflowPunct/>
        <w:bidi w:val="0"/>
        <w:adjustRightInd w:val="0"/>
        <w:snapToGrid w:val="0"/>
        <w:spacing w:line="360" w:lineRule="auto"/>
        <w:ind w:firstLine="420" w:firstLineChars="200"/>
        <w:rPr>
          <w:rFonts w:ascii="宋体" w:hAnsi="宋体"/>
          <w:color w:val="auto"/>
          <w:highlight w:val="none"/>
          <w:shd w:val="clear" w:color="auto" w:fill="auto"/>
        </w:rPr>
      </w:pPr>
      <w:r>
        <w:rPr>
          <w:rFonts w:hint="eastAsia" w:ascii="宋体" w:hAnsi="宋体"/>
          <w:color w:val="auto"/>
          <w:highlight w:val="none"/>
          <w:shd w:val="clear" w:color="auto" w:fill="auto"/>
        </w:rPr>
        <w:t>（二）对于同一事项在中标人投标文件中的承诺优于招标文件要求的，或招标文件中未提出明确要求的事项，均以中标人投标文件内容为准。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p>
    <w:p w14:paraId="3720D227">
      <w:pPr>
        <w:pageBreakBefore w:val="0"/>
        <w:wordWrap w:val="0"/>
        <w:overflowPunct/>
        <w:bidi w:val="0"/>
        <w:adjustRightInd w:val="0"/>
        <w:snapToGrid w:val="0"/>
        <w:spacing w:line="360" w:lineRule="auto"/>
        <w:ind w:firstLine="420" w:firstLineChars="200"/>
        <w:rPr>
          <w:color w:val="auto"/>
          <w:highlight w:val="none"/>
          <w:shd w:val="clear" w:color="auto" w:fill="auto"/>
        </w:rPr>
      </w:pPr>
      <w:r>
        <w:rPr>
          <w:rFonts w:hint="eastAsia" w:ascii="宋体" w:hAnsi="宋体"/>
          <w:color w:val="auto"/>
          <w:kern w:val="2"/>
          <w:highlight w:val="none"/>
          <w:shd w:val="clear" w:color="auto" w:fill="auto"/>
        </w:rPr>
        <w:t>（三）合同签订方式：采取“统招分签”方式，由总队统一与中标单位签订本《总体框架合同书》，并且由</w:t>
      </w:r>
      <w:r>
        <w:rPr>
          <w:rFonts w:hint="eastAsia" w:ascii="宋体" w:hAnsi="宋体"/>
          <w:color w:val="auto"/>
          <w:kern w:val="2"/>
          <w:highlight w:val="none"/>
          <w:shd w:val="clear" w:color="auto" w:fill="auto"/>
          <w:lang w:val="en-US" w:eastAsia="zh-CN"/>
        </w:rPr>
        <w:t>总队</w:t>
      </w:r>
      <w:r>
        <w:rPr>
          <w:rFonts w:hint="eastAsia" w:ascii="宋体" w:hAnsi="宋体"/>
          <w:color w:val="auto"/>
          <w:kern w:val="2"/>
          <w:highlight w:val="none"/>
          <w:shd w:val="clear" w:color="auto" w:fill="auto"/>
        </w:rPr>
        <w:t>制定具体采购合同模板下发所属各支队，由中标单位分别根据具体批次、标包与</w:t>
      </w:r>
      <w:bookmarkStart w:id="23" w:name="_Hlk167813494"/>
      <w:r>
        <w:rPr>
          <w:rFonts w:hint="eastAsia" w:ascii="宋体" w:hAnsi="宋体"/>
          <w:color w:val="auto"/>
          <w:kern w:val="2"/>
          <w:highlight w:val="none"/>
          <w:shd w:val="clear" w:color="auto" w:fill="auto"/>
          <w:lang w:val="en-US" w:eastAsia="zh-CN"/>
        </w:rPr>
        <w:t>总队</w:t>
      </w:r>
      <w:r>
        <w:rPr>
          <w:rFonts w:hint="eastAsia" w:ascii="宋体" w:hAnsi="宋体"/>
          <w:color w:val="auto"/>
          <w:kern w:val="2"/>
          <w:highlight w:val="none"/>
          <w:shd w:val="clear" w:color="auto" w:fill="auto"/>
        </w:rPr>
        <w:t>所属</w:t>
      </w:r>
      <w:r>
        <w:rPr>
          <w:rFonts w:hint="eastAsia" w:ascii="宋体" w:hAnsi="宋体"/>
          <w:color w:val="auto"/>
          <w:kern w:val="2"/>
          <w:highlight w:val="none"/>
          <w:u w:val="single"/>
          <w:shd w:val="clear" w:color="auto" w:fill="auto"/>
        </w:rPr>
        <w:t xml:space="preserve">   </w:t>
      </w:r>
      <w:r>
        <w:rPr>
          <w:rFonts w:hint="eastAsia" w:ascii="宋体" w:hAnsi="宋体"/>
          <w:color w:val="auto"/>
          <w:kern w:val="2"/>
          <w:highlight w:val="none"/>
          <w:u w:val="single"/>
          <w:shd w:val="clear" w:color="auto" w:fill="auto"/>
          <w:lang w:val="en-US" w:eastAsia="zh-CN"/>
        </w:rPr>
        <w:t xml:space="preserve">    </w:t>
      </w:r>
      <w:r>
        <w:rPr>
          <w:rFonts w:hint="eastAsia" w:ascii="宋体" w:hAnsi="宋体"/>
          <w:color w:val="auto"/>
          <w:kern w:val="2"/>
          <w:highlight w:val="none"/>
          <w:u w:val="single"/>
          <w:shd w:val="clear" w:color="auto" w:fill="auto"/>
        </w:rPr>
        <w:t xml:space="preserve">  </w:t>
      </w:r>
      <w:bookmarkEnd w:id="23"/>
      <w:r>
        <w:rPr>
          <w:rFonts w:hint="eastAsia" w:ascii="宋体" w:hAnsi="宋体"/>
          <w:color w:val="auto"/>
          <w:kern w:val="2"/>
          <w:highlight w:val="none"/>
          <w:shd w:val="clear" w:color="auto" w:fill="auto"/>
        </w:rPr>
        <w:t>签订具体采购合同，</w:t>
      </w:r>
      <w:bookmarkStart w:id="24" w:name="_Hlk167347795"/>
      <w:r>
        <w:rPr>
          <w:rFonts w:hint="eastAsia" w:ascii="宋体" w:hAnsi="宋体"/>
          <w:color w:val="auto"/>
          <w:kern w:val="2"/>
          <w:highlight w:val="none"/>
          <w:shd w:val="clear" w:color="auto" w:fill="auto"/>
        </w:rPr>
        <w:t>货款亦由各支队进行支付</w:t>
      </w:r>
      <w:bookmarkEnd w:id="24"/>
      <w:r>
        <w:rPr>
          <w:rFonts w:hint="eastAsia" w:ascii="宋体" w:hAnsi="宋体"/>
          <w:color w:val="auto"/>
          <w:kern w:val="2"/>
          <w:highlight w:val="none"/>
          <w:shd w:val="clear" w:color="auto" w:fill="auto"/>
        </w:rPr>
        <w:t>。</w:t>
      </w:r>
    </w:p>
    <w:p w14:paraId="6331DCFD">
      <w:pPr>
        <w:pageBreakBefore w:val="0"/>
        <w:wordWrap w:val="0"/>
        <w:overflowPunct/>
        <w:bidi w:val="0"/>
        <w:adjustRightInd w:val="0"/>
        <w:snapToGrid w:val="0"/>
        <w:spacing w:line="360" w:lineRule="auto"/>
        <w:ind w:firstLine="422" w:firstLineChars="200"/>
        <w:rPr>
          <w:rFonts w:hint="eastAsia" w:ascii="宋体" w:hAnsi="宋体"/>
          <w:b/>
          <w:color w:val="auto"/>
          <w:kern w:val="2"/>
          <w:highlight w:val="none"/>
          <w:shd w:val="clear" w:color="auto" w:fill="auto"/>
        </w:rPr>
      </w:pPr>
      <w:r>
        <w:rPr>
          <w:rFonts w:hint="eastAsia" w:ascii="宋体" w:hAnsi="宋体"/>
          <w:b/>
          <w:color w:val="auto"/>
          <w:kern w:val="2"/>
          <w:highlight w:val="none"/>
          <w:shd w:val="clear" w:color="auto" w:fill="auto"/>
        </w:rPr>
        <w:t>二、采购概况</w:t>
      </w:r>
    </w:p>
    <w:p w14:paraId="6322965B">
      <w:pPr>
        <w:keepNext w:val="0"/>
        <w:keepLines w:val="0"/>
        <w:pageBreakBefore w:val="0"/>
        <w:kinsoku/>
        <w:wordWrap w:val="0"/>
        <w:overflowPunct/>
        <w:topLinePunct w:val="0"/>
        <w:autoSpaceDE/>
        <w:autoSpaceDN/>
        <w:bidi w:val="0"/>
        <w:snapToGrid w:val="0"/>
        <w:spacing w:line="240" w:lineRule="auto"/>
        <w:jc w:val="center"/>
        <w:rPr>
          <w:b/>
          <w:bCs/>
          <w:color w:val="auto"/>
          <w:highlight w:val="none"/>
          <w:shd w:val="clear" w:color="auto" w:fill="auto"/>
        </w:rPr>
      </w:pPr>
      <w:bookmarkStart w:id="25" w:name="_Toc21415"/>
      <w:bookmarkStart w:id="26" w:name="_Toc117252386"/>
      <w:r>
        <w:rPr>
          <w:rFonts w:hint="eastAsia"/>
          <w:b/>
          <w:bCs/>
          <w:color w:val="auto"/>
          <w:highlight w:val="none"/>
          <w:shd w:val="clear" w:color="auto" w:fill="auto"/>
        </w:rPr>
        <w:t>采购清单</w:t>
      </w:r>
      <w:bookmarkEnd w:id="25"/>
      <w:bookmarkEnd w:id="26"/>
      <w:r>
        <w:rPr>
          <w:rFonts w:hint="eastAsia"/>
          <w:b/>
          <w:bCs/>
          <w:color w:val="auto"/>
          <w:highlight w:val="none"/>
          <w:shd w:val="clear" w:color="auto" w:fill="auto"/>
        </w:rPr>
        <w:t>明细</w:t>
      </w:r>
    </w:p>
    <w:tbl>
      <w:tblPr>
        <w:tblStyle w:val="26"/>
        <w:tblW w:w="10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378"/>
        <w:gridCol w:w="709"/>
        <w:gridCol w:w="1153"/>
        <w:gridCol w:w="1054"/>
        <w:gridCol w:w="1285"/>
        <w:gridCol w:w="790"/>
        <w:gridCol w:w="735"/>
        <w:gridCol w:w="1274"/>
        <w:gridCol w:w="1254"/>
      </w:tblGrid>
      <w:tr w14:paraId="156C7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43" w:type="dxa"/>
            <w:shd w:val="clear" w:color="auto" w:fill="BFBFBF"/>
            <w:vAlign w:val="center"/>
          </w:tcPr>
          <w:p w14:paraId="4A29E25C">
            <w:pPr>
              <w:keepNext w:val="0"/>
              <w:keepLines w:val="0"/>
              <w:pageBreakBefore w:val="0"/>
              <w:kinsoku/>
              <w:wordWrap w:val="0"/>
              <w:overflowPunct/>
              <w:topLinePunct w:val="0"/>
              <w:autoSpaceDE/>
              <w:autoSpaceDN/>
              <w:bidi w:val="0"/>
              <w:snapToGrid w:val="0"/>
              <w:spacing w:line="240" w:lineRule="auto"/>
              <w:ind w:left="0" w:leftChars="0" w:firstLine="0" w:firstLineChars="0"/>
              <w:jc w:val="both"/>
              <w:rPr>
                <w:rFonts w:ascii="宋体" w:hAnsi="宋体"/>
                <w:b/>
                <w:bCs/>
                <w:color w:val="auto"/>
                <w:kern w:val="2"/>
                <w:sz w:val="21"/>
                <w:szCs w:val="21"/>
                <w:highlight w:val="none"/>
                <w:shd w:val="clear" w:color="auto" w:fill="auto"/>
              </w:rPr>
            </w:pPr>
            <w:bookmarkStart w:id="27" w:name="_Hlk167346663"/>
            <w:r>
              <w:rPr>
                <w:rFonts w:hint="eastAsia" w:ascii="宋体" w:hAnsi="宋体"/>
                <w:b/>
                <w:bCs/>
                <w:color w:val="auto"/>
                <w:kern w:val="2"/>
                <w:sz w:val="21"/>
                <w:szCs w:val="21"/>
                <w:highlight w:val="none"/>
                <w:shd w:val="clear" w:color="auto" w:fill="auto"/>
              </w:rPr>
              <w:t>序号</w:t>
            </w:r>
          </w:p>
        </w:tc>
        <w:tc>
          <w:tcPr>
            <w:tcW w:w="1378" w:type="dxa"/>
            <w:shd w:val="clear" w:color="auto" w:fill="BFBFBF"/>
            <w:vAlign w:val="center"/>
          </w:tcPr>
          <w:p w14:paraId="3D57EBBD">
            <w:pPr>
              <w:keepNext w:val="0"/>
              <w:keepLines w:val="0"/>
              <w:pageBreakBefore w:val="0"/>
              <w:kinsoku/>
              <w:wordWrap w:val="0"/>
              <w:overflowPunct/>
              <w:topLinePunct w:val="0"/>
              <w:autoSpaceDE/>
              <w:autoSpaceDN/>
              <w:bidi w:val="0"/>
              <w:snapToGrid w:val="0"/>
              <w:spacing w:line="240" w:lineRule="auto"/>
              <w:ind w:left="0" w:leftChars="0" w:firstLine="0" w:firstLineChars="0"/>
              <w:jc w:val="both"/>
              <w:rPr>
                <w:rFonts w:ascii="宋体" w:hAnsi="宋体"/>
                <w:b/>
                <w:bCs/>
                <w:color w:val="auto"/>
                <w:kern w:val="2"/>
                <w:sz w:val="21"/>
                <w:szCs w:val="21"/>
                <w:highlight w:val="none"/>
                <w:shd w:val="clear" w:color="auto" w:fill="auto"/>
              </w:rPr>
            </w:pPr>
            <w:r>
              <w:rPr>
                <w:rFonts w:hint="eastAsia" w:ascii="宋体" w:hAnsi="宋体"/>
                <w:b/>
                <w:bCs/>
                <w:color w:val="auto"/>
                <w:kern w:val="2"/>
                <w:sz w:val="21"/>
                <w:szCs w:val="21"/>
                <w:highlight w:val="none"/>
                <w:shd w:val="clear" w:color="auto" w:fill="auto"/>
              </w:rPr>
              <w:t>装备名称</w:t>
            </w:r>
          </w:p>
        </w:tc>
        <w:tc>
          <w:tcPr>
            <w:tcW w:w="709" w:type="dxa"/>
            <w:shd w:val="clear" w:color="auto" w:fill="BFBFBF"/>
            <w:vAlign w:val="center"/>
          </w:tcPr>
          <w:p w14:paraId="7884D63C">
            <w:pPr>
              <w:keepNext w:val="0"/>
              <w:keepLines w:val="0"/>
              <w:pageBreakBefore w:val="0"/>
              <w:kinsoku/>
              <w:wordWrap w:val="0"/>
              <w:overflowPunct/>
              <w:topLinePunct w:val="0"/>
              <w:autoSpaceDE/>
              <w:autoSpaceDN/>
              <w:bidi w:val="0"/>
              <w:snapToGrid w:val="0"/>
              <w:spacing w:line="240" w:lineRule="auto"/>
              <w:ind w:left="0" w:leftChars="0" w:firstLine="0" w:firstLineChars="0"/>
              <w:jc w:val="both"/>
              <w:rPr>
                <w:rFonts w:ascii="宋体" w:hAnsi="宋体"/>
                <w:b/>
                <w:bCs/>
                <w:color w:val="auto"/>
                <w:kern w:val="2"/>
                <w:sz w:val="21"/>
                <w:szCs w:val="21"/>
                <w:highlight w:val="none"/>
                <w:shd w:val="clear" w:color="auto" w:fill="auto"/>
              </w:rPr>
            </w:pPr>
            <w:r>
              <w:rPr>
                <w:rFonts w:hint="eastAsia" w:ascii="宋体" w:hAnsi="宋体"/>
                <w:b/>
                <w:bCs/>
                <w:color w:val="auto"/>
                <w:kern w:val="2"/>
                <w:sz w:val="21"/>
                <w:szCs w:val="21"/>
                <w:highlight w:val="none"/>
                <w:shd w:val="clear" w:color="auto" w:fill="auto"/>
              </w:rPr>
              <w:t>品牌</w:t>
            </w:r>
          </w:p>
        </w:tc>
        <w:tc>
          <w:tcPr>
            <w:tcW w:w="1153" w:type="dxa"/>
            <w:shd w:val="clear" w:color="auto" w:fill="BFBFBF"/>
            <w:vAlign w:val="center"/>
          </w:tcPr>
          <w:p w14:paraId="0372993A">
            <w:pPr>
              <w:keepNext w:val="0"/>
              <w:keepLines w:val="0"/>
              <w:pageBreakBefore w:val="0"/>
              <w:kinsoku/>
              <w:wordWrap w:val="0"/>
              <w:overflowPunct/>
              <w:topLinePunct w:val="0"/>
              <w:autoSpaceDE/>
              <w:autoSpaceDN/>
              <w:bidi w:val="0"/>
              <w:snapToGrid w:val="0"/>
              <w:spacing w:line="240" w:lineRule="auto"/>
              <w:ind w:left="0" w:leftChars="0" w:firstLine="0" w:firstLineChars="0"/>
              <w:jc w:val="both"/>
              <w:rPr>
                <w:rFonts w:ascii="宋体" w:hAnsi="宋体"/>
                <w:b/>
                <w:bCs/>
                <w:color w:val="auto"/>
                <w:kern w:val="2"/>
                <w:sz w:val="21"/>
                <w:szCs w:val="21"/>
                <w:highlight w:val="none"/>
                <w:shd w:val="clear" w:color="auto" w:fill="auto"/>
              </w:rPr>
            </w:pPr>
            <w:r>
              <w:rPr>
                <w:rFonts w:hint="eastAsia" w:ascii="宋体" w:hAnsi="宋体"/>
                <w:b/>
                <w:bCs/>
                <w:color w:val="auto"/>
                <w:kern w:val="2"/>
                <w:sz w:val="21"/>
                <w:szCs w:val="21"/>
                <w:highlight w:val="none"/>
                <w:shd w:val="clear" w:color="auto" w:fill="auto"/>
              </w:rPr>
              <w:t>型号规格</w:t>
            </w:r>
          </w:p>
        </w:tc>
        <w:tc>
          <w:tcPr>
            <w:tcW w:w="1054" w:type="dxa"/>
            <w:shd w:val="clear" w:color="auto" w:fill="BFBFBF"/>
            <w:vAlign w:val="center"/>
          </w:tcPr>
          <w:p w14:paraId="4484FCE9">
            <w:pPr>
              <w:keepNext w:val="0"/>
              <w:keepLines w:val="0"/>
              <w:pageBreakBefore w:val="0"/>
              <w:kinsoku/>
              <w:wordWrap w:val="0"/>
              <w:overflowPunct/>
              <w:topLinePunct w:val="0"/>
              <w:autoSpaceDE/>
              <w:autoSpaceDN/>
              <w:bidi w:val="0"/>
              <w:snapToGrid w:val="0"/>
              <w:spacing w:line="240" w:lineRule="auto"/>
              <w:ind w:left="0" w:leftChars="0" w:firstLine="0" w:firstLineChars="0"/>
              <w:jc w:val="both"/>
              <w:rPr>
                <w:rFonts w:ascii="宋体" w:hAnsi="宋体"/>
                <w:b/>
                <w:bCs/>
                <w:color w:val="auto"/>
                <w:kern w:val="2"/>
                <w:sz w:val="21"/>
                <w:szCs w:val="21"/>
                <w:highlight w:val="none"/>
                <w:shd w:val="clear" w:color="auto" w:fill="auto"/>
              </w:rPr>
            </w:pPr>
            <w:r>
              <w:rPr>
                <w:rFonts w:hint="eastAsia" w:ascii="宋体" w:hAnsi="宋体"/>
                <w:b/>
                <w:bCs/>
                <w:color w:val="auto"/>
                <w:kern w:val="2"/>
                <w:sz w:val="21"/>
                <w:szCs w:val="21"/>
                <w:highlight w:val="none"/>
                <w:shd w:val="clear" w:color="auto" w:fill="auto"/>
              </w:rPr>
              <w:t>产地</w:t>
            </w:r>
          </w:p>
        </w:tc>
        <w:tc>
          <w:tcPr>
            <w:tcW w:w="1285" w:type="dxa"/>
            <w:shd w:val="clear" w:color="auto" w:fill="BFBFBF"/>
            <w:vAlign w:val="center"/>
          </w:tcPr>
          <w:p w14:paraId="2C1CCC25">
            <w:pPr>
              <w:keepNext w:val="0"/>
              <w:keepLines w:val="0"/>
              <w:pageBreakBefore w:val="0"/>
              <w:kinsoku/>
              <w:wordWrap w:val="0"/>
              <w:overflowPunct/>
              <w:topLinePunct w:val="0"/>
              <w:autoSpaceDE/>
              <w:autoSpaceDN/>
              <w:bidi w:val="0"/>
              <w:snapToGrid w:val="0"/>
              <w:spacing w:line="240" w:lineRule="auto"/>
              <w:ind w:left="0" w:leftChars="0" w:firstLine="0" w:firstLineChars="0"/>
              <w:jc w:val="both"/>
              <w:rPr>
                <w:rFonts w:ascii="宋体" w:hAnsi="宋体"/>
                <w:b/>
                <w:bCs/>
                <w:color w:val="auto"/>
                <w:kern w:val="2"/>
                <w:sz w:val="21"/>
                <w:szCs w:val="21"/>
                <w:highlight w:val="none"/>
                <w:shd w:val="clear" w:color="auto" w:fill="auto"/>
              </w:rPr>
            </w:pPr>
            <w:r>
              <w:rPr>
                <w:rFonts w:hint="eastAsia" w:ascii="宋体" w:hAnsi="宋体"/>
                <w:b/>
                <w:bCs/>
                <w:color w:val="auto"/>
                <w:kern w:val="2"/>
                <w:sz w:val="21"/>
                <w:szCs w:val="21"/>
                <w:highlight w:val="none"/>
                <w:shd w:val="clear" w:color="auto" w:fill="auto"/>
              </w:rPr>
              <w:t>制造商</w:t>
            </w:r>
          </w:p>
        </w:tc>
        <w:tc>
          <w:tcPr>
            <w:tcW w:w="790" w:type="dxa"/>
            <w:shd w:val="clear" w:color="auto" w:fill="BFBFBF"/>
            <w:vAlign w:val="center"/>
          </w:tcPr>
          <w:p w14:paraId="29FFAE51">
            <w:pPr>
              <w:keepNext w:val="0"/>
              <w:keepLines w:val="0"/>
              <w:pageBreakBefore w:val="0"/>
              <w:kinsoku/>
              <w:wordWrap w:val="0"/>
              <w:overflowPunct/>
              <w:topLinePunct w:val="0"/>
              <w:autoSpaceDE/>
              <w:autoSpaceDN/>
              <w:bidi w:val="0"/>
              <w:snapToGrid w:val="0"/>
              <w:spacing w:line="240" w:lineRule="auto"/>
              <w:ind w:left="0" w:leftChars="0" w:firstLine="0" w:firstLineChars="0"/>
              <w:jc w:val="both"/>
              <w:rPr>
                <w:rFonts w:ascii="宋体" w:hAnsi="宋体"/>
                <w:b/>
                <w:bCs/>
                <w:color w:val="auto"/>
                <w:kern w:val="2"/>
                <w:sz w:val="21"/>
                <w:szCs w:val="21"/>
                <w:highlight w:val="none"/>
                <w:shd w:val="clear" w:color="auto" w:fill="auto"/>
              </w:rPr>
            </w:pPr>
            <w:r>
              <w:rPr>
                <w:rFonts w:hint="eastAsia" w:ascii="宋体" w:hAnsi="宋体"/>
                <w:b/>
                <w:bCs/>
                <w:color w:val="auto"/>
                <w:kern w:val="2"/>
                <w:sz w:val="21"/>
                <w:szCs w:val="21"/>
                <w:highlight w:val="none"/>
                <w:shd w:val="clear" w:color="auto" w:fill="auto"/>
              </w:rPr>
              <w:t>数量</w:t>
            </w:r>
          </w:p>
        </w:tc>
        <w:tc>
          <w:tcPr>
            <w:tcW w:w="735" w:type="dxa"/>
            <w:shd w:val="clear" w:color="auto" w:fill="BFBFBF"/>
            <w:vAlign w:val="center"/>
          </w:tcPr>
          <w:p w14:paraId="78899205">
            <w:pPr>
              <w:keepNext w:val="0"/>
              <w:keepLines w:val="0"/>
              <w:pageBreakBefore w:val="0"/>
              <w:widowControl/>
              <w:kinsoku/>
              <w:wordWrap w:val="0"/>
              <w:overflowPunct/>
              <w:topLinePunct w:val="0"/>
              <w:autoSpaceDE/>
              <w:autoSpaceDN/>
              <w:bidi w:val="0"/>
              <w:snapToGrid w:val="0"/>
              <w:spacing w:line="240" w:lineRule="auto"/>
              <w:ind w:left="0" w:leftChars="0" w:firstLine="0" w:firstLineChars="0"/>
              <w:jc w:val="both"/>
              <w:rPr>
                <w:rFonts w:ascii="宋体" w:hAnsi="宋体"/>
                <w:b/>
                <w:bCs/>
                <w:color w:val="auto"/>
                <w:kern w:val="2"/>
                <w:sz w:val="21"/>
                <w:szCs w:val="21"/>
                <w:highlight w:val="none"/>
                <w:shd w:val="clear" w:color="auto" w:fill="auto"/>
              </w:rPr>
            </w:pPr>
            <w:r>
              <w:rPr>
                <w:rFonts w:hint="eastAsia" w:ascii="宋体" w:hAnsi="宋体"/>
                <w:b/>
                <w:bCs/>
                <w:color w:val="auto"/>
                <w:sz w:val="21"/>
                <w:szCs w:val="21"/>
                <w:highlight w:val="none"/>
                <w:shd w:val="clear" w:color="auto" w:fill="auto"/>
                <w:lang w:bidi="ar"/>
              </w:rPr>
              <w:t>单位</w:t>
            </w:r>
          </w:p>
        </w:tc>
        <w:tc>
          <w:tcPr>
            <w:tcW w:w="1274" w:type="dxa"/>
            <w:shd w:val="clear" w:color="auto" w:fill="BFBFBF"/>
            <w:vAlign w:val="center"/>
          </w:tcPr>
          <w:p w14:paraId="4E6FFA9D">
            <w:pPr>
              <w:keepNext w:val="0"/>
              <w:keepLines w:val="0"/>
              <w:pageBreakBefore w:val="0"/>
              <w:widowControl/>
              <w:kinsoku/>
              <w:wordWrap w:val="0"/>
              <w:overflowPunct/>
              <w:topLinePunct w:val="0"/>
              <w:autoSpaceDE/>
              <w:autoSpaceDN/>
              <w:bidi w:val="0"/>
              <w:snapToGrid w:val="0"/>
              <w:spacing w:line="240" w:lineRule="auto"/>
              <w:ind w:left="0" w:leftChars="0" w:firstLine="0" w:firstLineChars="0"/>
              <w:jc w:val="both"/>
              <w:rPr>
                <w:rFonts w:ascii="宋体" w:hAnsi="宋体"/>
                <w:b/>
                <w:bCs/>
                <w:color w:val="auto"/>
                <w:kern w:val="2"/>
                <w:sz w:val="21"/>
                <w:szCs w:val="21"/>
                <w:highlight w:val="none"/>
                <w:shd w:val="clear" w:color="auto" w:fill="auto"/>
              </w:rPr>
            </w:pPr>
            <w:r>
              <w:rPr>
                <w:rFonts w:hint="eastAsia" w:ascii="宋体" w:hAnsi="宋体"/>
                <w:b/>
                <w:bCs/>
                <w:color w:val="auto"/>
                <w:sz w:val="21"/>
                <w:szCs w:val="21"/>
                <w:highlight w:val="none"/>
                <w:shd w:val="clear" w:color="auto" w:fill="auto"/>
                <w:lang w:bidi="ar"/>
              </w:rPr>
              <w:t>单价（元）</w:t>
            </w:r>
          </w:p>
        </w:tc>
        <w:tc>
          <w:tcPr>
            <w:tcW w:w="1254" w:type="dxa"/>
            <w:shd w:val="clear" w:color="auto" w:fill="BFBFBF"/>
            <w:vAlign w:val="center"/>
          </w:tcPr>
          <w:p w14:paraId="54496B68">
            <w:pPr>
              <w:keepNext w:val="0"/>
              <w:keepLines w:val="0"/>
              <w:pageBreakBefore w:val="0"/>
              <w:widowControl/>
              <w:kinsoku/>
              <w:wordWrap w:val="0"/>
              <w:overflowPunct/>
              <w:topLinePunct w:val="0"/>
              <w:autoSpaceDE/>
              <w:autoSpaceDN/>
              <w:bidi w:val="0"/>
              <w:snapToGrid w:val="0"/>
              <w:spacing w:line="240" w:lineRule="auto"/>
              <w:ind w:left="0" w:leftChars="0" w:firstLine="0" w:firstLineChars="0"/>
              <w:jc w:val="both"/>
              <w:rPr>
                <w:rFonts w:ascii="宋体" w:hAnsi="宋体"/>
                <w:b/>
                <w:bCs/>
                <w:color w:val="auto"/>
                <w:kern w:val="2"/>
                <w:sz w:val="21"/>
                <w:szCs w:val="21"/>
                <w:highlight w:val="none"/>
                <w:shd w:val="clear" w:color="auto" w:fill="auto"/>
              </w:rPr>
            </w:pPr>
            <w:r>
              <w:rPr>
                <w:rFonts w:hint="eastAsia" w:ascii="宋体" w:hAnsi="宋体"/>
                <w:b/>
                <w:bCs/>
                <w:color w:val="auto"/>
                <w:sz w:val="21"/>
                <w:szCs w:val="21"/>
                <w:highlight w:val="none"/>
                <w:shd w:val="clear" w:color="auto" w:fill="auto"/>
                <w:lang w:bidi="ar"/>
              </w:rPr>
              <w:t>总价（元）</w:t>
            </w:r>
          </w:p>
        </w:tc>
      </w:tr>
      <w:tr w14:paraId="1074A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843" w:type="dxa"/>
            <w:shd w:val="clear" w:color="auto" w:fill="auto"/>
            <w:vAlign w:val="center"/>
          </w:tcPr>
          <w:p w14:paraId="37ECDFEE">
            <w:pPr>
              <w:keepNext w:val="0"/>
              <w:keepLines w:val="0"/>
              <w:pageBreakBefore w:val="0"/>
              <w:kinsoku/>
              <w:wordWrap w:val="0"/>
              <w:overflowPunct/>
              <w:topLinePunct w:val="0"/>
              <w:autoSpaceDE/>
              <w:autoSpaceDN/>
              <w:bidi w:val="0"/>
              <w:snapToGrid w:val="0"/>
              <w:spacing w:line="240" w:lineRule="auto"/>
              <w:jc w:val="center"/>
              <w:rPr>
                <w:rFonts w:ascii="宋体" w:hAnsi="宋体"/>
                <w:color w:val="auto"/>
                <w:kern w:val="2"/>
                <w:sz w:val="21"/>
                <w:szCs w:val="21"/>
                <w:highlight w:val="none"/>
                <w:shd w:val="clear" w:color="auto" w:fill="auto"/>
              </w:rPr>
            </w:pPr>
            <w:r>
              <w:rPr>
                <w:rFonts w:hint="eastAsia" w:ascii="宋体" w:hAnsi="宋体"/>
                <w:color w:val="auto"/>
                <w:kern w:val="2"/>
                <w:sz w:val="21"/>
                <w:szCs w:val="21"/>
                <w:highlight w:val="none"/>
                <w:shd w:val="clear" w:color="auto" w:fill="auto"/>
              </w:rPr>
              <w:t>1</w:t>
            </w:r>
          </w:p>
        </w:tc>
        <w:tc>
          <w:tcPr>
            <w:tcW w:w="1378" w:type="dxa"/>
            <w:shd w:val="clear" w:color="auto" w:fill="auto"/>
            <w:vAlign w:val="center"/>
          </w:tcPr>
          <w:p w14:paraId="71A745DE">
            <w:pPr>
              <w:keepNext w:val="0"/>
              <w:keepLines w:val="0"/>
              <w:pageBreakBefore w:val="0"/>
              <w:widowControl/>
              <w:kinsoku/>
              <w:wordWrap w:val="0"/>
              <w:overflowPunct/>
              <w:topLinePunct w:val="0"/>
              <w:autoSpaceDE/>
              <w:autoSpaceDN/>
              <w:bidi w:val="0"/>
              <w:snapToGrid w:val="0"/>
              <w:spacing w:line="240" w:lineRule="auto"/>
              <w:jc w:val="center"/>
              <w:textAlignment w:val="center"/>
              <w:rPr>
                <w:rFonts w:ascii="宋体" w:hAnsi="宋体"/>
                <w:color w:val="auto"/>
                <w:kern w:val="2"/>
                <w:sz w:val="21"/>
                <w:szCs w:val="21"/>
                <w:highlight w:val="none"/>
                <w:shd w:val="clear" w:color="auto" w:fill="auto"/>
              </w:rPr>
            </w:pPr>
          </w:p>
        </w:tc>
        <w:tc>
          <w:tcPr>
            <w:tcW w:w="709" w:type="dxa"/>
            <w:shd w:val="clear" w:color="auto" w:fill="auto"/>
            <w:vAlign w:val="center"/>
          </w:tcPr>
          <w:p w14:paraId="5F881E28">
            <w:pPr>
              <w:keepNext w:val="0"/>
              <w:keepLines w:val="0"/>
              <w:pageBreakBefore w:val="0"/>
              <w:kinsoku/>
              <w:wordWrap w:val="0"/>
              <w:overflowPunct/>
              <w:topLinePunct w:val="0"/>
              <w:autoSpaceDE/>
              <w:autoSpaceDN/>
              <w:bidi w:val="0"/>
              <w:snapToGrid w:val="0"/>
              <w:spacing w:line="240" w:lineRule="auto"/>
              <w:jc w:val="center"/>
              <w:rPr>
                <w:rFonts w:hint="default" w:ascii="宋体" w:hAnsi="宋体" w:eastAsia="宋体"/>
                <w:color w:val="auto"/>
                <w:kern w:val="2"/>
                <w:sz w:val="21"/>
                <w:szCs w:val="21"/>
                <w:highlight w:val="none"/>
                <w:shd w:val="clear" w:color="auto" w:fill="auto"/>
                <w:lang w:val="en-US" w:eastAsia="zh-CN"/>
              </w:rPr>
            </w:pPr>
          </w:p>
        </w:tc>
        <w:tc>
          <w:tcPr>
            <w:tcW w:w="1153" w:type="dxa"/>
            <w:shd w:val="clear" w:color="auto" w:fill="auto"/>
            <w:vAlign w:val="center"/>
          </w:tcPr>
          <w:p w14:paraId="68C78CB6">
            <w:pPr>
              <w:keepNext w:val="0"/>
              <w:keepLines w:val="0"/>
              <w:pageBreakBefore w:val="0"/>
              <w:widowControl/>
              <w:kinsoku/>
              <w:wordWrap w:val="0"/>
              <w:overflowPunct/>
              <w:topLinePunct w:val="0"/>
              <w:autoSpaceDE/>
              <w:autoSpaceDN/>
              <w:bidi w:val="0"/>
              <w:snapToGrid w:val="0"/>
              <w:spacing w:line="240" w:lineRule="auto"/>
              <w:jc w:val="center"/>
              <w:textAlignment w:val="center"/>
              <w:rPr>
                <w:rFonts w:ascii="宋体" w:hAnsi="宋体"/>
                <w:color w:val="auto"/>
                <w:kern w:val="2"/>
                <w:sz w:val="21"/>
                <w:szCs w:val="21"/>
                <w:highlight w:val="none"/>
                <w:shd w:val="clear" w:color="auto" w:fill="auto"/>
              </w:rPr>
            </w:pPr>
          </w:p>
        </w:tc>
        <w:tc>
          <w:tcPr>
            <w:tcW w:w="1054" w:type="dxa"/>
            <w:shd w:val="clear" w:color="auto" w:fill="auto"/>
            <w:vAlign w:val="center"/>
          </w:tcPr>
          <w:p w14:paraId="4A4BF85A">
            <w:pPr>
              <w:keepNext w:val="0"/>
              <w:keepLines w:val="0"/>
              <w:pageBreakBefore w:val="0"/>
              <w:widowControl/>
              <w:kinsoku/>
              <w:wordWrap w:val="0"/>
              <w:overflowPunct/>
              <w:topLinePunct w:val="0"/>
              <w:autoSpaceDE/>
              <w:autoSpaceDN/>
              <w:bidi w:val="0"/>
              <w:snapToGrid w:val="0"/>
              <w:spacing w:line="240" w:lineRule="auto"/>
              <w:jc w:val="center"/>
              <w:textAlignment w:val="center"/>
              <w:rPr>
                <w:rFonts w:hint="eastAsia" w:ascii="宋体" w:hAnsi="宋体" w:eastAsia="宋体"/>
                <w:color w:val="auto"/>
                <w:kern w:val="2"/>
                <w:sz w:val="21"/>
                <w:szCs w:val="21"/>
                <w:highlight w:val="none"/>
                <w:shd w:val="clear" w:color="auto" w:fill="auto"/>
                <w:lang w:val="en-US" w:eastAsia="zh-CN"/>
              </w:rPr>
            </w:pPr>
          </w:p>
        </w:tc>
        <w:tc>
          <w:tcPr>
            <w:tcW w:w="1285" w:type="dxa"/>
            <w:shd w:val="clear" w:color="auto" w:fill="FFFFFF"/>
            <w:vAlign w:val="center"/>
          </w:tcPr>
          <w:p w14:paraId="7EAF8460">
            <w:pPr>
              <w:keepNext w:val="0"/>
              <w:keepLines w:val="0"/>
              <w:pageBreakBefore w:val="0"/>
              <w:kinsoku/>
              <w:wordWrap w:val="0"/>
              <w:overflowPunct/>
              <w:topLinePunct w:val="0"/>
              <w:autoSpaceDE/>
              <w:autoSpaceDN/>
              <w:bidi w:val="0"/>
              <w:snapToGrid w:val="0"/>
              <w:spacing w:line="240" w:lineRule="auto"/>
              <w:jc w:val="center"/>
              <w:rPr>
                <w:rFonts w:ascii="宋体" w:hAnsi="宋体"/>
                <w:color w:val="auto"/>
                <w:kern w:val="2"/>
                <w:sz w:val="21"/>
                <w:szCs w:val="21"/>
                <w:highlight w:val="none"/>
                <w:shd w:val="clear" w:color="auto" w:fill="auto"/>
              </w:rPr>
            </w:pPr>
          </w:p>
        </w:tc>
        <w:tc>
          <w:tcPr>
            <w:tcW w:w="790" w:type="dxa"/>
            <w:shd w:val="clear" w:color="auto" w:fill="FFFFFF"/>
            <w:vAlign w:val="center"/>
          </w:tcPr>
          <w:p w14:paraId="59D3FD65">
            <w:pPr>
              <w:keepNext w:val="0"/>
              <w:keepLines w:val="0"/>
              <w:pageBreakBefore w:val="0"/>
              <w:kinsoku/>
              <w:wordWrap w:val="0"/>
              <w:overflowPunct/>
              <w:topLinePunct w:val="0"/>
              <w:autoSpaceDE/>
              <w:autoSpaceDN/>
              <w:bidi w:val="0"/>
              <w:snapToGrid w:val="0"/>
              <w:spacing w:line="240" w:lineRule="auto"/>
              <w:jc w:val="center"/>
              <w:rPr>
                <w:rFonts w:hint="default" w:ascii="宋体" w:hAnsi="宋体" w:eastAsia="宋体"/>
                <w:color w:val="auto"/>
                <w:kern w:val="2"/>
                <w:sz w:val="21"/>
                <w:szCs w:val="21"/>
                <w:highlight w:val="none"/>
                <w:shd w:val="clear" w:color="auto" w:fill="auto"/>
                <w:lang w:val="en-US" w:eastAsia="zh-CN"/>
              </w:rPr>
            </w:pPr>
          </w:p>
        </w:tc>
        <w:tc>
          <w:tcPr>
            <w:tcW w:w="735" w:type="dxa"/>
            <w:shd w:val="clear" w:color="auto" w:fill="FFFFFF"/>
            <w:vAlign w:val="center"/>
          </w:tcPr>
          <w:p w14:paraId="75E3C864">
            <w:pPr>
              <w:keepNext w:val="0"/>
              <w:keepLines w:val="0"/>
              <w:pageBreakBefore w:val="0"/>
              <w:kinsoku/>
              <w:wordWrap w:val="0"/>
              <w:overflowPunct/>
              <w:topLinePunct w:val="0"/>
              <w:autoSpaceDE/>
              <w:autoSpaceDN/>
              <w:bidi w:val="0"/>
              <w:snapToGrid w:val="0"/>
              <w:spacing w:line="240" w:lineRule="auto"/>
              <w:jc w:val="center"/>
              <w:rPr>
                <w:rFonts w:hint="default" w:ascii="宋体" w:hAnsi="宋体" w:eastAsia="宋体"/>
                <w:color w:val="auto"/>
                <w:kern w:val="2"/>
                <w:sz w:val="21"/>
                <w:szCs w:val="21"/>
                <w:highlight w:val="none"/>
                <w:shd w:val="clear" w:color="auto" w:fill="auto"/>
                <w:lang w:val="en-US" w:eastAsia="zh-CN"/>
              </w:rPr>
            </w:pPr>
          </w:p>
        </w:tc>
        <w:tc>
          <w:tcPr>
            <w:tcW w:w="1274" w:type="dxa"/>
            <w:shd w:val="clear" w:color="auto" w:fill="FFFFFF"/>
            <w:vAlign w:val="center"/>
          </w:tcPr>
          <w:p w14:paraId="1AABBD32">
            <w:pPr>
              <w:keepNext w:val="0"/>
              <w:keepLines w:val="0"/>
              <w:pageBreakBefore w:val="0"/>
              <w:kinsoku/>
              <w:wordWrap w:val="0"/>
              <w:overflowPunct/>
              <w:topLinePunct w:val="0"/>
              <w:autoSpaceDE/>
              <w:autoSpaceDN/>
              <w:bidi w:val="0"/>
              <w:snapToGrid w:val="0"/>
              <w:spacing w:line="240" w:lineRule="auto"/>
              <w:jc w:val="center"/>
              <w:rPr>
                <w:rFonts w:ascii="宋体" w:hAnsi="宋体"/>
                <w:color w:val="auto"/>
                <w:kern w:val="2"/>
                <w:sz w:val="21"/>
                <w:szCs w:val="21"/>
                <w:highlight w:val="none"/>
                <w:shd w:val="clear" w:color="auto" w:fill="auto"/>
              </w:rPr>
            </w:pPr>
          </w:p>
        </w:tc>
        <w:tc>
          <w:tcPr>
            <w:tcW w:w="1254" w:type="dxa"/>
            <w:shd w:val="clear" w:color="auto" w:fill="FFFFFF"/>
            <w:vAlign w:val="center"/>
          </w:tcPr>
          <w:p w14:paraId="5BB57B17">
            <w:pPr>
              <w:keepNext w:val="0"/>
              <w:keepLines w:val="0"/>
              <w:pageBreakBefore w:val="0"/>
              <w:kinsoku/>
              <w:wordWrap w:val="0"/>
              <w:overflowPunct/>
              <w:topLinePunct w:val="0"/>
              <w:autoSpaceDE/>
              <w:autoSpaceDN/>
              <w:bidi w:val="0"/>
              <w:snapToGrid w:val="0"/>
              <w:spacing w:line="240" w:lineRule="auto"/>
              <w:jc w:val="center"/>
              <w:rPr>
                <w:rFonts w:ascii="宋体" w:hAnsi="宋体"/>
                <w:color w:val="auto"/>
                <w:kern w:val="2"/>
                <w:sz w:val="21"/>
                <w:szCs w:val="21"/>
                <w:highlight w:val="none"/>
                <w:shd w:val="clear" w:color="auto" w:fill="auto"/>
              </w:rPr>
            </w:pPr>
          </w:p>
        </w:tc>
      </w:tr>
      <w:tr w14:paraId="52AB2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0475" w:type="dxa"/>
            <w:gridSpan w:val="10"/>
            <w:vAlign w:val="center"/>
          </w:tcPr>
          <w:p w14:paraId="254DCBFE">
            <w:pPr>
              <w:keepNext w:val="0"/>
              <w:keepLines w:val="0"/>
              <w:pageBreakBefore w:val="0"/>
              <w:kinsoku/>
              <w:wordWrap w:val="0"/>
              <w:overflowPunct/>
              <w:topLinePunct w:val="0"/>
              <w:autoSpaceDE/>
              <w:autoSpaceDN/>
              <w:bidi w:val="0"/>
              <w:snapToGrid w:val="0"/>
              <w:spacing w:line="240" w:lineRule="auto"/>
              <w:jc w:val="left"/>
              <w:rPr>
                <w:rFonts w:ascii="宋体" w:hAnsi="宋体"/>
                <w:color w:val="auto"/>
                <w:kern w:val="2"/>
                <w:sz w:val="21"/>
                <w:szCs w:val="21"/>
                <w:highlight w:val="none"/>
                <w:shd w:val="clear" w:color="auto" w:fill="auto"/>
              </w:rPr>
            </w:pPr>
            <w:r>
              <w:rPr>
                <w:rFonts w:hint="eastAsia" w:ascii="宋体" w:hAnsi="宋体"/>
                <w:color w:val="auto"/>
                <w:kern w:val="2"/>
                <w:sz w:val="21"/>
                <w:szCs w:val="21"/>
                <w:highlight w:val="none"/>
                <w:shd w:val="clear" w:color="auto" w:fill="auto"/>
              </w:rPr>
              <w:t>含税合计：人民币大写：</w:t>
            </w:r>
            <w:r>
              <w:rPr>
                <w:rFonts w:hint="eastAsia" w:ascii="宋体" w:hAnsi="宋体"/>
                <w:color w:val="auto"/>
                <w:kern w:val="2"/>
                <w:sz w:val="21"/>
                <w:szCs w:val="21"/>
                <w:highlight w:val="none"/>
                <w:shd w:val="clear" w:color="auto" w:fill="auto"/>
                <w:lang w:val="en-US" w:eastAsia="zh-CN"/>
              </w:rPr>
              <w:t xml:space="preserve">           </w:t>
            </w:r>
            <w:r>
              <w:rPr>
                <w:rFonts w:hint="eastAsia" w:ascii="宋体" w:hAnsi="宋体"/>
                <w:color w:val="auto"/>
                <w:kern w:val="2"/>
                <w:sz w:val="21"/>
                <w:szCs w:val="21"/>
                <w:highlight w:val="none"/>
                <w:shd w:val="clear" w:color="auto" w:fill="auto"/>
              </w:rPr>
              <w:t>，小写：</w:t>
            </w:r>
            <w:r>
              <w:rPr>
                <w:rFonts w:hint="eastAsia" w:ascii="宋体" w:hAnsi="宋体"/>
                <w:color w:val="auto"/>
                <w:kern w:val="2"/>
                <w:sz w:val="21"/>
                <w:szCs w:val="21"/>
                <w:highlight w:val="none"/>
                <w:shd w:val="clear" w:color="auto" w:fill="auto"/>
                <w:lang w:val="en-US" w:eastAsia="zh-CN"/>
              </w:rPr>
              <w:t xml:space="preserve">   </w:t>
            </w:r>
            <w:r>
              <w:rPr>
                <w:rFonts w:hint="eastAsia" w:ascii="宋体" w:hAnsi="宋体"/>
                <w:color w:val="auto"/>
                <w:kern w:val="2"/>
                <w:sz w:val="21"/>
                <w:szCs w:val="21"/>
                <w:highlight w:val="none"/>
                <w:shd w:val="clear" w:color="auto" w:fill="auto"/>
              </w:rPr>
              <w:t>元</w:t>
            </w:r>
          </w:p>
        </w:tc>
      </w:tr>
      <w:bookmarkEnd w:id="27"/>
    </w:tbl>
    <w:p w14:paraId="2BDBE85D">
      <w:pPr>
        <w:keepNext w:val="0"/>
        <w:keepLines w:val="0"/>
        <w:pageBreakBefore w:val="0"/>
        <w:kinsoku/>
        <w:wordWrap w:val="0"/>
        <w:overflowPunct/>
        <w:topLinePunct w:val="0"/>
        <w:autoSpaceDE/>
        <w:autoSpaceDN/>
        <w:bidi w:val="0"/>
        <w:adjustRightInd w:val="0"/>
        <w:snapToGrid w:val="0"/>
        <w:spacing w:line="240" w:lineRule="auto"/>
        <w:ind w:firstLine="482" w:firstLineChars="200"/>
        <w:rPr>
          <w:rFonts w:hint="default" w:ascii="宋体" w:hAnsi="宋体"/>
          <w:b/>
          <w:bCs/>
          <w:color w:val="auto"/>
          <w:kern w:val="2"/>
          <w:sz w:val="24"/>
          <w:szCs w:val="24"/>
          <w:highlight w:val="none"/>
          <w:shd w:val="clear" w:color="auto" w:fill="auto"/>
          <w:lang w:val="en-US" w:eastAsia="zh-CN"/>
        </w:rPr>
      </w:pPr>
      <w:r>
        <w:rPr>
          <w:rFonts w:hint="eastAsia" w:ascii="宋体" w:hAnsi="宋体"/>
          <w:b/>
          <w:bCs/>
          <w:color w:val="auto"/>
          <w:kern w:val="2"/>
          <w:sz w:val="24"/>
          <w:szCs w:val="24"/>
          <w:highlight w:val="none"/>
          <w:shd w:val="clear" w:color="auto" w:fill="auto"/>
          <w:lang w:val="en-US" w:eastAsia="zh-CN"/>
        </w:rPr>
        <w:t>注：各支队分配情况详见附件一：各支队分配情况统计表</w:t>
      </w:r>
    </w:p>
    <w:p w14:paraId="1875F277">
      <w:pPr>
        <w:pageBreakBefore w:val="0"/>
        <w:wordWrap w:val="0"/>
        <w:overflowPunct/>
        <w:bidi w:val="0"/>
        <w:adjustRightInd w:val="0"/>
        <w:snapToGrid w:val="0"/>
        <w:spacing w:line="360" w:lineRule="auto"/>
        <w:ind w:firstLine="420" w:firstLineChars="200"/>
        <w:rPr>
          <w:rFonts w:hint="eastAsia" w:ascii="宋体" w:hAnsi="宋体"/>
          <w:color w:val="auto"/>
          <w:kern w:val="2"/>
          <w:highlight w:val="none"/>
          <w:shd w:val="clear" w:color="auto" w:fill="auto"/>
        </w:rPr>
      </w:pPr>
    </w:p>
    <w:p w14:paraId="538C7586">
      <w:pPr>
        <w:pageBreakBefore w:val="0"/>
        <w:wordWrap w:val="0"/>
        <w:overflowPunct/>
        <w:bidi w:val="0"/>
        <w:adjustRightInd w:val="0"/>
        <w:snapToGrid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（一）交 货 期：合同签订后</w:t>
      </w:r>
      <w:r>
        <w:rPr>
          <w:rFonts w:hint="eastAsia" w:ascii="宋体" w:hAnsi="宋体"/>
          <w:color w:val="auto"/>
          <w:kern w:val="2"/>
          <w:highlight w:val="none"/>
          <w:u w:val="single"/>
          <w:shd w:val="clear" w:color="auto" w:fill="auto"/>
        </w:rPr>
        <w:t xml:space="preserve">   </w:t>
      </w:r>
      <w:r>
        <w:rPr>
          <w:rFonts w:hint="eastAsia" w:ascii="宋体" w:hAnsi="宋体"/>
          <w:color w:val="auto"/>
          <w:kern w:val="2"/>
          <w:highlight w:val="none"/>
          <w:u w:val="single"/>
          <w:shd w:val="clear" w:color="auto" w:fill="auto"/>
          <w:lang w:val="en-US" w:eastAsia="zh-CN"/>
        </w:rPr>
        <w:t xml:space="preserve"> </w:t>
      </w:r>
      <w:r>
        <w:rPr>
          <w:rFonts w:hint="eastAsia" w:ascii="宋体" w:hAnsi="宋体"/>
          <w:color w:val="auto"/>
          <w:kern w:val="2"/>
          <w:highlight w:val="none"/>
          <w:u w:val="single"/>
          <w:shd w:val="clear" w:color="auto" w:fill="auto"/>
        </w:rPr>
        <w:t xml:space="preserve">   </w:t>
      </w:r>
      <w:r>
        <w:rPr>
          <w:rFonts w:hint="eastAsia" w:ascii="宋体" w:hAnsi="宋体"/>
          <w:color w:val="auto"/>
          <w:kern w:val="2"/>
          <w:highlight w:val="none"/>
          <w:shd w:val="clear" w:color="auto" w:fill="auto"/>
        </w:rPr>
        <w:t>个日历天内完成供货。整车、随车器材、随车资料和办理车辆牌证的全部资料均齐全，确保能够悬挂应急车牌，方可视为交货完毕。</w:t>
      </w:r>
    </w:p>
    <w:p w14:paraId="6465A1A0">
      <w:pPr>
        <w:pageBreakBefore w:val="0"/>
        <w:wordWrap w:val="0"/>
        <w:overflowPunct/>
        <w:bidi w:val="0"/>
        <w:adjustRightInd w:val="0"/>
        <w:snapToGrid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（二）交货地点：云南省消防救援总队指定地点</w:t>
      </w:r>
      <w:bookmarkStart w:id="28" w:name="_Hlk167346936"/>
      <w:r>
        <w:rPr>
          <w:rFonts w:hint="eastAsia" w:ascii="宋体" w:hAnsi="宋体"/>
          <w:color w:val="auto"/>
          <w:kern w:val="2"/>
          <w:highlight w:val="none"/>
          <w:shd w:val="clear" w:color="auto" w:fill="auto"/>
        </w:rPr>
        <w:t>（具体详见各支队采购合同要求），本合同项下标的物装卸、运输费用已经包含在合同价款当中</w:t>
      </w:r>
      <w:bookmarkEnd w:id="28"/>
      <w:r>
        <w:rPr>
          <w:rFonts w:hint="eastAsia" w:ascii="宋体" w:hAnsi="宋体"/>
          <w:color w:val="auto"/>
          <w:kern w:val="2"/>
          <w:highlight w:val="none"/>
          <w:shd w:val="clear" w:color="auto" w:fill="auto"/>
        </w:rPr>
        <w:t>。</w:t>
      </w:r>
    </w:p>
    <w:p w14:paraId="1BFA761C">
      <w:pPr>
        <w:pageBreakBefore w:val="0"/>
        <w:wordWrap w:val="0"/>
        <w:overflowPunct/>
        <w:bidi w:val="0"/>
        <w:adjustRightInd w:val="0"/>
        <w:snapToGrid w:val="0"/>
        <w:spacing w:line="360" w:lineRule="auto"/>
        <w:ind w:firstLine="420" w:firstLineChars="200"/>
        <w:rPr>
          <w:rFonts w:ascii="宋体" w:hAnsi="宋体"/>
          <w:color w:val="auto"/>
          <w:kern w:val="2"/>
          <w:highlight w:val="none"/>
          <w:shd w:val="clear" w:color="auto" w:fill="auto"/>
        </w:rPr>
      </w:pPr>
      <w:bookmarkStart w:id="29" w:name="_Hlk167813543"/>
      <w:r>
        <w:rPr>
          <w:rFonts w:hint="eastAsia" w:ascii="宋体" w:hAnsi="宋体"/>
          <w:color w:val="auto"/>
          <w:kern w:val="2"/>
          <w:highlight w:val="none"/>
          <w:shd w:val="clear" w:color="auto" w:fill="auto"/>
        </w:rPr>
        <w:t>（三）</w:t>
      </w:r>
      <w:r>
        <w:rPr>
          <w:rFonts w:hint="eastAsia"/>
          <w:color w:val="auto"/>
          <w:highlight w:val="none"/>
          <w:shd w:val="clear" w:color="auto" w:fill="auto"/>
        </w:rPr>
        <w:t>交货方式：甲方提供场地，乙方将货物运输至甲方指定地点并由乙方负责保管，经甲方组织验收合格后，再由乙方根据各批次货物运输至甲方所属各支队。</w:t>
      </w:r>
    </w:p>
    <w:bookmarkEnd w:id="29"/>
    <w:p w14:paraId="72257B1E">
      <w:pPr>
        <w:pageBreakBefore w:val="0"/>
        <w:wordWrap w:val="0"/>
        <w:overflowPunct/>
        <w:bidi w:val="0"/>
        <w:adjustRightInd w:val="0"/>
        <w:snapToGrid w:val="0"/>
        <w:spacing w:line="360" w:lineRule="auto"/>
        <w:ind w:firstLine="420" w:firstLineChars="200"/>
        <w:rPr>
          <w:rFonts w:ascii="宋体" w:hAnsi="宋体"/>
          <w:color w:val="auto"/>
          <w:kern w:val="2"/>
          <w:highlight w:val="none"/>
          <w:shd w:val="clear" w:color="auto" w:fill="auto"/>
        </w:rPr>
      </w:pPr>
      <w:bookmarkStart w:id="30" w:name="_Hlk167813693"/>
      <w:r>
        <w:rPr>
          <w:rFonts w:hint="eastAsia" w:ascii="宋体" w:hAnsi="宋体"/>
          <w:color w:val="auto"/>
          <w:kern w:val="2"/>
          <w:highlight w:val="none"/>
          <w:shd w:val="clear" w:color="auto" w:fill="auto"/>
        </w:rPr>
        <w:t>（四）</w:t>
      </w:r>
      <w:bookmarkStart w:id="31" w:name="_Hlk167346967"/>
      <w:r>
        <w:rPr>
          <w:rFonts w:hint="eastAsia" w:ascii="宋体" w:hAnsi="宋体"/>
          <w:color w:val="auto"/>
          <w:kern w:val="2"/>
          <w:highlight w:val="none"/>
          <w:shd w:val="clear" w:color="auto" w:fill="auto"/>
        </w:rPr>
        <w:t>本合同项下标的物在交付到甲方所属各支队前，在装卸、运输、存储、中转过程中，发生毁损、灭失风险由乙方承担。</w:t>
      </w:r>
      <w:bookmarkEnd w:id="31"/>
    </w:p>
    <w:bookmarkEnd w:id="30"/>
    <w:p w14:paraId="6F796C75">
      <w:pPr>
        <w:pageBreakBefore w:val="0"/>
        <w:wordWrap w:val="0"/>
        <w:overflowPunct/>
        <w:bidi w:val="0"/>
        <w:adjustRightInd w:val="0"/>
        <w:snapToGrid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（五）质 保 期：车辆质保自总队验收合格之日起6年</w:t>
      </w:r>
      <w:bookmarkStart w:id="32" w:name="_Hlk167346982"/>
      <w:r>
        <w:rPr>
          <w:rFonts w:hint="eastAsia" w:ascii="宋体" w:hAnsi="宋体"/>
          <w:color w:val="auto"/>
          <w:kern w:val="2"/>
          <w:highlight w:val="none"/>
          <w:shd w:val="clear" w:color="auto" w:fill="auto"/>
          <w:lang w:eastAsia="zh-CN"/>
        </w:rPr>
        <w:t>、</w:t>
      </w:r>
      <w:r>
        <w:rPr>
          <w:rFonts w:hint="eastAsia" w:ascii="宋体" w:hAnsi="宋体"/>
          <w:color w:val="auto"/>
          <w:kern w:val="2"/>
          <w:highlight w:val="none"/>
          <w:shd w:val="clear" w:color="auto" w:fill="auto"/>
        </w:rPr>
        <w:t>随车器材整体质保</w:t>
      </w:r>
      <w:r>
        <w:rPr>
          <w:rFonts w:hint="eastAsia" w:ascii="宋体" w:hAnsi="宋体"/>
          <w:color w:val="auto"/>
          <w:kern w:val="2"/>
          <w:highlight w:val="none"/>
          <w:shd w:val="clear" w:color="auto" w:fill="auto"/>
          <w:lang w:val="en-US" w:eastAsia="zh-CN"/>
        </w:rPr>
        <w:t>4</w:t>
      </w:r>
      <w:r>
        <w:rPr>
          <w:rFonts w:hint="eastAsia" w:ascii="宋体" w:hAnsi="宋体"/>
          <w:color w:val="auto"/>
          <w:kern w:val="2"/>
          <w:highlight w:val="none"/>
          <w:shd w:val="clear" w:color="auto" w:fill="auto"/>
        </w:rPr>
        <w:t>年。</w:t>
      </w:r>
      <w:r>
        <w:rPr>
          <w:rFonts w:hint="eastAsia" w:ascii="宋体" w:hAnsi="宋体"/>
          <w:color w:val="auto"/>
          <w:kern w:val="2"/>
          <w:highlight w:val="none"/>
          <w:shd w:val="clear" w:color="auto" w:fill="auto"/>
          <w:lang w:val="en-US" w:eastAsia="zh-CN"/>
        </w:rPr>
        <w:t>若支队复验不合格，质保期自支队最终验收合格之日起</w:t>
      </w:r>
      <w:r>
        <w:rPr>
          <w:rFonts w:hint="eastAsia" w:ascii="宋体" w:hAnsi="宋体"/>
          <w:color w:val="auto"/>
          <w:kern w:val="2"/>
          <w:highlight w:val="none"/>
          <w:u w:val="none"/>
          <w:shd w:val="clear" w:color="auto" w:fill="auto"/>
          <w:lang w:val="en-US" w:eastAsia="zh-CN"/>
        </w:rPr>
        <w:t>计算</w:t>
      </w:r>
      <w:r>
        <w:rPr>
          <w:rFonts w:hint="eastAsia" w:ascii="宋体" w:hAnsi="宋体"/>
          <w:color w:val="auto"/>
          <w:kern w:val="2"/>
          <w:highlight w:val="none"/>
          <w:shd w:val="clear" w:color="auto" w:fill="auto"/>
        </w:rPr>
        <w:t>（投标文件中承诺的期限）</w:t>
      </w:r>
      <w:bookmarkEnd w:id="32"/>
    </w:p>
    <w:p w14:paraId="6AFC9E74">
      <w:pPr>
        <w:pageBreakBefore w:val="0"/>
        <w:wordWrap w:val="0"/>
        <w:overflowPunct/>
        <w:bidi w:val="0"/>
        <w:adjustRightInd w:val="0"/>
        <w:snapToGrid w:val="0"/>
        <w:spacing w:line="360" w:lineRule="auto"/>
        <w:ind w:firstLine="420" w:firstLineChars="200"/>
        <w:rPr>
          <w:rFonts w:hint="eastAsia" w:ascii="宋体" w:hAnsi="宋体"/>
          <w:color w:val="auto"/>
          <w:kern w:val="2"/>
          <w:highlight w:val="none"/>
          <w:shd w:val="clear" w:color="auto" w:fill="auto"/>
        </w:rPr>
      </w:pPr>
      <w:r>
        <w:rPr>
          <w:rFonts w:hint="eastAsia" w:ascii="宋体" w:hAnsi="宋体"/>
          <w:color w:val="auto"/>
          <w:kern w:val="2"/>
          <w:highlight w:val="none"/>
          <w:shd w:val="clear" w:color="auto" w:fill="auto"/>
        </w:rPr>
        <w:t>（六）乙方应在本合同约定的交货期前</w:t>
      </w:r>
      <w:r>
        <w:rPr>
          <w:rFonts w:hint="eastAsia" w:ascii="宋体" w:hAnsi="宋体"/>
          <w:color w:val="auto"/>
          <w:kern w:val="2"/>
          <w:highlight w:val="none"/>
          <w:u w:val="single"/>
          <w:shd w:val="clear" w:color="auto" w:fill="auto"/>
        </w:rPr>
        <w:t xml:space="preserve">  </w:t>
      </w:r>
      <w:r>
        <w:rPr>
          <w:rFonts w:hint="eastAsia" w:ascii="宋体" w:hAnsi="宋体"/>
          <w:color w:val="auto"/>
          <w:kern w:val="2"/>
          <w:highlight w:val="none"/>
          <w:u w:val="single"/>
          <w:shd w:val="clear" w:color="auto" w:fill="auto"/>
          <w:lang w:val="en-US" w:eastAsia="zh-CN"/>
        </w:rPr>
        <w:t>3</w:t>
      </w:r>
      <w:r>
        <w:rPr>
          <w:rFonts w:hint="eastAsia" w:ascii="宋体" w:hAnsi="宋体"/>
          <w:color w:val="auto"/>
          <w:kern w:val="2"/>
          <w:highlight w:val="none"/>
          <w:u w:val="single"/>
          <w:shd w:val="clear" w:color="auto" w:fill="auto"/>
        </w:rPr>
        <w:t xml:space="preserve">   </w:t>
      </w:r>
      <w:r>
        <w:rPr>
          <w:rFonts w:hint="eastAsia" w:ascii="宋体" w:hAnsi="宋体"/>
          <w:color w:val="auto"/>
          <w:kern w:val="2"/>
          <w:highlight w:val="none"/>
          <w:shd w:val="clear" w:color="auto" w:fill="auto"/>
        </w:rPr>
        <w:t>个日历天内以电话或传真形式将合同号、货物名称、数量、包装箱件数、总毛重、总体积(立方米)和备妥交货日期通知甲方。</w:t>
      </w:r>
    </w:p>
    <w:p w14:paraId="484FEA49">
      <w:pPr>
        <w:pageBreakBefore w:val="0"/>
        <w:wordWrap w:val="0"/>
        <w:overflowPunct/>
        <w:bidi w:val="0"/>
        <w:spacing w:beforeLines="0" w:after="157" w:afterLines="50"/>
        <w:ind w:firstLine="420" w:firstLineChars="200"/>
        <w:rPr>
          <w:rFonts w:hint="default" w:ascii="Times New Roman" w:hAnsi="Times New Roman" w:eastAsia="宋体"/>
          <w:color w:val="auto"/>
          <w:kern w:val="0"/>
          <w:highlight w:val="none"/>
          <w:shd w:val="clear" w:color="auto" w:fill="auto"/>
          <w:lang w:val="en-US" w:eastAsia="zh-CN"/>
        </w:rPr>
      </w:pPr>
      <w:r>
        <w:rPr>
          <w:rFonts w:hint="eastAsia" w:ascii="宋体" w:hAnsi="宋体"/>
          <w:color w:val="auto"/>
          <w:kern w:val="2"/>
          <w:highlight w:val="none"/>
          <w:shd w:val="clear" w:color="auto" w:fill="auto"/>
          <w:lang w:eastAsia="zh-CN"/>
        </w:rPr>
        <w:t>（七）其他要求：</w:t>
      </w:r>
      <w:r>
        <w:rPr>
          <w:rFonts w:hint="eastAsia"/>
          <w:color w:val="auto"/>
          <w:highlight w:val="none"/>
          <w:shd w:val="clear" w:color="auto" w:fill="auto"/>
        </w:rPr>
        <w:t>根据国家消防救援局发布的新版装备管理系统要求，中标厂家须在交货前自行登录装备基础信息采集子系统，按照系统内各类交货装备信息维护要求及赋码标准，录入相关装备信息，生成装备专属二维码和 RFID 码，交货时须将生成的二维码标签和 RFID 码标签制作成标签固定安装在每件（套）装备上（赋码要求：二维码和 RFID 实现二合一（即在一个标签上体现），实现单件（套）装备的扫码登记功能。</w:t>
      </w:r>
      <w:r>
        <w:rPr>
          <w:rFonts w:hint="eastAsia"/>
          <w:color w:val="0000FF"/>
          <w:highlight w:val="none"/>
          <w:shd w:val="clear" w:color="auto" w:fill="auto"/>
          <w:lang w:val="en-US" w:eastAsia="zh-CN"/>
        </w:rPr>
        <w:t>登录网址：http://xfzb.119.gov.cn/html/index.html</w:t>
      </w:r>
    </w:p>
    <w:p w14:paraId="66055163">
      <w:pPr>
        <w:pageBreakBefore w:val="0"/>
        <w:wordWrap w:val="0"/>
        <w:overflowPunct/>
        <w:bidi w:val="0"/>
        <w:adjustRightInd w:val="0"/>
        <w:snapToGrid w:val="0"/>
        <w:spacing w:beforeLines="0" w:after="157" w:afterLines="50" w:line="360" w:lineRule="auto"/>
        <w:ind w:firstLine="422" w:firstLineChars="200"/>
        <w:rPr>
          <w:rFonts w:ascii="宋体" w:hAnsi="宋体"/>
          <w:b/>
          <w:color w:val="auto"/>
          <w:highlight w:val="none"/>
          <w:shd w:val="clear" w:color="auto" w:fill="auto"/>
        </w:rPr>
      </w:pPr>
      <w:r>
        <w:rPr>
          <w:rFonts w:hint="eastAsia" w:ascii="宋体" w:hAnsi="宋体"/>
          <w:b/>
          <w:color w:val="auto"/>
          <w:highlight w:val="none"/>
          <w:shd w:val="clear" w:color="auto" w:fill="auto"/>
        </w:rPr>
        <w:t>三、履约保证金</w:t>
      </w:r>
    </w:p>
    <w:p w14:paraId="7DF86066">
      <w:pPr>
        <w:pageBreakBefore w:val="0"/>
        <w:wordWrap w:val="0"/>
        <w:overflowPunct/>
        <w:bidi w:val="0"/>
        <w:spacing w:beforeLines="0" w:after="157" w:afterLines="50"/>
        <w:ind w:firstLine="420" w:firstLineChars="200"/>
        <w:rPr>
          <w:rFonts w:hint="eastAsia" w:ascii="宋体" w:hAnsi="宋体" w:eastAsia="宋体" w:cs="宋体"/>
          <w:color w:val="auto"/>
          <w:highlight w:val="none"/>
          <w:shd w:val="clear" w:color="auto" w:fill="auto"/>
        </w:rPr>
      </w:pPr>
      <w:bookmarkStart w:id="33" w:name="_Hlk167813592"/>
      <w:r>
        <w:rPr>
          <w:rFonts w:hint="eastAsia" w:ascii="宋体" w:hAnsi="宋体" w:eastAsia="宋体" w:cs="宋体"/>
          <w:color w:val="auto"/>
          <w:highlight w:val="none"/>
          <w:shd w:val="clear" w:color="auto" w:fill="auto"/>
        </w:rPr>
        <w:t>乙方承诺于该框架合同签订前向甲方所属各支队缴纳拟与各支队签订采购合同金额的5%</w:t>
      </w:r>
      <w:bookmarkStart w:id="34" w:name="_Hlk167347110"/>
      <w:r>
        <w:rPr>
          <w:rFonts w:hint="eastAsia" w:ascii="宋体" w:hAnsi="宋体" w:eastAsia="宋体" w:cs="宋体"/>
          <w:color w:val="auto"/>
          <w:highlight w:val="none"/>
          <w:shd w:val="clear" w:color="auto" w:fill="auto"/>
        </w:rPr>
        <w:t>（具体金额详见各支队采购合同）</w:t>
      </w:r>
      <w:bookmarkEnd w:id="34"/>
      <w:r>
        <w:rPr>
          <w:rFonts w:hint="eastAsia" w:ascii="宋体" w:hAnsi="宋体" w:eastAsia="宋体" w:cs="宋体"/>
          <w:color w:val="auto"/>
          <w:highlight w:val="none"/>
          <w:shd w:val="clear" w:color="auto" w:fill="auto"/>
        </w:rPr>
        <w:t>作为履约保证金。自验收合格之日起 1 年期满后，无质量问题，</w:t>
      </w:r>
      <w:r>
        <w:rPr>
          <w:rFonts w:hint="eastAsia" w:ascii="宋体" w:hAnsi="宋体" w:eastAsia="宋体" w:cs="宋体"/>
          <w:color w:val="auto"/>
          <w:highlight w:val="none"/>
          <w:shd w:val="clear" w:color="auto" w:fill="auto"/>
          <w:lang w:eastAsia="zh-CN"/>
        </w:rPr>
        <w:t>由</w:t>
      </w:r>
      <w:r>
        <w:rPr>
          <w:rFonts w:hint="eastAsia" w:ascii="宋体" w:hAnsi="宋体" w:eastAsia="宋体" w:cs="宋体"/>
          <w:color w:val="auto"/>
          <w:highlight w:val="none"/>
          <w:shd w:val="clear" w:color="auto" w:fill="auto"/>
        </w:rPr>
        <w:t>甲方</w:t>
      </w:r>
      <w:r>
        <w:rPr>
          <w:rFonts w:hint="eastAsia" w:ascii="宋体" w:hAnsi="宋体" w:eastAsia="宋体" w:cs="宋体"/>
          <w:color w:val="auto"/>
          <w:highlight w:val="none"/>
          <w:shd w:val="clear" w:color="auto" w:fill="auto"/>
          <w:lang w:eastAsia="zh-CN"/>
        </w:rPr>
        <w:t>所属支队</w:t>
      </w:r>
      <w:r>
        <w:rPr>
          <w:rFonts w:hint="eastAsia" w:ascii="宋体" w:hAnsi="宋体" w:eastAsia="宋体" w:cs="宋体"/>
          <w:color w:val="auto"/>
          <w:highlight w:val="none"/>
          <w:shd w:val="clear" w:color="auto" w:fill="auto"/>
        </w:rPr>
        <w:t>在30个日历天内一次性无息退还。</w:t>
      </w:r>
    </w:p>
    <w:bookmarkEnd w:id="33"/>
    <w:p w14:paraId="48C83336">
      <w:pPr>
        <w:pageBreakBefore w:val="0"/>
        <w:wordWrap w:val="0"/>
        <w:overflowPunct/>
        <w:bidi w:val="0"/>
        <w:adjustRightInd w:val="0"/>
        <w:snapToGrid w:val="0"/>
        <w:spacing w:beforeLines="0" w:after="157" w:afterLines="50" w:line="360" w:lineRule="auto"/>
        <w:ind w:firstLine="422" w:firstLineChars="200"/>
        <w:rPr>
          <w:rFonts w:ascii="宋体" w:hAnsi="宋体"/>
          <w:b/>
          <w:color w:val="auto"/>
          <w:highlight w:val="none"/>
          <w:shd w:val="clear" w:color="auto" w:fill="auto"/>
        </w:rPr>
      </w:pPr>
      <w:r>
        <w:rPr>
          <w:rFonts w:hint="eastAsia" w:ascii="宋体" w:hAnsi="宋体"/>
          <w:b/>
          <w:color w:val="auto"/>
          <w:highlight w:val="none"/>
          <w:shd w:val="clear" w:color="auto" w:fill="auto"/>
        </w:rPr>
        <w:t>四、合同价款及支付</w:t>
      </w:r>
    </w:p>
    <w:p w14:paraId="43FCB55B">
      <w:pPr>
        <w:pageBreakBefore w:val="0"/>
        <w:wordWrap w:val="0"/>
        <w:overflowPunct/>
        <w:bidi w:val="0"/>
        <w:spacing w:beforeLines="0" w:after="157" w:afterLines="50"/>
        <w:ind w:firstLine="420" w:firstLineChars="200"/>
        <w:rPr>
          <w:rFonts w:hint="eastAsia"/>
          <w:color w:val="0000FF"/>
          <w:highlight w:val="none"/>
          <w:shd w:val="clear" w:color="auto" w:fill="auto"/>
          <w:lang w:val="en-US" w:eastAsia="zh-CN"/>
        </w:rPr>
      </w:pPr>
      <w:r>
        <w:rPr>
          <w:rFonts w:hint="eastAsia"/>
          <w:color w:val="0000FF"/>
          <w:highlight w:val="none"/>
          <w:shd w:val="clear" w:color="auto" w:fill="auto"/>
          <w:lang w:val="en-US" w:eastAsia="zh-CN"/>
        </w:rPr>
        <w:t>（一）合同价（含税）：人民币</w:t>
      </w:r>
      <w:r>
        <w:rPr>
          <w:rFonts w:hint="eastAsia"/>
          <w:color w:val="0000FF"/>
          <w:highlight w:val="none"/>
          <w:u w:val="single"/>
          <w:shd w:val="clear" w:color="auto" w:fill="auto"/>
          <w:lang w:val="en-US" w:eastAsia="zh-CN"/>
        </w:rPr>
        <w:t xml:space="preserve">      </w:t>
      </w:r>
      <w:r>
        <w:rPr>
          <w:rFonts w:hint="eastAsia"/>
          <w:color w:val="0000FF"/>
          <w:highlight w:val="none"/>
          <w:shd w:val="clear" w:color="auto" w:fill="auto"/>
          <w:lang w:val="en-US" w:eastAsia="zh-CN"/>
        </w:rPr>
        <w:t>元（大写：人民币</w:t>
      </w:r>
      <w:r>
        <w:rPr>
          <w:rFonts w:hint="eastAsia"/>
          <w:color w:val="0000FF"/>
          <w:highlight w:val="none"/>
          <w:u w:val="single"/>
          <w:shd w:val="clear" w:color="auto" w:fill="auto"/>
          <w:lang w:val="en-US" w:eastAsia="zh-CN"/>
        </w:rPr>
        <w:t xml:space="preserve">          </w:t>
      </w:r>
      <w:r>
        <w:rPr>
          <w:rFonts w:hint="eastAsia"/>
          <w:color w:val="0000FF"/>
          <w:highlight w:val="none"/>
          <w:shd w:val="clear" w:color="auto" w:fill="auto"/>
          <w:lang w:val="en-US" w:eastAsia="zh-CN"/>
        </w:rPr>
        <w:t>元整）。</w:t>
      </w:r>
    </w:p>
    <w:p w14:paraId="5C2FAC6C">
      <w:pPr>
        <w:pageBreakBefore w:val="0"/>
        <w:wordWrap w:val="0"/>
        <w:overflowPunct/>
        <w:bidi w:val="0"/>
        <w:spacing w:beforeLines="0" w:after="157" w:afterLines="50"/>
        <w:ind w:firstLine="420" w:firstLineChars="200"/>
        <w:rPr>
          <w:rFonts w:hint="eastAsia"/>
          <w:color w:val="0000FF"/>
          <w:highlight w:val="none"/>
          <w:shd w:val="clear" w:color="auto" w:fill="auto"/>
          <w:lang w:val="en-US" w:eastAsia="zh-CN"/>
        </w:rPr>
      </w:pPr>
      <w:bookmarkStart w:id="35" w:name="_Hlk167813631"/>
      <w:r>
        <w:rPr>
          <w:rFonts w:hint="eastAsia"/>
          <w:color w:val="0000FF"/>
          <w:highlight w:val="none"/>
          <w:shd w:val="clear" w:color="auto" w:fill="auto"/>
          <w:lang w:val="en-US" w:eastAsia="zh-CN"/>
        </w:rPr>
        <w:t>（二）具体采购合同签订后，各支队向乙方支付具体采购合同价的30%，到货验收合格后各支队向乙方支付到具体采购合同价的80%，在合同约定的所有商品及技术文件料到货并验收合格后，由甲方审计机构进行结算审计，结算审计后各支队向乙方支付到具体合同内货物审计价款的100%。</w:t>
      </w:r>
    </w:p>
    <w:p w14:paraId="43B4E2A1">
      <w:pPr>
        <w:pageBreakBefore w:val="0"/>
        <w:wordWrap w:val="0"/>
        <w:overflowPunct/>
        <w:bidi w:val="0"/>
        <w:ind w:firstLine="420" w:firstLineChars="200"/>
        <w:rPr>
          <w:rFonts w:ascii="宋体" w:hAnsi="宋体"/>
          <w:bCs/>
          <w:color w:val="auto"/>
          <w:kern w:val="2"/>
          <w:highlight w:val="none"/>
          <w:shd w:val="clear" w:color="auto" w:fill="auto"/>
        </w:rPr>
      </w:pPr>
      <w:r>
        <w:rPr>
          <w:rFonts w:hint="eastAsia" w:ascii="宋体" w:hAnsi="宋体"/>
          <w:bCs/>
          <w:color w:val="auto"/>
          <w:kern w:val="2"/>
          <w:highlight w:val="none"/>
          <w:shd w:val="clear" w:color="auto" w:fill="auto"/>
        </w:rPr>
        <w:t>乙方</w:t>
      </w:r>
      <w:r>
        <w:rPr>
          <w:rFonts w:hint="eastAsia" w:ascii="宋体" w:hAnsi="宋体"/>
          <w:bCs/>
          <w:color w:val="auto"/>
          <w:kern w:val="2"/>
          <w:highlight w:val="none"/>
          <w:shd w:val="clear" w:color="auto" w:fill="auto"/>
          <w:lang w:val="en-US" w:eastAsia="zh-CN"/>
        </w:rPr>
        <w:t>于甲方审计机构出具审计报告起30个日历天内按审定金额向</w:t>
      </w:r>
      <w:r>
        <w:rPr>
          <w:rFonts w:hint="eastAsia" w:ascii="宋体" w:hAnsi="宋体"/>
          <w:bCs/>
          <w:color w:val="auto"/>
          <w:kern w:val="2"/>
          <w:highlight w:val="none"/>
          <w:shd w:val="clear" w:color="auto" w:fill="auto"/>
        </w:rPr>
        <w:t>各支队开具等额、真实、合法有效的发票，各支队在收到发票之日起 30 个日历天内支付。结算审减率超过15%的，审核费用由甲、乙双方各承担50%，乙方承担的审核费用从项目结算价款中扣除。</w:t>
      </w:r>
    </w:p>
    <w:bookmarkEnd w:id="35"/>
    <w:p w14:paraId="22F7561A">
      <w:pPr>
        <w:pageBreakBefore w:val="0"/>
        <w:wordWrap w:val="0"/>
        <w:overflowPunct/>
        <w:bidi w:val="0"/>
        <w:spacing w:line="360" w:lineRule="auto"/>
        <w:ind w:firstLine="422" w:firstLineChars="200"/>
        <w:rPr>
          <w:rFonts w:ascii="宋体" w:hAnsi="宋体"/>
          <w:b/>
          <w:color w:val="auto"/>
          <w:kern w:val="2"/>
          <w:highlight w:val="none"/>
          <w:shd w:val="clear" w:color="auto" w:fill="auto"/>
        </w:rPr>
      </w:pPr>
      <w:r>
        <w:rPr>
          <w:rFonts w:hint="eastAsia" w:ascii="宋体" w:hAnsi="宋体"/>
          <w:b/>
          <w:color w:val="auto"/>
          <w:kern w:val="2"/>
          <w:highlight w:val="none"/>
          <w:shd w:val="clear" w:color="auto" w:fill="auto"/>
        </w:rPr>
        <w:t>（三）鉴于本项目甲方资金来源于发改委、财政部门或其他政府相关部门的拨款，乙方理解并同意各支队按照本合同约定向乙方支付货款的前提条件为：各支队已收到相关政府部门拨付的本合同项下的全部或相应资金或款项。如因政府部门未及时向各支队拨付相关款项，导致各支队不能向乙方支付货款等相关费用的，不视为各支队违约，且各支队有权顺延向乙方支付费用的时间。</w:t>
      </w:r>
    </w:p>
    <w:p w14:paraId="579259A8">
      <w:pPr>
        <w:pageBreakBefore w:val="0"/>
        <w:wordWrap w:val="0"/>
        <w:overflowPunct/>
        <w:bidi w:val="0"/>
        <w:spacing w:line="360" w:lineRule="auto"/>
        <w:ind w:firstLine="422" w:firstLineChars="200"/>
        <w:rPr>
          <w:rFonts w:hint="eastAsia" w:ascii="宋体" w:hAnsi="宋体" w:eastAsia="宋体"/>
          <w:b/>
          <w:color w:val="auto"/>
          <w:kern w:val="2"/>
          <w:highlight w:val="none"/>
          <w:shd w:val="clear" w:color="auto" w:fill="auto"/>
          <w:lang w:val="en-US" w:eastAsia="zh-CN"/>
        </w:rPr>
      </w:pPr>
      <w:r>
        <w:rPr>
          <w:rFonts w:hint="eastAsia" w:ascii="宋体" w:hAnsi="宋体"/>
          <w:b/>
          <w:color w:val="auto"/>
          <w:kern w:val="2"/>
          <w:highlight w:val="none"/>
          <w:shd w:val="clear" w:color="auto" w:fill="auto"/>
        </w:rPr>
        <w:t>五、验收及验收标准</w:t>
      </w:r>
    </w:p>
    <w:p w14:paraId="5862D063">
      <w:pPr>
        <w:pageBreakBefore w:val="0"/>
        <w:wordWrap w:val="0"/>
        <w:overflowPunct/>
        <w:bidi w:val="0"/>
        <w:spacing w:line="360" w:lineRule="auto"/>
        <w:ind w:firstLine="420" w:firstLineChars="200"/>
        <w:rPr>
          <w:rFonts w:hint="default" w:ascii="宋体" w:hAnsi="宋体" w:eastAsia="宋体"/>
          <w:color w:val="auto"/>
          <w:kern w:val="2"/>
          <w:highlight w:val="none"/>
          <w:shd w:val="clear" w:color="auto" w:fill="auto"/>
          <w:lang w:val="en-US" w:eastAsia="zh-CN"/>
        </w:rPr>
      </w:pPr>
      <w:r>
        <w:rPr>
          <w:rFonts w:hint="eastAsia" w:ascii="宋体" w:hAnsi="宋体"/>
          <w:color w:val="auto"/>
          <w:kern w:val="2"/>
          <w:highlight w:val="none"/>
          <w:shd w:val="clear" w:color="auto" w:fill="auto"/>
          <w:lang w:val="en-US" w:eastAsia="zh-CN"/>
        </w:rPr>
        <w:t>验收方式：由总队组织集中验收，验收合格后由乙方将货物运抵</w:t>
      </w:r>
      <w:r>
        <w:rPr>
          <w:rFonts w:hint="eastAsia" w:ascii="宋体" w:hAnsi="宋体"/>
          <w:color w:val="auto"/>
          <w:kern w:val="2"/>
          <w:highlight w:val="none"/>
          <w:shd w:val="clear" w:color="auto" w:fill="auto"/>
        </w:rPr>
        <w:t>各支队</w:t>
      </w:r>
      <w:r>
        <w:rPr>
          <w:rFonts w:hint="eastAsia" w:ascii="宋体" w:hAnsi="宋体"/>
          <w:color w:val="auto"/>
          <w:kern w:val="2"/>
          <w:highlight w:val="none"/>
          <w:shd w:val="clear" w:color="auto" w:fill="auto"/>
          <w:lang w:val="en-US" w:eastAsia="zh-CN"/>
        </w:rPr>
        <w:t>指定地点，各支队进行复验。复验合格的</w:t>
      </w:r>
      <w:r>
        <w:rPr>
          <w:rFonts w:hint="eastAsia" w:ascii="宋体" w:hAnsi="宋体"/>
          <w:color w:val="auto"/>
          <w:kern w:val="2"/>
          <w:highlight w:val="none"/>
          <w:shd w:val="clear" w:color="auto" w:fill="auto"/>
        </w:rPr>
        <w:t>验收合格之日</w:t>
      </w:r>
      <w:r>
        <w:rPr>
          <w:rFonts w:hint="eastAsia" w:ascii="宋体" w:hAnsi="宋体"/>
          <w:color w:val="auto"/>
          <w:kern w:val="2"/>
          <w:highlight w:val="none"/>
          <w:shd w:val="clear" w:color="auto" w:fill="auto"/>
          <w:lang w:val="en-US" w:eastAsia="zh-CN"/>
        </w:rPr>
        <w:t>为总队验收合格之日；若复验不合格的，视为自始验收不合格，</w:t>
      </w:r>
      <w:r>
        <w:rPr>
          <w:rFonts w:hint="eastAsia" w:ascii="宋体" w:hAnsi="宋体"/>
          <w:color w:val="auto"/>
          <w:kern w:val="2"/>
          <w:highlight w:val="none"/>
          <w:shd w:val="clear" w:color="auto" w:fill="auto"/>
        </w:rPr>
        <w:t>验收合格之日</w:t>
      </w:r>
      <w:r>
        <w:rPr>
          <w:rFonts w:hint="eastAsia" w:ascii="宋体" w:hAnsi="宋体"/>
          <w:color w:val="auto"/>
          <w:kern w:val="2"/>
          <w:highlight w:val="none"/>
          <w:shd w:val="clear" w:color="auto" w:fill="auto"/>
          <w:lang w:val="en-US" w:eastAsia="zh-CN"/>
        </w:rPr>
        <w:t>为各支队最终复验合格之日。</w:t>
      </w:r>
    </w:p>
    <w:p w14:paraId="49B9B9A2">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（一）乙方提供的货物应符合国家规定的标准、行业标准、投标文件及本合同约定，乙方提供的货物，应当是符合甲方要求的全新的、经出厂检验合格的、获得国家销售许可的合格产品。</w:t>
      </w:r>
    </w:p>
    <w:p w14:paraId="7608676F">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（二）</w:t>
      </w:r>
      <w:r>
        <w:rPr>
          <w:rFonts w:hint="default" w:ascii="仿宋" w:hAnsi="仿宋" w:eastAsia="仿宋" w:cs="Times New Roman"/>
          <w:b w:val="0"/>
          <w:bCs w:val="0"/>
          <w:color w:val="0000FF"/>
          <w:sz w:val="24"/>
          <w:highlight w:val="none"/>
          <w:lang w:val="en-US" w:eastAsia="zh-CN"/>
        </w:rPr>
        <w:t>验收合格后满一年，履约保证金退还前，甲方有权进行货物及服务的履约检验，并形成书面意见。检验不合格的，甲方有权要求乙方限期履行合同义务、无偿给予更换、维修、退货、解除本合同及采取其他有效补救措施，乙方需无条件同意服从</w:t>
      </w:r>
      <w:r>
        <w:rPr>
          <w:rFonts w:hint="eastAsia" w:ascii="宋体" w:hAnsi="宋体"/>
          <w:color w:val="auto"/>
          <w:kern w:val="2"/>
          <w:highlight w:val="none"/>
          <w:shd w:val="clear" w:color="auto" w:fill="auto"/>
        </w:rPr>
        <w:t>。</w:t>
      </w:r>
    </w:p>
    <w:p w14:paraId="55CF1612">
      <w:pPr>
        <w:pageBreakBefore w:val="0"/>
        <w:wordWrap w:val="0"/>
        <w:overflowPunct/>
        <w:bidi w:val="0"/>
        <w:spacing w:line="360" w:lineRule="auto"/>
        <w:ind w:firstLine="420" w:firstLineChars="200"/>
        <w:rPr>
          <w:rFonts w:ascii="宋体" w:hAnsi="宋体"/>
          <w:color w:val="auto"/>
          <w:highlight w:val="none"/>
          <w:shd w:val="clear" w:color="auto" w:fill="auto"/>
        </w:rPr>
      </w:pPr>
      <w:r>
        <w:rPr>
          <w:rFonts w:hint="eastAsia" w:ascii="宋体" w:hAnsi="宋体"/>
          <w:color w:val="auto"/>
          <w:kern w:val="2"/>
          <w:highlight w:val="none"/>
          <w:shd w:val="clear" w:color="auto" w:fill="auto"/>
        </w:rPr>
        <w:t>（三）验收和检验应当按照甲方要求及安排进行，乙方配合甲方做好验收工作，本合同货物应当符合国家规定的标准以及行业标准。若发现交付货物不符合要求或存在质量问题，乙方应当按照甲方要求采取有效补救措施，如果超过45个日历天仍未有效解决的，视为验收不合格，一律终止履行合同，所供产品由乙方自行带回，</w:t>
      </w:r>
      <w:r>
        <w:rPr>
          <w:rFonts w:hint="eastAsia" w:ascii="宋体" w:hAnsi="宋体"/>
          <w:color w:val="0000FF"/>
          <w:kern w:val="2"/>
          <w:highlight w:val="none"/>
          <w:shd w:val="clear" w:color="auto" w:fill="auto"/>
          <w:lang w:val="en-US" w:eastAsia="zh-CN"/>
        </w:rPr>
        <w:t>且乙方在3个日历天内退还甲方已支付的预付款。</w:t>
      </w:r>
      <w:r>
        <w:rPr>
          <w:rFonts w:hint="eastAsia" w:ascii="宋体" w:hAnsi="宋体"/>
          <w:color w:val="auto"/>
          <w:kern w:val="2"/>
          <w:highlight w:val="none"/>
          <w:shd w:val="clear" w:color="auto" w:fill="auto"/>
        </w:rPr>
        <w:t>根据合同违约条款，没收乙方履约保证金，并由乙方向甲方支付不低于</w:t>
      </w:r>
      <w:r>
        <w:rPr>
          <w:rFonts w:hint="eastAsia" w:ascii="宋体" w:hAnsi="宋体"/>
          <w:color w:val="auto"/>
          <w:kern w:val="2"/>
          <w:highlight w:val="none"/>
          <w:shd w:val="clear" w:color="auto" w:fill="auto"/>
          <w:lang w:eastAsia="zh-CN"/>
        </w:rPr>
        <w:t>合同价</w:t>
      </w:r>
      <w:r>
        <w:rPr>
          <w:rFonts w:hint="eastAsia" w:ascii="宋体" w:hAnsi="宋体"/>
          <w:color w:val="auto"/>
          <w:kern w:val="2"/>
          <w:highlight w:val="none"/>
          <w:shd w:val="clear" w:color="auto" w:fill="auto"/>
        </w:rPr>
        <w:t>5%的违约金，纳入甲方采购黑名单,在全国消防装备信息网上公示其违约事实；验收通过不免除产品隐藏的质量问题担保责任，如验收后发现产品存在隐藏的质量问题，乙方仍承担相应的产品质量责任，甲方有权要求乙方支付不低于</w:t>
      </w:r>
      <w:r>
        <w:rPr>
          <w:rFonts w:hint="eastAsia" w:ascii="宋体" w:hAnsi="宋体"/>
          <w:color w:val="auto"/>
          <w:kern w:val="2"/>
          <w:highlight w:val="none"/>
          <w:shd w:val="clear" w:color="auto" w:fill="auto"/>
          <w:lang w:eastAsia="zh-CN"/>
        </w:rPr>
        <w:t>合同价</w:t>
      </w:r>
      <w:r>
        <w:rPr>
          <w:rFonts w:hint="eastAsia" w:ascii="宋体" w:hAnsi="宋体"/>
          <w:color w:val="auto"/>
          <w:kern w:val="2"/>
          <w:highlight w:val="none"/>
          <w:shd w:val="clear" w:color="auto" w:fill="auto"/>
        </w:rPr>
        <w:t>5%的违约金。</w:t>
      </w:r>
    </w:p>
    <w:p w14:paraId="24F11486">
      <w:pPr>
        <w:pageBreakBefore w:val="0"/>
        <w:wordWrap w:val="0"/>
        <w:overflowPunct/>
        <w:bidi w:val="0"/>
        <w:spacing w:line="360" w:lineRule="auto"/>
        <w:ind w:firstLine="420" w:firstLineChars="200"/>
        <w:rPr>
          <w:color w:val="0000FF"/>
          <w:kern w:val="2"/>
          <w:highlight w:val="none"/>
          <w:shd w:val="clear" w:color="auto" w:fill="auto"/>
        </w:rPr>
      </w:pPr>
      <w:r>
        <w:rPr>
          <w:rFonts w:hint="eastAsia" w:ascii="宋体" w:hAnsi="宋体"/>
          <w:color w:val="0000FF"/>
          <w:kern w:val="2"/>
          <w:highlight w:val="none"/>
          <w:shd w:val="clear" w:color="auto" w:fill="auto"/>
        </w:rPr>
        <w:t>（四）甲方有权对所采购产品委托国家权威机构开展二次检测，若检测结果不合格或检测指标数值不满足乙方投标文件指标的视为验收不合格，检测产生的一切费用由乙方支付。</w:t>
      </w:r>
    </w:p>
    <w:p w14:paraId="34762B07">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color w:val="auto"/>
          <w:kern w:val="2"/>
          <w:highlight w:val="none"/>
          <w:shd w:val="clear" w:color="auto" w:fill="auto"/>
        </w:rPr>
        <w:t>（五）在供货验收环节，乙方需提供相应的产品资讯及维护保养手册（包含维保教学视频及相关课件资料），需提供规范的维护保养文档及其他相关特别指引供基层使用，需选派过硬技术团队组织装备投入执勤战备前统一培训。培训方式为现场实地教学及理论授课，培训范围为支队战训科长、装备科长，特勤站站长、装备技师。培训要讲清功能用途、讲清操作使用程序及注意事项，要开展产品使用实操教学、产品常规及特定情况维护保养技能实地教学，必须完成“基层会维护保养”的关键指标。乙方在培训过程中应当做好培训记录（如签到册、影像资料等）。并向基层预留本地化服务联系方式，明确本地化服务方式及时限，遇到重大灾害事故需应基层需求，选派专业服务团队到灾害现场对相应产品做好装备维护遂行保障工作。</w:t>
      </w:r>
    </w:p>
    <w:p w14:paraId="4F735342">
      <w:pPr>
        <w:pageBreakBefore w:val="0"/>
        <w:wordWrap w:val="0"/>
        <w:overflowPunct/>
        <w:bidi w:val="0"/>
        <w:spacing w:line="360" w:lineRule="auto"/>
        <w:ind w:firstLine="420" w:firstLineChars="200"/>
        <w:rPr>
          <w:rFonts w:ascii="宋体"/>
          <w:color w:val="auto"/>
          <w:kern w:val="2"/>
          <w:highlight w:val="none"/>
          <w:shd w:val="clear" w:color="auto" w:fill="auto"/>
        </w:rPr>
      </w:pPr>
      <w:r>
        <w:rPr>
          <w:rFonts w:hint="eastAsia" w:ascii="宋体"/>
          <w:color w:val="auto"/>
          <w:kern w:val="2"/>
          <w:highlight w:val="none"/>
          <w:shd w:val="clear" w:color="auto" w:fill="auto"/>
        </w:rPr>
        <w:t>（六）若项目存在变更情况的（如合同范围之外的改装、改造，货物的数量、种类、参数等调整，交货期延长等），必须经甲方书面审批同意后方可实施。</w:t>
      </w:r>
    </w:p>
    <w:p w14:paraId="698133A3">
      <w:pPr>
        <w:pageBreakBefore w:val="0"/>
        <w:wordWrap w:val="0"/>
        <w:overflowPunct/>
        <w:bidi w:val="0"/>
        <w:spacing w:line="360" w:lineRule="auto"/>
        <w:ind w:firstLine="422" w:firstLineChars="200"/>
        <w:rPr>
          <w:color w:val="auto"/>
          <w:highlight w:val="none"/>
          <w:shd w:val="clear" w:color="auto" w:fill="auto"/>
        </w:rPr>
      </w:pPr>
      <w:r>
        <w:rPr>
          <w:rFonts w:hint="eastAsia" w:ascii="宋体" w:hAnsi="宋体"/>
          <w:b/>
          <w:color w:val="auto"/>
          <w:kern w:val="2"/>
          <w:highlight w:val="none"/>
          <w:shd w:val="clear" w:color="auto" w:fill="auto"/>
        </w:rPr>
        <w:t>六、售后及技术服务</w:t>
      </w:r>
    </w:p>
    <w:p w14:paraId="4F273AC8">
      <w:pPr>
        <w:pageBreakBefore w:val="0"/>
        <w:wordWrap w:val="0"/>
        <w:overflowPunct/>
        <w:bidi w:val="0"/>
        <w:spacing w:line="360" w:lineRule="auto"/>
        <w:ind w:firstLine="420" w:firstLineChars="200"/>
        <w:rPr>
          <w:rFonts w:hint="eastAsia" w:ascii="宋体" w:hAnsi="宋体"/>
          <w:color w:val="auto"/>
          <w:kern w:val="2"/>
          <w:highlight w:val="none"/>
          <w:shd w:val="clear" w:color="auto" w:fill="auto"/>
        </w:rPr>
      </w:pPr>
      <w:r>
        <w:rPr>
          <w:rFonts w:hint="eastAsia" w:ascii="宋体" w:hAnsi="宋体"/>
          <w:color w:val="auto"/>
          <w:kern w:val="2"/>
          <w:highlight w:val="none"/>
          <w:shd w:val="clear" w:color="auto" w:fill="auto"/>
        </w:rPr>
        <w:t>（一）售后服务内容：</w:t>
      </w:r>
      <w:r>
        <w:rPr>
          <w:rFonts w:ascii="宋体" w:hAnsi="宋体"/>
          <w:color w:val="auto"/>
          <w:kern w:val="2"/>
          <w:highlight w:val="none"/>
          <w:shd w:val="clear" w:color="auto" w:fill="auto"/>
        </w:rPr>
        <w:t xml:space="preserve">7x24 </w:t>
      </w:r>
      <w:r>
        <w:rPr>
          <w:rFonts w:hint="eastAsia" w:ascii="宋体" w:hAnsi="宋体"/>
          <w:color w:val="auto"/>
          <w:kern w:val="2"/>
          <w:highlight w:val="none"/>
          <w:shd w:val="clear" w:color="auto" w:fill="auto"/>
        </w:rPr>
        <w:t>小时服务，</w:t>
      </w:r>
      <w:r>
        <w:rPr>
          <w:rFonts w:ascii="宋体" w:hAnsi="宋体"/>
          <w:color w:val="auto"/>
          <w:kern w:val="2"/>
          <w:highlight w:val="none"/>
          <w:shd w:val="clear" w:color="auto" w:fill="auto"/>
        </w:rPr>
        <w:t xml:space="preserve">10 </w:t>
      </w:r>
      <w:r>
        <w:rPr>
          <w:rFonts w:hint="eastAsia" w:ascii="宋体" w:hAnsi="宋体"/>
          <w:color w:val="auto"/>
          <w:kern w:val="2"/>
          <w:highlight w:val="none"/>
          <w:shd w:val="clear" w:color="auto" w:fill="auto"/>
        </w:rPr>
        <w:t>分钟响应，</w:t>
      </w:r>
      <w:r>
        <w:rPr>
          <w:rFonts w:hint="eastAsia" w:ascii="宋体" w:hAnsi="宋体"/>
          <w:color w:val="auto"/>
          <w:kern w:val="2"/>
          <w:highlight w:val="none"/>
          <w:shd w:val="clear" w:color="auto" w:fill="auto"/>
          <w:lang w:val="en-US" w:eastAsia="zh-CN"/>
        </w:rPr>
        <w:t>4</w:t>
      </w:r>
      <w:r>
        <w:rPr>
          <w:rFonts w:ascii="宋体" w:hAnsi="宋体"/>
          <w:color w:val="auto"/>
          <w:kern w:val="2"/>
          <w:highlight w:val="none"/>
          <w:shd w:val="clear" w:color="auto" w:fill="auto"/>
        </w:rPr>
        <w:t>小时到达现场维修</w:t>
      </w:r>
      <w:r>
        <w:rPr>
          <w:rFonts w:hint="eastAsia" w:ascii="宋体" w:hAnsi="宋体"/>
          <w:color w:val="auto"/>
          <w:kern w:val="2"/>
          <w:highlight w:val="none"/>
          <w:shd w:val="clear" w:color="auto" w:fill="auto"/>
          <w:lang w:eastAsia="zh-CN"/>
        </w:rPr>
        <w:t>。</w:t>
      </w:r>
      <w:r>
        <w:rPr>
          <w:rFonts w:hint="eastAsia" w:ascii="宋体" w:hAnsi="宋体"/>
          <w:color w:val="auto"/>
          <w:kern w:val="2"/>
          <w:highlight w:val="none"/>
          <w:shd w:val="clear" w:color="auto" w:fill="auto"/>
        </w:rPr>
        <w:t>质保期内，免费上门保修或免费更换，同一货物、同一质量问题连续三次维修仍无法正常使用，乙方必须予以更换同品牌或不低于投标配置的其它产品；质保期外，收取成本费维修（人为故意损坏除外）；每</w:t>
      </w:r>
      <w:r>
        <w:rPr>
          <w:rFonts w:ascii="宋体" w:hAnsi="宋体"/>
          <w:color w:val="auto"/>
          <w:kern w:val="2"/>
          <w:highlight w:val="none"/>
          <w:shd w:val="clear" w:color="auto" w:fill="auto"/>
        </w:rPr>
        <w:t xml:space="preserve"> 1年不低于 3 次</w:t>
      </w:r>
      <w:r>
        <w:rPr>
          <w:rFonts w:hint="eastAsia" w:ascii="宋体" w:hAnsi="宋体"/>
          <w:color w:val="auto"/>
          <w:kern w:val="2"/>
          <w:highlight w:val="none"/>
          <w:shd w:val="clear" w:color="auto" w:fill="auto"/>
        </w:rPr>
        <w:t>主动上门走访（或维护、巡检）消防车辆（含随车器材）的使用情况，并做好记录，确保车辆、器材处于正常工作状态。严格执行售后服务响应时间进行维修，如维修过程中出现怠工、推诿等现象，向甲方支付违约金 1500 元/次，如果情节严重给甲方带来经济损失的，承担法律责任。</w:t>
      </w:r>
    </w:p>
    <w:p w14:paraId="509691B1">
      <w:pPr>
        <w:pStyle w:val="12"/>
        <w:pageBreakBefore w:val="0"/>
        <w:wordWrap w:val="0"/>
        <w:overflowPunct/>
        <w:bidi w:val="0"/>
        <w:ind w:left="0" w:leftChars="0" w:firstLine="420" w:firstLineChars="200"/>
        <w:rPr>
          <w:rFonts w:hint="eastAsia" w:ascii="宋体" w:hAnsi="宋体" w:eastAsia="宋体" w:cs="宋体"/>
          <w:color w:val="auto"/>
          <w:kern w:val="2"/>
          <w:sz w:val="21"/>
          <w:szCs w:val="21"/>
          <w:highlight w:val="none"/>
          <w:shd w:val="clear" w:color="auto" w:fill="auto"/>
          <w:lang w:val="en-US" w:eastAsia="zh-CN" w:bidi="ar-SA"/>
        </w:rPr>
      </w:pPr>
      <w:r>
        <w:rPr>
          <w:rFonts w:hint="eastAsia" w:ascii="宋体" w:hAnsi="宋体" w:eastAsia="宋体" w:cs="宋体"/>
          <w:color w:val="auto"/>
          <w:kern w:val="2"/>
          <w:sz w:val="21"/>
          <w:szCs w:val="21"/>
          <w:highlight w:val="none"/>
          <w:shd w:val="clear" w:color="auto" w:fill="auto"/>
          <w:lang w:val="en-US" w:eastAsia="zh-CN" w:bidi="ar-SA"/>
        </w:rPr>
        <w:t>自验收合格之日起半年内提供首次免费保养服务。首保后，消防车辆以半年为周期，增加一次免费保养服务。</w:t>
      </w:r>
    </w:p>
    <w:p w14:paraId="36986B99">
      <w:pPr>
        <w:pageBreakBefore w:val="0"/>
        <w:wordWrap w:val="0"/>
        <w:overflowPunct/>
        <w:bidi w:val="0"/>
        <w:spacing w:line="360" w:lineRule="auto"/>
        <w:ind w:firstLine="420" w:firstLineChars="200"/>
        <w:rPr>
          <w:rFonts w:hint="eastAsia" w:ascii="宋体" w:hAnsi="宋体" w:eastAsia="宋体"/>
          <w:color w:val="auto"/>
          <w:kern w:val="2"/>
          <w:highlight w:val="none"/>
          <w:shd w:val="clear" w:color="auto" w:fill="auto"/>
          <w:lang w:eastAsia="zh-CN"/>
        </w:rPr>
      </w:pPr>
      <w:r>
        <w:rPr>
          <w:rFonts w:hint="eastAsia" w:ascii="宋体" w:hAnsi="宋体"/>
          <w:color w:val="auto"/>
          <w:kern w:val="2"/>
          <w:highlight w:val="none"/>
          <w:shd w:val="clear" w:color="auto" w:fill="auto"/>
        </w:rPr>
        <w:t>（二）质保期满后，乙方同样提供免费7×24小时（售后服务热线  座机：</w:t>
      </w:r>
      <w:r>
        <w:rPr>
          <w:rFonts w:hint="eastAsia" w:ascii="宋体" w:hAnsi="宋体"/>
          <w:color w:val="auto"/>
          <w:kern w:val="2"/>
          <w:highlight w:val="none"/>
          <w:u w:val="single"/>
          <w:shd w:val="clear" w:color="auto" w:fill="auto"/>
          <w:lang w:val="en-US" w:eastAsia="zh-CN"/>
        </w:rPr>
        <w:t xml:space="preserve"> </w:t>
      </w:r>
      <w:r>
        <w:rPr>
          <w:rFonts w:hint="eastAsia" w:ascii="宋体" w:hAnsi="宋体"/>
          <w:color w:val="auto"/>
          <w:kern w:val="2"/>
          <w:highlight w:val="none"/>
          <w:u w:val="single"/>
          <w:shd w:val="clear" w:color="auto" w:fill="auto"/>
        </w:rPr>
        <w:t xml:space="preserve"> </w:t>
      </w:r>
      <w:r>
        <w:rPr>
          <w:rFonts w:hint="eastAsia" w:ascii="宋体" w:hAnsi="宋体"/>
          <w:color w:val="auto"/>
          <w:kern w:val="2"/>
          <w:highlight w:val="none"/>
          <w:u w:val="single"/>
          <w:shd w:val="clear" w:color="auto" w:fill="auto"/>
          <w:lang w:val="en-US" w:eastAsia="zh-CN"/>
        </w:rPr>
        <w:t xml:space="preserve">     </w:t>
      </w:r>
      <w:r>
        <w:rPr>
          <w:rFonts w:hint="eastAsia" w:ascii="宋体" w:hAnsi="宋体"/>
          <w:color w:val="auto"/>
          <w:kern w:val="2"/>
          <w:highlight w:val="none"/>
          <w:u w:val="single"/>
          <w:shd w:val="clear" w:color="auto" w:fill="auto"/>
        </w:rPr>
        <w:t xml:space="preserve"> </w:t>
      </w:r>
      <w:r>
        <w:rPr>
          <w:rFonts w:hint="eastAsia" w:ascii="宋体" w:hAnsi="宋体"/>
          <w:color w:val="auto"/>
          <w:kern w:val="2"/>
          <w:highlight w:val="none"/>
          <w:shd w:val="clear" w:color="auto" w:fill="auto"/>
        </w:rPr>
        <w:t>电话：</w:t>
      </w:r>
      <w:r>
        <w:rPr>
          <w:rFonts w:hint="eastAsia" w:ascii="宋体" w:hAnsi="宋体"/>
          <w:color w:val="auto"/>
          <w:kern w:val="2"/>
          <w:highlight w:val="none"/>
          <w:u w:val="single"/>
          <w:shd w:val="clear" w:color="auto" w:fill="auto"/>
          <w:lang w:val="en-US" w:eastAsia="zh-CN"/>
        </w:rPr>
        <w:t xml:space="preserve">            </w:t>
      </w:r>
      <w:r>
        <w:rPr>
          <w:rFonts w:hint="eastAsia" w:ascii="宋体" w:hAnsi="宋体"/>
          <w:color w:val="auto"/>
          <w:kern w:val="2"/>
          <w:highlight w:val="none"/>
          <w:shd w:val="clear" w:color="auto" w:fill="auto"/>
        </w:rPr>
        <w:t>）电话咨询服务，并承诺提供产品上门维护服务</w:t>
      </w:r>
      <w:r>
        <w:rPr>
          <w:rFonts w:hint="eastAsia" w:ascii="宋体" w:hAnsi="宋体"/>
          <w:color w:val="auto"/>
          <w:kern w:val="2"/>
          <w:highlight w:val="none"/>
          <w:shd w:val="clear" w:color="auto" w:fill="auto"/>
          <w:lang w:eastAsia="zh-CN"/>
        </w:rPr>
        <w:t>。</w:t>
      </w:r>
    </w:p>
    <w:p w14:paraId="3557FCAB">
      <w:pPr>
        <w:pageBreakBefore w:val="0"/>
        <w:wordWrap w:val="0"/>
        <w:overflowPunct/>
        <w:bidi w:val="0"/>
        <w:spacing w:before="156" w:beforeLines="50" w:after="156" w:afterLines="50" w:line="360" w:lineRule="auto"/>
        <w:ind w:firstLine="422" w:firstLineChars="200"/>
        <w:rPr>
          <w:rFonts w:ascii="宋体" w:hAnsi="宋体"/>
          <w:b/>
          <w:color w:val="auto"/>
          <w:kern w:val="2"/>
          <w:highlight w:val="none"/>
          <w:shd w:val="clear" w:color="auto" w:fill="auto"/>
        </w:rPr>
      </w:pPr>
      <w:r>
        <w:rPr>
          <w:rFonts w:hint="eastAsia" w:ascii="宋体" w:hAnsi="宋体"/>
          <w:b/>
          <w:color w:val="auto"/>
          <w:kern w:val="2"/>
          <w:highlight w:val="none"/>
          <w:shd w:val="clear" w:color="auto" w:fill="auto"/>
        </w:rPr>
        <w:t>七、送货、性能测试等要求</w:t>
      </w:r>
    </w:p>
    <w:p w14:paraId="0746F698">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（一）合同总价格为甲方指定地点交货价并包含运输费、性能测试培训等全部费用。</w:t>
      </w:r>
    </w:p>
    <w:p w14:paraId="0B298A37">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（二）本合同的供货范围，除包括上述货物外，还包括随机的备品备件，相应的技术服务与质量保证文件。</w:t>
      </w:r>
    </w:p>
    <w:p w14:paraId="333CF049">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（三）产品性能测试符合国家行业标准，并满足甲方技术要求，乙方负责配合甲方进行产品性能测试等工作。</w:t>
      </w:r>
    </w:p>
    <w:p w14:paraId="3361198C">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（四）乙方应与收货单位共同完成货物数量当面清点、品牌型号核对、签收、验收、培训。</w:t>
      </w:r>
    </w:p>
    <w:p w14:paraId="167722C8">
      <w:pPr>
        <w:pageBreakBefore w:val="0"/>
        <w:wordWrap w:val="0"/>
        <w:overflowPunct/>
        <w:bidi w:val="0"/>
        <w:spacing w:line="360" w:lineRule="auto"/>
        <w:ind w:firstLine="420" w:firstLineChars="200"/>
        <w:rPr>
          <w:rFonts w:ascii="宋体" w:hAnsi="宋体"/>
          <w:color w:val="auto"/>
          <w:kern w:val="2"/>
          <w:highlight w:val="none"/>
          <w:shd w:val="clear" w:color="auto" w:fill="auto"/>
        </w:rPr>
      </w:pPr>
      <w:bookmarkStart w:id="36" w:name="_Hlk167348320"/>
      <w:r>
        <w:rPr>
          <w:rFonts w:hint="eastAsia" w:ascii="宋体" w:hAnsi="宋体"/>
          <w:color w:val="auto"/>
          <w:kern w:val="2"/>
          <w:highlight w:val="none"/>
          <w:shd w:val="clear" w:color="auto" w:fill="auto"/>
        </w:rPr>
        <w:t>（</w:t>
      </w:r>
      <w:r>
        <w:rPr>
          <w:rFonts w:hint="eastAsia"/>
          <w:color w:val="auto"/>
          <w:kern w:val="2"/>
          <w:highlight w:val="none"/>
          <w:shd w:val="clear" w:color="auto" w:fill="auto"/>
        </w:rPr>
        <w:t>五</w:t>
      </w:r>
      <w:r>
        <w:rPr>
          <w:rFonts w:hint="eastAsia" w:ascii="宋体" w:hAnsi="宋体"/>
          <w:color w:val="auto"/>
          <w:kern w:val="2"/>
          <w:highlight w:val="none"/>
          <w:shd w:val="clear" w:color="auto" w:fill="auto"/>
        </w:rPr>
        <w:t>）产品交付时进行专门产品使用和维护技术培训，由乙方专门部门组织实施交付后现场培训。如发生由于设计制造质量的问题，由乙方负责整改，使用方配合。乙方对使用方在监督/检验过程中，提出的不符合项目应及时整改。</w:t>
      </w:r>
    </w:p>
    <w:bookmarkEnd w:id="36"/>
    <w:p w14:paraId="09F2E9B4">
      <w:pPr>
        <w:pageBreakBefore w:val="0"/>
        <w:wordWrap w:val="0"/>
        <w:overflowPunct/>
        <w:bidi w:val="0"/>
        <w:spacing w:line="360" w:lineRule="auto"/>
        <w:ind w:firstLine="420" w:firstLineChars="200"/>
        <w:rPr>
          <w:rFonts w:hint="eastAsia" w:ascii="宋体" w:hAnsi="宋体"/>
          <w:color w:val="0000FF"/>
          <w:kern w:val="2"/>
          <w:highlight w:val="none"/>
          <w:shd w:val="clear" w:color="auto" w:fill="auto"/>
        </w:rPr>
      </w:pPr>
      <w:r>
        <w:rPr>
          <w:rFonts w:hint="eastAsia" w:ascii="宋体" w:hAnsi="宋体"/>
          <w:color w:val="0000FF"/>
          <w:kern w:val="2"/>
          <w:highlight w:val="none"/>
          <w:shd w:val="clear" w:color="auto" w:fill="auto"/>
        </w:rPr>
        <w:t>其中条款（四）和（五）中的到货签收文件、验收文件、培训文件，双方当事人签字、盖章、留存（3份，收货单位1份，乙方1份，甲方1份）。</w:t>
      </w:r>
    </w:p>
    <w:p w14:paraId="58EE060B">
      <w:pPr>
        <w:pageBreakBefore w:val="0"/>
        <w:wordWrap w:val="0"/>
        <w:overflowPunct/>
        <w:bidi w:val="0"/>
        <w:spacing w:line="360" w:lineRule="auto"/>
        <w:ind w:firstLine="422" w:firstLineChars="200"/>
        <w:rPr>
          <w:rFonts w:ascii="宋体" w:hAnsi="宋体"/>
          <w:color w:val="auto"/>
          <w:kern w:val="2"/>
          <w:highlight w:val="none"/>
          <w:shd w:val="clear" w:color="auto" w:fill="auto"/>
        </w:rPr>
      </w:pPr>
      <w:r>
        <w:rPr>
          <w:rFonts w:hint="eastAsia" w:ascii="宋体" w:hAnsi="宋体"/>
          <w:b/>
          <w:color w:val="auto"/>
          <w:kern w:val="2"/>
          <w:highlight w:val="none"/>
          <w:shd w:val="clear" w:color="auto" w:fill="auto"/>
        </w:rPr>
        <w:t>八、甲乙双方的权利和义务</w:t>
      </w:r>
    </w:p>
    <w:p w14:paraId="14E0B948">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（一）甲方的权利和义务</w:t>
      </w:r>
    </w:p>
    <w:p w14:paraId="17F7AAA5">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1、负责合同签订后项目协调的工作（如与乙方的具体联系和衔接等）；</w:t>
      </w:r>
    </w:p>
    <w:p w14:paraId="466364FD">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2、负责提供产品性能测试所需的场地和环境；</w:t>
      </w:r>
    </w:p>
    <w:p w14:paraId="33014231">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3、负责组织成立验收小组对产品进行验收并签署验收报告；</w:t>
      </w:r>
    </w:p>
    <w:p w14:paraId="198BB7AA">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4、按合同规定享有乙方提供的产品。</w:t>
      </w:r>
    </w:p>
    <w:p w14:paraId="75E74797">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（二）乙方的权利和义务</w:t>
      </w:r>
    </w:p>
    <w:p w14:paraId="390EEE15">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1、乙方保证按本合同条款负责完成甲方项目，并保证提供的设备是全新（包括零部件）、符合竞招标文件规定、具有国家有关部门注册并符合国家质量检测标准、行业标准和产品出厂标准的设备；按合同质保条款提供售后服务，终身负责保修。</w:t>
      </w:r>
    </w:p>
    <w:p w14:paraId="1DD91FA2">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2、保证甲方在合同产品（有配套软件的还包括软件产品）使用期间不受第三方提出侵犯其专利权、商标权和工业设计权的起诉，否则乙方予以处理并承担全部费用。</w:t>
      </w:r>
    </w:p>
    <w:p w14:paraId="32F40375">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3、严格遵守投标、技术澄清、商务谈判、中标所承诺的一切规定和条款；</w:t>
      </w:r>
    </w:p>
    <w:p w14:paraId="297F8422">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4、参与甲方共同进行产品的验收。</w:t>
      </w:r>
    </w:p>
    <w:p w14:paraId="1033964F">
      <w:pPr>
        <w:pageBreakBefore w:val="0"/>
        <w:wordWrap w:val="0"/>
        <w:overflowPunct/>
        <w:bidi w:val="0"/>
        <w:spacing w:line="360" w:lineRule="auto"/>
        <w:ind w:firstLine="422" w:firstLineChars="200"/>
        <w:rPr>
          <w:rFonts w:ascii="宋体" w:hAnsi="宋体"/>
          <w:color w:val="auto"/>
          <w:kern w:val="2"/>
          <w:highlight w:val="none"/>
          <w:shd w:val="clear" w:color="auto" w:fill="auto"/>
        </w:rPr>
      </w:pPr>
      <w:r>
        <w:rPr>
          <w:rFonts w:hint="eastAsia" w:ascii="宋体" w:hAnsi="宋体"/>
          <w:b/>
          <w:color w:val="auto"/>
          <w:kern w:val="2"/>
          <w:highlight w:val="none"/>
          <w:shd w:val="clear" w:color="auto" w:fill="auto"/>
        </w:rPr>
        <w:t>九、违约责任</w:t>
      </w:r>
    </w:p>
    <w:p w14:paraId="1715DD38">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bCs/>
          <w:color w:val="auto"/>
          <w:kern w:val="2"/>
          <w:highlight w:val="none"/>
          <w:shd w:val="clear" w:color="auto" w:fill="auto"/>
        </w:rPr>
        <w:t>（一）乙方逾期履行本合同供货约定义务时，每逾期一日，应当向甲方所属支队支付</w:t>
      </w:r>
      <w:r>
        <w:rPr>
          <w:rFonts w:hint="eastAsia" w:ascii="宋体" w:hAnsi="宋体"/>
          <w:bCs/>
          <w:color w:val="auto"/>
          <w:kern w:val="2"/>
          <w:highlight w:val="none"/>
          <w:shd w:val="clear" w:color="auto" w:fill="auto"/>
          <w:lang w:eastAsia="zh-CN"/>
        </w:rPr>
        <w:t>合同价</w:t>
      </w:r>
      <w:r>
        <w:rPr>
          <w:rFonts w:hint="eastAsia" w:ascii="宋体" w:hAnsi="宋体"/>
          <w:bCs/>
          <w:color w:val="auto"/>
          <w:kern w:val="2"/>
          <w:highlight w:val="none"/>
          <w:shd w:val="clear" w:color="auto" w:fill="auto"/>
        </w:rPr>
        <w:t>款 5‰履约逾期违约金；逾期超过 15 个工作日的，甲方有权单方解除本合同，甲方所属支队有权扣除全部履约保证金并要求乙方退还全部已收合同款，如给甲方及甲方所属支队造成经济损失的，</w:t>
      </w:r>
      <w:bookmarkStart w:id="37" w:name="_Hlk167348486"/>
      <w:r>
        <w:rPr>
          <w:rFonts w:hint="eastAsia" w:ascii="宋体" w:hAnsi="宋体"/>
          <w:bCs/>
          <w:color w:val="auto"/>
          <w:kern w:val="2"/>
          <w:highlight w:val="none"/>
          <w:shd w:val="clear" w:color="auto" w:fill="auto"/>
        </w:rPr>
        <w:t>乙方应当全额赔偿给甲方及甲方所属支队造成的全部直接、间接经济损失</w:t>
      </w:r>
      <w:bookmarkEnd w:id="37"/>
      <w:r>
        <w:rPr>
          <w:rFonts w:hint="eastAsia" w:ascii="宋体" w:hAnsi="宋体"/>
          <w:bCs/>
          <w:color w:val="auto"/>
          <w:kern w:val="2"/>
          <w:highlight w:val="none"/>
          <w:shd w:val="clear" w:color="auto" w:fill="auto"/>
        </w:rPr>
        <w:t>。</w:t>
      </w:r>
    </w:p>
    <w:p w14:paraId="63D89306">
      <w:pPr>
        <w:pageBreakBefore w:val="0"/>
        <w:wordWrap w:val="0"/>
        <w:overflowPunct/>
        <w:bidi w:val="0"/>
        <w:spacing w:before="156" w:beforeLines="50" w:after="156" w:afterLines="50" w:line="360" w:lineRule="auto"/>
        <w:ind w:firstLine="420" w:firstLineChars="200"/>
        <w:rPr>
          <w:rFonts w:ascii="宋体" w:hAnsi="宋体"/>
          <w:bCs/>
          <w:color w:val="auto"/>
          <w:kern w:val="2"/>
          <w:highlight w:val="none"/>
          <w:shd w:val="clear" w:color="auto" w:fill="auto"/>
        </w:rPr>
      </w:pPr>
      <w:r>
        <w:rPr>
          <w:rFonts w:hint="eastAsia" w:ascii="宋体" w:hAnsi="宋体"/>
          <w:bCs/>
          <w:color w:val="auto"/>
          <w:kern w:val="2"/>
          <w:highlight w:val="none"/>
          <w:shd w:val="clear" w:color="auto" w:fill="auto"/>
        </w:rPr>
        <w:t>（二）除本合同另有约定，乙方违约的，甲方所属支队有权扣除履约保证金并限期催告乙方停止违约行为、采取有效补救措施（包括但不限于继续履行合同、扣除履约保证金、赔偿甲方经济损失等）。如乙方未在甲方指定期限内采取相关措施并经甲方验收合格的，甲方有权单方解除本合同，并要求乙方退还全部或部分已收合同款，如给甲方及所属支队造成经济损失的，乙方应当全额赔偿给甲方及甲方所属支队造成的全部直接、间接经济损失。</w:t>
      </w:r>
    </w:p>
    <w:p w14:paraId="1A7AC42A">
      <w:pPr>
        <w:pageBreakBefore w:val="0"/>
        <w:wordWrap w:val="0"/>
        <w:overflowPunct/>
        <w:bidi w:val="0"/>
        <w:spacing w:before="156" w:beforeLines="50" w:after="156" w:afterLines="50" w:line="360" w:lineRule="auto"/>
        <w:ind w:firstLine="420" w:firstLineChars="200"/>
        <w:rPr>
          <w:rFonts w:ascii="宋体" w:hAnsi="宋体"/>
          <w:bCs/>
          <w:color w:val="auto"/>
          <w:kern w:val="2"/>
          <w:highlight w:val="none"/>
          <w:shd w:val="clear" w:color="auto" w:fill="auto"/>
        </w:rPr>
      </w:pPr>
      <w:r>
        <w:rPr>
          <w:rFonts w:hint="eastAsia" w:ascii="宋体" w:hAnsi="宋体"/>
          <w:bCs/>
          <w:color w:val="auto"/>
          <w:kern w:val="2"/>
          <w:highlight w:val="none"/>
          <w:shd w:val="clear" w:color="auto" w:fill="auto"/>
        </w:rPr>
        <w:t>（三）甲方所属支队有权随时将履约保证金等额抵扣乙方应支付的违约金或经济损失，剩余违约金或经济损失由乙方另行支付。乙方应当自履约保证金抵扣发生之日起二日内向甲方所属支队补足违约金。</w:t>
      </w:r>
    </w:p>
    <w:p w14:paraId="19657BE2">
      <w:pPr>
        <w:pageBreakBefore w:val="0"/>
        <w:wordWrap w:val="0"/>
        <w:overflowPunct/>
        <w:bidi w:val="0"/>
        <w:spacing w:before="156" w:beforeLines="50" w:after="156" w:afterLines="50" w:line="360" w:lineRule="auto"/>
        <w:ind w:firstLine="420" w:firstLineChars="200"/>
        <w:rPr>
          <w:rFonts w:ascii="宋体" w:hAnsi="宋体"/>
          <w:bCs/>
          <w:color w:val="auto"/>
          <w:kern w:val="2"/>
          <w:highlight w:val="none"/>
          <w:shd w:val="clear" w:color="auto" w:fill="auto"/>
        </w:rPr>
      </w:pPr>
      <w:r>
        <w:rPr>
          <w:rFonts w:hint="eastAsia" w:ascii="宋体" w:hAnsi="宋体"/>
          <w:bCs/>
          <w:color w:val="auto"/>
          <w:kern w:val="2"/>
          <w:highlight w:val="none"/>
          <w:shd w:val="clear" w:color="auto" w:fill="auto"/>
        </w:rPr>
        <w:t>（四）乙方必须向甲方提供全新的、经出厂检验合格的、获得国家销售许可的合格产品。若乙方所供货物是假货或走私等非法来源货物的，甲方有权扣除履约保证金并无条件解除本合同，乙方必须无条件向甲方支付合同总价 3 倍的违约赔偿金。</w:t>
      </w:r>
    </w:p>
    <w:p w14:paraId="3C65BCD0">
      <w:pPr>
        <w:pageBreakBefore w:val="0"/>
        <w:wordWrap w:val="0"/>
        <w:overflowPunct/>
        <w:bidi w:val="0"/>
        <w:spacing w:before="156" w:beforeLines="50" w:after="156" w:afterLines="50" w:line="360" w:lineRule="auto"/>
        <w:ind w:firstLine="420" w:firstLineChars="200"/>
        <w:rPr>
          <w:rFonts w:ascii="宋体" w:hAnsi="宋体"/>
          <w:bCs/>
          <w:color w:val="auto"/>
          <w:kern w:val="2"/>
          <w:highlight w:val="none"/>
          <w:shd w:val="clear" w:color="auto" w:fill="auto"/>
        </w:rPr>
      </w:pPr>
      <w:r>
        <w:rPr>
          <w:rFonts w:hint="eastAsia" w:ascii="宋体" w:hAnsi="宋体"/>
          <w:bCs/>
          <w:color w:val="auto"/>
          <w:kern w:val="2"/>
          <w:highlight w:val="none"/>
          <w:shd w:val="clear" w:color="auto" w:fill="auto"/>
        </w:rPr>
        <w:t>（五）乙方向甲方所属支队开具等额、真实、合法的有效发票，若乙方提供的发票存在虚假、过期、失效或违法等情形的，甲方将按照《中华人民共和国发票管理办法》第三十七条和第三十八条的规定移交税务机关对乙方进行相关的处罚。</w:t>
      </w:r>
    </w:p>
    <w:p w14:paraId="65499AAE">
      <w:pPr>
        <w:pageBreakBefore w:val="0"/>
        <w:wordWrap w:val="0"/>
        <w:overflowPunct/>
        <w:bidi w:val="0"/>
        <w:spacing w:before="156" w:beforeLines="50" w:after="156" w:afterLines="50" w:line="360" w:lineRule="auto"/>
        <w:ind w:firstLine="422" w:firstLineChars="200"/>
        <w:rPr>
          <w:rFonts w:ascii="宋体" w:hAnsi="宋体"/>
          <w:bCs/>
          <w:color w:val="auto"/>
          <w:kern w:val="2"/>
          <w:highlight w:val="none"/>
          <w:shd w:val="clear" w:color="auto" w:fill="auto"/>
        </w:rPr>
      </w:pPr>
      <w:r>
        <w:rPr>
          <w:rFonts w:hint="eastAsia" w:ascii="宋体" w:hAnsi="宋体"/>
          <w:b/>
          <w:color w:val="auto"/>
          <w:kern w:val="2"/>
          <w:highlight w:val="none"/>
          <w:shd w:val="clear" w:color="auto" w:fill="auto"/>
        </w:rPr>
        <w:t>十、合同纠纷</w:t>
      </w:r>
    </w:p>
    <w:p w14:paraId="06214569">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甲乙双方在履行合同过程中发生纠纷，应及时向有关监督管理部门反映，以便相关部门进行协调或处理；或按以下方式处理：（请在□内打√，其余打×）</w:t>
      </w:r>
    </w:p>
    <w:p w14:paraId="1486130C">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sym w:font="Wingdings 2" w:char="0053"/>
      </w:r>
      <w:r>
        <w:rPr>
          <w:rFonts w:hint="eastAsia" w:ascii="宋体" w:hAnsi="宋体"/>
          <w:color w:val="auto"/>
          <w:kern w:val="2"/>
          <w:highlight w:val="none"/>
          <w:shd w:val="clear" w:color="auto" w:fill="auto"/>
        </w:rPr>
        <w:t>向合同签订地仲裁部门申请仲裁；</w:t>
      </w:r>
    </w:p>
    <w:p w14:paraId="4E90B640">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fldChar w:fldCharType="begin"/>
      </w:r>
      <w:r>
        <w:rPr>
          <w:rFonts w:hint="eastAsia" w:ascii="宋体" w:hAnsi="宋体"/>
          <w:color w:val="auto"/>
          <w:kern w:val="2"/>
          <w:highlight w:val="none"/>
          <w:shd w:val="clear" w:color="auto" w:fill="auto"/>
        </w:rPr>
        <w:instrText xml:space="preserve"> EQ \o\ac(</w:instrText>
      </w:r>
      <w:r>
        <w:rPr>
          <w:rFonts w:hint="eastAsia" w:ascii="宋体" w:hAnsi="宋体"/>
          <w:color w:val="auto"/>
          <w:kern w:val="2"/>
          <w:position w:val="-4"/>
          <w:sz w:val="31"/>
          <w:highlight w:val="none"/>
          <w:shd w:val="clear" w:color="auto" w:fill="auto"/>
        </w:rPr>
        <w:instrText xml:space="preserve">□</w:instrText>
      </w:r>
      <w:r>
        <w:rPr>
          <w:rFonts w:hint="eastAsia" w:ascii="宋体" w:hAnsi="宋体"/>
          <w:color w:val="auto"/>
          <w:kern w:val="2"/>
          <w:highlight w:val="none"/>
          <w:shd w:val="clear" w:color="auto" w:fill="auto"/>
        </w:rPr>
        <w:instrText xml:space="preserve">,√)</w:instrText>
      </w:r>
      <w:r>
        <w:rPr>
          <w:rFonts w:hint="eastAsia" w:ascii="宋体" w:hAnsi="宋体"/>
          <w:color w:val="auto"/>
          <w:kern w:val="2"/>
          <w:highlight w:val="none"/>
          <w:shd w:val="clear" w:color="auto" w:fill="auto"/>
        </w:rPr>
        <w:fldChar w:fldCharType="end"/>
      </w:r>
      <w:r>
        <w:rPr>
          <w:rFonts w:hint="eastAsia" w:ascii="宋体" w:hAnsi="宋体"/>
          <w:color w:val="auto"/>
          <w:kern w:val="2"/>
          <w:highlight w:val="none"/>
          <w:shd w:val="clear" w:color="auto" w:fill="auto"/>
        </w:rPr>
        <w:t>向甲方所在地人民法院提起诉讼。</w:t>
      </w:r>
    </w:p>
    <w:p w14:paraId="1E345C8E">
      <w:pPr>
        <w:pageBreakBefore w:val="0"/>
        <w:wordWrap w:val="0"/>
        <w:overflowPunct/>
        <w:bidi w:val="0"/>
        <w:spacing w:line="360" w:lineRule="auto"/>
        <w:ind w:firstLine="422" w:firstLineChars="200"/>
        <w:rPr>
          <w:rFonts w:ascii="宋体" w:hAnsi="宋体"/>
          <w:b/>
          <w:color w:val="auto"/>
          <w:kern w:val="2"/>
          <w:highlight w:val="none"/>
          <w:shd w:val="clear" w:color="auto" w:fill="auto"/>
        </w:rPr>
      </w:pPr>
      <w:r>
        <w:rPr>
          <w:rFonts w:hint="eastAsia" w:ascii="宋体" w:hAnsi="宋体"/>
          <w:b/>
          <w:color w:val="auto"/>
          <w:kern w:val="2"/>
          <w:highlight w:val="none"/>
          <w:shd w:val="clear" w:color="auto" w:fill="auto"/>
        </w:rPr>
        <w:t>十一、本合同其他未尽事宜</w:t>
      </w:r>
    </w:p>
    <w:p w14:paraId="4F3FB54E">
      <w:pPr>
        <w:pageBreakBefore w:val="0"/>
        <w:wordWrap w:val="0"/>
        <w:overflowPunct/>
        <w:bidi w:val="0"/>
        <w:spacing w:line="360" w:lineRule="auto"/>
        <w:ind w:firstLine="420" w:firstLineChars="200"/>
        <w:rPr>
          <w:rFonts w:ascii="宋体" w:hAnsi="宋体"/>
          <w:color w:val="auto"/>
          <w:highlight w:val="none"/>
          <w:shd w:val="clear" w:color="auto" w:fill="auto"/>
        </w:rPr>
      </w:pPr>
      <w:r>
        <w:rPr>
          <w:rFonts w:hint="eastAsia" w:ascii="宋体" w:hAnsi="宋体"/>
          <w:color w:val="auto"/>
          <w:kern w:val="2"/>
          <w:highlight w:val="none"/>
          <w:shd w:val="clear" w:color="auto" w:fill="auto"/>
        </w:rPr>
        <w:t>若为进口货物按国家政策办理免税，则进口货物部分发票由进出口代理公司开具，国内改装部分由乙方开具。本合同其他未尽事宜，按国家《中华人民共和国民法典》有关规定处理。</w:t>
      </w:r>
    </w:p>
    <w:p w14:paraId="60A454DF">
      <w:pPr>
        <w:pageBreakBefore w:val="0"/>
        <w:wordWrap w:val="0"/>
        <w:overflowPunct/>
        <w:bidi w:val="0"/>
        <w:spacing w:line="360" w:lineRule="auto"/>
        <w:ind w:firstLine="422" w:firstLineChars="200"/>
        <w:rPr>
          <w:rFonts w:ascii="宋体" w:hAnsi="宋体"/>
          <w:b/>
          <w:color w:val="auto"/>
          <w:kern w:val="2"/>
          <w:highlight w:val="none"/>
          <w:shd w:val="clear" w:color="auto" w:fill="auto"/>
        </w:rPr>
      </w:pPr>
      <w:r>
        <w:rPr>
          <w:rFonts w:hint="eastAsia" w:ascii="宋体" w:hAnsi="宋体"/>
          <w:b/>
          <w:color w:val="auto"/>
          <w:kern w:val="2"/>
          <w:highlight w:val="none"/>
          <w:shd w:val="clear" w:color="auto" w:fill="auto"/>
        </w:rPr>
        <w:t>十二、保密责任</w:t>
      </w:r>
    </w:p>
    <w:p w14:paraId="3B637546">
      <w:pPr>
        <w:pageBreakBefore w:val="0"/>
        <w:tabs>
          <w:tab w:val="left" w:pos="5387"/>
        </w:tabs>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一）本合同内容以及乙方因签订、履行本合同所获悉的甲方、甲方下属单位、关联单位及合作单位的相关信息、资料（包括但不限于图纸、数据、文件、视频、图片等）均属于保密范围，未经甲方书面同意，乙方不得将保密内容泄露给任何第三方或用于本合同以外的用途；否则，乙方须承担因泄密而引发的全部责任。</w:t>
      </w:r>
    </w:p>
    <w:p w14:paraId="6368FE33">
      <w:pPr>
        <w:pageBreakBefore w:val="0"/>
        <w:tabs>
          <w:tab w:val="left" w:pos="5387"/>
        </w:tabs>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 xml:space="preserve">(二)乙方在本合同签订、履行期间及终止后，无条件负有本合同约定的保密义务。 </w:t>
      </w:r>
    </w:p>
    <w:p w14:paraId="10B916F1">
      <w:pPr>
        <w:pageBreakBefore w:val="0"/>
        <w:tabs>
          <w:tab w:val="left" w:pos="5387"/>
        </w:tabs>
        <w:wordWrap w:val="0"/>
        <w:overflowPunct/>
        <w:bidi w:val="0"/>
        <w:spacing w:line="360" w:lineRule="auto"/>
        <w:ind w:firstLine="422" w:firstLineChars="200"/>
        <w:rPr>
          <w:rFonts w:ascii="宋体" w:hAnsi="宋体"/>
          <w:b/>
          <w:color w:val="auto"/>
          <w:kern w:val="2"/>
          <w:highlight w:val="none"/>
          <w:shd w:val="clear" w:color="auto" w:fill="auto"/>
        </w:rPr>
      </w:pPr>
      <w:r>
        <w:rPr>
          <w:rFonts w:hint="eastAsia" w:ascii="宋体" w:hAnsi="宋体"/>
          <w:b/>
          <w:color w:val="auto"/>
          <w:kern w:val="2"/>
          <w:highlight w:val="none"/>
          <w:shd w:val="clear" w:color="auto" w:fill="auto"/>
        </w:rPr>
        <w:t>十三、特别约定</w:t>
      </w:r>
    </w:p>
    <w:p w14:paraId="35374A4C">
      <w:pPr>
        <w:pageBreakBefore w:val="0"/>
        <w:tabs>
          <w:tab w:val="left" w:pos="5387"/>
        </w:tabs>
        <w:wordWrap w:val="0"/>
        <w:overflowPunct/>
        <w:bidi w:val="0"/>
        <w:spacing w:line="360" w:lineRule="auto"/>
        <w:ind w:firstLine="420" w:firstLineChars="200"/>
        <w:rPr>
          <w:color w:val="auto"/>
          <w:kern w:val="2"/>
          <w:highlight w:val="none"/>
          <w:shd w:val="clear" w:color="auto" w:fill="auto"/>
        </w:rPr>
      </w:pPr>
      <w:r>
        <w:rPr>
          <w:rFonts w:hint="eastAsia" w:ascii="宋体" w:hAnsi="宋体"/>
          <w:bCs/>
          <w:color w:val="auto"/>
          <w:kern w:val="2"/>
          <w:highlight w:val="none"/>
          <w:shd w:val="clear" w:color="auto" w:fill="auto"/>
        </w:rPr>
        <w:t>（一）</w:t>
      </w:r>
      <w:r>
        <w:rPr>
          <w:rFonts w:hint="eastAsia"/>
          <w:color w:val="auto"/>
          <w:kern w:val="2"/>
          <w:highlight w:val="none"/>
          <w:shd w:val="clear" w:color="auto" w:fill="auto"/>
        </w:rPr>
        <w:t>交货时提交与合同规格型号一致的车辆公告、合格证、发票等相关材料等，且所有资料提供复印件一份。</w:t>
      </w:r>
    </w:p>
    <w:p w14:paraId="0A1134C3">
      <w:pPr>
        <w:pageBreakBefore w:val="0"/>
        <w:tabs>
          <w:tab w:val="left" w:pos="5387"/>
        </w:tabs>
        <w:wordWrap w:val="0"/>
        <w:overflowPunct/>
        <w:bidi w:val="0"/>
        <w:spacing w:line="360" w:lineRule="auto"/>
        <w:ind w:firstLine="420" w:firstLineChars="200"/>
        <w:rPr>
          <w:rFonts w:ascii="宋体" w:hAnsi="宋体"/>
          <w:bCs/>
          <w:color w:val="auto"/>
          <w:kern w:val="2"/>
          <w:highlight w:val="none"/>
          <w:shd w:val="clear" w:color="auto" w:fill="auto"/>
        </w:rPr>
      </w:pPr>
      <w:r>
        <w:rPr>
          <w:rFonts w:hint="eastAsia" w:ascii="宋体" w:hAnsi="宋体"/>
          <w:bCs/>
          <w:color w:val="auto"/>
          <w:kern w:val="2"/>
          <w:highlight w:val="none"/>
          <w:shd w:val="clear" w:color="auto" w:fill="auto"/>
        </w:rPr>
        <w:t>（二）使用说明书等技术资料，随设备提供；剩余招标文件中要求的技术资料单独整理归档，交货时一同提供。</w:t>
      </w:r>
    </w:p>
    <w:p w14:paraId="7414F75B">
      <w:pPr>
        <w:pageBreakBefore w:val="0"/>
        <w:tabs>
          <w:tab w:val="left" w:pos="5387"/>
        </w:tabs>
        <w:wordWrap w:val="0"/>
        <w:overflowPunct/>
        <w:bidi w:val="0"/>
        <w:spacing w:line="360" w:lineRule="auto"/>
        <w:rPr>
          <w:rFonts w:ascii="宋体" w:hAnsi="宋体"/>
          <w:bCs/>
          <w:color w:val="auto"/>
          <w:kern w:val="2"/>
          <w:highlight w:val="none"/>
          <w:shd w:val="clear" w:color="auto" w:fill="auto"/>
        </w:rPr>
      </w:pPr>
      <w:r>
        <w:rPr>
          <w:rFonts w:hint="eastAsia" w:ascii="宋体" w:hAnsi="宋体"/>
          <w:bCs/>
          <w:color w:val="auto"/>
          <w:kern w:val="2"/>
          <w:highlight w:val="none"/>
          <w:shd w:val="clear" w:color="auto" w:fill="auto"/>
        </w:rPr>
        <w:t>（三）合同签订后 7 日内，按照投标文件要求，及时与甲方联系，确定产品种类及数量。</w:t>
      </w:r>
    </w:p>
    <w:p w14:paraId="4B47C439">
      <w:pPr>
        <w:pStyle w:val="11"/>
        <w:pageBreakBefore w:val="0"/>
        <w:wordWrap w:val="0"/>
        <w:overflowPunct/>
        <w:bidi w:val="0"/>
        <w:spacing w:after="0"/>
        <w:ind w:firstLine="420" w:firstLineChars="200"/>
        <w:rPr>
          <w:rFonts w:ascii="宋体" w:hAnsi="宋体"/>
          <w:bCs/>
          <w:color w:val="auto"/>
          <w:kern w:val="2"/>
          <w:highlight w:val="none"/>
          <w:shd w:val="clear" w:color="auto" w:fill="auto"/>
        </w:rPr>
      </w:pPr>
      <w:r>
        <w:rPr>
          <w:rFonts w:hint="eastAsia"/>
          <w:color w:val="auto"/>
          <w:kern w:val="2"/>
          <w:highlight w:val="none"/>
          <w:shd w:val="clear" w:color="auto" w:fill="auto"/>
        </w:rPr>
        <w:t>（四）</w:t>
      </w:r>
      <w:r>
        <w:rPr>
          <w:rFonts w:hint="eastAsia"/>
          <w:b/>
          <w:bCs/>
          <w:color w:val="auto"/>
          <w:kern w:val="2"/>
          <w:highlight w:val="none"/>
          <w:shd w:val="clear" w:color="auto" w:fill="auto"/>
        </w:rPr>
        <w:t>其他要求：</w:t>
      </w:r>
      <w:r>
        <w:rPr>
          <w:rFonts w:hint="eastAsia"/>
          <w:color w:val="auto"/>
          <w:kern w:val="2"/>
          <w:highlight w:val="none"/>
          <w:shd w:val="clear" w:color="auto" w:fill="auto"/>
        </w:rPr>
        <w:t>按照国家综合性消防救援队伍要求，车辆器材装备交付时需附着二维码（或RFID），个人防护装备需根据最新要求制作标志标识，印制单位名称等。</w:t>
      </w:r>
    </w:p>
    <w:p w14:paraId="18C46CD5">
      <w:pPr>
        <w:pageBreakBefore w:val="0"/>
        <w:tabs>
          <w:tab w:val="left" w:pos="5387"/>
        </w:tabs>
        <w:wordWrap w:val="0"/>
        <w:overflowPunct/>
        <w:bidi w:val="0"/>
        <w:spacing w:line="360" w:lineRule="auto"/>
        <w:rPr>
          <w:rFonts w:ascii="宋体" w:hAnsi="宋体"/>
          <w:b/>
          <w:color w:val="auto"/>
          <w:kern w:val="2"/>
          <w:highlight w:val="none"/>
          <w:shd w:val="clear" w:color="auto" w:fill="auto"/>
        </w:rPr>
      </w:pPr>
      <w:r>
        <w:rPr>
          <w:rFonts w:hint="eastAsia" w:ascii="宋体" w:hAnsi="宋体"/>
          <w:b/>
          <w:color w:val="auto"/>
          <w:kern w:val="2"/>
          <w:highlight w:val="none"/>
          <w:shd w:val="clear" w:color="auto" w:fill="auto"/>
        </w:rPr>
        <w:t>十四、不可抗力</w:t>
      </w:r>
    </w:p>
    <w:p w14:paraId="2487F489">
      <w:pPr>
        <w:pageBreakBefore w:val="0"/>
        <w:tabs>
          <w:tab w:val="left" w:pos="5387"/>
        </w:tabs>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一）如果甲乙双方中任何一方遭遇战争、自然灾害（火灾、水灾、台风、地震、重大疫情等）、动乱等不可抗力的因素，致使本合同履行受阻时，履行本合同的期限应予延长，延长的期限应相当于不可抗力所影响的时间。</w:t>
      </w:r>
    </w:p>
    <w:p w14:paraId="4E740EEE">
      <w:pPr>
        <w:pageBreakBefore w:val="0"/>
        <w:tabs>
          <w:tab w:val="left" w:pos="5387"/>
        </w:tabs>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（二）受不可抗力影响的一方应在不可抗力发生后，以最快的方式在最短的时间内通知另一方，并在不可抗力发生后10日内，将有关部门出具的证明文件直接送达另一方。</w:t>
      </w:r>
    </w:p>
    <w:p w14:paraId="008F1618">
      <w:pPr>
        <w:pageBreakBefore w:val="0"/>
        <w:tabs>
          <w:tab w:val="left" w:pos="5387"/>
        </w:tabs>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（三）如果不可抗力影响导致合同迟延履行30日以上的，甲乙双方应友好协商解决，协商不成的，按照甲方要求执行。</w:t>
      </w:r>
    </w:p>
    <w:p w14:paraId="249448D7">
      <w:pPr>
        <w:pageBreakBefore w:val="0"/>
        <w:wordWrap w:val="0"/>
        <w:overflowPunct/>
        <w:bidi w:val="0"/>
        <w:spacing w:line="360" w:lineRule="auto"/>
        <w:ind w:firstLine="422" w:firstLineChars="200"/>
        <w:rPr>
          <w:rFonts w:ascii="宋体" w:hAnsi="宋体"/>
          <w:b/>
          <w:color w:val="auto"/>
          <w:kern w:val="2"/>
          <w:highlight w:val="none"/>
          <w:shd w:val="clear" w:color="auto" w:fill="auto"/>
        </w:rPr>
      </w:pPr>
      <w:r>
        <w:rPr>
          <w:rFonts w:hint="eastAsia" w:ascii="宋体" w:hAnsi="宋体"/>
          <w:b/>
          <w:color w:val="auto"/>
          <w:kern w:val="2"/>
          <w:highlight w:val="none"/>
          <w:shd w:val="clear" w:color="auto" w:fill="auto"/>
        </w:rPr>
        <w:t>十五、合同的生效</w:t>
      </w:r>
    </w:p>
    <w:p w14:paraId="5957589C">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本合同经双方签字并盖章后生效。本合同一式4份，甲方持3份，乙方持1份，具有同等法律效力。</w:t>
      </w:r>
    </w:p>
    <w:p w14:paraId="22A934EC">
      <w:pPr>
        <w:pageBreakBefore w:val="0"/>
        <w:wordWrap w:val="0"/>
        <w:overflowPunct/>
        <w:bidi w:val="0"/>
        <w:spacing w:line="360" w:lineRule="auto"/>
        <w:ind w:firstLine="422" w:firstLineChars="200"/>
        <w:rPr>
          <w:rFonts w:ascii="宋体" w:hAnsi="宋体"/>
          <w:b/>
          <w:color w:val="auto"/>
          <w:kern w:val="2"/>
          <w:highlight w:val="none"/>
          <w:shd w:val="clear" w:color="auto" w:fill="auto"/>
        </w:rPr>
      </w:pPr>
      <w:r>
        <w:rPr>
          <w:rFonts w:hint="eastAsia" w:ascii="宋体" w:hAnsi="宋体"/>
          <w:b/>
          <w:color w:val="auto"/>
          <w:kern w:val="2"/>
          <w:highlight w:val="none"/>
          <w:shd w:val="clear" w:color="auto" w:fill="auto"/>
        </w:rPr>
        <w:t>十</w:t>
      </w:r>
      <w:r>
        <w:rPr>
          <w:rFonts w:hint="eastAsia" w:ascii="宋体" w:hAnsi="宋体"/>
          <w:b/>
          <w:color w:val="auto"/>
          <w:kern w:val="2"/>
          <w:highlight w:val="none"/>
          <w:shd w:val="clear" w:color="auto" w:fill="auto"/>
          <w:lang w:val="en-US" w:eastAsia="zh-CN"/>
        </w:rPr>
        <w:t>六</w:t>
      </w:r>
      <w:r>
        <w:rPr>
          <w:rFonts w:hint="eastAsia" w:ascii="宋体" w:hAnsi="宋体"/>
          <w:b/>
          <w:color w:val="auto"/>
          <w:kern w:val="2"/>
          <w:highlight w:val="none"/>
          <w:shd w:val="clear" w:color="auto" w:fill="auto"/>
        </w:rPr>
        <w:t>、其它</w:t>
      </w:r>
    </w:p>
    <w:p w14:paraId="220F5058">
      <w:pPr>
        <w:pageBreakBefore w:val="0"/>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本合同未尽事宜可签署补充协议，补充协议是本合同的重要组成，与本合同具有同等法律效力。</w:t>
      </w:r>
    </w:p>
    <w:p w14:paraId="530BCAC5">
      <w:pPr>
        <w:pageBreakBefore w:val="0"/>
        <w:tabs>
          <w:tab w:val="left" w:pos="6930"/>
        </w:tabs>
        <w:wordWrap w:val="0"/>
        <w:overflowPunct/>
        <w:bidi w:val="0"/>
        <w:spacing w:line="360" w:lineRule="auto"/>
        <w:ind w:firstLine="422" w:firstLineChars="200"/>
        <w:rPr>
          <w:rFonts w:ascii="宋体" w:hAnsi="宋体"/>
          <w:b/>
          <w:bCs/>
          <w:color w:val="auto"/>
          <w:highlight w:val="none"/>
          <w:shd w:val="clear" w:color="auto" w:fill="auto"/>
        </w:rPr>
      </w:pPr>
      <w:r>
        <w:rPr>
          <w:rFonts w:hint="eastAsia" w:ascii="宋体" w:hAnsi="宋体"/>
          <w:b/>
          <w:color w:val="auto"/>
          <w:kern w:val="2"/>
          <w:highlight w:val="none"/>
          <w:shd w:val="clear" w:color="auto" w:fill="auto"/>
        </w:rPr>
        <w:t>十</w:t>
      </w:r>
      <w:r>
        <w:rPr>
          <w:rFonts w:hint="eastAsia" w:ascii="宋体" w:hAnsi="宋体"/>
          <w:b/>
          <w:color w:val="auto"/>
          <w:kern w:val="2"/>
          <w:highlight w:val="none"/>
          <w:shd w:val="clear" w:color="auto" w:fill="auto"/>
          <w:lang w:val="en-US" w:eastAsia="zh-CN"/>
        </w:rPr>
        <w:t>七</w:t>
      </w:r>
      <w:r>
        <w:rPr>
          <w:rFonts w:hint="eastAsia" w:ascii="宋体" w:hAnsi="宋体"/>
          <w:b/>
          <w:color w:val="auto"/>
          <w:kern w:val="2"/>
          <w:highlight w:val="none"/>
          <w:shd w:val="clear" w:color="auto" w:fill="auto"/>
        </w:rPr>
        <w:t>、本合同不可分割之部分包括以下所列文件之内容：</w:t>
      </w:r>
    </w:p>
    <w:p w14:paraId="7D047A44">
      <w:pPr>
        <w:pageBreakBefore w:val="0"/>
        <w:tabs>
          <w:tab w:val="left" w:pos="5387"/>
        </w:tabs>
        <w:wordWrap w:val="0"/>
        <w:overflowPunct/>
        <w:bidi w:val="0"/>
        <w:spacing w:line="360" w:lineRule="auto"/>
        <w:ind w:firstLine="420" w:firstLineChars="200"/>
        <w:rPr>
          <w:rFonts w:ascii="宋体" w:hAnsi="宋体"/>
          <w:color w:val="auto"/>
          <w:highlight w:val="none"/>
          <w:shd w:val="clear" w:color="auto" w:fill="auto"/>
        </w:rPr>
      </w:pPr>
      <w:r>
        <w:rPr>
          <w:rFonts w:hint="eastAsia" w:ascii="宋体" w:hAnsi="宋体"/>
          <w:color w:val="auto"/>
          <w:kern w:val="2"/>
          <w:highlight w:val="none"/>
          <w:shd w:val="clear" w:color="auto" w:fill="auto"/>
        </w:rPr>
        <w:t>1、合同书附件；2、招标文件；3、中标通知书；4、乙方投标文件；5、甲乙双方签订合同过程中形成的其他文件。</w:t>
      </w:r>
    </w:p>
    <w:p w14:paraId="7089660E">
      <w:pPr>
        <w:pageBreakBefore w:val="0"/>
        <w:wordWrap w:val="0"/>
        <w:overflowPunct/>
        <w:bidi w:val="0"/>
        <w:adjustRightInd w:val="0"/>
        <w:snapToGrid w:val="0"/>
        <w:spacing w:line="360" w:lineRule="auto"/>
        <w:ind w:firstLine="420" w:firstLineChars="200"/>
        <w:rPr>
          <w:rFonts w:hint="eastAsia" w:ascii="宋体" w:hAnsi="宋体"/>
          <w:color w:val="auto"/>
          <w:kern w:val="2"/>
          <w:highlight w:val="none"/>
          <w:shd w:val="clear" w:color="auto" w:fill="auto"/>
        </w:rPr>
      </w:pPr>
      <w:r>
        <w:rPr>
          <w:rFonts w:hint="eastAsia" w:ascii="宋体" w:hAnsi="宋体"/>
          <w:color w:val="auto"/>
          <w:kern w:val="2"/>
          <w:highlight w:val="none"/>
          <w:shd w:val="clear" w:color="auto" w:fill="auto"/>
          <w:lang w:val="en-US" w:eastAsia="zh-CN"/>
        </w:rPr>
        <w:t>附件一：各支队分配情况统计表</w:t>
      </w:r>
    </w:p>
    <w:p w14:paraId="51F10491">
      <w:pPr>
        <w:pageBreakBefore w:val="0"/>
        <w:tabs>
          <w:tab w:val="left" w:pos="5387"/>
        </w:tabs>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附件</w:t>
      </w:r>
      <w:r>
        <w:rPr>
          <w:rFonts w:hint="eastAsia" w:ascii="宋体" w:hAnsi="宋体"/>
          <w:color w:val="auto"/>
          <w:kern w:val="2"/>
          <w:highlight w:val="none"/>
          <w:shd w:val="clear" w:color="auto" w:fill="auto"/>
          <w:lang w:val="en-US" w:eastAsia="zh-CN"/>
        </w:rPr>
        <w:t>二</w:t>
      </w:r>
      <w:r>
        <w:rPr>
          <w:rFonts w:hint="eastAsia" w:ascii="宋体" w:hAnsi="宋体"/>
          <w:color w:val="auto"/>
          <w:kern w:val="2"/>
          <w:highlight w:val="none"/>
          <w:shd w:val="clear" w:color="auto" w:fill="auto"/>
        </w:rPr>
        <w:t>：产品技术参数</w:t>
      </w:r>
    </w:p>
    <w:p w14:paraId="32649AFC">
      <w:pPr>
        <w:pageBreakBefore w:val="0"/>
        <w:tabs>
          <w:tab w:val="left" w:pos="5387"/>
        </w:tabs>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附件</w:t>
      </w:r>
      <w:r>
        <w:rPr>
          <w:rFonts w:hint="eastAsia" w:ascii="宋体" w:hAnsi="宋体"/>
          <w:color w:val="auto"/>
          <w:kern w:val="2"/>
          <w:highlight w:val="none"/>
          <w:shd w:val="clear" w:color="auto" w:fill="auto"/>
          <w:lang w:val="en-US" w:eastAsia="zh-CN"/>
        </w:rPr>
        <w:t>三</w:t>
      </w:r>
      <w:r>
        <w:rPr>
          <w:rFonts w:hint="eastAsia" w:ascii="宋体" w:hAnsi="宋体"/>
          <w:color w:val="auto"/>
          <w:kern w:val="2"/>
          <w:highlight w:val="none"/>
          <w:shd w:val="clear" w:color="auto" w:fill="auto"/>
        </w:rPr>
        <w:t>：分项报价表</w:t>
      </w:r>
    </w:p>
    <w:p w14:paraId="3C739A4A">
      <w:pPr>
        <w:pageBreakBefore w:val="0"/>
        <w:tabs>
          <w:tab w:val="left" w:pos="5387"/>
        </w:tabs>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附件</w:t>
      </w:r>
      <w:r>
        <w:rPr>
          <w:rFonts w:hint="eastAsia" w:ascii="宋体" w:hAnsi="宋体"/>
          <w:color w:val="auto"/>
          <w:kern w:val="2"/>
          <w:highlight w:val="none"/>
          <w:shd w:val="clear" w:color="auto" w:fill="auto"/>
          <w:lang w:val="en-US" w:eastAsia="zh-CN"/>
        </w:rPr>
        <w:t>四</w:t>
      </w:r>
      <w:r>
        <w:rPr>
          <w:rFonts w:hint="eastAsia" w:ascii="宋体" w:hAnsi="宋体"/>
          <w:color w:val="auto"/>
          <w:kern w:val="2"/>
          <w:highlight w:val="none"/>
          <w:shd w:val="clear" w:color="auto" w:fill="auto"/>
        </w:rPr>
        <w:t>：售后服务承诺书</w:t>
      </w:r>
    </w:p>
    <w:p w14:paraId="3301A252">
      <w:pPr>
        <w:pageBreakBefore w:val="0"/>
        <w:tabs>
          <w:tab w:val="left" w:pos="5387"/>
        </w:tabs>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附件</w:t>
      </w:r>
      <w:r>
        <w:rPr>
          <w:rFonts w:hint="eastAsia" w:ascii="宋体" w:hAnsi="宋体"/>
          <w:color w:val="auto"/>
          <w:kern w:val="2"/>
          <w:highlight w:val="none"/>
          <w:shd w:val="clear" w:color="auto" w:fill="auto"/>
          <w:lang w:val="en-US" w:eastAsia="zh-CN"/>
        </w:rPr>
        <w:t>五</w:t>
      </w:r>
      <w:r>
        <w:rPr>
          <w:rFonts w:hint="eastAsia" w:ascii="宋体" w:hAnsi="宋体"/>
          <w:color w:val="auto"/>
          <w:kern w:val="2"/>
          <w:highlight w:val="none"/>
          <w:shd w:val="clear" w:color="auto" w:fill="auto"/>
        </w:rPr>
        <w:t>：产品检验报告</w:t>
      </w:r>
    </w:p>
    <w:p w14:paraId="5446FA6B">
      <w:pPr>
        <w:pageBreakBefore w:val="0"/>
        <w:tabs>
          <w:tab w:val="left" w:pos="5387"/>
        </w:tabs>
        <w:wordWrap w:val="0"/>
        <w:overflowPunct/>
        <w:bidi w:val="0"/>
        <w:spacing w:line="360" w:lineRule="auto"/>
        <w:ind w:firstLine="420" w:firstLineChars="200"/>
        <w:rPr>
          <w:rFonts w:ascii="宋体" w:hAnsi="宋体"/>
          <w:color w:val="auto"/>
          <w:kern w:val="2"/>
          <w:highlight w:val="none"/>
          <w:shd w:val="clear" w:color="auto" w:fill="auto"/>
        </w:rPr>
      </w:pPr>
      <w:r>
        <w:rPr>
          <w:rFonts w:hint="eastAsia" w:ascii="宋体" w:hAnsi="宋体"/>
          <w:color w:val="auto"/>
          <w:kern w:val="2"/>
          <w:highlight w:val="none"/>
          <w:shd w:val="clear" w:color="auto" w:fill="auto"/>
        </w:rPr>
        <w:t>附件</w:t>
      </w:r>
      <w:r>
        <w:rPr>
          <w:rFonts w:hint="eastAsia" w:ascii="宋体" w:hAnsi="宋体"/>
          <w:color w:val="auto"/>
          <w:kern w:val="2"/>
          <w:highlight w:val="none"/>
          <w:shd w:val="clear" w:color="auto" w:fill="auto"/>
          <w:lang w:val="en-US" w:eastAsia="zh-CN"/>
        </w:rPr>
        <w:t>六</w:t>
      </w:r>
      <w:r>
        <w:rPr>
          <w:rFonts w:hint="eastAsia" w:ascii="宋体" w:hAnsi="宋体"/>
          <w:color w:val="auto"/>
          <w:kern w:val="2"/>
          <w:highlight w:val="none"/>
          <w:shd w:val="clear" w:color="auto" w:fill="auto"/>
        </w:rPr>
        <w:t>：中标通知书</w:t>
      </w:r>
    </w:p>
    <w:p w14:paraId="2D1B1633">
      <w:pPr>
        <w:pStyle w:val="12"/>
        <w:pageBreakBefore w:val="0"/>
        <w:wordWrap w:val="0"/>
        <w:overflowPunct/>
        <w:bidi w:val="0"/>
        <w:spacing w:line="360" w:lineRule="auto"/>
        <w:ind w:left="0" w:leftChars="0" w:firstLine="420" w:firstLineChars="200"/>
        <w:rPr>
          <w:rFonts w:hint="eastAsia" w:ascii="宋体" w:hAnsi="宋体"/>
          <w:color w:val="auto"/>
          <w:kern w:val="2"/>
          <w:highlight w:val="none"/>
          <w:shd w:val="clear" w:color="auto" w:fill="auto"/>
        </w:rPr>
      </w:pPr>
      <w:r>
        <w:rPr>
          <w:rFonts w:hint="eastAsia" w:ascii="宋体" w:hAnsi="宋体"/>
          <w:color w:val="auto"/>
          <w:kern w:val="2"/>
          <w:highlight w:val="none"/>
          <w:shd w:val="clear" w:color="auto" w:fill="auto"/>
        </w:rPr>
        <w:t>附件</w:t>
      </w:r>
      <w:r>
        <w:rPr>
          <w:rFonts w:hint="eastAsia" w:ascii="宋体" w:hAnsi="宋体"/>
          <w:color w:val="auto"/>
          <w:kern w:val="2"/>
          <w:highlight w:val="none"/>
          <w:shd w:val="clear" w:color="auto" w:fill="auto"/>
          <w:lang w:val="en-US" w:eastAsia="zh-CN"/>
        </w:rPr>
        <w:t>七</w:t>
      </w:r>
      <w:r>
        <w:rPr>
          <w:rFonts w:hint="eastAsia" w:ascii="宋体" w:hAnsi="宋体"/>
          <w:color w:val="auto"/>
          <w:kern w:val="2"/>
          <w:highlight w:val="none"/>
          <w:shd w:val="clear" w:color="auto" w:fill="auto"/>
        </w:rPr>
        <w:t>：云南省消防救援总队政府采购供应商廉洁守法承诺书</w:t>
      </w:r>
    </w:p>
    <w:p w14:paraId="3C495F87">
      <w:pPr>
        <w:pageBreakBefore w:val="0"/>
        <w:wordWrap w:val="0"/>
        <w:overflowPunct/>
        <w:bidi w:val="0"/>
        <w:spacing w:line="360" w:lineRule="auto"/>
        <w:ind w:firstLine="420" w:firstLineChars="200"/>
        <w:rPr>
          <w:rFonts w:hint="eastAsia" w:ascii="宋体" w:hAnsi="宋体"/>
          <w:color w:val="0000FF"/>
          <w:kern w:val="2"/>
          <w:highlight w:val="none"/>
          <w:shd w:val="clear" w:color="auto" w:fill="auto"/>
          <w:lang w:val="en-US" w:eastAsia="zh-CN"/>
        </w:rPr>
      </w:pPr>
      <w:r>
        <w:rPr>
          <w:rFonts w:hint="eastAsia" w:ascii="宋体" w:hAnsi="宋体"/>
          <w:color w:val="0000FF"/>
          <w:kern w:val="2"/>
          <w:highlight w:val="none"/>
          <w:shd w:val="clear" w:color="auto" w:fill="auto"/>
          <w:lang w:val="en-US" w:eastAsia="zh-CN"/>
        </w:rPr>
        <w:t>附件八 培训安排</w:t>
      </w:r>
    </w:p>
    <w:p w14:paraId="5A10145D">
      <w:pPr>
        <w:pageBreakBefore w:val="0"/>
        <w:wordWrap w:val="0"/>
        <w:overflowPunct/>
        <w:bidi w:val="0"/>
        <w:spacing w:line="360" w:lineRule="auto"/>
        <w:ind w:firstLine="420" w:firstLineChars="200"/>
        <w:rPr>
          <w:rFonts w:hint="default" w:ascii="宋体" w:hAnsi="宋体"/>
          <w:color w:val="0000FF"/>
          <w:kern w:val="2"/>
          <w:highlight w:val="none"/>
          <w:shd w:val="clear" w:color="auto" w:fill="auto"/>
          <w:lang w:val="en-US" w:eastAsia="zh-CN"/>
        </w:rPr>
        <w:sectPr>
          <w:pgSz w:w="11906" w:h="16838"/>
          <w:pgMar w:top="1440" w:right="1800" w:bottom="1440" w:left="1800" w:header="851" w:footer="992" w:gutter="0"/>
          <w:cols w:space="0" w:num="1"/>
          <w:rtlGutter w:val="0"/>
          <w:docGrid w:type="lines" w:linePitch="312" w:charSpace="0"/>
        </w:sectPr>
      </w:pPr>
      <w:r>
        <w:rPr>
          <w:rFonts w:hint="default" w:ascii="宋体" w:hAnsi="宋体"/>
          <w:color w:val="0000FF"/>
          <w:kern w:val="2"/>
          <w:highlight w:val="none"/>
          <w:shd w:val="clear" w:color="auto" w:fill="auto"/>
          <w:lang w:val="en-US" w:eastAsia="zh-CN"/>
        </w:rPr>
        <w:t>附件九 零配件供应方案</w:t>
      </w:r>
    </w:p>
    <w:p w14:paraId="43A2B611">
      <w:pPr>
        <w:pStyle w:val="2"/>
        <w:pageBreakBefore w:val="0"/>
        <w:wordWrap w:val="0"/>
        <w:overflowPunct/>
        <w:bidi w:val="0"/>
        <w:rPr>
          <w:color w:val="auto"/>
          <w:sz w:val="32"/>
          <w:szCs w:val="32"/>
        </w:rPr>
      </w:pPr>
      <w:bookmarkStart w:id="38" w:name="_Toc20169"/>
      <w:r>
        <w:rPr>
          <w:rFonts w:hint="eastAsia"/>
          <w:color w:val="auto"/>
          <w:sz w:val="32"/>
          <w:szCs w:val="32"/>
        </w:rPr>
        <w:t>第四章 投标文件格式</w:t>
      </w:r>
      <w:bookmarkEnd w:id="38"/>
    </w:p>
    <w:p w14:paraId="5C61C830">
      <w:pPr>
        <w:pageBreakBefore w:val="0"/>
        <w:wordWrap w:val="0"/>
        <w:overflowPunct/>
        <w:bidi w:val="0"/>
        <w:adjustRightInd/>
        <w:snapToGrid/>
        <w:ind w:firstLine="452"/>
        <w:jc w:val="center"/>
        <w:rPr>
          <w:color w:val="auto"/>
        </w:rPr>
      </w:pPr>
      <w:r>
        <w:rPr>
          <w:rFonts w:hint="eastAsia"/>
          <w:color w:val="auto"/>
          <w:spacing w:val="8"/>
        </w:rPr>
        <w:t>(未提</w:t>
      </w:r>
      <w:r>
        <w:rPr>
          <w:rFonts w:hint="eastAsia"/>
          <w:color w:val="auto"/>
          <w:spacing w:val="6"/>
        </w:rPr>
        <w:t>供</w:t>
      </w:r>
      <w:r>
        <w:rPr>
          <w:rFonts w:hint="eastAsia"/>
          <w:color w:val="auto"/>
          <w:spacing w:val="4"/>
        </w:rPr>
        <w:t>格式的部分由投标人自行编制)</w:t>
      </w:r>
    </w:p>
    <w:p w14:paraId="77357FEF">
      <w:pPr>
        <w:pageBreakBefore w:val="0"/>
        <w:wordWrap w:val="0"/>
        <w:overflowPunct/>
        <w:bidi w:val="0"/>
        <w:adjustRightInd/>
        <w:snapToGrid/>
        <w:rPr>
          <w:color w:val="auto"/>
        </w:rPr>
      </w:pPr>
    </w:p>
    <w:p w14:paraId="52C589C2">
      <w:pPr>
        <w:pageBreakBefore w:val="0"/>
        <w:wordWrap w:val="0"/>
        <w:overflowPunct/>
        <w:bidi w:val="0"/>
        <w:adjustRightInd/>
        <w:snapToGrid/>
        <w:jc w:val="center"/>
        <w:rPr>
          <w:color w:val="auto"/>
        </w:rPr>
      </w:pPr>
    </w:p>
    <w:p w14:paraId="0A643DD8">
      <w:pPr>
        <w:pageBreakBefore w:val="0"/>
        <w:wordWrap w:val="0"/>
        <w:overflowPunct/>
        <w:bidi w:val="0"/>
        <w:adjustRightInd/>
        <w:snapToGrid/>
        <w:ind w:firstLine="0" w:firstLineChars="0"/>
        <w:jc w:val="center"/>
        <w:outlineLvl w:val="1"/>
        <w:rPr>
          <w:color w:val="auto"/>
          <w:sz w:val="31"/>
          <w:szCs w:val="31"/>
        </w:rPr>
      </w:pPr>
      <w:bookmarkStart w:id="39" w:name="_Toc1541"/>
      <w:r>
        <w:rPr>
          <w:rFonts w:hint="eastAsia"/>
          <w:color w:val="auto"/>
          <w:spacing w:val="8"/>
          <w:sz w:val="31"/>
          <w:szCs w:val="31"/>
          <w14:textOutline w14:w="5791" w14:cap="flat" w14:cmpd="sng" w14:algn="ctr">
            <w14:solidFill>
              <w14:srgbClr w14:val="000000"/>
            </w14:solidFill>
            <w14:prstDash w14:val="solid"/>
            <w14:miter w14:val="0"/>
          </w14:textOutline>
        </w:rPr>
        <w:t>投标</w:t>
      </w:r>
      <w:r>
        <w:rPr>
          <w:rFonts w:hint="eastAsia"/>
          <w:color w:val="auto"/>
          <w:spacing w:val="6"/>
          <w:sz w:val="31"/>
          <w:szCs w:val="31"/>
          <w14:textOutline w14:w="5791" w14:cap="flat" w14:cmpd="sng" w14:algn="ctr">
            <w14:solidFill>
              <w14:srgbClr w14:val="000000"/>
            </w14:solidFill>
            <w14:prstDash w14:val="solid"/>
            <w14:miter w14:val="0"/>
          </w14:textOutline>
        </w:rPr>
        <w:t>文件封面</w:t>
      </w:r>
      <w:bookmarkEnd w:id="39"/>
    </w:p>
    <w:p w14:paraId="034ECC80">
      <w:pPr>
        <w:pageBreakBefore w:val="0"/>
        <w:wordWrap w:val="0"/>
        <w:overflowPunct/>
        <w:bidi w:val="0"/>
        <w:adjustRightInd/>
        <w:snapToGrid/>
        <w:jc w:val="center"/>
        <w:rPr>
          <w:color w:val="auto"/>
        </w:rPr>
      </w:pPr>
    </w:p>
    <w:p w14:paraId="5413168C">
      <w:pPr>
        <w:pageBreakBefore w:val="0"/>
        <w:wordWrap w:val="0"/>
        <w:overflowPunct/>
        <w:bidi w:val="0"/>
        <w:adjustRightInd/>
        <w:snapToGrid/>
        <w:ind w:firstLine="0" w:firstLineChars="0"/>
        <w:jc w:val="center"/>
        <w:rPr>
          <w:rFonts w:ascii="黑体" w:hAnsi="黑体" w:eastAsia="黑体" w:cs="黑体"/>
          <w:color w:val="auto"/>
          <w:sz w:val="52"/>
          <w:szCs w:val="52"/>
        </w:rPr>
      </w:pPr>
      <w:r>
        <w:rPr>
          <w:rFonts w:hint="eastAsia" w:ascii="黑体" w:hAnsi="黑体" w:eastAsia="黑体" w:cs="黑体"/>
          <w:color w:val="auto"/>
          <w:spacing w:val="36"/>
          <w:sz w:val="52"/>
          <w:szCs w:val="52"/>
          <w14:textOutline w14:w="7962" w14:cap="flat" w14:cmpd="sng" w14:algn="ctr">
            <w14:solidFill>
              <w14:srgbClr w14:val="000000"/>
            </w14:solidFill>
            <w14:prstDash w14:val="solid"/>
            <w14:miter w14:val="0"/>
          </w14:textOutline>
        </w:rPr>
        <w:t>(项目名称</w:t>
      </w:r>
      <w:r>
        <w:rPr>
          <w:rFonts w:hint="eastAsia" w:ascii="黑体" w:hAnsi="黑体" w:eastAsia="黑体" w:cs="黑体"/>
          <w:color w:val="auto"/>
          <w:spacing w:val="35"/>
          <w:sz w:val="52"/>
          <w:szCs w:val="52"/>
          <w14:textOutline w14:w="7962" w14:cap="flat" w14:cmpd="sng" w14:algn="ctr">
            <w14:solidFill>
              <w14:srgbClr w14:val="000000"/>
            </w14:solidFill>
            <w14:prstDash w14:val="solid"/>
            <w14:miter w14:val="0"/>
          </w14:textOutline>
        </w:rPr>
        <w:t>)</w:t>
      </w:r>
    </w:p>
    <w:p w14:paraId="60BA0E80">
      <w:pPr>
        <w:pageBreakBefore w:val="0"/>
        <w:wordWrap w:val="0"/>
        <w:overflowPunct/>
        <w:bidi w:val="0"/>
        <w:adjustRightInd/>
        <w:snapToGrid/>
        <w:jc w:val="center"/>
        <w:rPr>
          <w:color w:val="auto"/>
        </w:rPr>
      </w:pPr>
    </w:p>
    <w:p w14:paraId="21BAB7FD">
      <w:pPr>
        <w:pageBreakBefore w:val="0"/>
        <w:wordWrap w:val="0"/>
        <w:overflowPunct/>
        <w:bidi w:val="0"/>
        <w:adjustRightInd/>
        <w:snapToGrid/>
        <w:jc w:val="center"/>
        <w:rPr>
          <w:color w:val="auto"/>
        </w:rPr>
      </w:pPr>
    </w:p>
    <w:p w14:paraId="6F586467">
      <w:pPr>
        <w:pageBreakBefore w:val="0"/>
        <w:wordWrap w:val="0"/>
        <w:overflowPunct/>
        <w:bidi w:val="0"/>
        <w:adjustRightInd/>
        <w:snapToGrid/>
        <w:jc w:val="center"/>
        <w:rPr>
          <w:color w:val="auto"/>
        </w:rPr>
      </w:pPr>
    </w:p>
    <w:p w14:paraId="66537E60">
      <w:pPr>
        <w:pageBreakBefore w:val="0"/>
        <w:wordWrap w:val="0"/>
        <w:overflowPunct/>
        <w:bidi w:val="0"/>
        <w:adjustRightInd/>
        <w:snapToGrid/>
        <w:jc w:val="center"/>
        <w:rPr>
          <w:color w:val="auto"/>
        </w:rPr>
      </w:pPr>
    </w:p>
    <w:p w14:paraId="7873C3AE">
      <w:pPr>
        <w:pageBreakBefore w:val="0"/>
        <w:wordWrap w:val="0"/>
        <w:overflowPunct/>
        <w:bidi w:val="0"/>
        <w:adjustRightInd/>
        <w:snapToGrid/>
        <w:jc w:val="center"/>
        <w:rPr>
          <w:color w:val="auto"/>
        </w:rPr>
      </w:pPr>
    </w:p>
    <w:p w14:paraId="25D671BE">
      <w:pPr>
        <w:pageBreakBefore w:val="0"/>
        <w:wordWrap w:val="0"/>
        <w:overflowPunct/>
        <w:bidi w:val="0"/>
        <w:adjustRightInd/>
        <w:snapToGrid/>
        <w:jc w:val="center"/>
        <w:rPr>
          <w:color w:val="auto"/>
        </w:rPr>
      </w:pPr>
    </w:p>
    <w:p w14:paraId="3AF13658">
      <w:pPr>
        <w:pageBreakBefore w:val="0"/>
        <w:wordWrap w:val="0"/>
        <w:overflowPunct/>
        <w:bidi w:val="0"/>
        <w:adjustRightInd/>
        <w:snapToGrid/>
        <w:ind w:firstLine="0" w:firstLineChars="0"/>
        <w:jc w:val="center"/>
        <w:rPr>
          <w:color w:val="auto"/>
          <w:spacing w:val="-14"/>
          <w:sz w:val="84"/>
          <w:szCs w:val="84"/>
          <w14:textOutline w14:w="13068" w14:cap="flat" w14:cmpd="sng" w14:algn="ctr">
            <w14:solidFill>
              <w14:srgbClr w14:val="000000"/>
            </w14:solidFill>
            <w14:prstDash w14:val="solid"/>
            <w14:miter w14:val="0"/>
          </w14:textOutline>
        </w:rPr>
      </w:pPr>
      <w:r>
        <w:rPr>
          <w:rFonts w:hint="eastAsia"/>
          <w:color w:val="auto"/>
          <w:spacing w:val="-16"/>
          <w:sz w:val="84"/>
          <w:szCs w:val="84"/>
          <w14:textOutline w14:w="13068" w14:cap="flat" w14:cmpd="sng" w14:algn="ctr">
            <w14:solidFill>
              <w14:srgbClr w14:val="000000"/>
            </w14:solidFill>
            <w14:prstDash w14:val="solid"/>
            <w14:miter w14:val="0"/>
          </w14:textOutline>
        </w:rPr>
        <w:t>投标</w:t>
      </w:r>
      <w:r>
        <w:rPr>
          <w:rFonts w:hint="eastAsia"/>
          <w:color w:val="auto"/>
          <w:spacing w:val="-14"/>
          <w:sz w:val="84"/>
          <w:szCs w:val="84"/>
          <w14:textOutline w14:w="13068" w14:cap="flat" w14:cmpd="sng" w14:algn="ctr">
            <w14:solidFill>
              <w14:srgbClr w14:val="000000"/>
            </w14:solidFill>
            <w14:prstDash w14:val="solid"/>
            <w14:miter w14:val="0"/>
          </w14:textOutline>
        </w:rPr>
        <w:t>文件</w:t>
      </w:r>
    </w:p>
    <w:p w14:paraId="638B310D">
      <w:pPr>
        <w:pageBreakBefore w:val="0"/>
        <w:wordWrap w:val="0"/>
        <w:overflowPunct/>
        <w:bidi w:val="0"/>
        <w:adjustRightInd/>
        <w:snapToGrid/>
        <w:ind w:firstLine="0" w:firstLineChars="0"/>
        <w:jc w:val="center"/>
        <w:rPr>
          <w:color w:val="auto"/>
          <w:sz w:val="32"/>
          <w:szCs w:val="32"/>
        </w:rPr>
      </w:pPr>
      <w:r>
        <w:rPr>
          <w:rFonts w:hint="eastAsia"/>
          <w:color w:val="auto"/>
          <w:spacing w:val="-8"/>
          <w:sz w:val="32"/>
          <w:szCs w:val="32"/>
          <w14:textOutline w14:w="5791" w14:cap="flat" w14:cmpd="sng" w14:algn="ctr">
            <w14:solidFill>
              <w14:srgbClr w14:val="000000"/>
            </w14:solidFill>
            <w14:prstDash w14:val="solid"/>
            <w14:miter w14:val="0"/>
          </w14:textOutline>
        </w:rPr>
        <w:t>项</w:t>
      </w:r>
      <w:r>
        <w:rPr>
          <w:rFonts w:hint="eastAsia"/>
          <w:color w:val="auto"/>
          <w:spacing w:val="-6"/>
          <w:sz w:val="32"/>
          <w:szCs w:val="32"/>
          <w14:textOutline w14:w="5791" w14:cap="flat" w14:cmpd="sng" w14:algn="ctr">
            <w14:solidFill>
              <w14:srgbClr w14:val="000000"/>
            </w14:solidFill>
            <w14:prstDash w14:val="solid"/>
            <w14:miter w14:val="0"/>
          </w14:textOutline>
        </w:rPr>
        <w:t>目编号：</w:t>
      </w:r>
    </w:p>
    <w:p w14:paraId="1A9977EF">
      <w:pPr>
        <w:pageBreakBefore w:val="0"/>
        <w:wordWrap w:val="0"/>
        <w:overflowPunct/>
        <w:bidi w:val="0"/>
        <w:adjustRightInd/>
        <w:snapToGrid/>
        <w:jc w:val="center"/>
        <w:rPr>
          <w:color w:val="auto"/>
        </w:rPr>
      </w:pPr>
    </w:p>
    <w:p w14:paraId="06BB446D">
      <w:pPr>
        <w:pageBreakBefore w:val="0"/>
        <w:wordWrap w:val="0"/>
        <w:overflowPunct/>
        <w:bidi w:val="0"/>
        <w:adjustRightInd/>
        <w:snapToGrid/>
        <w:ind w:firstLine="0" w:firstLineChars="0"/>
        <w:jc w:val="center"/>
        <w:rPr>
          <w:color w:val="auto"/>
          <w:spacing w:val="-8"/>
          <w:sz w:val="32"/>
          <w:szCs w:val="32"/>
          <w14:textOutline w14:w="5791" w14:cap="flat" w14:cmpd="sng" w14:algn="ctr">
            <w14:solidFill>
              <w14:srgbClr w14:val="000000"/>
            </w14:solidFill>
            <w14:prstDash w14:val="solid"/>
            <w14:miter w14:val="0"/>
          </w14:textOutline>
        </w:rPr>
      </w:pPr>
      <w:r>
        <w:rPr>
          <w:rFonts w:hint="eastAsia"/>
          <w:color w:val="auto"/>
          <w:spacing w:val="-8"/>
          <w:sz w:val="32"/>
          <w:szCs w:val="32"/>
          <w14:textOutline w14:w="5791" w14:cap="flat" w14:cmpd="sng" w14:algn="ctr">
            <w14:solidFill>
              <w14:srgbClr w14:val="000000"/>
            </w14:solidFill>
            <w14:prstDash w14:val="solid"/>
            <w14:miter w14:val="0"/>
          </w14:textOutline>
        </w:rPr>
        <w:t>标包</w:t>
      </w:r>
      <w:r>
        <w:rPr>
          <w:color w:val="auto"/>
          <w:spacing w:val="-8"/>
          <w:sz w:val="32"/>
          <w:szCs w:val="32"/>
          <w14:textOutline w14:w="5791" w14:cap="flat" w14:cmpd="sng" w14:algn="ctr">
            <w14:solidFill>
              <w14:srgbClr w14:val="000000"/>
            </w14:solidFill>
            <w14:prstDash w14:val="solid"/>
            <w14:miter w14:val="0"/>
          </w14:textOutline>
        </w:rPr>
        <w:t>号：</w:t>
      </w:r>
    </w:p>
    <w:p w14:paraId="23E97F3B">
      <w:pPr>
        <w:pageBreakBefore w:val="0"/>
        <w:wordWrap w:val="0"/>
        <w:overflowPunct/>
        <w:bidi w:val="0"/>
        <w:adjustRightInd/>
        <w:snapToGrid/>
        <w:jc w:val="center"/>
        <w:rPr>
          <w:color w:val="auto"/>
        </w:rPr>
      </w:pPr>
    </w:p>
    <w:p w14:paraId="7E4AA247">
      <w:pPr>
        <w:pageBreakBefore w:val="0"/>
        <w:wordWrap w:val="0"/>
        <w:overflowPunct/>
        <w:bidi w:val="0"/>
        <w:adjustRightInd/>
        <w:snapToGrid/>
        <w:jc w:val="center"/>
        <w:rPr>
          <w:color w:val="auto"/>
        </w:rPr>
      </w:pPr>
    </w:p>
    <w:p w14:paraId="68C4EF36">
      <w:pPr>
        <w:pageBreakBefore w:val="0"/>
        <w:wordWrap w:val="0"/>
        <w:overflowPunct/>
        <w:bidi w:val="0"/>
        <w:adjustRightInd/>
        <w:snapToGrid/>
        <w:jc w:val="center"/>
        <w:rPr>
          <w:color w:val="auto"/>
        </w:rPr>
      </w:pPr>
    </w:p>
    <w:p w14:paraId="24871558">
      <w:pPr>
        <w:pageBreakBefore w:val="0"/>
        <w:wordWrap w:val="0"/>
        <w:overflowPunct/>
        <w:bidi w:val="0"/>
        <w:adjustRightInd/>
        <w:snapToGrid/>
        <w:jc w:val="center"/>
        <w:rPr>
          <w:color w:val="auto"/>
        </w:rPr>
      </w:pPr>
    </w:p>
    <w:p w14:paraId="079F41C6">
      <w:pPr>
        <w:pStyle w:val="21"/>
        <w:pageBreakBefore w:val="0"/>
        <w:kinsoku w:val="0"/>
        <w:wordWrap w:val="0"/>
        <w:overflowPunct/>
        <w:autoSpaceDE w:val="0"/>
        <w:autoSpaceDN w:val="0"/>
        <w:bidi w:val="0"/>
        <w:adjustRightInd/>
        <w:snapToGrid/>
        <w:spacing w:before="0" w:beforeAutospacing="0" w:after="0" w:afterAutospacing="0" w:line="480" w:lineRule="auto"/>
        <w:ind w:firstLine="643"/>
        <w:jc w:val="both"/>
        <w:rPr>
          <w:b/>
          <w:bCs/>
          <w:color w:val="auto"/>
          <w:sz w:val="32"/>
          <w:szCs w:val="32"/>
        </w:rPr>
      </w:pPr>
      <w:r>
        <w:rPr>
          <w:rFonts w:hint="eastAsia"/>
          <w:b/>
          <w:bCs/>
          <w:color w:val="auto"/>
          <w:sz w:val="32"/>
          <w:szCs w:val="32"/>
        </w:rPr>
        <w:t>投标人名称（盖公章）：________________________</w:t>
      </w:r>
    </w:p>
    <w:p w14:paraId="2EA8A06A">
      <w:pPr>
        <w:pageBreakBefore w:val="0"/>
        <w:kinsoku w:val="0"/>
        <w:wordWrap w:val="0"/>
        <w:overflowPunct/>
        <w:autoSpaceDE w:val="0"/>
        <w:autoSpaceDN w:val="0"/>
        <w:bidi w:val="0"/>
        <w:adjustRightInd/>
        <w:snapToGrid/>
        <w:spacing w:line="480" w:lineRule="auto"/>
        <w:ind w:firstLine="643"/>
        <w:jc w:val="both"/>
        <w:rPr>
          <w:b/>
          <w:bCs/>
          <w:color w:val="auto"/>
          <w:sz w:val="32"/>
          <w:szCs w:val="32"/>
        </w:rPr>
      </w:pPr>
      <w:r>
        <w:rPr>
          <w:rFonts w:hint="eastAsia"/>
          <w:b/>
          <w:bCs/>
          <w:color w:val="auto"/>
          <w:sz w:val="32"/>
          <w:szCs w:val="32"/>
        </w:rPr>
        <w:t>法定代表人或其授权代理人（签字或盖章）：__________</w:t>
      </w:r>
    </w:p>
    <w:p w14:paraId="4367089D">
      <w:pPr>
        <w:pageBreakBefore w:val="0"/>
        <w:kinsoku w:val="0"/>
        <w:wordWrap w:val="0"/>
        <w:overflowPunct/>
        <w:autoSpaceDE w:val="0"/>
        <w:autoSpaceDN w:val="0"/>
        <w:bidi w:val="0"/>
        <w:adjustRightInd/>
        <w:snapToGrid/>
        <w:spacing w:line="480" w:lineRule="auto"/>
        <w:ind w:firstLine="643"/>
        <w:jc w:val="both"/>
        <w:rPr>
          <w:b/>
          <w:bCs/>
          <w:color w:val="auto"/>
          <w:sz w:val="32"/>
          <w:szCs w:val="32"/>
        </w:rPr>
      </w:pPr>
      <w:r>
        <w:rPr>
          <w:rFonts w:hint="eastAsia"/>
          <w:b/>
          <w:bCs/>
          <w:color w:val="auto"/>
          <w:sz w:val="32"/>
          <w:szCs w:val="32"/>
        </w:rPr>
        <w:t>日期：_______年____月_____日</w:t>
      </w:r>
    </w:p>
    <w:tbl>
      <w:tblPr>
        <w:tblStyle w:val="26"/>
        <w:tblW w:w="2941" w:type="dxa"/>
        <w:jc w:val="center"/>
        <w:tblLayout w:type="fixed"/>
        <w:tblCellMar>
          <w:top w:w="0" w:type="dxa"/>
          <w:left w:w="108" w:type="dxa"/>
          <w:bottom w:w="0" w:type="dxa"/>
          <w:right w:w="108" w:type="dxa"/>
        </w:tblCellMar>
      </w:tblPr>
      <w:tblGrid>
        <w:gridCol w:w="2941"/>
      </w:tblGrid>
      <w:tr w14:paraId="00F70969">
        <w:tblPrEx>
          <w:tblCellMar>
            <w:top w:w="0" w:type="dxa"/>
            <w:left w:w="108" w:type="dxa"/>
            <w:bottom w:w="0" w:type="dxa"/>
            <w:right w:w="108" w:type="dxa"/>
          </w:tblCellMar>
        </w:tblPrEx>
        <w:trPr>
          <w:trHeight w:val="3320" w:hRule="atLeast"/>
          <w:jc w:val="center"/>
        </w:trPr>
        <w:tc>
          <w:tcPr>
            <w:tcW w:w="2941" w:type="dxa"/>
            <w:tcBorders>
              <w:top w:val="single" w:color="auto" w:sz="6" w:space="0"/>
              <w:left w:val="single" w:color="auto" w:sz="6" w:space="0"/>
              <w:bottom w:val="single" w:color="auto" w:sz="4" w:space="0"/>
              <w:right w:val="single" w:color="auto" w:sz="6" w:space="0"/>
            </w:tcBorders>
            <w:vAlign w:val="center"/>
          </w:tcPr>
          <w:p w14:paraId="4E0CDC55">
            <w:pPr>
              <w:pageBreakBefore w:val="0"/>
              <w:wordWrap w:val="0"/>
              <w:overflowPunct/>
              <w:bidi w:val="0"/>
              <w:adjustRightInd/>
              <w:snapToGrid/>
              <w:spacing w:line="400" w:lineRule="exact"/>
              <w:ind w:firstLine="0" w:firstLineChars="0"/>
              <w:jc w:val="center"/>
              <w:outlineLvl w:val="1"/>
              <w:rPr>
                <w:color w:val="auto"/>
                <w:spacing w:val="8"/>
                <w:sz w:val="31"/>
                <w:szCs w:val="31"/>
                <w14:textOutline w14:w="5791" w14:cap="flat" w14:cmpd="sng" w14:algn="ctr">
                  <w14:solidFill>
                    <w14:srgbClr w14:val="000000"/>
                  </w14:solidFill>
                  <w14:prstDash w14:val="solid"/>
                  <w14:miter w14:val="0"/>
                </w14:textOutline>
              </w:rPr>
            </w:pPr>
            <w:bookmarkStart w:id="40" w:name="_Toc25049"/>
            <w:r>
              <w:rPr>
                <w:rFonts w:hint="eastAsia"/>
                <w:color w:val="auto"/>
                <w:spacing w:val="8"/>
                <w:sz w:val="31"/>
                <w:szCs w:val="31"/>
                <w14:textOutline w14:w="5791" w14:cap="flat" w14:cmpd="sng" w14:algn="ctr">
                  <w14:solidFill>
                    <w14:srgbClr w14:val="000000"/>
                  </w14:solidFill>
                  <w14:prstDash w14:val="solid"/>
                  <w14:miter w14:val="0"/>
                </w14:textOutline>
              </w:rPr>
              <w:t>云南省消防救援总队XX采购项目</w:t>
            </w:r>
            <w:bookmarkEnd w:id="40"/>
          </w:p>
          <w:p w14:paraId="5BD3BD21">
            <w:pPr>
              <w:pageBreakBefore w:val="0"/>
              <w:wordWrap w:val="0"/>
              <w:overflowPunct/>
              <w:bidi w:val="0"/>
              <w:adjustRightInd/>
              <w:snapToGrid/>
              <w:spacing w:line="400" w:lineRule="exact"/>
              <w:ind w:firstLine="0" w:firstLineChars="0"/>
              <w:jc w:val="center"/>
              <w:outlineLvl w:val="1"/>
              <w:rPr>
                <w:rFonts w:ascii="仿宋" w:hAnsi="仿宋" w:eastAsia="仿宋" w:cs="仿宋"/>
                <w:color w:val="auto"/>
                <w:sz w:val="28"/>
                <w:szCs w:val="28"/>
              </w:rPr>
            </w:pPr>
            <w:bookmarkStart w:id="41" w:name="_Toc1011"/>
            <w:r>
              <w:rPr>
                <w:rFonts w:hint="eastAsia"/>
                <w:color w:val="auto"/>
                <w:spacing w:val="8"/>
                <w:sz w:val="31"/>
                <w:szCs w:val="31"/>
                <w14:textOutline w14:w="5791" w14:cap="flat" w14:cmpd="sng" w14:algn="ctr">
                  <w14:solidFill>
                    <w14:srgbClr w14:val="000000"/>
                  </w14:solidFill>
                  <w14:prstDash w14:val="solid"/>
                  <w14:miter w14:val="0"/>
                </w14:textOutline>
              </w:rPr>
              <w:t>（车辆部分）</w:t>
            </w:r>
            <w:bookmarkEnd w:id="41"/>
          </w:p>
        </w:tc>
      </w:tr>
      <w:tr w14:paraId="6CF89E19">
        <w:tblPrEx>
          <w:tblCellMar>
            <w:top w:w="0" w:type="dxa"/>
            <w:left w:w="108" w:type="dxa"/>
            <w:bottom w:w="0" w:type="dxa"/>
            <w:right w:w="108" w:type="dxa"/>
          </w:tblCellMar>
        </w:tblPrEx>
        <w:trPr>
          <w:trHeight w:val="1385" w:hRule="atLeast"/>
          <w:jc w:val="center"/>
        </w:trPr>
        <w:tc>
          <w:tcPr>
            <w:tcW w:w="2941" w:type="dxa"/>
            <w:tcBorders>
              <w:top w:val="single" w:color="auto" w:sz="6" w:space="0"/>
              <w:left w:val="single" w:color="auto" w:sz="6" w:space="0"/>
              <w:bottom w:val="single" w:color="auto" w:sz="4" w:space="0"/>
              <w:right w:val="single" w:color="auto" w:sz="6" w:space="0"/>
            </w:tcBorders>
          </w:tcPr>
          <w:p w14:paraId="5889B2BB">
            <w:pPr>
              <w:pageBreakBefore w:val="0"/>
              <w:wordWrap w:val="0"/>
              <w:overflowPunct/>
              <w:autoSpaceDE w:val="0"/>
              <w:autoSpaceDN w:val="0"/>
              <w:bidi w:val="0"/>
              <w:ind w:firstLine="640"/>
              <w:rPr>
                <w:rFonts w:ascii="仿宋" w:hAnsi="仿宋" w:eastAsia="仿宋" w:cs="仿宋"/>
                <w:color w:val="auto"/>
                <w:sz w:val="28"/>
                <w:szCs w:val="28"/>
                <w:lang w:val="zh-CN"/>
              </w:rPr>
            </w:pPr>
            <w:r>
              <w:rPr>
                <w:rFonts w:hint="eastAsia" w:ascii="仿宋" w:hAnsi="仿宋" w:eastAsia="仿宋" w:cs="仿宋"/>
                <w:color w:val="auto"/>
                <w:sz w:val="32"/>
                <w:szCs w:val="32"/>
                <w:lang w:val="zh-CN"/>
              </w:rPr>
              <w:t>标包号：第</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标包：（标包名称）</w:t>
            </w:r>
          </w:p>
        </w:tc>
      </w:tr>
      <w:tr w14:paraId="0B487761">
        <w:tblPrEx>
          <w:tblCellMar>
            <w:top w:w="0" w:type="dxa"/>
            <w:left w:w="108" w:type="dxa"/>
            <w:bottom w:w="0" w:type="dxa"/>
            <w:right w:w="108" w:type="dxa"/>
          </w:tblCellMar>
        </w:tblPrEx>
        <w:trPr>
          <w:trHeight w:val="7297" w:hRule="atLeast"/>
          <w:jc w:val="center"/>
        </w:trPr>
        <w:tc>
          <w:tcPr>
            <w:tcW w:w="2941" w:type="dxa"/>
            <w:tcBorders>
              <w:top w:val="single" w:color="auto" w:sz="6" w:space="0"/>
              <w:left w:val="single" w:color="auto" w:sz="6" w:space="0"/>
              <w:bottom w:val="single" w:color="auto" w:sz="6" w:space="0"/>
              <w:right w:val="single" w:color="auto" w:sz="6" w:space="0"/>
            </w:tcBorders>
            <w:textDirection w:val="tbRlV"/>
            <w:vAlign w:val="center"/>
          </w:tcPr>
          <w:p w14:paraId="765D88AF">
            <w:pPr>
              <w:pageBreakBefore w:val="0"/>
              <w:wordWrap w:val="0"/>
              <w:overflowPunct/>
              <w:bidi w:val="0"/>
              <w:ind w:firstLine="880"/>
              <w:jc w:val="center"/>
              <w:rPr>
                <w:rStyle w:val="43"/>
                <w:rFonts w:ascii="仿宋" w:hAnsi="仿宋" w:eastAsia="仿宋" w:cs="仿宋"/>
                <w:color w:val="auto"/>
                <w:sz w:val="44"/>
                <w:szCs w:val="44"/>
              </w:rPr>
            </w:pPr>
            <w:r>
              <w:rPr>
                <w:rStyle w:val="43"/>
                <w:rFonts w:hint="eastAsia" w:ascii="仿宋" w:hAnsi="仿宋" w:eastAsia="仿宋" w:cs="仿宋"/>
                <w:color w:val="auto"/>
                <w:sz w:val="44"/>
                <w:szCs w:val="44"/>
              </w:rPr>
              <w:t>(填入投标人名称)</w:t>
            </w:r>
          </w:p>
          <w:p w14:paraId="470AE06D">
            <w:pPr>
              <w:pageBreakBefore w:val="0"/>
              <w:wordWrap w:val="0"/>
              <w:overflowPunct/>
              <w:bidi w:val="0"/>
              <w:ind w:firstLine="880"/>
              <w:jc w:val="center"/>
              <w:rPr>
                <w:rStyle w:val="43"/>
                <w:rFonts w:ascii="仿宋" w:hAnsi="仿宋" w:eastAsia="仿宋" w:cs="仿宋"/>
                <w:color w:val="auto"/>
              </w:rPr>
            </w:pPr>
            <w:r>
              <w:rPr>
                <w:rStyle w:val="43"/>
                <w:rFonts w:hint="eastAsia" w:ascii="仿宋" w:hAnsi="仿宋" w:eastAsia="仿宋" w:cs="仿宋"/>
                <w:color w:val="auto"/>
                <w:sz w:val="44"/>
                <w:szCs w:val="44"/>
              </w:rPr>
              <w:t>投标文件</w:t>
            </w:r>
          </w:p>
          <w:p w14:paraId="33D7EA45">
            <w:pPr>
              <w:pageBreakBefore w:val="0"/>
              <w:wordWrap w:val="0"/>
              <w:overflowPunct/>
              <w:autoSpaceDE w:val="0"/>
              <w:autoSpaceDN w:val="0"/>
              <w:bidi w:val="0"/>
              <w:ind w:right="113"/>
              <w:jc w:val="center"/>
              <w:rPr>
                <w:rFonts w:ascii="仿宋" w:hAnsi="仿宋" w:eastAsia="仿宋" w:cs="仿宋"/>
                <w:color w:val="auto"/>
                <w:lang w:val="zh-CN"/>
              </w:rPr>
            </w:pPr>
          </w:p>
        </w:tc>
      </w:tr>
    </w:tbl>
    <w:p w14:paraId="7C3902E5">
      <w:pPr>
        <w:pageBreakBefore w:val="0"/>
        <w:wordWrap w:val="0"/>
        <w:overflowPunct/>
        <w:bidi w:val="0"/>
        <w:rPr>
          <w:color w:val="auto"/>
        </w:rPr>
      </w:pPr>
      <w:r>
        <w:rPr>
          <w:rFonts w:hint="eastAsia"/>
          <w:color w:val="auto"/>
        </w:rPr>
        <w:t>注：以上投标文件侧面（书脊）字体大小、间距，可根据投标文件厚度灵活调整。</w:t>
      </w:r>
    </w:p>
    <w:p w14:paraId="5FB8FF04">
      <w:pPr>
        <w:pageBreakBefore w:val="0"/>
        <w:wordWrap w:val="0"/>
        <w:overflowPunct/>
        <w:bidi w:val="0"/>
        <w:rPr>
          <w:color w:val="auto"/>
        </w:rPr>
      </w:pPr>
    </w:p>
    <w:p w14:paraId="6AD6B18A">
      <w:pPr>
        <w:pageBreakBefore w:val="0"/>
        <w:wordWrap w:val="0"/>
        <w:overflowPunct/>
        <w:bidi w:val="0"/>
        <w:rPr>
          <w:color w:val="auto"/>
        </w:rPr>
      </w:pPr>
    </w:p>
    <w:p w14:paraId="1C1E1FFD">
      <w:pPr>
        <w:pageBreakBefore w:val="0"/>
        <w:widowControl w:val="0"/>
        <w:wordWrap w:val="0"/>
        <w:overflowPunct/>
        <w:bidi w:val="0"/>
        <w:adjustRightInd/>
        <w:snapToGrid/>
        <w:ind w:firstLine="0" w:firstLineChars="0"/>
        <w:jc w:val="center"/>
        <w:outlineLvl w:val="1"/>
        <w:rPr>
          <w:b/>
          <w:bCs/>
          <w:color w:val="auto"/>
          <w:kern w:val="2"/>
          <w:sz w:val="32"/>
          <w:szCs w:val="32"/>
        </w:rPr>
      </w:pPr>
    </w:p>
    <w:p w14:paraId="2ABC85B9">
      <w:pPr>
        <w:pageBreakBefore w:val="0"/>
        <w:widowControl w:val="0"/>
        <w:wordWrap w:val="0"/>
        <w:overflowPunct/>
        <w:bidi w:val="0"/>
        <w:adjustRightInd/>
        <w:snapToGrid/>
        <w:ind w:firstLine="0" w:firstLineChars="0"/>
        <w:jc w:val="center"/>
        <w:outlineLvl w:val="1"/>
        <w:rPr>
          <w:b/>
          <w:bCs/>
          <w:color w:val="auto"/>
          <w:kern w:val="2"/>
          <w:sz w:val="32"/>
          <w:szCs w:val="32"/>
        </w:rPr>
      </w:pPr>
      <w:bookmarkStart w:id="42" w:name="_Toc3668"/>
      <w:r>
        <w:rPr>
          <w:rFonts w:hint="eastAsia"/>
          <w:b/>
          <w:bCs/>
          <w:color w:val="auto"/>
          <w:kern w:val="2"/>
          <w:sz w:val="32"/>
          <w:szCs w:val="32"/>
        </w:rPr>
        <w:t>目  录</w:t>
      </w:r>
      <w:bookmarkEnd w:id="42"/>
    </w:p>
    <w:p w14:paraId="6F1358C0">
      <w:pPr>
        <w:pageBreakBefore w:val="0"/>
        <w:wordWrap w:val="0"/>
        <w:overflowPunct/>
        <w:bidi w:val="0"/>
        <w:adjustRightInd/>
        <w:snapToGrid/>
        <w:ind w:firstLine="0" w:firstLineChars="0"/>
        <w:jc w:val="center"/>
        <w:rPr>
          <w:b/>
          <w:bCs/>
          <w:color w:val="auto"/>
          <w:sz w:val="28"/>
          <w:szCs w:val="28"/>
        </w:rPr>
      </w:pPr>
      <w:r>
        <w:rPr>
          <w:rFonts w:hint="eastAsia"/>
          <w:color w:val="auto"/>
          <w:kern w:val="2"/>
          <w:sz w:val="28"/>
          <w:szCs w:val="28"/>
        </w:rPr>
        <w:t>（格式自拟）</w:t>
      </w:r>
      <w:r>
        <w:rPr>
          <w:rFonts w:hint="eastAsia"/>
          <w:b/>
          <w:bCs/>
          <w:color w:val="auto"/>
          <w:sz w:val="28"/>
          <w:szCs w:val="28"/>
        </w:rPr>
        <w:br w:type="page"/>
      </w:r>
    </w:p>
    <w:p w14:paraId="206A643E">
      <w:pPr>
        <w:pStyle w:val="3"/>
        <w:pageBreakBefore w:val="0"/>
        <w:numPr>
          <w:ilvl w:val="0"/>
          <w:numId w:val="4"/>
        </w:numPr>
        <w:wordWrap w:val="0"/>
        <w:overflowPunct/>
        <w:bidi w:val="0"/>
        <w:ind w:firstLine="643"/>
        <w:jc w:val="center"/>
        <w:rPr>
          <w:color w:val="auto"/>
          <w:sz w:val="32"/>
          <w:szCs w:val="32"/>
        </w:rPr>
      </w:pPr>
      <w:bookmarkStart w:id="43" w:name="_Toc10452"/>
      <w:r>
        <w:rPr>
          <w:rFonts w:hint="eastAsia"/>
          <w:color w:val="auto"/>
          <w:sz w:val="32"/>
          <w:szCs w:val="32"/>
        </w:rPr>
        <w:t>开标一览表</w:t>
      </w:r>
      <w:bookmarkEnd w:id="43"/>
    </w:p>
    <w:tbl>
      <w:tblPr>
        <w:tblStyle w:val="26"/>
        <w:tblW w:w="9011" w:type="dxa"/>
        <w:jc w:val="center"/>
        <w:tblLayout w:type="fixed"/>
        <w:tblCellMar>
          <w:top w:w="0" w:type="dxa"/>
          <w:left w:w="108" w:type="dxa"/>
          <w:bottom w:w="0" w:type="dxa"/>
          <w:right w:w="108" w:type="dxa"/>
        </w:tblCellMar>
      </w:tblPr>
      <w:tblGrid>
        <w:gridCol w:w="1316"/>
        <w:gridCol w:w="2055"/>
        <w:gridCol w:w="5640"/>
      </w:tblGrid>
      <w:tr w14:paraId="769FE894">
        <w:tblPrEx>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6F2ED00F">
            <w:pPr>
              <w:pageBreakBefore w:val="0"/>
              <w:widowControl w:val="0"/>
              <w:wordWrap w:val="0"/>
              <w:overflowPunct/>
              <w:bidi w:val="0"/>
              <w:adjustRightInd/>
              <w:snapToGrid/>
              <w:ind w:firstLine="0" w:firstLineChars="0"/>
              <w:jc w:val="center"/>
              <w:rPr>
                <w:b/>
                <w:bCs/>
                <w:color w:val="auto"/>
                <w:kern w:val="2"/>
              </w:rPr>
            </w:pPr>
            <w:r>
              <w:rPr>
                <w:rFonts w:hint="eastAsia"/>
                <w:b/>
                <w:bCs/>
                <w:color w:val="auto"/>
                <w:kern w:val="2"/>
              </w:rPr>
              <w:t>序号</w:t>
            </w:r>
          </w:p>
        </w:tc>
        <w:tc>
          <w:tcPr>
            <w:tcW w:w="205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45FD06A9">
            <w:pPr>
              <w:pageBreakBefore w:val="0"/>
              <w:widowControl w:val="0"/>
              <w:wordWrap w:val="0"/>
              <w:overflowPunct/>
              <w:bidi w:val="0"/>
              <w:adjustRightInd/>
              <w:snapToGrid/>
              <w:ind w:firstLine="0" w:firstLineChars="0"/>
              <w:jc w:val="center"/>
              <w:rPr>
                <w:b/>
                <w:bCs/>
                <w:color w:val="auto"/>
                <w:kern w:val="2"/>
              </w:rPr>
            </w:pPr>
            <w:r>
              <w:rPr>
                <w:rFonts w:hint="eastAsia"/>
                <w:b/>
                <w:bCs/>
                <w:color w:val="auto"/>
                <w:kern w:val="2"/>
              </w:rPr>
              <w:t>项目</w:t>
            </w:r>
          </w:p>
        </w:tc>
        <w:tc>
          <w:tcPr>
            <w:tcW w:w="564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54B0E900">
            <w:pPr>
              <w:pageBreakBefore w:val="0"/>
              <w:widowControl w:val="0"/>
              <w:wordWrap w:val="0"/>
              <w:overflowPunct/>
              <w:bidi w:val="0"/>
              <w:adjustRightInd/>
              <w:snapToGrid/>
              <w:ind w:firstLine="0" w:firstLineChars="0"/>
              <w:jc w:val="center"/>
              <w:rPr>
                <w:color w:val="auto"/>
                <w:kern w:val="2"/>
              </w:rPr>
            </w:pPr>
            <w:r>
              <w:rPr>
                <w:rFonts w:hint="eastAsia"/>
                <w:b/>
                <w:bCs/>
                <w:color w:val="auto"/>
                <w:kern w:val="2"/>
              </w:rPr>
              <w:t>报价及承诺</w:t>
            </w:r>
          </w:p>
        </w:tc>
      </w:tr>
      <w:tr w14:paraId="5FEBC45B">
        <w:tblPrEx>
          <w:tblCellMar>
            <w:top w:w="0" w:type="dxa"/>
            <w:left w:w="108" w:type="dxa"/>
            <w:bottom w:w="0" w:type="dxa"/>
            <w:right w:w="108" w:type="dxa"/>
          </w:tblCellMar>
        </w:tblPrEx>
        <w:trPr>
          <w:trHeight w:val="748" w:hRule="atLeast"/>
          <w:jc w:val="center"/>
        </w:trPr>
        <w:tc>
          <w:tcPr>
            <w:tcW w:w="1316" w:type="dxa"/>
            <w:tcBorders>
              <w:top w:val="nil"/>
              <w:left w:val="single" w:color="auto" w:sz="4" w:space="0"/>
              <w:bottom w:val="single" w:color="auto" w:sz="4" w:space="0"/>
              <w:right w:val="single" w:color="auto" w:sz="4" w:space="0"/>
            </w:tcBorders>
            <w:tcMar>
              <w:top w:w="57" w:type="dxa"/>
              <w:left w:w="57" w:type="dxa"/>
              <w:bottom w:w="57" w:type="dxa"/>
              <w:right w:w="57" w:type="dxa"/>
            </w:tcMar>
            <w:vAlign w:val="center"/>
          </w:tcPr>
          <w:p w14:paraId="55EF74B5">
            <w:pPr>
              <w:pageBreakBefore w:val="0"/>
              <w:widowControl w:val="0"/>
              <w:wordWrap w:val="0"/>
              <w:overflowPunct/>
              <w:bidi w:val="0"/>
              <w:adjustRightInd/>
              <w:snapToGrid/>
              <w:spacing w:before="312" w:beforeLines="100"/>
              <w:ind w:firstLine="0" w:firstLineChars="0"/>
              <w:jc w:val="center"/>
              <w:rPr>
                <w:color w:val="auto"/>
                <w:kern w:val="2"/>
              </w:rPr>
            </w:pPr>
            <w:r>
              <w:rPr>
                <w:rFonts w:hint="eastAsia"/>
                <w:color w:val="auto"/>
                <w:kern w:val="2"/>
              </w:rPr>
              <w:t>1</w:t>
            </w:r>
          </w:p>
        </w:tc>
        <w:tc>
          <w:tcPr>
            <w:tcW w:w="2055"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194D4239">
            <w:pPr>
              <w:pageBreakBefore w:val="0"/>
              <w:widowControl w:val="0"/>
              <w:wordWrap w:val="0"/>
              <w:overflowPunct/>
              <w:bidi w:val="0"/>
              <w:adjustRightInd/>
              <w:snapToGrid/>
              <w:spacing w:before="312" w:beforeLines="100"/>
              <w:ind w:firstLine="0" w:firstLineChars="0"/>
              <w:jc w:val="center"/>
              <w:rPr>
                <w:bCs/>
                <w:color w:val="auto"/>
                <w:kern w:val="2"/>
              </w:rPr>
            </w:pPr>
            <w:r>
              <w:rPr>
                <w:rFonts w:hint="eastAsia"/>
                <w:b/>
                <w:color w:val="auto"/>
                <w:kern w:val="2"/>
              </w:rPr>
              <w:t>投标总价（元）</w:t>
            </w:r>
          </w:p>
        </w:tc>
        <w:tc>
          <w:tcPr>
            <w:tcW w:w="564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04F6F5F0">
            <w:pPr>
              <w:pageBreakBefore w:val="0"/>
              <w:widowControl w:val="0"/>
              <w:wordWrap w:val="0"/>
              <w:overflowPunct/>
              <w:bidi w:val="0"/>
              <w:adjustRightInd/>
              <w:snapToGrid/>
              <w:spacing w:before="312" w:beforeLines="100" w:line="240" w:lineRule="auto"/>
              <w:ind w:firstLine="0" w:firstLineChars="0"/>
              <w:jc w:val="center"/>
              <w:rPr>
                <w:color w:val="auto"/>
              </w:rPr>
            </w:pPr>
            <w:r>
              <w:rPr>
                <w:rFonts w:hint="eastAsia"/>
                <w:color w:val="auto"/>
              </w:rPr>
              <w:t>标包号：      报价：</w:t>
            </w:r>
          </w:p>
        </w:tc>
      </w:tr>
      <w:tr w14:paraId="43788FD7">
        <w:tblPrEx>
          <w:tblCellMar>
            <w:top w:w="0" w:type="dxa"/>
            <w:left w:w="108" w:type="dxa"/>
            <w:bottom w:w="0" w:type="dxa"/>
            <w:right w:w="108" w:type="dxa"/>
          </w:tblCellMar>
        </w:tblPrEx>
        <w:trPr>
          <w:trHeight w:val="748" w:hRule="atLeast"/>
          <w:jc w:val="center"/>
        </w:trPr>
        <w:tc>
          <w:tcPr>
            <w:tcW w:w="1316" w:type="dxa"/>
            <w:tcBorders>
              <w:top w:val="nil"/>
              <w:left w:val="single" w:color="auto" w:sz="4" w:space="0"/>
              <w:bottom w:val="single" w:color="auto" w:sz="4" w:space="0"/>
              <w:right w:val="single" w:color="auto" w:sz="4" w:space="0"/>
            </w:tcBorders>
            <w:tcMar>
              <w:top w:w="57" w:type="dxa"/>
              <w:left w:w="57" w:type="dxa"/>
              <w:bottom w:w="57" w:type="dxa"/>
              <w:right w:w="57" w:type="dxa"/>
            </w:tcMar>
            <w:vAlign w:val="center"/>
          </w:tcPr>
          <w:p w14:paraId="5A7A11D6">
            <w:pPr>
              <w:pageBreakBefore w:val="0"/>
              <w:widowControl w:val="0"/>
              <w:wordWrap w:val="0"/>
              <w:overflowPunct/>
              <w:bidi w:val="0"/>
              <w:adjustRightInd/>
              <w:snapToGrid/>
              <w:spacing w:before="312" w:beforeLines="100"/>
              <w:ind w:firstLine="0" w:firstLineChars="0"/>
              <w:jc w:val="center"/>
              <w:rPr>
                <w:color w:val="auto"/>
                <w:kern w:val="2"/>
              </w:rPr>
            </w:pPr>
            <w:r>
              <w:rPr>
                <w:rFonts w:hint="eastAsia"/>
                <w:color w:val="auto"/>
                <w:kern w:val="2"/>
              </w:rPr>
              <w:t>2</w:t>
            </w:r>
          </w:p>
        </w:tc>
        <w:tc>
          <w:tcPr>
            <w:tcW w:w="2055"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553AC020">
            <w:pPr>
              <w:pageBreakBefore w:val="0"/>
              <w:widowControl w:val="0"/>
              <w:wordWrap w:val="0"/>
              <w:overflowPunct/>
              <w:bidi w:val="0"/>
              <w:adjustRightInd/>
              <w:snapToGrid/>
              <w:spacing w:before="312" w:beforeLines="100"/>
              <w:ind w:firstLine="0" w:firstLineChars="0"/>
              <w:jc w:val="center"/>
              <w:rPr>
                <w:color w:val="auto"/>
                <w:kern w:val="2"/>
              </w:rPr>
            </w:pPr>
            <w:r>
              <w:rPr>
                <w:rFonts w:hint="eastAsia"/>
                <w:color w:val="auto"/>
                <w:kern w:val="2"/>
              </w:rPr>
              <w:t>质保期</w:t>
            </w:r>
          </w:p>
        </w:tc>
        <w:tc>
          <w:tcPr>
            <w:tcW w:w="564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6F5CCDFF">
            <w:pPr>
              <w:pStyle w:val="5"/>
              <w:pageBreakBefore w:val="0"/>
              <w:wordWrap w:val="0"/>
              <w:overflowPunct/>
              <w:bidi w:val="0"/>
              <w:ind w:firstLine="562"/>
              <w:jc w:val="center"/>
              <w:rPr>
                <w:color w:val="auto"/>
              </w:rPr>
            </w:pPr>
          </w:p>
        </w:tc>
      </w:tr>
      <w:tr w14:paraId="3017BB2A">
        <w:tblPrEx>
          <w:tblCellMar>
            <w:top w:w="0" w:type="dxa"/>
            <w:left w:w="108" w:type="dxa"/>
            <w:bottom w:w="0" w:type="dxa"/>
            <w:right w:w="108" w:type="dxa"/>
          </w:tblCellMar>
        </w:tblPrEx>
        <w:trPr>
          <w:trHeight w:val="702" w:hRule="atLeast"/>
          <w:jc w:val="center"/>
        </w:trPr>
        <w:tc>
          <w:tcPr>
            <w:tcW w:w="1316" w:type="dxa"/>
            <w:tcBorders>
              <w:top w:val="nil"/>
              <w:left w:val="single" w:color="auto" w:sz="4" w:space="0"/>
              <w:bottom w:val="single" w:color="auto" w:sz="4" w:space="0"/>
              <w:right w:val="single" w:color="auto" w:sz="4" w:space="0"/>
            </w:tcBorders>
            <w:tcMar>
              <w:top w:w="57" w:type="dxa"/>
              <w:left w:w="57" w:type="dxa"/>
              <w:bottom w:w="57" w:type="dxa"/>
              <w:right w:w="57" w:type="dxa"/>
            </w:tcMar>
            <w:vAlign w:val="center"/>
          </w:tcPr>
          <w:p w14:paraId="591009CE">
            <w:pPr>
              <w:pageBreakBefore w:val="0"/>
              <w:widowControl w:val="0"/>
              <w:wordWrap w:val="0"/>
              <w:overflowPunct/>
              <w:bidi w:val="0"/>
              <w:adjustRightInd/>
              <w:snapToGrid/>
              <w:spacing w:before="312" w:beforeLines="100"/>
              <w:ind w:firstLine="0" w:firstLineChars="0"/>
              <w:jc w:val="center"/>
              <w:rPr>
                <w:color w:val="auto"/>
                <w:kern w:val="2"/>
              </w:rPr>
            </w:pPr>
            <w:r>
              <w:rPr>
                <w:rFonts w:hint="eastAsia"/>
                <w:color w:val="auto"/>
                <w:kern w:val="2"/>
              </w:rPr>
              <w:t>3</w:t>
            </w:r>
          </w:p>
        </w:tc>
        <w:tc>
          <w:tcPr>
            <w:tcW w:w="2055" w:type="dxa"/>
            <w:tcBorders>
              <w:top w:val="nil"/>
              <w:left w:val="nil"/>
              <w:bottom w:val="single" w:color="auto" w:sz="4" w:space="0"/>
              <w:right w:val="single" w:color="auto" w:sz="4" w:space="0"/>
            </w:tcBorders>
            <w:tcMar>
              <w:top w:w="57" w:type="dxa"/>
              <w:left w:w="57" w:type="dxa"/>
              <w:bottom w:w="57" w:type="dxa"/>
              <w:right w:w="57" w:type="dxa"/>
            </w:tcMar>
            <w:vAlign w:val="center"/>
          </w:tcPr>
          <w:p w14:paraId="3D4090B6">
            <w:pPr>
              <w:pageBreakBefore w:val="0"/>
              <w:widowControl w:val="0"/>
              <w:wordWrap w:val="0"/>
              <w:overflowPunct/>
              <w:bidi w:val="0"/>
              <w:adjustRightInd/>
              <w:snapToGrid/>
              <w:spacing w:before="312" w:beforeLines="100"/>
              <w:ind w:firstLine="0" w:firstLineChars="0"/>
              <w:jc w:val="center"/>
              <w:rPr>
                <w:color w:val="auto"/>
                <w:kern w:val="2"/>
              </w:rPr>
            </w:pPr>
            <w:r>
              <w:rPr>
                <w:rFonts w:hint="eastAsia"/>
                <w:color w:val="auto"/>
                <w:kern w:val="2"/>
              </w:rPr>
              <w:t>交货期</w:t>
            </w:r>
          </w:p>
        </w:tc>
        <w:tc>
          <w:tcPr>
            <w:tcW w:w="5640" w:type="dxa"/>
            <w:tcBorders>
              <w:top w:val="single" w:color="auto" w:sz="4" w:space="0"/>
              <w:left w:val="nil"/>
              <w:bottom w:val="single" w:color="auto" w:sz="4" w:space="0"/>
              <w:right w:val="single" w:color="000000" w:sz="4" w:space="0"/>
            </w:tcBorders>
            <w:tcMar>
              <w:top w:w="57" w:type="dxa"/>
              <w:left w:w="57" w:type="dxa"/>
              <w:bottom w:w="57" w:type="dxa"/>
              <w:right w:w="57" w:type="dxa"/>
            </w:tcMar>
            <w:vAlign w:val="center"/>
          </w:tcPr>
          <w:p w14:paraId="0771AF0F">
            <w:pPr>
              <w:pageBreakBefore w:val="0"/>
              <w:widowControl w:val="0"/>
              <w:tabs>
                <w:tab w:val="left" w:pos="540"/>
              </w:tabs>
              <w:wordWrap w:val="0"/>
              <w:overflowPunct/>
              <w:bidi w:val="0"/>
              <w:adjustRightInd/>
              <w:snapToGrid/>
              <w:spacing w:before="312" w:beforeLines="100"/>
              <w:ind w:firstLine="0" w:firstLineChars="0"/>
              <w:jc w:val="center"/>
              <w:rPr>
                <w:color w:val="auto"/>
                <w:kern w:val="2"/>
              </w:rPr>
            </w:pPr>
          </w:p>
        </w:tc>
      </w:tr>
      <w:tr w14:paraId="6A6164C4">
        <w:tblPrEx>
          <w:tblCellMar>
            <w:top w:w="0" w:type="dxa"/>
            <w:left w:w="108" w:type="dxa"/>
            <w:bottom w:w="0" w:type="dxa"/>
            <w:right w:w="108" w:type="dxa"/>
          </w:tblCellMar>
        </w:tblPrEx>
        <w:trPr>
          <w:trHeight w:val="567" w:hRule="atLeast"/>
          <w:jc w:val="center"/>
        </w:trPr>
        <w:tc>
          <w:tcPr>
            <w:tcW w:w="1316" w:type="dxa"/>
            <w:tcBorders>
              <w:top w:val="nil"/>
              <w:left w:val="single" w:color="auto" w:sz="4" w:space="0"/>
              <w:bottom w:val="single" w:color="auto" w:sz="4" w:space="0"/>
              <w:right w:val="single" w:color="auto" w:sz="4" w:space="0"/>
            </w:tcBorders>
            <w:tcMar>
              <w:top w:w="57" w:type="dxa"/>
              <w:left w:w="57" w:type="dxa"/>
              <w:bottom w:w="57" w:type="dxa"/>
              <w:right w:w="57" w:type="dxa"/>
            </w:tcMar>
            <w:vAlign w:val="center"/>
          </w:tcPr>
          <w:p w14:paraId="5EA8605F">
            <w:pPr>
              <w:pageBreakBefore w:val="0"/>
              <w:widowControl w:val="0"/>
              <w:wordWrap w:val="0"/>
              <w:overflowPunct/>
              <w:bidi w:val="0"/>
              <w:adjustRightInd/>
              <w:snapToGrid/>
              <w:spacing w:before="312" w:beforeLines="100"/>
              <w:ind w:firstLine="0" w:firstLineChars="0"/>
              <w:jc w:val="center"/>
              <w:rPr>
                <w:color w:val="auto"/>
                <w:kern w:val="2"/>
              </w:rPr>
            </w:pPr>
            <w:r>
              <w:rPr>
                <w:rFonts w:hint="eastAsia"/>
                <w:color w:val="auto"/>
                <w:kern w:val="2"/>
              </w:rPr>
              <w:t>4</w:t>
            </w:r>
          </w:p>
        </w:tc>
        <w:tc>
          <w:tcPr>
            <w:tcW w:w="2055" w:type="dxa"/>
            <w:tcBorders>
              <w:top w:val="nil"/>
              <w:left w:val="nil"/>
              <w:bottom w:val="single" w:color="auto" w:sz="4" w:space="0"/>
              <w:right w:val="single" w:color="auto" w:sz="4" w:space="0"/>
            </w:tcBorders>
            <w:tcMar>
              <w:top w:w="57" w:type="dxa"/>
              <w:left w:w="57" w:type="dxa"/>
              <w:bottom w:w="57" w:type="dxa"/>
              <w:right w:w="57" w:type="dxa"/>
            </w:tcMar>
            <w:vAlign w:val="center"/>
          </w:tcPr>
          <w:p w14:paraId="643B6E42">
            <w:pPr>
              <w:pageBreakBefore w:val="0"/>
              <w:widowControl w:val="0"/>
              <w:wordWrap w:val="0"/>
              <w:overflowPunct/>
              <w:bidi w:val="0"/>
              <w:adjustRightInd/>
              <w:snapToGrid/>
              <w:spacing w:before="312" w:beforeLines="100"/>
              <w:ind w:firstLine="0" w:firstLineChars="0"/>
              <w:jc w:val="center"/>
              <w:rPr>
                <w:color w:val="auto"/>
                <w:kern w:val="2"/>
              </w:rPr>
            </w:pPr>
            <w:r>
              <w:rPr>
                <w:rFonts w:hint="eastAsia"/>
                <w:color w:val="auto"/>
                <w:kern w:val="2"/>
              </w:rPr>
              <w:t>质量承诺</w:t>
            </w:r>
          </w:p>
        </w:tc>
        <w:tc>
          <w:tcPr>
            <w:tcW w:w="5640" w:type="dxa"/>
            <w:tcBorders>
              <w:top w:val="single" w:color="auto" w:sz="4" w:space="0"/>
              <w:left w:val="nil"/>
              <w:bottom w:val="single" w:color="auto" w:sz="4" w:space="0"/>
              <w:right w:val="single" w:color="000000" w:sz="4" w:space="0"/>
            </w:tcBorders>
            <w:tcMar>
              <w:top w:w="57" w:type="dxa"/>
              <w:left w:w="57" w:type="dxa"/>
              <w:bottom w:w="57" w:type="dxa"/>
              <w:right w:w="57" w:type="dxa"/>
            </w:tcMar>
            <w:vAlign w:val="center"/>
          </w:tcPr>
          <w:p w14:paraId="4D6D4956">
            <w:pPr>
              <w:pageBreakBefore w:val="0"/>
              <w:widowControl w:val="0"/>
              <w:wordWrap w:val="0"/>
              <w:overflowPunct/>
              <w:bidi w:val="0"/>
              <w:adjustRightInd/>
              <w:snapToGrid/>
              <w:spacing w:before="312" w:beforeLines="100"/>
              <w:ind w:firstLine="0" w:firstLineChars="0"/>
              <w:jc w:val="center"/>
              <w:rPr>
                <w:color w:val="auto"/>
                <w:kern w:val="2"/>
              </w:rPr>
            </w:pPr>
          </w:p>
        </w:tc>
      </w:tr>
      <w:tr w14:paraId="1E7813F4">
        <w:tblPrEx>
          <w:tblCellMar>
            <w:top w:w="0" w:type="dxa"/>
            <w:left w:w="108" w:type="dxa"/>
            <w:bottom w:w="0" w:type="dxa"/>
            <w:right w:w="108" w:type="dxa"/>
          </w:tblCellMar>
        </w:tblPrEx>
        <w:trPr>
          <w:trHeight w:val="339" w:hRule="atLeast"/>
          <w:jc w:val="center"/>
        </w:trPr>
        <w:tc>
          <w:tcPr>
            <w:tcW w:w="131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3BC17F11">
            <w:pPr>
              <w:pageBreakBefore w:val="0"/>
              <w:widowControl w:val="0"/>
              <w:wordWrap w:val="0"/>
              <w:overflowPunct/>
              <w:bidi w:val="0"/>
              <w:adjustRightInd/>
              <w:snapToGrid/>
              <w:spacing w:before="312" w:beforeLines="100"/>
              <w:ind w:firstLine="0" w:firstLineChars="0"/>
              <w:jc w:val="center"/>
              <w:rPr>
                <w:color w:val="auto"/>
                <w:kern w:val="2"/>
              </w:rPr>
            </w:pPr>
            <w:r>
              <w:rPr>
                <w:rFonts w:hint="eastAsia"/>
                <w:color w:val="auto"/>
                <w:kern w:val="2"/>
              </w:rPr>
              <w:t>5</w:t>
            </w:r>
          </w:p>
        </w:tc>
        <w:tc>
          <w:tcPr>
            <w:tcW w:w="2055"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362EA512">
            <w:pPr>
              <w:pageBreakBefore w:val="0"/>
              <w:widowControl w:val="0"/>
              <w:wordWrap w:val="0"/>
              <w:overflowPunct/>
              <w:bidi w:val="0"/>
              <w:adjustRightInd/>
              <w:snapToGrid/>
              <w:spacing w:before="312" w:beforeLines="100"/>
              <w:ind w:firstLine="0" w:firstLineChars="0"/>
              <w:jc w:val="center"/>
              <w:rPr>
                <w:bCs/>
                <w:color w:val="auto"/>
                <w:kern w:val="2"/>
              </w:rPr>
            </w:pPr>
            <w:r>
              <w:rPr>
                <w:rFonts w:hint="eastAsia"/>
                <w:bCs/>
                <w:color w:val="auto"/>
                <w:kern w:val="2"/>
              </w:rPr>
              <w:t>备注</w:t>
            </w:r>
          </w:p>
        </w:tc>
        <w:tc>
          <w:tcPr>
            <w:tcW w:w="5640" w:type="dxa"/>
            <w:tcBorders>
              <w:top w:val="single" w:color="auto" w:sz="4" w:space="0"/>
              <w:left w:val="nil"/>
              <w:bottom w:val="single" w:color="auto" w:sz="4" w:space="0"/>
              <w:right w:val="single" w:color="000000" w:sz="4" w:space="0"/>
            </w:tcBorders>
            <w:tcMar>
              <w:top w:w="57" w:type="dxa"/>
              <w:left w:w="57" w:type="dxa"/>
              <w:bottom w:w="57" w:type="dxa"/>
              <w:right w:w="57" w:type="dxa"/>
            </w:tcMar>
            <w:vAlign w:val="center"/>
          </w:tcPr>
          <w:p w14:paraId="5B703378">
            <w:pPr>
              <w:pageBreakBefore w:val="0"/>
              <w:widowControl w:val="0"/>
              <w:wordWrap w:val="0"/>
              <w:overflowPunct/>
              <w:bidi w:val="0"/>
              <w:adjustRightInd/>
              <w:snapToGrid/>
              <w:spacing w:before="312" w:beforeLines="100"/>
              <w:ind w:firstLine="0" w:firstLineChars="0"/>
              <w:jc w:val="center"/>
              <w:rPr>
                <w:color w:val="auto"/>
                <w:kern w:val="2"/>
              </w:rPr>
            </w:pPr>
          </w:p>
        </w:tc>
      </w:tr>
    </w:tbl>
    <w:p w14:paraId="5FE946AE">
      <w:pPr>
        <w:pageBreakBefore w:val="0"/>
        <w:widowControl w:val="0"/>
        <w:wordWrap w:val="0"/>
        <w:overflowPunct/>
        <w:bidi w:val="0"/>
        <w:adjustRightInd/>
        <w:snapToGrid/>
        <w:ind w:firstLine="105" w:firstLineChars="50"/>
        <w:jc w:val="both"/>
        <w:rPr>
          <w:bCs/>
          <w:color w:val="auto"/>
          <w:kern w:val="2"/>
        </w:rPr>
      </w:pPr>
      <w:r>
        <w:rPr>
          <w:rFonts w:hint="eastAsia"/>
          <w:bCs/>
          <w:color w:val="auto"/>
          <w:kern w:val="2"/>
        </w:rPr>
        <w:t>注：1、此表应放在《投标文件》目录后第一页，以方便查找；</w:t>
      </w:r>
    </w:p>
    <w:p w14:paraId="41F64752">
      <w:pPr>
        <w:pageBreakBefore w:val="0"/>
        <w:widowControl w:val="0"/>
        <w:numPr>
          <w:ilvl w:val="255"/>
          <w:numId w:val="0"/>
        </w:numPr>
        <w:wordWrap w:val="0"/>
        <w:overflowPunct/>
        <w:bidi w:val="0"/>
        <w:adjustRightInd/>
        <w:snapToGrid/>
        <w:ind w:firstLine="105" w:firstLineChars="50"/>
        <w:jc w:val="both"/>
        <w:rPr>
          <w:bCs/>
          <w:color w:val="auto"/>
          <w:kern w:val="2"/>
        </w:rPr>
      </w:pPr>
      <w:r>
        <w:rPr>
          <w:rFonts w:hint="eastAsia"/>
          <w:bCs/>
          <w:color w:val="auto"/>
          <w:kern w:val="2"/>
        </w:rPr>
        <w:t>2、报价结果以人民币元为单位，保留到小数点后两位。</w:t>
      </w:r>
    </w:p>
    <w:p w14:paraId="12B4CE40">
      <w:pPr>
        <w:pageBreakBefore w:val="0"/>
        <w:widowControl w:val="0"/>
        <w:wordWrap w:val="0"/>
        <w:overflowPunct/>
        <w:bidi w:val="0"/>
        <w:adjustRightInd/>
        <w:snapToGrid/>
        <w:ind w:left="779" w:leftChars="371" w:right="-153" w:rightChars="-73" w:firstLine="210" w:firstLineChars="100"/>
        <w:jc w:val="right"/>
        <w:rPr>
          <w:color w:val="auto"/>
          <w:kern w:val="2"/>
        </w:rPr>
      </w:pPr>
    </w:p>
    <w:p w14:paraId="19798B5B">
      <w:pPr>
        <w:pageBreakBefore w:val="0"/>
        <w:wordWrap w:val="0"/>
        <w:overflowPunct/>
        <w:bidi w:val="0"/>
        <w:adjustRightInd/>
        <w:snapToGrid/>
        <w:ind w:firstLine="396"/>
        <w:jc w:val="center"/>
        <w:rPr>
          <w:color w:val="auto"/>
        </w:rPr>
      </w:pPr>
      <w:r>
        <w:rPr>
          <w:rFonts w:hint="eastAsia"/>
          <w:color w:val="auto"/>
          <w:spacing w:val="-6"/>
        </w:rPr>
        <w:t>投标人名称</w:t>
      </w:r>
      <w:r>
        <w:rPr>
          <w:rFonts w:hint="eastAsia"/>
          <w:color w:val="auto"/>
          <w:spacing w:val="-4"/>
        </w:rPr>
        <w:t>（盖公章）：</w:t>
      </w:r>
      <w:r>
        <w:rPr>
          <w:rFonts w:hint="eastAsia"/>
          <w:color w:val="auto"/>
          <w:spacing w:val="-4"/>
          <w:u w:val="single"/>
        </w:rPr>
        <w:t xml:space="preserve">     </w:t>
      </w:r>
      <w:r>
        <w:rPr>
          <w:rFonts w:hint="eastAsia"/>
          <w:color w:val="auto"/>
          <w:spacing w:val="-3"/>
          <w:u w:val="single"/>
        </w:rPr>
        <w:t xml:space="preserve"> </w:t>
      </w:r>
      <w:r>
        <w:rPr>
          <w:rFonts w:hint="eastAsia"/>
          <w:color w:val="auto"/>
          <w:spacing w:val="-2"/>
          <w:u w:val="single"/>
        </w:rPr>
        <w:t xml:space="preserve">                             </w:t>
      </w:r>
    </w:p>
    <w:p w14:paraId="6616EB85">
      <w:pPr>
        <w:pageBreakBefore w:val="0"/>
        <w:wordWrap w:val="0"/>
        <w:overflowPunct/>
        <w:bidi w:val="0"/>
        <w:adjustRightInd/>
        <w:snapToGrid/>
        <w:ind w:firstLine="396"/>
        <w:jc w:val="center"/>
        <w:rPr>
          <w:color w:val="auto"/>
        </w:rPr>
      </w:pPr>
      <w:r>
        <w:rPr>
          <w:rFonts w:hint="eastAsia"/>
          <w:color w:val="auto"/>
          <w:spacing w:val="-6"/>
        </w:rPr>
        <w:t xml:space="preserve">                法定代表人或其授权代理人</w:t>
      </w:r>
      <w:r>
        <w:rPr>
          <w:rFonts w:hint="eastAsia"/>
          <w:color w:val="auto"/>
          <w:spacing w:val="-3"/>
        </w:rPr>
        <w:t>(签字或盖章)：</w:t>
      </w:r>
      <w:r>
        <w:rPr>
          <w:rFonts w:hint="eastAsia"/>
          <w:color w:val="auto"/>
          <w:spacing w:val="-3"/>
          <w:u w:val="single"/>
        </w:rPr>
        <w:t xml:space="preserve">                 </w:t>
      </w:r>
    </w:p>
    <w:p w14:paraId="70278204">
      <w:pPr>
        <w:pageBreakBefore w:val="0"/>
        <w:tabs>
          <w:tab w:val="left" w:pos="863"/>
        </w:tabs>
        <w:wordWrap w:val="0"/>
        <w:overflowPunct/>
        <w:bidi w:val="0"/>
        <w:adjustRightInd/>
        <w:snapToGrid/>
        <w:jc w:val="right"/>
        <w:rPr>
          <w:color w:val="auto"/>
        </w:rPr>
      </w:pPr>
      <w:r>
        <w:rPr>
          <w:rFonts w:hint="eastAsia"/>
          <w:color w:val="auto"/>
          <w:u w:val="single"/>
        </w:rPr>
        <w:tab/>
      </w:r>
      <w:r>
        <w:rPr>
          <w:rFonts w:hint="eastAsia"/>
          <w:color w:val="auto"/>
          <w:spacing w:val="4"/>
        </w:rPr>
        <w:t>年</w:t>
      </w:r>
      <w:r>
        <w:rPr>
          <w:rFonts w:hint="eastAsia"/>
          <w:color w:val="auto"/>
          <w:spacing w:val="4"/>
          <w:u w:val="single"/>
        </w:rPr>
        <w:t xml:space="preserve">   </w:t>
      </w:r>
      <w:r>
        <w:rPr>
          <w:rFonts w:hint="eastAsia"/>
          <w:color w:val="auto"/>
          <w:spacing w:val="4"/>
        </w:rPr>
        <w:t>月</w:t>
      </w:r>
      <w:r>
        <w:rPr>
          <w:rFonts w:hint="eastAsia"/>
          <w:color w:val="auto"/>
          <w:spacing w:val="4"/>
          <w:u w:val="single"/>
        </w:rPr>
        <w:t xml:space="preserve">  </w:t>
      </w:r>
      <w:r>
        <w:rPr>
          <w:rFonts w:hint="eastAsia"/>
          <w:color w:val="auto"/>
          <w:spacing w:val="4"/>
        </w:rPr>
        <w:t xml:space="preserve"> </w:t>
      </w:r>
      <w:r>
        <w:rPr>
          <w:rFonts w:hint="eastAsia"/>
          <w:color w:val="auto"/>
          <w:spacing w:val="2"/>
        </w:rPr>
        <w:t>日</w:t>
      </w:r>
    </w:p>
    <w:p w14:paraId="488E66FC">
      <w:pPr>
        <w:pStyle w:val="3"/>
        <w:pageBreakBefore w:val="0"/>
        <w:numPr>
          <w:ilvl w:val="0"/>
          <w:numId w:val="5"/>
        </w:numPr>
        <w:wordWrap w:val="0"/>
        <w:overflowPunct/>
        <w:bidi w:val="0"/>
        <w:ind w:firstLine="560"/>
        <w:rPr>
          <w:color w:val="auto"/>
          <w:sz w:val="28"/>
          <w:szCs w:val="28"/>
        </w:rPr>
      </w:pPr>
      <w:bookmarkStart w:id="44" w:name="_Toc53"/>
      <w:bookmarkEnd w:id="44"/>
      <w:bookmarkStart w:id="45" w:name="_Toc32533"/>
      <w:bookmarkEnd w:id="45"/>
      <w:r>
        <w:rPr>
          <w:rFonts w:hint="eastAsia"/>
          <w:b w:val="0"/>
          <w:color w:val="auto"/>
          <w:sz w:val="28"/>
          <w:szCs w:val="28"/>
        </w:rPr>
        <w:br w:type="page"/>
      </w:r>
      <w:bookmarkStart w:id="46" w:name="_Toc18779"/>
      <w:r>
        <w:rPr>
          <w:rFonts w:hint="eastAsia"/>
          <w:color w:val="auto"/>
          <w:sz w:val="28"/>
          <w:szCs w:val="28"/>
        </w:rPr>
        <w:t>资格证明文件</w:t>
      </w:r>
      <w:bookmarkEnd w:id="46"/>
    </w:p>
    <w:p w14:paraId="789F8FA9">
      <w:pPr>
        <w:pStyle w:val="3"/>
        <w:pageBreakBefore w:val="0"/>
        <w:wordWrap w:val="0"/>
        <w:overflowPunct/>
        <w:bidi w:val="0"/>
        <w:ind w:firstLine="562"/>
        <w:jc w:val="center"/>
        <w:rPr>
          <w:color w:val="auto"/>
          <w:sz w:val="28"/>
          <w:szCs w:val="28"/>
        </w:rPr>
      </w:pPr>
      <w:bookmarkStart w:id="47" w:name="_Toc220"/>
      <w:r>
        <w:rPr>
          <w:rFonts w:hint="eastAsia"/>
          <w:color w:val="auto"/>
          <w:sz w:val="28"/>
          <w:szCs w:val="28"/>
        </w:rPr>
        <w:t>2.1投 标 函</w:t>
      </w:r>
      <w:bookmarkEnd w:id="47"/>
    </w:p>
    <w:p w14:paraId="1CC9BC9F">
      <w:pPr>
        <w:pageBreakBefore w:val="0"/>
        <w:wordWrap w:val="0"/>
        <w:overflowPunct/>
        <w:bidi w:val="0"/>
        <w:adjustRightInd/>
        <w:snapToGrid/>
        <w:ind w:firstLine="422"/>
        <w:rPr>
          <w:color w:val="auto"/>
        </w:rPr>
      </w:pPr>
      <w:r>
        <w:rPr>
          <w:rFonts w:hint="eastAsia"/>
          <w:b/>
          <w:color w:val="auto"/>
        </w:rPr>
        <w:t>致</w:t>
      </w:r>
      <w:r>
        <w:rPr>
          <w:rFonts w:hint="eastAsia"/>
          <w:b/>
          <w:bCs/>
          <w:color w:val="auto"/>
        </w:rPr>
        <w:t>云南省消防救援总队</w:t>
      </w:r>
      <w:r>
        <w:rPr>
          <w:rFonts w:hint="eastAsia"/>
          <w:b/>
          <w:color w:val="auto"/>
        </w:rPr>
        <w:t>：</w:t>
      </w:r>
    </w:p>
    <w:p w14:paraId="2C0FDE4F">
      <w:pPr>
        <w:pageBreakBefore w:val="0"/>
        <w:wordWrap w:val="0"/>
        <w:overflowPunct/>
        <w:bidi w:val="0"/>
        <w:rPr>
          <w:color w:val="auto"/>
        </w:rPr>
      </w:pPr>
      <w:r>
        <w:rPr>
          <w:rFonts w:hint="eastAsia"/>
          <w:color w:val="auto"/>
        </w:rPr>
        <w:t>根据贵单位“</w:t>
      </w:r>
      <w:r>
        <w:rPr>
          <w:rFonts w:hint="eastAsia"/>
          <w:color w:val="auto"/>
          <w:lang w:eastAsia="zh-CN"/>
        </w:rPr>
        <w:t>云南省消防救援总队2023年“自然灾害应急能力提升工程”装备配备项目（车辆部分）第一批次（二次招标）</w:t>
      </w:r>
      <w:r>
        <w:rPr>
          <w:rFonts w:hint="eastAsia"/>
          <w:color w:val="auto"/>
        </w:rPr>
        <w:t>”的招标文件。我单位（公司）决定参加投标，现根据贵公司招标文件要求；提交投标文件一套（正本壹份，副本贰份及电子文档贰份）；我单位（或公司）同意以下事项：</w:t>
      </w:r>
    </w:p>
    <w:p w14:paraId="31B6916F">
      <w:pPr>
        <w:pageBreakBefore w:val="0"/>
        <w:wordWrap w:val="0"/>
        <w:overflowPunct/>
        <w:bidi w:val="0"/>
        <w:rPr>
          <w:color w:val="auto"/>
        </w:rPr>
      </w:pPr>
      <w:r>
        <w:rPr>
          <w:rFonts w:hint="eastAsia"/>
          <w:color w:val="auto"/>
        </w:rPr>
        <w:t>1、我单位愿意以开标一览表中的投标报价承担招标文件规定的全部内容并按合同约定承担相关义务。</w:t>
      </w:r>
    </w:p>
    <w:p w14:paraId="0459FFE3">
      <w:pPr>
        <w:pageBreakBefore w:val="0"/>
        <w:wordWrap w:val="0"/>
        <w:overflowPunct/>
        <w:bidi w:val="0"/>
        <w:ind w:firstLine="422"/>
        <w:rPr>
          <w:b/>
          <w:bCs/>
          <w:color w:val="auto"/>
        </w:rPr>
      </w:pPr>
      <w:r>
        <w:rPr>
          <w:rFonts w:hint="eastAsia"/>
          <w:b/>
          <w:bCs/>
          <w:color w:val="auto"/>
        </w:rPr>
        <w:t>2、交货期承诺：</w:t>
      </w:r>
      <w:r>
        <w:rPr>
          <w:rFonts w:hint="eastAsia"/>
          <w:color w:val="auto"/>
        </w:rPr>
        <w:t>自合同签订之日起</w:t>
      </w:r>
      <w:r>
        <w:rPr>
          <w:rFonts w:hint="eastAsia"/>
          <w:color w:val="auto"/>
          <w:u w:val="single"/>
        </w:rPr>
        <w:t xml:space="preserve">    </w:t>
      </w:r>
      <w:r>
        <w:rPr>
          <w:rFonts w:hint="eastAsia"/>
          <w:color w:val="auto"/>
        </w:rPr>
        <w:t>日历天内交付，根据实际情况进行验收。</w:t>
      </w:r>
    </w:p>
    <w:p w14:paraId="7E09B484">
      <w:pPr>
        <w:pageBreakBefore w:val="0"/>
        <w:wordWrap w:val="0"/>
        <w:overflowPunct/>
        <w:bidi w:val="0"/>
        <w:ind w:firstLine="422"/>
        <w:rPr>
          <w:b/>
          <w:bCs/>
          <w:color w:val="auto"/>
        </w:rPr>
      </w:pPr>
      <w:r>
        <w:rPr>
          <w:rFonts w:hint="eastAsia"/>
          <w:b/>
          <w:bCs/>
          <w:color w:val="auto"/>
        </w:rPr>
        <w:t>3、质量承诺：</w:t>
      </w:r>
      <w:r>
        <w:rPr>
          <w:rFonts w:hint="eastAsia"/>
          <w:color w:val="auto"/>
        </w:rPr>
        <w:t>符合国家行业相关标准和合同约定的相关要求，满足招标文件及招标人技术需求</w:t>
      </w:r>
    </w:p>
    <w:p w14:paraId="5A4E23D3">
      <w:pPr>
        <w:pageBreakBefore w:val="0"/>
        <w:wordWrap w:val="0"/>
        <w:overflowPunct/>
        <w:bidi w:val="0"/>
        <w:rPr>
          <w:color w:val="auto"/>
        </w:rPr>
      </w:pPr>
      <w:r>
        <w:rPr>
          <w:rFonts w:hint="eastAsia"/>
          <w:color w:val="auto"/>
        </w:rPr>
        <w:t>4、遵守招标文件的各项条款及一切有关规定。</w:t>
      </w:r>
    </w:p>
    <w:p w14:paraId="00938213">
      <w:pPr>
        <w:pageBreakBefore w:val="0"/>
        <w:wordWrap w:val="0"/>
        <w:overflowPunct/>
        <w:bidi w:val="0"/>
        <w:rPr>
          <w:color w:val="auto"/>
        </w:rPr>
      </w:pPr>
      <w:r>
        <w:rPr>
          <w:rFonts w:hint="eastAsia"/>
          <w:color w:val="auto"/>
        </w:rPr>
        <w:t>5、向贵方提供的所有数据、情况和技术资料真实有效。</w:t>
      </w:r>
    </w:p>
    <w:p w14:paraId="6D120B5F">
      <w:pPr>
        <w:pageBreakBefore w:val="0"/>
        <w:wordWrap w:val="0"/>
        <w:overflowPunct/>
        <w:bidi w:val="0"/>
        <w:rPr>
          <w:color w:val="auto"/>
        </w:rPr>
      </w:pPr>
      <w:r>
        <w:rPr>
          <w:rFonts w:hint="eastAsia"/>
          <w:color w:val="auto"/>
        </w:rPr>
        <w:t>6、如我方被接受，我方将按招标文件的规定履行合同责任和义务，保证按合同要求完成工作。</w:t>
      </w:r>
    </w:p>
    <w:p w14:paraId="7819B51B">
      <w:pPr>
        <w:pageBreakBefore w:val="0"/>
        <w:wordWrap w:val="0"/>
        <w:overflowPunct/>
        <w:bidi w:val="0"/>
        <w:rPr>
          <w:color w:val="auto"/>
        </w:rPr>
      </w:pPr>
      <w:r>
        <w:rPr>
          <w:rFonts w:hint="eastAsia"/>
          <w:color w:val="auto"/>
        </w:rPr>
        <w:t>7、本投标文件自贵方收到之日起生效，有效期至截止递交投标文件后90个日历天，在此期间本投标文件之规定对我方具有约束力。</w:t>
      </w:r>
    </w:p>
    <w:p w14:paraId="13FD221F">
      <w:pPr>
        <w:pageBreakBefore w:val="0"/>
        <w:wordWrap w:val="0"/>
        <w:overflowPunct/>
        <w:bidi w:val="0"/>
        <w:rPr>
          <w:color w:val="auto"/>
        </w:rPr>
      </w:pPr>
      <w:r>
        <w:rPr>
          <w:rFonts w:hint="eastAsia"/>
          <w:color w:val="auto"/>
        </w:rPr>
        <w:t>8、如果我方被接受，则至合同履行完成为止，本投标文件保持有效。</w:t>
      </w:r>
    </w:p>
    <w:p w14:paraId="086F4FB9">
      <w:pPr>
        <w:pageBreakBefore w:val="0"/>
        <w:wordWrap w:val="0"/>
        <w:overflowPunct/>
        <w:bidi w:val="0"/>
        <w:adjustRightInd/>
        <w:snapToGrid/>
        <w:ind w:firstLine="480"/>
        <w:rPr>
          <w:color w:val="auto"/>
          <w:sz w:val="24"/>
        </w:rPr>
      </w:pPr>
    </w:p>
    <w:p w14:paraId="396F7701">
      <w:pPr>
        <w:pageBreakBefore w:val="0"/>
        <w:wordWrap w:val="0"/>
        <w:overflowPunct/>
        <w:bidi w:val="0"/>
        <w:rPr>
          <w:color w:val="auto"/>
        </w:rPr>
      </w:pPr>
      <w:r>
        <w:rPr>
          <w:rFonts w:hint="eastAsia"/>
          <w:color w:val="auto"/>
        </w:rPr>
        <w:t>投标人名称（盖公章）：</w:t>
      </w:r>
    </w:p>
    <w:p w14:paraId="0C4E94CE">
      <w:pPr>
        <w:pageBreakBefore w:val="0"/>
        <w:wordWrap w:val="0"/>
        <w:overflowPunct/>
        <w:bidi w:val="0"/>
        <w:rPr>
          <w:color w:val="auto"/>
        </w:rPr>
      </w:pPr>
      <w:r>
        <w:rPr>
          <w:rFonts w:hint="eastAsia"/>
          <w:color w:val="auto"/>
        </w:rPr>
        <w:t>地  址</w:t>
      </w:r>
      <w:r>
        <w:rPr>
          <w:rFonts w:hint="eastAsia"/>
          <w:color w:val="auto"/>
        </w:rPr>
        <w:tab/>
      </w:r>
      <w:r>
        <w:rPr>
          <w:rFonts w:hint="eastAsia"/>
          <w:color w:val="auto"/>
        </w:rPr>
        <w:t>：</w:t>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电  话：</w:t>
      </w:r>
    </w:p>
    <w:p w14:paraId="1E599D46">
      <w:pPr>
        <w:pageBreakBefore w:val="0"/>
        <w:wordWrap w:val="0"/>
        <w:overflowPunct/>
        <w:bidi w:val="0"/>
        <w:rPr>
          <w:color w:val="auto"/>
        </w:rPr>
      </w:pPr>
      <w:r>
        <w:rPr>
          <w:rFonts w:hint="eastAsia"/>
          <w:color w:val="auto"/>
        </w:rPr>
        <w:t>邮  编：</w:t>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传  真：</w:t>
      </w:r>
    </w:p>
    <w:p w14:paraId="124416D7">
      <w:pPr>
        <w:pageBreakBefore w:val="0"/>
        <w:wordWrap w:val="0"/>
        <w:overflowPunct/>
        <w:bidi w:val="0"/>
        <w:rPr>
          <w:color w:val="auto"/>
        </w:rPr>
      </w:pPr>
      <w:r>
        <w:rPr>
          <w:rFonts w:hint="eastAsia"/>
          <w:color w:val="auto"/>
        </w:rPr>
        <w:t>法定代表人或其授权代理人（签字或盖章）：</w:t>
      </w:r>
      <w:r>
        <w:rPr>
          <w:rFonts w:hint="eastAsia"/>
          <w:color w:val="auto"/>
        </w:rPr>
        <w:tab/>
      </w:r>
      <w:r>
        <w:rPr>
          <w:rFonts w:hint="eastAsia"/>
          <w:color w:val="auto"/>
        </w:rPr>
        <w:t xml:space="preserve">   </w:t>
      </w:r>
      <w:r>
        <w:rPr>
          <w:rFonts w:hint="eastAsia"/>
          <w:color w:val="auto"/>
        </w:rPr>
        <w:tab/>
      </w:r>
      <w:r>
        <w:rPr>
          <w:rFonts w:hint="eastAsia"/>
          <w:color w:val="auto"/>
        </w:rPr>
        <w:t xml:space="preserve">   </w:t>
      </w:r>
    </w:p>
    <w:p w14:paraId="69C79D2D">
      <w:pPr>
        <w:pageBreakBefore w:val="0"/>
        <w:wordWrap w:val="0"/>
        <w:overflowPunct/>
        <w:bidi w:val="0"/>
        <w:rPr>
          <w:color w:val="auto"/>
        </w:rPr>
      </w:pPr>
      <w:r>
        <w:rPr>
          <w:rFonts w:hint="eastAsia"/>
          <w:color w:val="auto"/>
        </w:rPr>
        <w:t>日  期：   年   月  日</w:t>
      </w:r>
    </w:p>
    <w:p w14:paraId="19BAEDCD">
      <w:pPr>
        <w:pageBreakBefore w:val="0"/>
        <w:wordWrap w:val="0"/>
        <w:overflowPunct/>
        <w:bidi w:val="0"/>
        <w:adjustRightInd/>
        <w:snapToGrid/>
        <w:ind w:firstLine="480"/>
        <w:rPr>
          <w:color w:val="auto"/>
          <w:sz w:val="24"/>
        </w:rPr>
      </w:pPr>
      <w:r>
        <w:rPr>
          <w:rFonts w:hint="eastAsia"/>
          <w:color w:val="auto"/>
          <w:sz w:val="24"/>
        </w:rPr>
        <w:br w:type="page"/>
      </w:r>
    </w:p>
    <w:p w14:paraId="23BB5806">
      <w:pPr>
        <w:pStyle w:val="3"/>
        <w:pageBreakBefore w:val="0"/>
        <w:wordWrap w:val="0"/>
        <w:overflowPunct/>
        <w:bidi w:val="0"/>
        <w:ind w:firstLine="562"/>
        <w:jc w:val="center"/>
        <w:rPr>
          <w:color w:val="auto"/>
          <w:sz w:val="28"/>
          <w:szCs w:val="28"/>
        </w:rPr>
      </w:pPr>
      <w:bookmarkStart w:id="48" w:name="_Toc4999"/>
      <w:r>
        <w:rPr>
          <w:rFonts w:hint="eastAsia"/>
          <w:color w:val="auto"/>
          <w:sz w:val="28"/>
          <w:szCs w:val="28"/>
        </w:rPr>
        <w:t>2.2投标保证金缴纳凭证复印件</w:t>
      </w:r>
      <w:bookmarkEnd w:id="48"/>
    </w:p>
    <w:p w14:paraId="2F053420">
      <w:pPr>
        <w:pageBreakBefore w:val="0"/>
        <w:wordWrap w:val="0"/>
        <w:overflowPunct/>
        <w:bidi w:val="0"/>
        <w:adjustRightInd/>
        <w:snapToGrid/>
        <w:ind w:firstLine="560"/>
        <w:rPr>
          <w:color w:val="auto"/>
          <w:sz w:val="28"/>
          <w:szCs w:val="28"/>
        </w:rPr>
      </w:pPr>
      <w:r>
        <w:rPr>
          <w:rFonts w:hint="eastAsia"/>
          <w:color w:val="auto"/>
          <w:sz w:val="28"/>
          <w:szCs w:val="28"/>
        </w:rPr>
        <w:br w:type="page"/>
      </w:r>
    </w:p>
    <w:p w14:paraId="00A29408">
      <w:pPr>
        <w:pStyle w:val="3"/>
        <w:pageBreakBefore w:val="0"/>
        <w:wordWrap w:val="0"/>
        <w:overflowPunct/>
        <w:bidi w:val="0"/>
        <w:ind w:firstLine="562"/>
        <w:jc w:val="center"/>
        <w:rPr>
          <w:color w:val="auto"/>
          <w:sz w:val="28"/>
          <w:szCs w:val="28"/>
        </w:rPr>
      </w:pPr>
      <w:bookmarkStart w:id="49" w:name="_Toc25264"/>
      <w:r>
        <w:rPr>
          <w:rFonts w:hint="eastAsia"/>
          <w:color w:val="auto"/>
          <w:sz w:val="28"/>
          <w:szCs w:val="28"/>
        </w:rPr>
        <w:t>2.3投标人情况表</w:t>
      </w:r>
      <w:bookmarkEnd w:id="49"/>
    </w:p>
    <w:tbl>
      <w:tblPr>
        <w:tblStyle w:val="26"/>
        <w:tblW w:w="8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3944"/>
        <w:gridCol w:w="4331"/>
      </w:tblGrid>
      <w:tr w14:paraId="54F8B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544" w:type="dxa"/>
            <w:vAlign w:val="center"/>
          </w:tcPr>
          <w:p w14:paraId="0508E6F1">
            <w:pPr>
              <w:pageBreakBefore w:val="0"/>
              <w:wordWrap w:val="0"/>
              <w:overflowPunct/>
              <w:bidi w:val="0"/>
              <w:ind w:firstLine="0" w:firstLineChars="0"/>
              <w:jc w:val="center"/>
              <w:rPr>
                <w:color w:val="auto"/>
              </w:rPr>
            </w:pPr>
            <w:r>
              <w:rPr>
                <w:rFonts w:hint="eastAsia"/>
                <w:color w:val="auto"/>
              </w:rPr>
              <w:t>1</w:t>
            </w:r>
          </w:p>
        </w:tc>
        <w:tc>
          <w:tcPr>
            <w:tcW w:w="8275" w:type="dxa"/>
            <w:gridSpan w:val="2"/>
            <w:vAlign w:val="center"/>
          </w:tcPr>
          <w:p w14:paraId="5804450E">
            <w:pPr>
              <w:pageBreakBefore w:val="0"/>
              <w:kinsoku w:val="0"/>
              <w:wordWrap w:val="0"/>
              <w:overflowPunct/>
              <w:autoSpaceDE w:val="0"/>
              <w:autoSpaceDN w:val="0"/>
              <w:bidi w:val="0"/>
              <w:ind w:firstLine="0" w:firstLineChars="0"/>
              <w:rPr>
                <w:color w:val="auto"/>
              </w:rPr>
            </w:pPr>
            <w:r>
              <w:rPr>
                <w:rFonts w:hint="eastAsia"/>
                <w:color w:val="auto"/>
              </w:rPr>
              <w:t>企业名称</w:t>
            </w:r>
          </w:p>
        </w:tc>
      </w:tr>
      <w:tr w14:paraId="5E357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44" w:type="dxa"/>
            <w:vAlign w:val="center"/>
          </w:tcPr>
          <w:p w14:paraId="222A5437">
            <w:pPr>
              <w:pageBreakBefore w:val="0"/>
              <w:wordWrap w:val="0"/>
              <w:overflowPunct/>
              <w:bidi w:val="0"/>
              <w:ind w:firstLine="0" w:firstLineChars="0"/>
              <w:jc w:val="center"/>
              <w:rPr>
                <w:color w:val="auto"/>
              </w:rPr>
            </w:pPr>
            <w:r>
              <w:rPr>
                <w:rFonts w:hint="eastAsia"/>
                <w:color w:val="auto"/>
              </w:rPr>
              <w:t>2</w:t>
            </w:r>
          </w:p>
        </w:tc>
        <w:tc>
          <w:tcPr>
            <w:tcW w:w="8275" w:type="dxa"/>
            <w:gridSpan w:val="2"/>
            <w:vAlign w:val="center"/>
          </w:tcPr>
          <w:p w14:paraId="0EB39EE1">
            <w:pPr>
              <w:pageBreakBefore w:val="0"/>
              <w:kinsoku w:val="0"/>
              <w:wordWrap w:val="0"/>
              <w:overflowPunct/>
              <w:autoSpaceDE w:val="0"/>
              <w:autoSpaceDN w:val="0"/>
              <w:bidi w:val="0"/>
              <w:ind w:firstLine="0" w:firstLineChars="0"/>
              <w:rPr>
                <w:color w:val="auto"/>
              </w:rPr>
            </w:pPr>
            <w:r>
              <w:rPr>
                <w:rFonts w:hint="eastAsia"/>
                <w:color w:val="auto"/>
              </w:rPr>
              <w:t>总部地址</w:t>
            </w:r>
          </w:p>
        </w:tc>
      </w:tr>
      <w:tr w14:paraId="0A825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44" w:type="dxa"/>
            <w:vAlign w:val="center"/>
          </w:tcPr>
          <w:p w14:paraId="4B102016">
            <w:pPr>
              <w:pageBreakBefore w:val="0"/>
              <w:wordWrap w:val="0"/>
              <w:overflowPunct/>
              <w:bidi w:val="0"/>
              <w:ind w:firstLine="0" w:firstLineChars="0"/>
              <w:jc w:val="center"/>
              <w:rPr>
                <w:color w:val="auto"/>
              </w:rPr>
            </w:pPr>
            <w:r>
              <w:rPr>
                <w:rFonts w:hint="eastAsia"/>
                <w:color w:val="auto"/>
              </w:rPr>
              <w:t>3</w:t>
            </w:r>
          </w:p>
        </w:tc>
        <w:tc>
          <w:tcPr>
            <w:tcW w:w="8275" w:type="dxa"/>
            <w:gridSpan w:val="2"/>
            <w:vAlign w:val="center"/>
          </w:tcPr>
          <w:p w14:paraId="4E86502A">
            <w:pPr>
              <w:pageBreakBefore w:val="0"/>
              <w:kinsoku w:val="0"/>
              <w:wordWrap w:val="0"/>
              <w:overflowPunct/>
              <w:autoSpaceDE w:val="0"/>
              <w:autoSpaceDN w:val="0"/>
              <w:bidi w:val="0"/>
              <w:ind w:firstLine="0" w:firstLineChars="0"/>
              <w:rPr>
                <w:color w:val="auto"/>
              </w:rPr>
            </w:pPr>
            <w:r>
              <w:rPr>
                <w:rFonts w:hint="eastAsia"/>
                <w:color w:val="auto"/>
              </w:rPr>
              <w:t>当地代表处地址</w:t>
            </w:r>
          </w:p>
        </w:tc>
      </w:tr>
      <w:tr w14:paraId="23FD2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544" w:type="dxa"/>
            <w:vAlign w:val="center"/>
          </w:tcPr>
          <w:p w14:paraId="4943CF35">
            <w:pPr>
              <w:pageBreakBefore w:val="0"/>
              <w:wordWrap w:val="0"/>
              <w:overflowPunct/>
              <w:bidi w:val="0"/>
              <w:ind w:firstLine="0" w:firstLineChars="0"/>
              <w:jc w:val="center"/>
              <w:rPr>
                <w:color w:val="auto"/>
              </w:rPr>
            </w:pPr>
            <w:r>
              <w:rPr>
                <w:rFonts w:hint="eastAsia"/>
                <w:color w:val="auto"/>
              </w:rPr>
              <w:t>4</w:t>
            </w:r>
          </w:p>
        </w:tc>
        <w:tc>
          <w:tcPr>
            <w:tcW w:w="3944" w:type="dxa"/>
            <w:vAlign w:val="center"/>
          </w:tcPr>
          <w:p w14:paraId="53387E71">
            <w:pPr>
              <w:pageBreakBefore w:val="0"/>
              <w:kinsoku w:val="0"/>
              <w:wordWrap w:val="0"/>
              <w:overflowPunct/>
              <w:autoSpaceDE w:val="0"/>
              <w:autoSpaceDN w:val="0"/>
              <w:bidi w:val="0"/>
              <w:ind w:firstLine="0" w:firstLineChars="0"/>
              <w:rPr>
                <w:color w:val="auto"/>
              </w:rPr>
            </w:pPr>
            <w:r>
              <w:rPr>
                <w:rFonts w:hint="eastAsia"/>
                <w:color w:val="auto"/>
              </w:rPr>
              <w:t>电话</w:t>
            </w:r>
          </w:p>
        </w:tc>
        <w:tc>
          <w:tcPr>
            <w:tcW w:w="4331" w:type="dxa"/>
            <w:vAlign w:val="center"/>
          </w:tcPr>
          <w:p w14:paraId="27A6F6DF">
            <w:pPr>
              <w:pageBreakBefore w:val="0"/>
              <w:kinsoku w:val="0"/>
              <w:wordWrap w:val="0"/>
              <w:overflowPunct/>
              <w:autoSpaceDE w:val="0"/>
              <w:autoSpaceDN w:val="0"/>
              <w:bidi w:val="0"/>
              <w:ind w:firstLine="0" w:firstLineChars="0"/>
              <w:rPr>
                <w:color w:val="auto"/>
              </w:rPr>
            </w:pPr>
            <w:r>
              <w:rPr>
                <w:rFonts w:hint="eastAsia"/>
                <w:color w:val="auto"/>
              </w:rPr>
              <w:t>联系人</w:t>
            </w:r>
          </w:p>
        </w:tc>
      </w:tr>
      <w:tr w14:paraId="15EF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544" w:type="dxa"/>
            <w:vAlign w:val="center"/>
          </w:tcPr>
          <w:p w14:paraId="69BF6DA9">
            <w:pPr>
              <w:pageBreakBefore w:val="0"/>
              <w:wordWrap w:val="0"/>
              <w:overflowPunct/>
              <w:bidi w:val="0"/>
              <w:ind w:firstLine="0" w:firstLineChars="0"/>
              <w:jc w:val="center"/>
              <w:rPr>
                <w:color w:val="auto"/>
              </w:rPr>
            </w:pPr>
            <w:r>
              <w:rPr>
                <w:rFonts w:hint="eastAsia"/>
                <w:color w:val="auto"/>
              </w:rPr>
              <w:t>5</w:t>
            </w:r>
          </w:p>
        </w:tc>
        <w:tc>
          <w:tcPr>
            <w:tcW w:w="3944" w:type="dxa"/>
            <w:vAlign w:val="center"/>
          </w:tcPr>
          <w:p w14:paraId="063840E2">
            <w:pPr>
              <w:pageBreakBefore w:val="0"/>
              <w:kinsoku w:val="0"/>
              <w:wordWrap w:val="0"/>
              <w:overflowPunct/>
              <w:autoSpaceDE w:val="0"/>
              <w:autoSpaceDN w:val="0"/>
              <w:bidi w:val="0"/>
              <w:ind w:firstLine="0" w:firstLineChars="0"/>
              <w:rPr>
                <w:color w:val="auto"/>
              </w:rPr>
            </w:pPr>
            <w:r>
              <w:rPr>
                <w:rFonts w:hint="eastAsia"/>
                <w:color w:val="auto"/>
              </w:rPr>
              <w:t>传真</w:t>
            </w:r>
          </w:p>
        </w:tc>
        <w:tc>
          <w:tcPr>
            <w:tcW w:w="4331" w:type="dxa"/>
            <w:vAlign w:val="center"/>
          </w:tcPr>
          <w:p w14:paraId="0AB8B459">
            <w:pPr>
              <w:pageBreakBefore w:val="0"/>
              <w:kinsoku w:val="0"/>
              <w:wordWrap w:val="0"/>
              <w:overflowPunct/>
              <w:autoSpaceDE w:val="0"/>
              <w:autoSpaceDN w:val="0"/>
              <w:bidi w:val="0"/>
              <w:ind w:firstLine="0" w:firstLineChars="0"/>
              <w:rPr>
                <w:color w:val="auto"/>
              </w:rPr>
            </w:pPr>
            <w:r>
              <w:rPr>
                <w:rFonts w:hint="eastAsia"/>
                <w:color w:val="auto"/>
              </w:rPr>
              <w:t>电子邮箱</w:t>
            </w:r>
          </w:p>
        </w:tc>
      </w:tr>
      <w:tr w14:paraId="54249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544" w:type="dxa"/>
            <w:vAlign w:val="center"/>
          </w:tcPr>
          <w:p w14:paraId="2A6103DA">
            <w:pPr>
              <w:pageBreakBefore w:val="0"/>
              <w:wordWrap w:val="0"/>
              <w:overflowPunct/>
              <w:bidi w:val="0"/>
              <w:ind w:firstLine="0" w:firstLineChars="0"/>
              <w:jc w:val="center"/>
              <w:rPr>
                <w:color w:val="auto"/>
              </w:rPr>
            </w:pPr>
            <w:r>
              <w:rPr>
                <w:rFonts w:hint="eastAsia"/>
                <w:color w:val="auto"/>
              </w:rPr>
              <w:t>6</w:t>
            </w:r>
          </w:p>
        </w:tc>
        <w:tc>
          <w:tcPr>
            <w:tcW w:w="3944" w:type="dxa"/>
            <w:vAlign w:val="center"/>
          </w:tcPr>
          <w:p w14:paraId="787FD74A">
            <w:pPr>
              <w:pageBreakBefore w:val="0"/>
              <w:kinsoku w:val="0"/>
              <w:wordWrap w:val="0"/>
              <w:overflowPunct/>
              <w:autoSpaceDE w:val="0"/>
              <w:autoSpaceDN w:val="0"/>
              <w:bidi w:val="0"/>
              <w:ind w:firstLine="0" w:firstLineChars="0"/>
              <w:rPr>
                <w:color w:val="auto"/>
              </w:rPr>
            </w:pPr>
            <w:r>
              <w:rPr>
                <w:rFonts w:hint="eastAsia"/>
                <w:color w:val="auto"/>
              </w:rPr>
              <w:t>注册地</w:t>
            </w:r>
          </w:p>
        </w:tc>
        <w:tc>
          <w:tcPr>
            <w:tcW w:w="4331" w:type="dxa"/>
            <w:vAlign w:val="center"/>
          </w:tcPr>
          <w:p w14:paraId="71B0AF5F">
            <w:pPr>
              <w:pageBreakBefore w:val="0"/>
              <w:kinsoku w:val="0"/>
              <w:wordWrap w:val="0"/>
              <w:overflowPunct/>
              <w:autoSpaceDE w:val="0"/>
              <w:autoSpaceDN w:val="0"/>
              <w:bidi w:val="0"/>
              <w:ind w:firstLine="0" w:firstLineChars="0"/>
              <w:rPr>
                <w:color w:val="auto"/>
              </w:rPr>
            </w:pPr>
            <w:r>
              <w:rPr>
                <w:rFonts w:hint="eastAsia"/>
                <w:color w:val="auto"/>
              </w:rPr>
              <w:t>注册年份（请附营业执照复印件）</w:t>
            </w:r>
          </w:p>
        </w:tc>
      </w:tr>
      <w:tr w14:paraId="34E3C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44" w:type="dxa"/>
            <w:vAlign w:val="center"/>
          </w:tcPr>
          <w:p w14:paraId="5180DA67">
            <w:pPr>
              <w:pageBreakBefore w:val="0"/>
              <w:wordWrap w:val="0"/>
              <w:overflowPunct/>
              <w:bidi w:val="0"/>
              <w:ind w:firstLine="0" w:firstLineChars="0"/>
              <w:jc w:val="center"/>
              <w:rPr>
                <w:color w:val="auto"/>
              </w:rPr>
            </w:pPr>
            <w:r>
              <w:rPr>
                <w:rFonts w:hint="eastAsia"/>
                <w:color w:val="auto"/>
              </w:rPr>
              <w:t>7</w:t>
            </w:r>
          </w:p>
        </w:tc>
        <w:tc>
          <w:tcPr>
            <w:tcW w:w="8275" w:type="dxa"/>
            <w:gridSpan w:val="2"/>
            <w:vAlign w:val="center"/>
          </w:tcPr>
          <w:p w14:paraId="7E0FAE76">
            <w:pPr>
              <w:pageBreakBefore w:val="0"/>
              <w:kinsoku w:val="0"/>
              <w:wordWrap w:val="0"/>
              <w:overflowPunct/>
              <w:autoSpaceDE w:val="0"/>
              <w:autoSpaceDN w:val="0"/>
              <w:bidi w:val="0"/>
              <w:ind w:firstLine="0" w:firstLineChars="0"/>
              <w:rPr>
                <w:color w:val="auto"/>
              </w:rPr>
            </w:pPr>
            <w:r>
              <w:rPr>
                <w:rFonts w:hint="eastAsia"/>
                <w:color w:val="auto"/>
              </w:rPr>
              <w:t>公司有关证书            （请附有关证书的复印件，如有）</w:t>
            </w:r>
          </w:p>
        </w:tc>
      </w:tr>
      <w:tr w14:paraId="06542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544" w:type="dxa"/>
            <w:vAlign w:val="center"/>
          </w:tcPr>
          <w:p w14:paraId="53144FD0">
            <w:pPr>
              <w:pageBreakBefore w:val="0"/>
              <w:wordWrap w:val="0"/>
              <w:overflowPunct/>
              <w:bidi w:val="0"/>
              <w:ind w:firstLine="0" w:firstLineChars="0"/>
              <w:jc w:val="center"/>
              <w:rPr>
                <w:color w:val="auto"/>
              </w:rPr>
            </w:pPr>
            <w:r>
              <w:rPr>
                <w:rFonts w:hint="eastAsia"/>
                <w:color w:val="auto"/>
              </w:rPr>
              <w:t>8</w:t>
            </w:r>
          </w:p>
        </w:tc>
        <w:tc>
          <w:tcPr>
            <w:tcW w:w="8275" w:type="dxa"/>
            <w:gridSpan w:val="2"/>
            <w:vAlign w:val="center"/>
          </w:tcPr>
          <w:p w14:paraId="52413A76">
            <w:pPr>
              <w:pageBreakBefore w:val="0"/>
              <w:kinsoku w:val="0"/>
              <w:wordWrap w:val="0"/>
              <w:overflowPunct/>
              <w:autoSpaceDE w:val="0"/>
              <w:autoSpaceDN w:val="0"/>
              <w:bidi w:val="0"/>
              <w:ind w:firstLine="0" w:firstLineChars="0"/>
              <w:rPr>
                <w:color w:val="auto"/>
              </w:rPr>
            </w:pPr>
            <w:r>
              <w:rPr>
                <w:rFonts w:hint="eastAsia"/>
                <w:color w:val="auto"/>
              </w:rPr>
              <w:t>公司（是否通过，何种） 质量保证体系认证（如通过请附相关证书复印件）</w:t>
            </w:r>
          </w:p>
        </w:tc>
      </w:tr>
      <w:tr w14:paraId="0F8A1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544" w:type="dxa"/>
            <w:vAlign w:val="center"/>
          </w:tcPr>
          <w:p w14:paraId="6A99DDAF">
            <w:pPr>
              <w:pageBreakBefore w:val="0"/>
              <w:wordWrap w:val="0"/>
              <w:overflowPunct/>
              <w:bidi w:val="0"/>
              <w:adjustRightInd/>
              <w:snapToGrid/>
              <w:ind w:firstLine="0" w:firstLineChars="0"/>
              <w:jc w:val="center"/>
              <w:rPr>
                <w:color w:val="auto"/>
              </w:rPr>
            </w:pPr>
            <w:r>
              <w:rPr>
                <w:rFonts w:hint="eastAsia"/>
                <w:color w:val="auto"/>
              </w:rPr>
              <w:t>9</w:t>
            </w:r>
          </w:p>
        </w:tc>
        <w:tc>
          <w:tcPr>
            <w:tcW w:w="8275" w:type="dxa"/>
            <w:gridSpan w:val="2"/>
            <w:vAlign w:val="center"/>
          </w:tcPr>
          <w:p w14:paraId="3DC7AC77">
            <w:pPr>
              <w:pageBreakBefore w:val="0"/>
              <w:kinsoku w:val="0"/>
              <w:wordWrap w:val="0"/>
              <w:overflowPunct/>
              <w:autoSpaceDE w:val="0"/>
              <w:autoSpaceDN w:val="0"/>
              <w:bidi w:val="0"/>
              <w:adjustRightInd/>
              <w:snapToGrid/>
              <w:ind w:firstLine="0" w:firstLineChars="0"/>
              <w:rPr>
                <w:color w:val="auto"/>
              </w:rPr>
            </w:pPr>
            <w:r>
              <w:rPr>
                <w:rFonts w:hint="eastAsia"/>
                <w:color w:val="auto"/>
              </w:rPr>
              <w:t>主营范围</w:t>
            </w:r>
          </w:p>
          <w:p w14:paraId="1B12B830">
            <w:pPr>
              <w:pageBreakBefore w:val="0"/>
              <w:kinsoku w:val="0"/>
              <w:wordWrap w:val="0"/>
              <w:overflowPunct/>
              <w:autoSpaceDE w:val="0"/>
              <w:autoSpaceDN w:val="0"/>
              <w:bidi w:val="0"/>
              <w:adjustRightInd/>
              <w:snapToGrid/>
              <w:ind w:firstLine="0" w:firstLineChars="0"/>
              <w:rPr>
                <w:color w:val="auto"/>
              </w:rPr>
            </w:pPr>
            <w:r>
              <w:rPr>
                <w:rFonts w:hint="eastAsia"/>
                <w:color w:val="auto"/>
              </w:rPr>
              <w:t>1.</w:t>
            </w:r>
          </w:p>
          <w:p w14:paraId="0C328653">
            <w:pPr>
              <w:pageBreakBefore w:val="0"/>
              <w:kinsoku w:val="0"/>
              <w:wordWrap w:val="0"/>
              <w:overflowPunct/>
              <w:autoSpaceDE w:val="0"/>
              <w:autoSpaceDN w:val="0"/>
              <w:bidi w:val="0"/>
              <w:adjustRightInd/>
              <w:snapToGrid/>
              <w:ind w:firstLine="0" w:firstLineChars="0"/>
              <w:rPr>
                <w:color w:val="auto"/>
              </w:rPr>
            </w:pPr>
            <w:r>
              <w:rPr>
                <w:rFonts w:hint="eastAsia"/>
                <w:color w:val="auto"/>
              </w:rPr>
              <w:t>2.</w:t>
            </w:r>
          </w:p>
          <w:p w14:paraId="3D754041">
            <w:pPr>
              <w:pageBreakBefore w:val="0"/>
              <w:kinsoku w:val="0"/>
              <w:wordWrap w:val="0"/>
              <w:overflowPunct/>
              <w:autoSpaceDE w:val="0"/>
              <w:autoSpaceDN w:val="0"/>
              <w:bidi w:val="0"/>
              <w:adjustRightInd/>
              <w:snapToGrid/>
              <w:ind w:firstLine="0" w:firstLineChars="0"/>
              <w:rPr>
                <w:color w:val="auto"/>
              </w:rPr>
            </w:pPr>
            <w:r>
              <w:rPr>
                <w:rFonts w:hint="eastAsia"/>
                <w:color w:val="auto"/>
              </w:rPr>
              <w:t>3.</w:t>
            </w:r>
          </w:p>
          <w:p w14:paraId="0C324F23">
            <w:pPr>
              <w:pageBreakBefore w:val="0"/>
              <w:kinsoku w:val="0"/>
              <w:wordWrap w:val="0"/>
              <w:overflowPunct/>
              <w:autoSpaceDE w:val="0"/>
              <w:autoSpaceDN w:val="0"/>
              <w:bidi w:val="0"/>
              <w:adjustRightInd/>
              <w:snapToGrid/>
              <w:ind w:firstLine="0" w:firstLineChars="0"/>
              <w:rPr>
                <w:color w:val="auto"/>
              </w:rPr>
            </w:pPr>
            <w:r>
              <w:rPr>
                <w:rFonts w:hint="eastAsia"/>
                <w:color w:val="auto"/>
              </w:rPr>
              <w:t>……</w:t>
            </w:r>
          </w:p>
        </w:tc>
      </w:tr>
      <w:tr w14:paraId="25BE4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4" w:type="dxa"/>
            <w:vAlign w:val="center"/>
          </w:tcPr>
          <w:p w14:paraId="3BD820B9">
            <w:pPr>
              <w:pageBreakBefore w:val="0"/>
              <w:wordWrap w:val="0"/>
              <w:overflowPunct/>
              <w:bidi w:val="0"/>
              <w:ind w:firstLine="0" w:firstLineChars="0"/>
              <w:jc w:val="center"/>
              <w:rPr>
                <w:color w:val="auto"/>
              </w:rPr>
            </w:pPr>
            <w:r>
              <w:rPr>
                <w:rFonts w:hint="eastAsia"/>
                <w:color w:val="auto"/>
              </w:rPr>
              <w:t>1</w:t>
            </w:r>
          </w:p>
        </w:tc>
        <w:tc>
          <w:tcPr>
            <w:tcW w:w="8275" w:type="dxa"/>
            <w:gridSpan w:val="2"/>
            <w:vAlign w:val="center"/>
          </w:tcPr>
          <w:p w14:paraId="3629890E">
            <w:pPr>
              <w:pageBreakBefore w:val="0"/>
              <w:kinsoku w:val="0"/>
              <w:wordWrap w:val="0"/>
              <w:overflowPunct/>
              <w:autoSpaceDE w:val="0"/>
              <w:autoSpaceDN w:val="0"/>
              <w:bidi w:val="0"/>
              <w:ind w:firstLine="0" w:firstLineChars="0"/>
              <w:rPr>
                <w:color w:val="auto"/>
              </w:rPr>
            </w:pPr>
            <w:r>
              <w:rPr>
                <w:rFonts w:hint="eastAsia"/>
                <w:color w:val="auto"/>
              </w:rPr>
              <w:t>其他要求说明的情况</w:t>
            </w:r>
          </w:p>
        </w:tc>
      </w:tr>
    </w:tbl>
    <w:p w14:paraId="62FC6BC5">
      <w:pPr>
        <w:pageBreakBefore w:val="0"/>
        <w:wordWrap w:val="0"/>
        <w:overflowPunct/>
        <w:bidi w:val="0"/>
        <w:adjustRightInd/>
        <w:snapToGrid/>
        <w:ind w:firstLine="422"/>
        <w:rPr>
          <w:b/>
          <w:color w:val="auto"/>
        </w:rPr>
      </w:pPr>
      <w:r>
        <w:rPr>
          <w:rFonts w:hint="eastAsia"/>
          <w:b/>
          <w:color w:val="auto"/>
        </w:rPr>
        <w:t>后附：投标人有效的营业执照（须提供复印件加盖公章）；</w:t>
      </w:r>
    </w:p>
    <w:p w14:paraId="163A690F">
      <w:pPr>
        <w:pStyle w:val="21"/>
        <w:pageBreakBefore w:val="0"/>
        <w:wordWrap w:val="0"/>
        <w:overflowPunct/>
        <w:bidi w:val="0"/>
        <w:adjustRightInd/>
        <w:snapToGrid/>
        <w:spacing w:before="0" w:beforeAutospacing="0" w:after="0" w:afterAutospacing="0"/>
        <w:ind w:firstLine="480"/>
        <w:rPr>
          <w:color w:val="auto"/>
        </w:rPr>
      </w:pPr>
    </w:p>
    <w:p w14:paraId="658E3BC3">
      <w:pPr>
        <w:pStyle w:val="21"/>
        <w:pageBreakBefore w:val="0"/>
        <w:wordWrap w:val="0"/>
        <w:overflowPunct/>
        <w:bidi w:val="0"/>
        <w:adjustRightInd/>
        <w:snapToGrid/>
        <w:spacing w:before="0" w:beforeAutospacing="0" w:after="0" w:afterAutospacing="0"/>
        <w:ind w:firstLine="480"/>
        <w:rPr>
          <w:color w:val="auto"/>
        </w:rPr>
      </w:pPr>
    </w:p>
    <w:p w14:paraId="0B8572C5">
      <w:pPr>
        <w:pStyle w:val="21"/>
        <w:pageBreakBefore w:val="0"/>
        <w:wordWrap w:val="0"/>
        <w:overflowPunct/>
        <w:bidi w:val="0"/>
        <w:adjustRightInd/>
        <w:snapToGrid/>
        <w:spacing w:before="0" w:beforeAutospacing="0" w:after="0" w:afterAutospacing="0"/>
        <w:jc w:val="right"/>
        <w:rPr>
          <w:color w:val="auto"/>
          <w:sz w:val="21"/>
        </w:rPr>
      </w:pPr>
      <w:r>
        <w:rPr>
          <w:rFonts w:hint="eastAsia"/>
          <w:color w:val="auto"/>
          <w:sz w:val="21"/>
        </w:rPr>
        <w:t>投标人名称（盖公章）：________________________</w:t>
      </w:r>
    </w:p>
    <w:p w14:paraId="44360AD5">
      <w:pPr>
        <w:pageBreakBefore w:val="0"/>
        <w:wordWrap w:val="0"/>
        <w:overflowPunct/>
        <w:bidi w:val="0"/>
        <w:adjustRightInd/>
        <w:snapToGrid/>
        <w:jc w:val="right"/>
        <w:rPr>
          <w:color w:val="auto"/>
        </w:rPr>
      </w:pPr>
      <w:r>
        <w:rPr>
          <w:rFonts w:hint="eastAsia"/>
          <w:color w:val="auto"/>
        </w:rPr>
        <w:t>法定代表人或其授权代理人（签字或盖章）：__________</w:t>
      </w:r>
    </w:p>
    <w:p w14:paraId="7C319598">
      <w:pPr>
        <w:pageBreakBefore w:val="0"/>
        <w:wordWrap w:val="0"/>
        <w:overflowPunct/>
        <w:bidi w:val="0"/>
        <w:adjustRightInd/>
        <w:snapToGrid/>
        <w:jc w:val="right"/>
        <w:rPr>
          <w:color w:val="auto"/>
        </w:rPr>
      </w:pPr>
      <w:r>
        <w:rPr>
          <w:rFonts w:hint="eastAsia"/>
          <w:color w:val="auto"/>
        </w:rPr>
        <w:t>日期：_______年____月_____日</w:t>
      </w:r>
    </w:p>
    <w:p w14:paraId="5AC3C37D">
      <w:pPr>
        <w:pageBreakBefore w:val="0"/>
        <w:wordWrap w:val="0"/>
        <w:overflowPunct/>
        <w:bidi w:val="0"/>
        <w:adjustRightInd/>
        <w:snapToGrid/>
        <w:rPr>
          <w:color w:val="auto"/>
        </w:rPr>
      </w:pPr>
    </w:p>
    <w:p w14:paraId="5B9BEB94">
      <w:pPr>
        <w:pageBreakBefore w:val="0"/>
        <w:wordWrap w:val="0"/>
        <w:overflowPunct/>
        <w:bidi w:val="0"/>
        <w:rPr>
          <w:color w:val="auto"/>
        </w:rPr>
      </w:pPr>
      <w:r>
        <w:rPr>
          <w:rFonts w:hint="eastAsia"/>
          <w:color w:val="auto"/>
        </w:rPr>
        <w:br w:type="page"/>
      </w:r>
    </w:p>
    <w:p w14:paraId="327CC4E2">
      <w:pPr>
        <w:pStyle w:val="3"/>
        <w:pageBreakBefore w:val="0"/>
        <w:wordWrap w:val="0"/>
        <w:overflowPunct/>
        <w:bidi w:val="0"/>
        <w:ind w:firstLine="562"/>
        <w:jc w:val="center"/>
        <w:rPr>
          <w:color w:val="auto"/>
          <w:sz w:val="28"/>
          <w:szCs w:val="28"/>
        </w:rPr>
      </w:pPr>
      <w:bookmarkStart w:id="50" w:name="_Toc1962"/>
      <w:r>
        <w:rPr>
          <w:rFonts w:hint="eastAsia"/>
          <w:color w:val="auto"/>
          <w:sz w:val="28"/>
          <w:szCs w:val="28"/>
        </w:rPr>
        <w:t>2.4法定代表人身份证明书</w:t>
      </w:r>
      <w:bookmarkEnd w:id="50"/>
    </w:p>
    <w:p w14:paraId="131A7112">
      <w:pPr>
        <w:pageBreakBefore w:val="0"/>
        <w:widowControl w:val="0"/>
        <w:wordWrap w:val="0"/>
        <w:overflowPunct/>
        <w:bidi w:val="0"/>
        <w:adjustRightInd/>
        <w:snapToGrid/>
        <w:jc w:val="both"/>
        <w:rPr>
          <w:bCs/>
          <w:color w:val="auto"/>
          <w:kern w:val="2"/>
          <w:u w:val="single"/>
        </w:rPr>
      </w:pPr>
      <w:r>
        <w:rPr>
          <w:rFonts w:hint="eastAsia"/>
          <w:bCs/>
          <w:color w:val="auto"/>
          <w:kern w:val="2"/>
        </w:rPr>
        <w:t>单位名称：</w:t>
      </w:r>
      <w:r>
        <w:rPr>
          <w:rFonts w:hint="eastAsia"/>
          <w:bCs/>
          <w:color w:val="auto"/>
          <w:kern w:val="2"/>
          <w:u w:val="single"/>
        </w:rPr>
        <w:t xml:space="preserve">                         </w:t>
      </w:r>
    </w:p>
    <w:p w14:paraId="6C4E2AE4">
      <w:pPr>
        <w:pageBreakBefore w:val="0"/>
        <w:widowControl w:val="0"/>
        <w:wordWrap w:val="0"/>
        <w:overflowPunct/>
        <w:bidi w:val="0"/>
        <w:adjustRightInd/>
        <w:snapToGrid/>
        <w:jc w:val="both"/>
        <w:rPr>
          <w:bCs/>
          <w:color w:val="auto"/>
          <w:kern w:val="2"/>
          <w:u w:val="single"/>
        </w:rPr>
      </w:pPr>
      <w:r>
        <w:rPr>
          <w:rFonts w:hint="eastAsia"/>
          <w:bCs/>
          <w:color w:val="auto"/>
          <w:kern w:val="2"/>
        </w:rPr>
        <w:t>单位性质：</w:t>
      </w:r>
      <w:r>
        <w:rPr>
          <w:rFonts w:hint="eastAsia"/>
          <w:bCs/>
          <w:color w:val="auto"/>
          <w:kern w:val="2"/>
          <w:u w:val="single"/>
        </w:rPr>
        <w:t xml:space="preserve">                         </w:t>
      </w:r>
    </w:p>
    <w:p w14:paraId="29A8F064">
      <w:pPr>
        <w:pageBreakBefore w:val="0"/>
        <w:widowControl w:val="0"/>
        <w:wordWrap w:val="0"/>
        <w:overflowPunct/>
        <w:bidi w:val="0"/>
        <w:adjustRightInd/>
        <w:snapToGrid/>
        <w:jc w:val="both"/>
        <w:rPr>
          <w:bCs/>
          <w:color w:val="auto"/>
          <w:kern w:val="2"/>
          <w:u w:val="single"/>
        </w:rPr>
      </w:pPr>
      <w:r>
        <w:rPr>
          <w:rFonts w:hint="eastAsia"/>
          <w:bCs/>
          <w:color w:val="auto"/>
          <w:kern w:val="2"/>
        </w:rPr>
        <w:t>地    址：</w:t>
      </w:r>
      <w:r>
        <w:rPr>
          <w:rFonts w:hint="eastAsia"/>
          <w:bCs/>
          <w:color w:val="auto"/>
          <w:kern w:val="2"/>
          <w:u w:val="single"/>
        </w:rPr>
        <w:t xml:space="preserve">                         </w:t>
      </w:r>
    </w:p>
    <w:p w14:paraId="4AAF882D">
      <w:pPr>
        <w:pageBreakBefore w:val="0"/>
        <w:widowControl w:val="0"/>
        <w:wordWrap w:val="0"/>
        <w:overflowPunct/>
        <w:bidi w:val="0"/>
        <w:adjustRightInd/>
        <w:snapToGrid/>
        <w:jc w:val="both"/>
        <w:rPr>
          <w:bCs/>
          <w:color w:val="auto"/>
          <w:kern w:val="2"/>
        </w:rPr>
      </w:pPr>
      <w:r>
        <w:rPr>
          <w:rFonts w:hint="eastAsia"/>
          <w:bCs/>
          <w:color w:val="auto"/>
          <w:kern w:val="2"/>
        </w:rPr>
        <w:t>成立时间：</w:t>
      </w:r>
      <w:r>
        <w:rPr>
          <w:rFonts w:hint="eastAsia"/>
          <w:bCs/>
          <w:color w:val="auto"/>
          <w:kern w:val="2"/>
          <w:u w:val="single"/>
        </w:rPr>
        <w:t xml:space="preserve">                         </w:t>
      </w:r>
    </w:p>
    <w:p w14:paraId="55F81740">
      <w:pPr>
        <w:pageBreakBefore w:val="0"/>
        <w:widowControl w:val="0"/>
        <w:wordWrap w:val="0"/>
        <w:overflowPunct/>
        <w:bidi w:val="0"/>
        <w:adjustRightInd/>
        <w:snapToGrid/>
        <w:jc w:val="both"/>
        <w:rPr>
          <w:bCs/>
          <w:color w:val="auto"/>
          <w:kern w:val="2"/>
          <w:u w:val="single"/>
        </w:rPr>
      </w:pPr>
      <w:r>
        <w:rPr>
          <w:rFonts w:hint="eastAsia"/>
          <w:bCs/>
          <w:color w:val="auto"/>
          <w:kern w:val="2"/>
        </w:rPr>
        <w:t>经营期限：</w:t>
      </w:r>
      <w:r>
        <w:rPr>
          <w:rFonts w:hint="eastAsia"/>
          <w:bCs/>
          <w:color w:val="auto"/>
          <w:kern w:val="2"/>
          <w:u w:val="single"/>
        </w:rPr>
        <w:t xml:space="preserve">                          </w:t>
      </w:r>
    </w:p>
    <w:p w14:paraId="2697C22C">
      <w:pPr>
        <w:pageBreakBefore w:val="0"/>
        <w:widowControl w:val="0"/>
        <w:wordWrap w:val="0"/>
        <w:overflowPunct/>
        <w:bidi w:val="0"/>
        <w:adjustRightInd/>
        <w:snapToGrid/>
        <w:jc w:val="both"/>
        <w:rPr>
          <w:bCs/>
          <w:color w:val="auto"/>
          <w:kern w:val="2"/>
          <w:u w:val="single"/>
        </w:rPr>
      </w:pPr>
      <w:r>
        <w:rPr>
          <w:rFonts w:hint="eastAsia"/>
          <w:bCs/>
          <w:color w:val="auto"/>
          <w:kern w:val="2"/>
        </w:rPr>
        <w:t>姓名：</w:t>
      </w:r>
      <w:r>
        <w:rPr>
          <w:rFonts w:hint="eastAsia"/>
          <w:bCs/>
          <w:color w:val="auto"/>
          <w:kern w:val="2"/>
          <w:u w:val="single"/>
        </w:rPr>
        <w:t xml:space="preserve">           </w:t>
      </w:r>
      <w:r>
        <w:rPr>
          <w:rFonts w:hint="eastAsia"/>
          <w:bCs/>
          <w:color w:val="auto"/>
          <w:kern w:val="2"/>
        </w:rPr>
        <w:t xml:space="preserve">   性别：</w:t>
      </w:r>
      <w:r>
        <w:rPr>
          <w:rFonts w:hint="eastAsia"/>
          <w:bCs/>
          <w:color w:val="auto"/>
          <w:kern w:val="2"/>
          <w:u w:val="single"/>
        </w:rPr>
        <w:t xml:space="preserve">             </w:t>
      </w:r>
      <w:r>
        <w:rPr>
          <w:rFonts w:hint="eastAsia"/>
          <w:bCs/>
          <w:color w:val="auto"/>
          <w:kern w:val="2"/>
        </w:rPr>
        <w:t xml:space="preserve">  年龄：</w:t>
      </w:r>
      <w:r>
        <w:rPr>
          <w:rFonts w:hint="eastAsia"/>
          <w:bCs/>
          <w:color w:val="auto"/>
          <w:kern w:val="2"/>
          <w:u w:val="single"/>
        </w:rPr>
        <w:t xml:space="preserve">             </w:t>
      </w:r>
    </w:p>
    <w:p w14:paraId="6A99DA88">
      <w:pPr>
        <w:pageBreakBefore w:val="0"/>
        <w:widowControl w:val="0"/>
        <w:wordWrap w:val="0"/>
        <w:overflowPunct/>
        <w:bidi w:val="0"/>
        <w:adjustRightInd/>
        <w:snapToGrid/>
        <w:jc w:val="both"/>
        <w:rPr>
          <w:bCs/>
          <w:color w:val="auto"/>
          <w:kern w:val="2"/>
        </w:rPr>
      </w:pPr>
      <w:r>
        <w:rPr>
          <w:rFonts w:hint="eastAsia"/>
          <w:bCs/>
          <w:color w:val="auto"/>
          <w:kern w:val="2"/>
        </w:rPr>
        <w:t>职务：</w:t>
      </w:r>
      <w:r>
        <w:rPr>
          <w:rFonts w:hint="eastAsia"/>
          <w:bCs/>
          <w:color w:val="auto"/>
          <w:kern w:val="2"/>
          <w:u w:val="single"/>
        </w:rPr>
        <w:t xml:space="preserve">            </w:t>
      </w:r>
      <w:r>
        <w:rPr>
          <w:rFonts w:hint="eastAsia"/>
          <w:bCs/>
          <w:color w:val="auto"/>
          <w:kern w:val="2"/>
        </w:rPr>
        <w:t>系</w:t>
      </w:r>
      <w:r>
        <w:rPr>
          <w:rFonts w:hint="eastAsia"/>
          <w:bCs/>
          <w:color w:val="auto"/>
          <w:kern w:val="2"/>
          <w:u w:val="single"/>
        </w:rPr>
        <w:t xml:space="preserve">        （投标人名称）         </w:t>
      </w:r>
      <w:r>
        <w:rPr>
          <w:rFonts w:hint="eastAsia"/>
          <w:bCs/>
          <w:color w:val="auto"/>
          <w:kern w:val="2"/>
        </w:rPr>
        <w:t>的法定代表人。</w:t>
      </w:r>
    </w:p>
    <w:p w14:paraId="74962330">
      <w:pPr>
        <w:pageBreakBefore w:val="0"/>
        <w:widowControl w:val="0"/>
        <w:wordWrap w:val="0"/>
        <w:overflowPunct/>
        <w:bidi w:val="0"/>
        <w:adjustRightInd/>
        <w:snapToGrid/>
        <w:jc w:val="both"/>
        <w:rPr>
          <w:bCs/>
          <w:color w:val="auto"/>
          <w:kern w:val="2"/>
        </w:rPr>
      </w:pPr>
      <w:r>
        <w:rPr>
          <w:rFonts w:hint="eastAsia"/>
          <w:bCs/>
          <w:color w:val="auto"/>
          <w:kern w:val="2"/>
        </w:rPr>
        <w:t>特此证明。</w:t>
      </w:r>
    </w:p>
    <w:p w14:paraId="704460E1">
      <w:pPr>
        <w:pageBreakBefore w:val="0"/>
        <w:widowControl w:val="0"/>
        <w:wordWrap w:val="0"/>
        <w:overflowPunct/>
        <w:bidi w:val="0"/>
        <w:adjustRightInd/>
        <w:snapToGrid/>
        <w:rPr>
          <w:bCs/>
          <w:color w:val="auto"/>
          <w:kern w:val="2"/>
        </w:rPr>
      </w:pPr>
      <w:r>
        <w:rPr>
          <w:rFonts w:hint="eastAsia"/>
          <w:bCs/>
          <w:color w:val="auto"/>
          <w:kern w:val="2"/>
        </w:rPr>
        <w:t xml:space="preserve">                       </w:t>
      </w:r>
    </w:p>
    <w:p w14:paraId="2D3394F9">
      <w:pPr>
        <w:pageBreakBefore w:val="0"/>
        <w:widowControl w:val="0"/>
        <w:wordWrap w:val="0"/>
        <w:overflowPunct/>
        <w:bidi w:val="0"/>
        <w:adjustRightInd/>
        <w:snapToGrid/>
        <w:rPr>
          <w:bCs/>
          <w:color w:val="auto"/>
          <w:kern w:val="2"/>
        </w:rPr>
      </w:pPr>
    </w:p>
    <w:p w14:paraId="5B9F8F71">
      <w:pPr>
        <w:pageBreakBefore w:val="0"/>
        <w:widowControl w:val="0"/>
        <w:wordWrap w:val="0"/>
        <w:overflowPunct/>
        <w:bidi w:val="0"/>
        <w:adjustRightInd/>
        <w:snapToGrid/>
        <w:rPr>
          <w:bCs/>
          <w:color w:val="auto"/>
          <w:kern w:val="2"/>
        </w:rPr>
      </w:pPr>
    </w:p>
    <w:p w14:paraId="48382B80">
      <w:pPr>
        <w:pageBreakBefore w:val="0"/>
        <w:widowControl w:val="0"/>
        <w:wordWrap w:val="0"/>
        <w:overflowPunct/>
        <w:bidi w:val="0"/>
        <w:adjustRightInd/>
        <w:snapToGrid/>
        <w:jc w:val="right"/>
        <w:rPr>
          <w:bCs/>
          <w:color w:val="auto"/>
          <w:kern w:val="2"/>
        </w:rPr>
      </w:pPr>
      <w:r>
        <w:rPr>
          <w:rFonts w:hint="eastAsia"/>
          <w:bCs/>
          <w:color w:val="auto"/>
          <w:kern w:val="2"/>
        </w:rPr>
        <w:t xml:space="preserve">投标人名称（盖公章）： </w:t>
      </w:r>
      <w:r>
        <w:rPr>
          <w:rFonts w:hint="eastAsia"/>
          <w:bCs/>
          <w:color w:val="auto"/>
          <w:kern w:val="2"/>
          <w:u w:val="single"/>
        </w:rPr>
        <w:t xml:space="preserve">           </w:t>
      </w:r>
    </w:p>
    <w:p w14:paraId="2A7D0E7E">
      <w:pPr>
        <w:pageBreakBefore w:val="0"/>
        <w:widowControl w:val="0"/>
        <w:wordWrap w:val="0"/>
        <w:overflowPunct/>
        <w:bidi w:val="0"/>
        <w:adjustRightInd/>
        <w:snapToGrid/>
        <w:jc w:val="right"/>
        <w:rPr>
          <w:bCs/>
          <w:color w:val="auto"/>
          <w:kern w:val="2"/>
        </w:rPr>
      </w:pPr>
      <w:r>
        <w:rPr>
          <w:rFonts w:hint="eastAsia"/>
          <w:bCs/>
          <w:color w:val="auto"/>
          <w:kern w:val="2"/>
        </w:rPr>
        <w:t xml:space="preserve"> 日期：    年    月     日</w:t>
      </w:r>
    </w:p>
    <w:p w14:paraId="2CCB96A0">
      <w:pPr>
        <w:pageBreakBefore w:val="0"/>
        <w:widowControl w:val="0"/>
        <w:wordWrap w:val="0"/>
        <w:overflowPunct/>
        <w:bidi w:val="0"/>
        <w:adjustRightInd/>
        <w:snapToGrid/>
        <w:ind w:firstLine="560"/>
        <w:jc w:val="center"/>
        <w:rPr>
          <w:bCs/>
          <w:color w:val="auto"/>
          <w:kern w:val="2"/>
          <w:sz w:val="28"/>
          <w:szCs w:val="32"/>
        </w:rPr>
      </w:pPr>
    </w:p>
    <w:p w14:paraId="2E0FEAB8">
      <w:pPr>
        <w:pageBreakBefore w:val="0"/>
        <w:widowControl w:val="0"/>
        <w:wordWrap w:val="0"/>
        <w:overflowPunct/>
        <w:bidi w:val="0"/>
        <w:adjustRightInd/>
        <w:snapToGrid/>
        <w:ind w:firstLine="560"/>
        <w:jc w:val="center"/>
        <w:rPr>
          <w:bCs/>
          <w:color w:val="auto"/>
          <w:kern w:val="2"/>
          <w:sz w:val="28"/>
          <w:szCs w:val="32"/>
        </w:rPr>
      </w:pPr>
    </w:p>
    <w:p w14:paraId="40D05EE4">
      <w:pPr>
        <w:pageBreakBefore w:val="0"/>
        <w:widowControl w:val="0"/>
        <w:wordWrap w:val="0"/>
        <w:overflowPunct/>
        <w:bidi w:val="0"/>
        <w:adjustRightInd/>
        <w:snapToGrid/>
        <w:ind w:firstLine="422"/>
        <w:jc w:val="both"/>
        <w:rPr>
          <w:b/>
          <w:bCs/>
          <w:color w:val="auto"/>
          <w:kern w:val="2"/>
        </w:rPr>
      </w:pPr>
      <w:r>
        <w:rPr>
          <w:rFonts w:hint="eastAsia"/>
          <w:b/>
          <w:bCs/>
          <w:color w:val="auto"/>
          <w:kern w:val="2"/>
        </w:rPr>
        <w:t>备注:附法定代表人身份证复印件（正反面）</w:t>
      </w:r>
    </w:p>
    <w:p w14:paraId="7B906836">
      <w:pPr>
        <w:pageBreakBefore w:val="0"/>
        <w:wordWrap w:val="0"/>
        <w:overflowPunct/>
        <w:bidi w:val="0"/>
        <w:rPr>
          <w:color w:val="auto"/>
        </w:rPr>
      </w:pPr>
      <w:r>
        <w:rPr>
          <w:rFonts w:hint="eastAsia"/>
          <w:color w:val="auto"/>
        </w:rPr>
        <w:br w:type="page"/>
      </w:r>
    </w:p>
    <w:p w14:paraId="6F606F2D">
      <w:pPr>
        <w:pStyle w:val="3"/>
        <w:pageBreakBefore w:val="0"/>
        <w:wordWrap w:val="0"/>
        <w:overflowPunct/>
        <w:bidi w:val="0"/>
        <w:ind w:firstLine="562"/>
        <w:jc w:val="center"/>
        <w:rPr>
          <w:color w:val="auto"/>
          <w:sz w:val="28"/>
          <w:szCs w:val="28"/>
        </w:rPr>
      </w:pPr>
      <w:bookmarkStart w:id="51" w:name="_Toc10638"/>
      <w:r>
        <w:rPr>
          <w:rFonts w:hint="eastAsia"/>
          <w:color w:val="auto"/>
          <w:sz w:val="28"/>
          <w:szCs w:val="28"/>
        </w:rPr>
        <w:t>2.5法定代表人授权书</w:t>
      </w:r>
      <w:bookmarkEnd w:id="51"/>
    </w:p>
    <w:p w14:paraId="22258206">
      <w:pPr>
        <w:pageBreakBefore w:val="0"/>
        <w:widowControl w:val="0"/>
        <w:wordWrap w:val="0"/>
        <w:overflowPunct/>
        <w:bidi w:val="0"/>
        <w:adjustRightInd/>
        <w:snapToGrid/>
        <w:jc w:val="both"/>
        <w:rPr>
          <w:bCs/>
          <w:color w:val="auto"/>
          <w:kern w:val="2"/>
        </w:rPr>
      </w:pPr>
      <w:r>
        <w:rPr>
          <w:rFonts w:hint="eastAsia"/>
          <w:bCs/>
          <w:color w:val="auto"/>
          <w:kern w:val="2"/>
        </w:rPr>
        <w:t>本授权委托书声明，我</w:t>
      </w:r>
      <w:r>
        <w:rPr>
          <w:rFonts w:hint="eastAsia"/>
          <w:bCs/>
          <w:color w:val="auto"/>
          <w:kern w:val="2"/>
          <w:u w:val="single"/>
        </w:rPr>
        <w:t xml:space="preserve">         （姓名）         </w:t>
      </w:r>
      <w:r>
        <w:rPr>
          <w:rFonts w:hint="eastAsia"/>
          <w:bCs/>
          <w:color w:val="auto"/>
          <w:kern w:val="2"/>
        </w:rPr>
        <w:t>系</w:t>
      </w:r>
      <w:r>
        <w:rPr>
          <w:rFonts w:hint="eastAsia"/>
          <w:bCs/>
          <w:color w:val="auto"/>
          <w:kern w:val="2"/>
          <w:u w:val="single"/>
        </w:rPr>
        <w:t xml:space="preserve">        （投标人名称）</w:t>
      </w:r>
      <w:r>
        <w:rPr>
          <w:rFonts w:hint="eastAsia"/>
          <w:bCs/>
          <w:color w:val="auto"/>
          <w:kern w:val="2"/>
        </w:rPr>
        <w:t>的法定代表人，现授权委托</w:t>
      </w:r>
      <w:r>
        <w:rPr>
          <w:rFonts w:hint="eastAsia"/>
          <w:bCs/>
          <w:color w:val="auto"/>
          <w:kern w:val="2"/>
          <w:u w:val="single"/>
        </w:rPr>
        <w:t xml:space="preserve">      （姓名）   </w:t>
      </w:r>
      <w:r>
        <w:rPr>
          <w:rFonts w:hint="eastAsia"/>
          <w:bCs/>
          <w:color w:val="auto"/>
          <w:kern w:val="2"/>
        </w:rPr>
        <w:t>为我公司签署</w:t>
      </w:r>
      <w:r>
        <w:rPr>
          <w:rFonts w:hint="eastAsia"/>
          <w:bCs/>
          <w:color w:val="auto"/>
          <w:kern w:val="2"/>
          <w:u w:val="single"/>
        </w:rPr>
        <w:t xml:space="preserve">           （项目名称，项目编号）     </w:t>
      </w:r>
      <w:r>
        <w:rPr>
          <w:rFonts w:hint="eastAsia"/>
          <w:bCs/>
          <w:color w:val="auto"/>
          <w:kern w:val="2"/>
        </w:rPr>
        <w:t>投标文件的法定代表人授权委托代理人，我承认代理人全权代表我所签署的本项目的文件的内容。</w:t>
      </w:r>
    </w:p>
    <w:p w14:paraId="7D7D6FE2">
      <w:pPr>
        <w:pageBreakBefore w:val="0"/>
        <w:widowControl w:val="0"/>
        <w:wordWrap w:val="0"/>
        <w:overflowPunct/>
        <w:bidi w:val="0"/>
        <w:adjustRightInd/>
        <w:snapToGrid/>
        <w:jc w:val="both"/>
        <w:rPr>
          <w:bCs/>
          <w:color w:val="auto"/>
          <w:kern w:val="2"/>
        </w:rPr>
      </w:pPr>
      <w:r>
        <w:rPr>
          <w:rFonts w:hint="eastAsia"/>
          <w:bCs/>
          <w:color w:val="auto"/>
          <w:kern w:val="2"/>
        </w:rPr>
        <w:t>代理人无转委托权，特此委托。</w:t>
      </w:r>
    </w:p>
    <w:p w14:paraId="2100A5BA">
      <w:pPr>
        <w:pageBreakBefore w:val="0"/>
        <w:widowControl w:val="0"/>
        <w:wordWrap w:val="0"/>
        <w:overflowPunct/>
        <w:bidi w:val="0"/>
        <w:adjustRightInd/>
        <w:snapToGrid/>
        <w:jc w:val="both"/>
        <w:rPr>
          <w:bCs/>
          <w:color w:val="auto"/>
          <w:kern w:val="2"/>
          <w:u w:val="single"/>
        </w:rPr>
      </w:pPr>
      <w:r>
        <w:rPr>
          <w:rFonts w:hint="eastAsia"/>
          <w:bCs/>
          <w:color w:val="auto"/>
          <w:kern w:val="2"/>
        </w:rPr>
        <w:t>代理人：</w:t>
      </w:r>
      <w:r>
        <w:rPr>
          <w:rFonts w:hint="eastAsia"/>
          <w:bCs/>
          <w:color w:val="auto"/>
          <w:kern w:val="2"/>
          <w:u w:val="single"/>
        </w:rPr>
        <w:t xml:space="preserve">  (签字或盖章)          </w:t>
      </w:r>
      <w:r>
        <w:rPr>
          <w:rFonts w:hint="eastAsia"/>
          <w:bCs/>
          <w:color w:val="auto"/>
          <w:kern w:val="2"/>
        </w:rPr>
        <w:t>性别：</w:t>
      </w:r>
      <w:r>
        <w:rPr>
          <w:rFonts w:hint="eastAsia"/>
          <w:bCs/>
          <w:color w:val="auto"/>
          <w:kern w:val="2"/>
          <w:u w:val="single"/>
        </w:rPr>
        <w:t xml:space="preserve">            </w:t>
      </w:r>
      <w:r>
        <w:rPr>
          <w:rFonts w:hint="eastAsia"/>
          <w:bCs/>
          <w:color w:val="auto"/>
          <w:kern w:val="2"/>
        </w:rPr>
        <w:t xml:space="preserve">  年龄：</w:t>
      </w:r>
      <w:r>
        <w:rPr>
          <w:rFonts w:hint="eastAsia"/>
          <w:bCs/>
          <w:color w:val="auto"/>
          <w:kern w:val="2"/>
          <w:u w:val="single"/>
        </w:rPr>
        <w:t xml:space="preserve">             </w:t>
      </w:r>
    </w:p>
    <w:p w14:paraId="0E29DC06">
      <w:pPr>
        <w:pageBreakBefore w:val="0"/>
        <w:widowControl w:val="0"/>
        <w:wordWrap w:val="0"/>
        <w:overflowPunct/>
        <w:bidi w:val="0"/>
        <w:adjustRightInd/>
        <w:snapToGrid/>
        <w:jc w:val="both"/>
        <w:rPr>
          <w:bCs/>
          <w:color w:val="auto"/>
          <w:kern w:val="2"/>
          <w:u w:val="single"/>
        </w:rPr>
      </w:pPr>
      <w:r>
        <w:rPr>
          <w:rFonts w:hint="eastAsia"/>
          <w:bCs/>
          <w:color w:val="auto"/>
          <w:kern w:val="2"/>
        </w:rPr>
        <w:t>身份证号码：</w:t>
      </w:r>
      <w:r>
        <w:rPr>
          <w:rFonts w:hint="eastAsia"/>
          <w:bCs/>
          <w:color w:val="auto"/>
          <w:kern w:val="2"/>
          <w:u w:val="single"/>
        </w:rPr>
        <w:t xml:space="preserve">                 </w:t>
      </w:r>
      <w:r>
        <w:rPr>
          <w:rFonts w:hint="eastAsia"/>
          <w:bCs/>
          <w:color w:val="auto"/>
          <w:kern w:val="2"/>
        </w:rPr>
        <w:t xml:space="preserve"> 职务：</w:t>
      </w:r>
      <w:r>
        <w:rPr>
          <w:rFonts w:hint="eastAsia"/>
          <w:bCs/>
          <w:color w:val="auto"/>
          <w:kern w:val="2"/>
          <w:u w:val="single"/>
        </w:rPr>
        <w:t xml:space="preserve">                 </w:t>
      </w:r>
    </w:p>
    <w:p w14:paraId="0D3E6293">
      <w:pPr>
        <w:pageBreakBefore w:val="0"/>
        <w:widowControl w:val="0"/>
        <w:wordWrap w:val="0"/>
        <w:overflowPunct/>
        <w:bidi w:val="0"/>
        <w:adjustRightInd/>
        <w:snapToGrid/>
        <w:jc w:val="both"/>
        <w:rPr>
          <w:bCs/>
          <w:color w:val="auto"/>
          <w:kern w:val="2"/>
          <w:u w:val="single"/>
        </w:rPr>
      </w:pPr>
      <w:r>
        <w:rPr>
          <w:rFonts w:hint="eastAsia"/>
          <w:color w:val="auto"/>
        </w:rPr>
        <w:t>投标人</w:t>
      </w:r>
      <w:r>
        <w:rPr>
          <w:rFonts w:hint="eastAsia"/>
          <w:bCs/>
          <w:color w:val="auto"/>
          <w:kern w:val="2"/>
        </w:rPr>
        <w:t>名称：</w:t>
      </w:r>
      <w:r>
        <w:rPr>
          <w:rFonts w:hint="eastAsia"/>
          <w:bCs/>
          <w:color w:val="auto"/>
          <w:kern w:val="2"/>
          <w:u w:val="single"/>
        </w:rPr>
        <w:t xml:space="preserve">        （盖公章）          </w:t>
      </w:r>
    </w:p>
    <w:p w14:paraId="08D58C99">
      <w:pPr>
        <w:pageBreakBefore w:val="0"/>
        <w:widowControl w:val="0"/>
        <w:wordWrap w:val="0"/>
        <w:overflowPunct/>
        <w:bidi w:val="0"/>
        <w:adjustRightInd/>
        <w:snapToGrid/>
        <w:jc w:val="both"/>
        <w:rPr>
          <w:bCs/>
          <w:color w:val="auto"/>
          <w:kern w:val="2"/>
          <w:u w:val="single"/>
        </w:rPr>
      </w:pPr>
      <w:r>
        <w:rPr>
          <w:rFonts w:hint="eastAsia"/>
          <w:bCs/>
          <w:color w:val="auto"/>
          <w:kern w:val="2"/>
        </w:rPr>
        <w:t>法定代表人：</w:t>
      </w:r>
      <w:r>
        <w:rPr>
          <w:rFonts w:hint="eastAsia"/>
          <w:bCs/>
          <w:color w:val="auto"/>
          <w:kern w:val="2"/>
          <w:u w:val="single"/>
        </w:rPr>
        <w:t xml:space="preserve">    （签字或盖章）          </w:t>
      </w:r>
    </w:p>
    <w:p w14:paraId="479A6EC7">
      <w:pPr>
        <w:pageBreakBefore w:val="0"/>
        <w:widowControl w:val="0"/>
        <w:wordWrap w:val="0"/>
        <w:overflowPunct/>
        <w:bidi w:val="0"/>
        <w:adjustRightInd/>
        <w:snapToGrid/>
        <w:jc w:val="both"/>
        <w:rPr>
          <w:bCs/>
          <w:color w:val="auto"/>
          <w:kern w:val="2"/>
          <w:u w:val="single"/>
        </w:rPr>
      </w:pPr>
      <w:r>
        <w:rPr>
          <w:rFonts w:hint="eastAsia"/>
          <w:bCs/>
          <w:color w:val="auto"/>
          <w:kern w:val="2"/>
        </w:rPr>
        <w:t>日期：</w:t>
      </w:r>
      <w:r>
        <w:rPr>
          <w:rFonts w:hint="eastAsia"/>
          <w:bCs/>
          <w:color w:val="auto"/>
          <w:kern w:val="2"/>
          <w:u w:val="single"/>
        </w:rPr>
        <w:t xml:space="preserve">   </w:t>
      </w:r>
      <w:r>
        <w:rPr>
          <w:rFonts w:hint="eastAsia"/>
          <w:bCs/>
          <w:color w:val="auto"/>
          <w:kern w:val="2"/>
        </w:rPr>
        <w:t>年</w:t>
      </w:r>
      <w:r>
        <w:rPr>
          <w:rFonts w:hint="eastAsia"/>
          <w:bCs/>
          <w:color w:val="auto"/>
          <w:kern w:val="2"/>
          <w:u w:val="single"/>
        </w:rPr>
        <w:t xml:space="preserve">   </w:t>
      </w:r>
      <w:r>
        <w:rPr>
          <w:rFonts w:hint="eastAsia"/>
          <w:bCs/>
          <w:color w:val="auto"/>
          <w:kern w:val="2"/>
        </w:rPr>
        <w:t>月</w:t>
      </w:r>
      <w:r>
        <w:rPr>
          <w:rFonts w:hint="eastAsia"/>
          <w:bCs/>
          <w:color w:val="auto"/>
          <w:kern w:val="2"/>
          <w:u w:val="single"/>
        </w:rPr>
        <w:t xml:space="preserve">   </w:t>
      </w:r>
      <w:r>
        <w:rPr>
          <w:rFonts w:hint="eastAsia"/>
          <w:bCs/>
          <w:color w:val="auto"/>
          <w:kern w:val="2"/>
        </w:rPr>
        <w:t>日</w:t>
      </w:r>
    </w:p>
    <w:p w14:paraId="042C27EC">
      <w:pPr>
        <w:pageBreakBefore w:val="0"/>
        <w:wordWrap w:val="0"/>
        <w:overflowPunct/>
        <w:bidi w:val="0"/>
        <w:ind w:firstLine="422"/>
        <w:rPr>
          <w:b/>
          <w:bCs/>
          <w:color w:val="auto"/>
        </w:rPr>
      </w:pPr>
      <w:r>
        <w:rPr>
          <w:rFonts w:hint="eastAsia"/>
          <w:b/>
          <w:bCs/>
          <w:color w:val="auto"/>
        </w:rPr>
        <w:t>备注:附代理人身份证复印件（正反面）</w:t>
      </w:r>
    </w:p>
    <w:p w14:paraId="479C439D">
      <w:pPr>
        <w:pageBreakBefore w:val="0"/>
        <w:wordWrap w:val="0"/>
        <w:overflowPunct/>
        <w:bidi w:val="0"/>
        <w:adjustRightInd/>
        <w:snapToGrid/>
        <w:ind w:firstLine="0" w:firstLineChars="0"/>
        <w:jc w:val="center"/>
        <w:outlineLvl w:val="1"/>
        <w:rPr>
          <w:b/>
          <w:color w:val="auto"/>
          <w:sz w:val="28"/>
          <w:szCs w:val="28"/>
        </w:rPr>
      </w:pPr>
      <w:bookmarkStart w:id="52" w:name="_Toc7960"/>
      <w:bookmarkEnd w:id="52"/>
      <w:bookmarkStart w:id="53" w:name="_Toc6115"/>
      <w:bookmarkEnd w:id="53"/>
      <w:bookmarkStart w:id="54" w:name="_Toc12671"/>
      <w:bookmarkEnd w:id="54"/>
      <w:bookmarkStart w:id="55" w:name="_Toc27315"/>
      <w:bookmarkEnd w:id="55"/>
      <w:r>
        <w:rPr>
          <w:rFonts w:hint="eastAsia"/>
          <w:color w:val="auto"/>
          <w:kern w:val="2"/>
          <w:sz w:val="28"/>
          <w:szCs w:val="28"/>
        </w:rPr>
        <w:br w:type="page"/>
      </w:r>
      <w:bookmarkStart w:id="56" w:name="_Toc30938"/>
      <w:r>
        <w:rPr>
          <w:rFonts w:hint="eastAsia"/>
          <w:b/>
          <w:color w:val="auto"/>
          <w:sz w:val="28"/>
          <w:szCs w:val="28"/>
        </w:rPr>
        <w:t>2.6财务状况</w:t>
      </w:r>
      <w:bookmarkEnd w:id="56"/>
    </w:p>
    <w:p w14:paraId="5FFEC5C2">
      <w:pPr>
        <w:pageBreakBefore w:val="0"/>
        <w:wordWrap w:val="0"/>
        <w:overflowPunct/>
        <w:bidi w:val="0"/>
        <w:adjustRightInd/>
        <w:snapToGrid/>
        <w:rPr>
          <w:color w:val="auto"/>
        </w:rPr>
      </w:pPr>
      <w:r>
        <w:rPr>
          <w:rFonts w:hint="eastAsia"/>
          <w:color w:val="auto"/>
        </w:rPr>
        <w:t>（1）提供2021年度-2023年度任意一年经审计的财务会计报表，包括财务审计报告、资产负债表、利润表、现金流量表；</w:t>
      </w:r>
    </w:p>
    <w:p w14:paraId="41CC0033">
      <w:pPr>
        <w:pageBreakBefore w:val="0"/>
        <w:wordWrap w:val="0"/>
        <w:overflowPunct/>
        <w:bidi w:val="0"/>
        <w:adjustRightInd/>
        <w:snapToGrid/>
        <w:rPr>
          <w:color w:val="auto"/>
        </w:rPr>
      </w:pPr>
      <w:r>
        <w:rPr>
          <w:rFonts w:hint="eastAsia"/>
          <w:color w:val="auto"/>
        </w:rPr>
        <w:t>（2）对于从取得营业执照时间起到递交投标文件截止时间为止不足1年的投标人，提供自投标文件提交截止时间前三个月内开户银行出具的资信证明。</w:t>
      </w:r>
    </w:p>
    <w:p w14:paraId="0199DAAB">
      <w:pPr>
        <w:pageBreakBefore w:val="0"/>
        <w:wordWrap w:val="0"/>
        <w:overflowPunct/>
        <w:bidi w:val="0"/>
        <w:adjustRightInd/>
        <w:snapToGrid/>
        <w:rPr>
          <w:color w:val="auto"/>
        </w:rPr>
      </w:pPr>
      <w:r>
        <w:rPr>
          <w:rFonts w:hint="eastAsia"/>
          <w:color w:val="auto"/>
        </w:rPr>
        <w:t>（3）财政部门认可的政府采购专业担保机构出具的关于财务状况的投标担保函（需同时提供专业担保机构经财政部门认可的证明文件）。</w:t>
      </w:r>
    </w:p>
    <w:p w14:paraId="30C80424">
      <w:pPr>
        <w:pageBreakBefore w:val="0"/>
        <w:wordWrap w:val="0"/>
        <w:overflowPunct/>
        <w:bidi w:val="0"/>
        <w:adjustRightInd/>
        <w:snapToGrid/>
        <w:ind w:firstLine="422"/>
        <w:rPr>
          <w:color w:val="auto"/>
        </w:rPr>
      </w:pPr>
      <w:r>
        <w:rPr>
          <w:rFonts w:hint="eastAsia"/>
          <w:b/>
          <w:bCs/>
          <w:color w:val="auto"/>
        </w:rPr>
        <w:t>备注：投标人可根据自身情况提供上述任意一种证明材料。</w:t>
      </w:r>
    </w:p>
    <w:p w14:paraId="7741F4B7">
      <w:pPr>
        <w:pageBreakBefore w:val="0"/>
        <w:wordWrap w:val="0"/>
        <w:overflowPunct/>
        <w:bidi w:val="0"/>
        <w:adjustRightInd/>
        <w:snapToGrid/>
        <w:rPr>
          <w:color w:val="auto"/>
        </w:rPr>
      </w:pPr>
      <w:r>
        <w:rPr>
          <w:rFonts w:hint="eastAsia"/>
          <w:color w:val="auto"/>
        </w:rPr>
        <w:br w:type="page"/>
      </w:r>
    </w:p>
    <w:p w14:paraId="46B3740B">
      <w:pPr>
        <w:pStyle w:val="3"/>
        <w:pageBreakBefore w:val="0"/>
        <w:wordWrap w:val="0"/>
        <w:overflowPunct/>
        <w:bidi w:val="0"/>
        <w:ind w:firstLine="562"/>
        <w:jc w:val="center"/>
        <w:rPr>
          <w:color w:val="auto"/>
          <w:sz w:val="28"/>
          <w:szCs w:val="28"/>
        </w:rPr>
      </w:pPr>
      <w:bookmarkStart w:id="57" w:name="_Toc30146"/>
      <w:r>
        <w:rPr>
          <w:rFonts w:hint="eastAsia"/>
          <w:color w:val="auto"/>
          <w:sz w:val="28"/>
          <w:szCs w:val="28"/>
        </w:rPr>
        <w:t>2.7纳税及社保证明材料</w:t>
      </w:r>
      <w:bookmarkEnd w:id="57"/>
    </w:p>
    <w:p w14:paraId="238CCD09">
      <w:pPr>
        <w:pageBreakBefore w:val="0"/>
        <w:wordWrap w:val="0"/>
        <w:overflowPunct/>
        <w:bidi w:val="0"/>
        <w:adjustRightInd/>
        <w:snapToGrid/>
        <w:rPr>
          <w:color w:val="auto"/>
        </w:rPr>
      </w:pPr>
      <w:r>
        <w:rPr>
          <w:rFonts w:hint="eastAsia"/>
          <w:color w:val="auto"/>
        </w:rPr>
        <w:t>缴税所属时间在2023年1月至今期间任意3个月的税务局税收通用缴款书复印件或银行电子缴税(费)凭证复印件或税务局出具纳税情况的相关证明复印件。（依法免税的，应提供依法免税的相关证明文件；2024年1月份及以后成立的投标人需出具承诺函）。</w:t>
      </w:r>
    </w:p>
    <w:p w14:paraId="7F11256A">
      <w:pPr>
        <w:pageBreakBefore w:val="0"/>
        <w:wordWrap w:val="0"/>
        <w:overflowPunct/>
        <w:bidi w:val="0"/>
        <w:adjustRightInd/>
        <w:snapToGrid/>
        <w:rPr>
          <w:color w:val="auto"/>
          <w:sz w:val="28"/>
          <w:szCs w:val="28"/>
        </w:rPr>
      </w:pPr>
      <w:r>
        <w:rPr>
          <w:rFonts w:hint="eastAsia"/>
          <w:color w:val="auto"/>
        </w:rPr>
        <w:t>缴费所属时间在2023年1月至今期间任意3个月的社会保险费缴款书复印件或银行电子缴税(费) 凭证复印件或社保管理部门出具的有效的缴款证明复印件。（依法免缴的，应提供依法免缴的相关证明文件；2024年1月份及以后成立的投标人需出具承诺函）。</w:t>
      </w:r>
      <w:r>
        <w:rPr>
          <w:rFonts w:hint="eastAsia"/>
          <w:color w:val="auto"/>
          <w:sz w:val="28"/>
          <w:szCs w:val="28"/>
        </w:rPr>
        <w:br w:type="page"/>
      </w:r>
    </w:p>
    <w:p w14:paraId="05ED492D">
      <w:pPr>
        <w:pStyle w:val="3"/>
        <w:pageBreakBefore w:val="0"/>
        <w:wordWrap w:val="0"/>
        <w:overflowPunct/>
        <w:bidi w:val="0"/>
        <w:ind w:firstLine="562"/>
        <w:jc w:val="center"/>
        <w:rPr>
          <w:color w:val="auto"/>
          <w:sz w:val="28"/>
          <w:szCs w:val="28"/>
        </w:rPr>
      </w:pPr>
      <w:bookmarkStart w:id="58" w:name="_Toc24981"/>
      <w:r>
        <w:rPr>
          <w:rFonts w:hint="eastAsia"/>
          <w:color w:val="auto"/>
          <w:sz w:val="28"/>
          <w:szCs w:val="28"/>
        </w:rPr>
        <w:t>2.8投标人信用承诺书</w:t>
      </w:r>
      <w:bookmarkEnd w:id="58"/>
    </w:p>
    <w:p w14:paraId="3BCC7ABF">
      <w:pPr>
        <w:pStyle w:val="21"/>
        <w:pageBreakBefore w:val="0"/>
        <w:wordWrap w:val="0"/>
        <w:overflowPunct/>
        <w:bidi w:val="0"/>
        <w:adjustRightInd/>
        <w:snapToGrid/>
        <w:spacing w:before="0" w:beforeAutospacing="0" w:after="0" w:afterAutospacing="0"/>
        <w:rPr>
          <w:color w:val="auto"/>
          <w:sz w:val="21"/>
          <w:u w:val="single"/>
          <w:shd w:val="clear" w:color="auto" w:fill="FFFFFF"/>
        </w:rPr>
      </w:pPr>
      <w:r>
        <w:rPr>
          <w:rFonts w:hint="eastAsia"/>
          <w:color w:val="auto"/>
          <w:sz w:val="21"/>
          <w:shd w:val="clear" w:color="auto" w:fill="FFFFFF"/>
        </w:rPr>
        <w:t>致：</w:t>
      </w:r>
      <w:r>
        <w:rPr>
          <w:rFonts w:hint="eastAsia"/>
          <w:color w:val="auto"/>
          <w:sz w:val="21"/>
          <w:u w:val="single"/>
          <w:shd w:val="clear" w:color="auto" w:fill="FFFFFF"/>
        </w:rPr>
        <w:t>（招标人名称）</w:t>
      </w:r>
    </w:p>
    <w:p w14:paraId="6E2583E3">
      <w:pPr>
        <w:pStyle w:val="21"/>
        <w:pageBreakBefore w:val="0"/>
        <w:wordWrap w:val="0"/>
        <w:overflowPunct/>
        <w:bidi w:val="0"/>
        <w:adjustRightInd/>
        <w:snapToGrid/>
        <w:spacing w:before="0" w:beforeAutospacing="0" w:after="0" w:afterAutospacing="0"/>
        <w:rPr>
          <w:color w:val="auto"/>
          <w:sz w:val="21"/>
          <w:shd w:val="clear" w:color="auto" w:fill="FFFFFF"/>
        </w:rPr>
      </w:pPr>
      <w:r>
        <w:rPr>
          <w:rFonts w:hint="eastAsia"/>
          <w:color w:val="auto"/>
          <w:sz w:val="21"/>
          <w:shd w:val="clear" w:color="auto" w:fill="FFFFFF"/>
        </w:rPr>
        <w:t>我单位郑重承诺：</w:t>
      </w:r>
    </w:p>
    <w:p w14:paraId="27902EC3">
      <w:pPr>
        <w:pageBreakBefore w:val="0"/>
        <w:wordWrap w:val="0"/>
        <w:overflowPunct/>
        <w:bidi w:val="0"/>
        <w:adjustRightInd/>
        <w:snapToGrid/>
        <w:rPr>
          <w:color w:val="auto"/>
        </w:rPr>
      </w:pPr>
      <w:r>
        <w:rPr>
          <w:rFonts w:hint="eastAsia"/>
          <w:color w:val="auto"/>
        </w:rPr>
        <w:t>1、我单位在“国家企业信用信息公示系统”</w:t>
      </w:r>
      <w:r>
        <w:rPr>
          <w:rFonts w:hint="eastAsia"/>
          <w:color w:val="auto"/>
          <w:u w:val="single"/>
        </w:rPr>
        <w:t xml:space="preserve">    </w:t>
      </w:r>
      <w:r>
        <w:rPr>
          <w:rFonts w:hint="eastAsia"/>
          <w:color w:val="auto"/>
        </w:rPr>
        <w:t>(此处填写“有”或“没有”)被列入“严重违法失信名单（黑名单）”。</w:t>
      </w:r>
    </w:p>
    <w:p w14:paraId="58492BD1">
      <w:pPr>
        <w:pageBreakBefore w:val="0"/>
        <w:wordWrap w:val="0"/>
        <w:overflowPunct/>
        <w:bidi w:val="0"/>
        <w:adjustRightInd/>
        <w:snapToGrid/>
        <w:rPr>
          <w:color w:val="auto"/>
        </w:rPr>
      </w:pPr>
      <w:r>
        <w:rPr>
          <w:rFonts w:hint="eastAsia"/>
          <w:color w:val="auto"/>
        </w:rPr>
        <w:t>2、我单位在用“信用中国”</w:t>
      </w:r>
      <w:r>
        <w:rPr>
          <w:rFonts w:hint="eastAsia"/>
          <w:color w:val="auto"/>
          <w:u w:val="single"/>
        </w:rPr>
        <w:t xml:space="preserve">    </w:t>
      </w:r>
      <w:r>
        <w:rPr>
          <w:rFonts w:hint="eastAsia"/>
          <w:color w:val="auto"/>
        </w:rPr>
        <w:t>(此处填写“有”或“没有”)被列入“失信被执行人”（失信被执行人由《信用中国》跳转至《中国执行信息公开网》）</w:t>
      </w:r>
    </w:p>
    <w:p w14:paraId="7F9BE406">
      <w:pPr>
        <w:pageBreakBefore w:val="0"/>
        <w:wordWrap w:val="0"/>
        <w:overflowPunct/>
        <w:bidi w:val="0"/>
        <w:adjustRightInd/>
        <w:snapToGrid/>
        <w:rPr>
          <w:color w:val="auto"/>
        </w:rPr>
      </w:pPr>
      <w:r>
        <w:rPr>
          <w:rFonts w:hint="eastAsia"/>
          <w:color w:val="auto"/>
        </w:rPr>
        <w:t>3、我单位在用“中国政府采购网”</w:t>
      </w:r>
      <w:r>
        <w:rPr>
          <w:rFonts w:hint="eastAsia"/>
          <w:color w:val="auto"/>
          <w:u w:val="single"/>
        </w:rPr>
        <w:t xml:space="preserve">    </w:t>
      </w:r>
      <w:r>
        <w:rPr>
          <w:rFonts w:hint="eastAsia"/>
          <w:color w:val="auto"/>
        </w:rPr>
        <w:t>(此处填写“有”或“没有”)被列入“政府采购严重违法失信行为记录名单中”</w:t>
      </w:r>
    </w:p>
    <w:p w14:paraId="03B1966E">
      <w:pPr>
        <w:pageBreakBefore w:val="0"/>
        <w:wordWrap w:val="0"/>
        <w:overflowPunct/>
        <w:bidi w:val="0"/>
        <w:adjustRightInd/>
        <w:snapToGrid/>
        <w:rPr>
          <w:color w:val="auto"/>
        </w:rPr>
      </w:pPr>
      <w:r>
        <w:rPr>
          <w:rFonts w:hint="eastAsia"/>
          <w:color w:val="auto"/>
        </w:rPr>
        <w:t>（上述网站查询信息由投标人自行承诺，招标代理机构在投标文件递交截止时间前完成查询收集整理工作，并将结果提交评标委员会评审。）</w:t>
      </w:r>
    </w:p>
    <w:p w14:paraId="5A8B52C4">
      <w:pPr>
        <w:pageBreakBefore w:val="0"/>
        <w:wordWrap w:val="0"/>
        <w:overflowPunct/>
        <w:bidi w:val="0"/>
        <w:rPr>
          <w:color w:val="auto"/>
        </w:rPr>
      </w:pPr>
      <w:r>
        <w:rPr>
          <w:rFonts w:hint="eastAsia"/>
          <w:color w:val="auto"/>
        </w:rPr>
        <w:t>4、我公司未与其他投标人串通投标，与招标人无利害关系且不是可能影响招标公正性的法人、其他组织；也未与其他投标人存在负责人为同一人或者存在控股、管理关系。</w:t>
      </w:r>
    </w:p>
    <w:p w14:paraId="12337935">
      <w:pPr>
        <w:pageBreakBefore w:val="0"/>
        <w:wordWrap w:val="0"/>
        <w:overflowPunct/>
        <w:bidi w:val="0"/>
        <w:rPr>
          <w:color w:val="auto"/>
        </w:rPr>
      </w:pPr>
      <w:r>
        <w:rPr>
          <w:rFonts w:hint="eastAsia"/>
          <w:color w:val="auto"/>
        </w:rPr>
        <w:t>5、我公司未与其他公司组成联合体参与本项目投标。</w:t>
      </w:r>
    </w:p>
    <w:p w14:paraId="3AB70436">
      <w:pPr>
        <w:pageBreakBefore w:val="0"/>
        <w:wordWrap w:val="0"/>
        <w:overflowPunct/>
        <w:bidi w:val="0"/>
        <w:rPr>
          <w:color w:val="auto"/>
        </w:rPr>
      </w:pPr>
      <w:r>
        <w:rPr>
          <w:rFonts w:hint="eastAsia"/>
          <w:color w:val="auto"/>
        </w:rPr>
        <w:t>6、我公司保证若中标后，不转包、分包。</w:t>
      </w:r>
    </w:p>
    <w:p w14:paraId="57C78F42">
      <w:pPr>
        <w:pStyle w:val="21"/>
        <w:pageBreakBefore w:val="0"/>
        <w:wordWrap w:val="0"/>
        <w:overflowPunct/>
        <w:bidi w:val="0"/>
        <w:adjustRightInd/>
        <w:snapToGrid/>
        <w:spacing w:before="0" w:beforeAutospacing="0" w:after="0" w:afterAutospacing="0"/>
        <w:rPr>
          <w:color w:val="auto"/>
          <w:sz w:val="21"/>
          <w:shd w:val="clear" w:color="auto" w:fill="FFFFFF"/>
        </w:rPr>
      </w:pPr>
      <w:r>
        <w:rPr>
          <w:rFonts w:hint="eastAsia"/>
          <w:color w:val="auto"/>
          <w:sz w:val="21"/>
          <w:shd w:val="clear" w:color="auto" w:fill="FFFFFF"/>
        </w:rPr>
        <w:t>7、下述签署人在此申明，本次投标文件中所提交的资料和数据都是完整的、真实的和准确的，提供的证明文件及业绩证明材料是真实的，可供查询证实，所提供的承诺均真实可靠，若我公司存在隐瞒事实、弄虚作假等不诚信行为，一经发现，则按以下处理：</w:t>
      </w:r>
    </w:p>
    <w:p w14:paraId="42E27FBF">
      <w:pPr>
        <w:pStyle w:val="21"/>
        <w:pageBreakBefore w:val="0"/>
        <w:wordWrap w:val="0"/>
        <w:overflowPunct/>
        <w:bidi w:val="0"/>
        <w:adjustRightInd/>
        <w:snapToGrid/>
        <w:spacing w:before="0" w:beforeAutospacing="0" w:after="0" w:afterAutospacing="0"/>
        <w:rPr>
          <w:color w:val="auto"/>
          <w:sz w:val="21"/>
          <w:shd w:val="clear" w:color="auto" w:fill="FFFFFF"/>
        </w:rPr>
      </w:pPr>
      <w:r>
        <w:rPr>
          <w:rFonts w:hint="eastAsia"/>
          <w:color w:val="auto"/>
          <w:sz w:val="21"/>
          <w:shd w:val="clear" w:color="auto" w:fill="FFFFFF"/>
        </w:rPr>
        <w:t>（1）在评审阶段发现的，否决其投标文件；</w:t>
      </w:r>
    </w:p>
    <w:p w14:paraId="3F8D8092">
      <w:pPr>
        <w:pStyle w:val="21"/>
        <w:pageBreakBefore w:val="0"/>
        <w:wordWrap w:val="0"/>
        <w:overflowPunct/>
        <w:bidi w:val="0"/>
        <w:adjustRightInd/>
        <w:snapToGrid/>
        <w:spacing w:before="0" w:beforeAutospacing="0" w:after="0" w:afterAutospacing="0"/>
        <w:rPr>
          <w:color w:val="auto"/>
          <w:sz w:val="21"/>
          <w:shd w:val="clear" w:color="auto" w:fill="FFFFFF"/>
        </w:rPr>
      </w:pPr>
      <w:r>
        <w:rPr>
          <w:rFonts w:hint="eastAsia"/>
          <w:color w:val="auto"/>
          <w:sz w:val="21"/>
          <w:shd w:val="clear" w:color="auto" w:fill="FFFFFF"/>
        </w:rPr>
        <w:t>（2）在中标后、合同签订前发现的，取消中标资格；</w:t>
      </w:r>
    </w:p>
    <w:p w14:paraId="1435D044">
      <w:pPr>
        <w:pStyle w:val="21"/>
        <w:pageBreakBefore w:val="0"/>
        <w:wordWrap w:val="0"/>
        <w:overflowPunct/>
        <w:bidi w:val="0"/>
        <w:adjustRightInd/>
        <w:snapToGrid/>
        <w:spacing w:before="0" w:beforeAutospacing="0" w:after="0" w:afterAutospacing="0"/>
        <w:rPr>
          <w:color w:val="auto"/>
          <w:sz w:val="21"/>
          <w:shd w:val="clear" w:color="auto" w:fill="FFFFFF"/>
        </w:rPr>
      </w:pPr>
      <w:r>
        <w:rPr>
          <w:rFonts w:hint="eastAsia"/>
          <w:color w:val="auto"/>
          <w:sz w:val="21"/>
          <w:shd w:val="clear" w:color="auto" w:fill="FFFFFF"/>
        </w:rPr>
        <w:t>若发现我公司未按以上承诺内容执行，贵公司可视为我公司虚假应标，我公司愿意接受虚假应标的相应处罚以及承担相应的法律责任。</w:t>
      </w:r>
    </w:p>
    <w:p w14:paraId="55614533">
      <w:pPr>
        <w:pStyle w:val="21"/>
        <w:pageBreakBefore w:val="0"/>
        <w:wordWrap w:val="0"/>
        <w:overflowPunct/>
        <w:bidi w:val="0"/>
        <w:adjustRightInd/>
        <w:snapToGrid/>
        <w:spacing w:before="0" w:beforeAutospacing="0" w:after="0" w:afterAutospacing="0"/>
        <w:jc w:val="right"/>
        <w:rPr>
          <w:color w:val="auto"/>
          <w:sz w:val="21"/>
        </w:rPr>
      </w:pPr>
      <w:r>
        <w:rPr>
          <w:rFonts w:hint="eastAsia"/>
          <w:color w:val="auto"/>
          <w:sz w:val="21"/>
        </w:rPr>
        <w:t>投标人名称（盖公章）：________________________</w:t>
      </w:r>
    </w:p>
    <w:p w14:paraId="7EAB2229">
      <w:pPr>
        <w:pageBreakBefore w:val="0"/>
        <w:wordWrap w:val="0"/>
        <w:overflowPunct/>
        <w:bidi w:val="0"/>
        <w:adjustRightInd/>
        <w:snapToGrid/>
        <w:jc w:val="right"/>
        <w:rPr>
          <w:color w:val="auto"/>
        </w:rPr>
      </w:pPr>
      <w:r>
        <w:rPr>
          <w:rFonts w:hint="eastAsia"/>
          <w:color w:val="auto"/>
        </w:rPr>
        <w:t>法定代表人或其授权代理人（签字或盖章）：__________</w:t>
      </w:r>
    </w:p>
    <w:p w14:paraId="6BB24BB5">
      <w:pPr>
        <w:pageBreakBefore w:val="0"/>
        <w:wordWrap w:val="0"/>
        <w:overflowPunct/>
        <w:bidi w:val="0"/>
        <w:adjustRightInd/>
        <w:snapToGrid/>
        <w:jc w:val="right"/>
        <w:rPr>
          <w:color w:val="auto"/>
        </w:rPr>
      </w:pPr>
      <w:r>
        <w:rPr>
          <w:rFonts w:hint="eastAsia"/>
          <w:color w:val="auto"/>
        </w:rPr>
        <w:t>日期：_______年____月_____日</w:t>
      </w:r>
    </w:p>
    <w:p w14:paraId="5D5E2245">
      <w:pPr>
        <w:pageBreakBefore w:val="0"/>
        <w:wordWrap w:val="0"/>
        <w:overflowPunct/>
        <w:bidi w:val="0"/>
        <w:adjustRightInd/>
        <w:snapToGrid/>
        <w:rPr>
          <w:b/>
          <w:bCs/>
          <w:color w:val="auto"/>
          <w:spacing w:val="-4"/>
          <w:sz w:val="32"/>
          <w:szCs w:val="32"/>
        </w:rPr>
      </w:pPr>
      <w:bookmarkStart w:id="59" w:name="_Toc247230329"/>
      <w:bookmarkStart w:id="60" w:name="_Toc14978927"/>
      <w:bookmarkStart w:id="61" w:name="_Toc520997337"/>
      <w:bookmarkStart w:id="62" w:name="_Toc361242581"/>
      <w:bookmarkStart w:id="63" w:name="_Toc36960952"/>
      <w:bookmarkStart w:id="64" w:name="_Toc428352876"/>
      <w:bookmarkStart w:id="65" w:name="_Toc11854017"/>
      <w:bookmarkStart w:id="66" w:name="_Toc361385993"/>
      <w:bookmarkStart w:id="67" w:name="_Toc500139583"/>
      <w:bookmarkStart w:id="68" w:name="_Toc408756344"/>
      <w:bookmarkStart w:id="69" w:name="_Toc421711560"/>
      <w:bookmarkStart w:id="70" w:name="_Toc500189020"/>
      <w:bookmarkStart w:id="71" w:name="_Toc17707828"/>
      <w:r>
        <w:rPr>
          <w:rFonts w:hint="eastAsia"/>
          <w:color w:val="auto"/>
        </w:rPr>
        <w:br w:type="page"/>
      </w:r>
    </w:p>
    <w:p w14:paraId="71924A1E">
      <w:pPr>
        <w:pStyle w:val="3"/>
        <w:pageBreakBefore w:val="0"/>
        <w:wordWrap w:val="0"/>
        <w:overflowPunct/>
        <w:bidi w:val="0"/>
        <w:ind w:firstLine="562"/>
        <w:jc w:val="center"/>
        <w:rPr>
          <w:color w:val="auto"/>
          <w:sz w:val="28"/>
          <w:szCs w:val="28"/>
        </w:rPr>
      </w:pPr>
      <w:bookmarkStart w:id="72" w:name="_Toc19879"/>
      <w:r>
        <w:rPr>
          <w:rFonts w:hint="eastAsia"/>
          <w:color w:val="auto"/>
          <w:sz w:val="28"/>
          <w:szCs w:val="28"/>
        </w:rPr>
        <w:t>2.9具有履行合同所必需的设备和专业技术能力承诺</w:t>
      </w:r>
      <w:bookmarkEnd w:id="72"/>
    </w:p>
    <w:p w14:paraId="6E2BB668">
      <w:pPr>
        <w:pageBreakBefore w:val="0"/>
        <w:wordWrap w:val="0"/>
        <w:overflowPunct/>
        <w:bidi w:val="0"/>
        <w:ind w:firstLine="422"/>
        <w:rPr>
          <w:b/>
          <w:bCs/>
          <w:color w:val="auto"/>
          <w:u w:val="single"/>
        </w:rPr>
      </w:pPr>
      <w:r>
        <w:rPr>
          <w:rFonts w:hint="eastAsia"/>
          <w:b/>
          <w:bCs/>
          <w:color w:val="auto"/>
        </w:rPr>
        <w:t>致云南省消防救援总队:</w:t>
      </w:r>
    </w:p>
    <w:p w14:paraId="23AE743E">
      <w:pPr>
        <w:pageBreakBefore w:val="0"/>
        <w:wordWrap w:val="0"/>
        <w:overflowPunct/>
        <w:bidi w:val="0"/>
        <w:rPr>
          <w:color w:val="auto"/>
          <w:u w:val="single"/>
        </w:rPr>
      </w:pPr>
    </w:p>
    <w:p w14:paraId="2ED03C53">
      <w:pPr>
        <w:pageBreakBefore w:val="0"/>
        <w:wordWrap w:val="0"/>
        <w:overflowPunct/>
        <w:bidi w:val="0"/>
        <w:rPr>
          <w:color w:val="auto"/>
        </w:rPr>
      </w:pPr>
      <w:r>
        <w:rPr>
          <w:rFonts w:hint="eastAsia"/>
          <w:color w:val="auto"/>
        </w:rPr>
        <w:t>我公司参与</w:t>
      </w:r>
      <w:r>
        <w:rPr>
          <w:rFonts w:hint="eastAsia"/>
          <w:color w:val="auto"/>
          <w:lang w:eastAsia="zh-CN"/>
        </w:rPr>
        <w:t>云南省消防救援总队2023年“自然灾害应急能力提升工程”装备配备项目（车辆部分）第一批次（二次招标）</w:t>
      </w:r>
      <w:r>
        <w:rPr>
          <w:rFonts w:hint="eastAsia"/>
          <w:color w:val="auto"/>
        </w:rPr>
        <w:t>投标</w:t>
      </w:r>
      <w:r>
        <w:rPr>
          <w:rFonts w:hint="eastAsia"/>
          <w:color w:val="auto"/>
          <w:spacing w:val="1"/>
        </w:rPr>
        <w:t>。</w:t>
      </w:r>
      <w:r>
        <w:rPr>
          <w:rFonts w:hint="eastAsia"/>
          <w:color w:val="auto"/>
        </w:rPr>
        <w:t>声明我公司具有履行合同所必需的设备和专业技术能力。</w:t>
      </w:r>
    </w:p>
    <w:p w14:paraId="7C69E5F6">
      <w:pPr>
        <w:pageBreakBefore w:val="0"/>
        <w:wordWrap w:val="0"/>
        <w:overflowPunct/>
        <w:bidi w:val="0"/>
        <w:rPr>
          <w:color w:val="auto"/>
        </w:rPr>
      </w:pPr>
    </w:p>
    <w:p w14:paraId="14A454D5">
      <w:pPr>
        <w:pStyle w:val="21"/>
        <w:pageBreakBefore w:val="0"/>
        <w:wordWrap w:val="0"/>
        <w:overflowPunct/>
        <w:bidi w:val="0"/>
        <w:adjustRightInd/>
        <w:snapToGrid/>
        <w:spacing w:before="0" w:beforeAutospacing="0" w:after="0" w:afterAutospacing="0"/>
        <w:jc w:val="right"/>
        <w:rPr>
          <w:color w:val="auto"/>
          <w:sz w:val="21"/>
        </w:rPr>
      </w:pPr>
      <w:r>
        <w:rPr>
          <w:rFonts w:hint="eastAsia"/>
          <w:color w:val="auto"/>
          <w:sz w:val="21"/>
        </w:rPr>
        <w:t>投标人名称（盖公章）：________________________</w:t>
      </w:r>
    </w:p>
    <w:p w14:paraId="67FC114A">
      <w:pPr>
        <w:pageBreakBefore w:val="0"/>
        <w:wordWrap w:val="0"/>
        <w:overflowPunct/>
        <w:bidi w:val="0"/>
        <w:adjustRightInd/>
        <w:snapToGrid/>
        <w:jc w:val="right"/>
        <w:rPr>
          <w:color w:val="auto"/>
        </w:rPr>
      </w:pPr>
      <w:r>
        <w:rPr>
          <w:rFonts w:hint="eastAsia"/>
          <w:color w:val="auto"/>
        </w:rPr>
        <w:t>法定代表人或其授权代理人（签字或盖章）：__________</w:t>
      </w:r>
    </w:p>
    <w:p w14:paraId="416B6D28">
      <w:pPr>
        <w:pageBreakBefore w:val="0"/>
        <w:wordWrap w:val="0"/>
        <w:overflowPunct/>
        <w:bidi w:val="0"/>
        <w:adjustRightInd/>
        <w:snapToGrid/>
        <w:jc w:val="right"/>
        <w:rPr>
          <w:color w:val="auto"/>
        </w:rPr>
      </w:pPr>
      <w:r>
        <w:rPr>
          <w:rFonts w:hint="eastAsia"/>
          <w:color w:val="auto"/>
        </w:rPr>
        <w:t>日期：_______年____月_____日</w:t>
      </w:r>
    </w:p>
    <w:p w14:paraId="755804AA">
      <w:pPr>
        <w:pStyle w:val="3"/>
        <w:pageBreakBefore w:val="0"/>
        <w:wordWrap w:val="0"/>
        <w:overflowPunct/>
        <w:bidi w:val="0"/>
        <w:ind w:firstLine="562"/>
        <w:jc w:val="center"/>
        <w:rPr>
          <w:color w:val="auto"/>
          <w:sz w:val="28"/>
          <w:szCs w:val="28"/>
        </w:rPr>
      </w:pPr>
      <w:bookmarkStart w:id="73" w:name="_Toc13630"/>
      <w:r>
        <w:rPr>
          <w:rFonts w:hint="eastAsia"/>
          <w:color w:val="auto"/>
          <w:sz w:val="28"/>
          <w:szCs w:val="28"/>
        </w:rPr>
        <w:t>2.10无重大违法记录的书面声明</w:t>
      </w:r>
      <w:bookmarkEnd w:id="73"/>
    </w:p>
    <w:p w14:paraId="549025A6">
      <w:pPr>
        <w:pageBreakBefore w:val="0"/>
        <w:wordWrap w:val="0"/>
        <w:overflowPunct/>
        <w:bidi w:val="0"/>
        <w:adjustRightInd/>
        <w:snapToGrid/>
        <w:ind w:firstLine="426"/>
        <w:jc w:val="both"/>
        <w:rPr>
          <w:b/>
          <w:bCs/>
          <w:color w:val="auto"/>
          <w:spacing w:val="1"/>
        </w:rPr>
      </w:pPr>
      <w:r>
        <w:rPr>
          <w:rFonts w:hint="eastAsia"/>
          <w:b/>
          <w:bCs/>
          <w:color w:val="auto"/>
          <w:spacing w:val="1"/>
        </w:rPr>
        <w:t>致</w:t>
      </w:r>
      <w:r>
        <w:rPr>
          <w:rFonts w:hint="eastAsia"/>
          <w:b/>
          <w:bCs/>
          <w:color w:val="auto"/>
        </w:rPr>
        <w:t>云南省消防救援总队</w:t>
      </w:r>
      <w:r>
        <w:rPr>
          <w:rFonts w:hint="eastAsia"/>
          <w:b/>
          <w:bCs/>
          <w:color w:val="auto"/>
          <w:spacing w:val="1"/>
        </w:rPr>
        <w:t>：</w:t>
      </w:r>
    </w:p>
    <w:p w14:paraId="2EDDE36E">
      <w:pPr>
        <w:pageBreakBefore w:val="0"/>
        <w:wordWrap w:val="0"/>
        <w:overflowPunct/>
        <w:bidi w:val="0"/>
        <w:adjustRightInd/>
        <w:snapToGrid/>
        <w:ind w:firstLine="426"/>
        <w:jc w:val="both"/>
        <w:rPr>
          <w:b/>
          <w:bCs/>
          <w:color w:val="auto"/>
          <w:spacing w:val="1"/>
        </w:rPr>
      </w:pPr>
    </w:p>
    <w:p w14:paraId="0BF9173A">
      <w:pPr>
        <w:pageBreakBefore w:val="0"/>
        <w:wordWrap w:val="0"/>
        <w:overflowPunct/>
        <w:bidi w:val="0"/>
        <w:adjustRightInd/>
        <w:snapToGrid/>
        <w:jc w:val="both"/>
        <w:rPr>
          <w:color w:val="auto"/>
        </w:rPr>
      </w:pPr>
      <w:r>
        <w:rPr>
          <w:rFonts w:hint="eastAsia"/>
          <w:color w:val="auto"/>
        </w:rPr>
        <w:t>我公司参与</w:t>
      </w:r>
      <w:r>
        <w:rPr>
          <w:rFonts w:hint="eastAsia"/>
          <w:color w:val="auto"/>
          <w:lang w:eastAsia="zh-CN"/>
        </w:rPr>
        <w:t>云南省消防救援总队2023年“自然灾害应急能力提升工程”装备配备项目（车辆部分）第一批次（二次招标）</w:t>
      </w:r>
      <w:r>
        <w:rPr>
          <w:rFonts w:hint="eastAsia"/>
          <w:color w:val="auto"/>
        </w:rPr>
        <w:t>投标，声明我公司在政府采购活动前 3 年内在经营活动中没有重大违法记录(重大违法记录，是指投标人因违法经营受到刑事处罚或者责令停产停业、吊销许可证或者执照、较大数额罚款等行政处罚)。</w:t>
      </w:r>
    </w:p>
    <w:p w14:paraId="6AAA0E28">
      <w:pPr>
        <w:pageBreakBefore w:val="0"/>
        <w:wordWrap w:val="0"/>
        <w:overflowPunct/>
        <w:bidi w:val="0"/>
        <w:adjustRightInd/>
        <w:snapToGrid/>
        <w:ind w:firstLine="404"/>
        <w:jc w:val="both"/>
        <w:rPr>
          <w:color w:val="auto"/>
          <w:spacing w:val="-4"/>
        </w:rPr>
      </w:pPr>
    </w:p>
    <w:p w14:paraId="4D7EDA7B">
      <w:pPr>
        <w:pageBreakBefore w:val="0"/>
        <w:wordWrap w:val="0"/>
        <w:overflowPunct/>
        <w:bidi w:val="0"/>
        <w:adjustRightInd/>
        <w:snapToGrid/>
        <w:jc w:val="both"/>
        <w:rPr>
          <w:color w:val="auto"/>
        </w:rPr>
      </w:pPr>
      <w:r>
        <w:rPr>
          <w:rFonts w:hint="eastAsia"/>
          <w:color w:val="auto"/>
        </w:rPr>
        <w:t>特此声明</w:t>
      </w:r>
    </w:p>
    <w:p w14:paraId="0573325F">
      <w:pPr>
        <w:pStyle w:val="21"/>
        <w:pageBreakBefore w:val="0"/>
        <w:wordWrap w:val="0"/>
        <w:overflowPunct/>
        <w:bidi w:val="0"/>
        <w:adjustRightInd/>
        <w:snapToGrid/>
        <w:spacing w:before="0" w:beforeAutospacing="0" w:after="0" w:afterAutospacing="0"/>
        <w:jc w:val="right"/>
        <w:rPr>
          <w:color w:val="auto"/>
          <w:sz w:val="21"/>
        </w:rPr>
      </w:pPr>
      <w:r>
        <w:rPr>
          <w:rFonts w:hint="eastAsia"/>
          <w:color w:val="auto"/>
          <w:sz w:val="21"/>
        </w:rPr>
        <w:t>投标人名称（盖公章）：________________________</w:t>
      </w:r>
    </w:p>
    <w:p w14:paraId="3AEBA085">
      <w:pPr>
        <w:pageBreakBefore w:val="0"/>
        <w:wordWrap w:val="0"/>
        <w:overflowPunct/>
        <w:bidi w:val="0"/>
        <w:adjustRightInd/>
        <w:snapToGrid/>
        <w:jc w:val="right"/>
        <w:rPr>
          <w:color w:val="auto"/>
        </w:rPr>
      </w:pPr>
      <w:r>
        <w:rPr>
          <w:rFonts w:hint="eastAsia"/>
          <w:color w:val="auto"/>
        </w:rPr>
        <w:t>法定代表人或其授权代理人（签字或盖章）：__________</w:t>
      </w:r>
    </w:p>
    <w:p w14:paraId="540878A8">
      <w:pPr>
        <w:pageBreakBefore w:val="0"/>
        <w:wordWrap w:val="0"/>
        <w:overflowPunct/>
        <w:bidi w:val="0"/>
        <w:adjustRightInd/>
        <w:snapToGrid/>
        <w:jc w:val="right"/>
        <w:rPr>
          <w:color w:val="auto"/>
        </w:rPr>
      </w:pPr>
      <w:r>
        <w:rPr>
          <w:rFonts w:hint="eastAsia"/>
          <w:color w:val="auto"/>
        </w:rPr>
        <w:t>日期：_______年____月_____日</w:t>
      </w:r>
    </w:p>
    <w:p w14:paraId="38598DBA">
      <w:pPr>
        <w:pStyle w:val="3"/>
        <w:pageBreakBefore w:val="0"/>
        <w:wordWrap w:val="0"/>
        <w:overflowPunct/>
        <w:bidi w:val="0"/>
        <w:ind w:firstLine="562"/>
        <w:jc w:val="center"/>
        <w:rPr>
          <w:color w:val="auto"/>
          <w:sz w:val="28"/>
          <w:szCs w:val="28"/>
        </w:rPr>
      </w:pPr>
      <w:bookmarkStart w:id="74" w:name="_Toc3012"/>
      <w:r>
        <w:rPr>
          <w:rFonts w:hint="eastAsia"/>
          <w:color w:val="auto"/>
          <w:sz w:val="28"/>
          <w:szCs w:val="28"/>
        </w:rPr>
        <w:t>2.11存在控股、管理关系承诺</w:t>
      </w:r>
      <w:bookmarkEnd w:id="74"/>
    </w:p>
    <w:p w14:paraId="2987E81B">
      <w:pPr>
        <w:pageBreakBefore w:val="0"/>
        <w:wordWrap w:val="0"/>
        <w:overflowPunct/>
        <w:bidi w:val="0"/>
        <w:ind w:firstLine="422"/>
        <w:rPr>
          <w:b/>
          <w:bCs/>
          <w:color w:val="auto"/>
          <w:u w:val="single"/>
        </w:rPr>
      </w:pPr>
      <w:r>
        <w:rPr>
          <w:rFonts w:hint="eastAsia"/>
          <w:b/>
          <w:bCs/>
          <w:color w:val="auto"/>
        </w:rPr>
        <w:t>致云南省消防救援总队:</w:t>
      </w:r>
    </w:p>
    <w:p w14:paraId="79CA80FF">
      <w:pPr>
        <w:pageBreakBefore w:val="0"/>
        <w:wordWrap w:val="0"/>
        <w:overflowPunct/>
        <w:bidi w:val="0"/>
        <w:rPr>
          <w:color w:val="auto"/>
          <w:u w:val="single"/>
        </w:rPr>
      </w:pPr>
    </w:p>
    <w:p w14:paraId="35A5E4B4">
      <w:pPr>
        <w:pageBreakBefore w:val="0"/>
        <w:wordWrap w:val="0"/>
        <w:overflowPunct/>
        <w:bidi w:val="0"/>
        <w:rPr>
          <w:color w:val="auto"/>
        </w:rPr>
      </w:pPr>
      <w:r>
        <w:rPr>
          <w:rFonts w:hint="eastAsia"/>
          <w:color w:val="auto"/>
        </w:rPr>
        <w:t>我公司与参与本项目其他投标人</w:t>
      </w:r>
      <w:r>
        <w:rPr>
          <w:rFonts w:hint="eastAsia"/>
          <w:color w:val="auto"/>
          <w:u w:val="single"/>
        </w:rPr>
        <w:t xml:space="preserve"> </w:t>
      </w:r>
      <w:r>
        <w:rPr>
          <w:color w:val="auto"/>
          <w:u w:val="single"/>
        </w:rPr>
        <w:t xml:space="preserve">    </w:t>
      </w:r>
      <w:r>
        <w:rPr>
          <w:rFonts w:hint="eastAsia"/>
          <w:color w:val="auto"/>
        </w:rPr>
        <w:t>(此处填写“有”或“没有”) “单位负责人为同一人或者存在控股、管理关系的不同单位，同时参加本项目的投标”的情形</w:t>
      </w:r>
      <w:r>
        <w:rPr>
          <w:rFonts w:hint="eastAsia"/>
          <w:color w:val="auto"/>
          <w:spacing w:val="1"/>
        </w:rPr>
        <w:t>。</w:t>
      </w:r>
    </w:p>
    <w:p w14:paraId="37E376FF">
      <w:pPr>
        <w:pageBreakBefore w:val="0"/>
        <w:wordWrap w:val="0"/>
        <w:overflowPunct/>
        <w:bidi w:val="0"/>
        <w:rPr>
          <w:color w:val="auto"/>
        </w:rPr>
      </w:pPr>
    </w:p>
    <w:p w14:paraId="144BEC4C">
      <w:pPr>
        <w:pStyle w:val="21"/>
        <w:pageBreakBefore w:val="0"/>
        <w:wordWrap w:val="0"/>
        <w:overflowPunct/>
        <w:bidi w:val="0"/>
        <w:adjustRightInd/>
        <w:snapToGrid/>
        <w:spacing w:before="0" w:beforeAutospacing="0" w:after="0" w:afterAutospacing="0"/>
        <w:jc w:val="right"/>
        <w:rPr>
          <w:color w:val="auto"/>
          <w:sz w:val="21"/>
        </w:rPr>
      </w:pPr>
      <w:r>
        <w:rPr>
          <w:rFonts w:hint="eastAsia"/>
          <w:color w:val="auto"/>
          <w:sz w:val="21"/>
        </w:rPr>
        <w:t>投标人名称（盖公章）：________________________</w:t>
      </w:r>
    </w:p>
    <w:p w14:paraId="30743770">
      <w:pPr>
        <w:pageBreakBefore w:val="0"/>
        <w:wordWrap w:val="0"/>
        <w:overflowPunct/>
        <w:bidi w:val="0"/>
        <w:adjustRightInd/>
        <w:snapToGrid/>
        <w:jc w:val="right"/>
        <w:rPr>
          <w:color w:val="auto"/>
        </w:rPr>
      </w:pPr>
      <w:r>
        <w:rPr>
          <w:rFonts w:hint="eastAsia"/>
          <w:color w:val="auto"/>
        </w:rPr>
        <w:t>法定代表人或其授权代理人（签字或盖章）：__________</w:t>
      </w:r>
    </w:p>
    <w:p w14:paraId="7D27510A">
      <w:pPr>
        <w:pageBreakBefore w:val="0"/>
        <w:wordWrap w:val="0"/>
        <w:overflowPunct/>
        <w:bidi w:val="0"/>
        <w:adjustRightInd/>
        <w:snapToGrid/>
        <w:jc w:val="right"/>
        <w:rPr>
          <w:color w:val="auto"/>
        </w:rPr>
      </w:pPr>
      <w:r>
        <w:rPr>
          <w:rFonts w:hint="eastAsia"/>
          <w:color w:val="auto"/>
        </w:rPr>
        <w:t>日期：_______年____月_____日</w:t>
      </w:r>
    </w:p>
    <w:p w14:paraId="66F40436">
      <w:pPr>
        <w:pageBreakBefore w:val="0"/>
        <w:wordWrap w:val="0"/>
        <w:overflowPunct/>
        <w:bidi w:val="0"/>
        <w:adjustRightInd/>
        <w:snapToGrid/>
        <w:ind w:firstLine="480"/>
        <w:jc w:val="center"/>
        <w:rPr>
          <w:color w:val="auto"/>
          <w:sz w:val="24"/>
          <w:szCs w:val="24"/>
        </w:rPr>
      </w:pPr>
      <w:r>
        <w:rPr>
          <w:rFonts w:hint="eastAsia"/>
          <w:color w:val="auto"/>
          <w:sz w:val="24"/>
          <w:szCs w:val="24"/>
        </w:rPr>
        <w:br w:type="page"/>
      </w:r>
    </w:p>
    <w:p w14:paraId="63855072">
      <w:pPr>
        <w:pStyle w:val="3"/>
        <w:pageBreakBefore w:val="0"/>
        <w:wordWrap w:val="0"/>
        <w:overflowPunct/>
        <w:bidi w:val="0"/>
        <w:ind w:firstLine="562"/>
        <w:jc w:val="center"/>
        <w:rPr>
          <w:color w:val="auto"/>
          <w:sz w:val="28"/>
          <w:szCs w:val="28"/>
        </w:rPr>
      </w:pPr>
      <w:bookmarkStart w:id="75" w:name="_Toc28226"/>
      <w:r>
        <w:rPr>
          <w:rFonts w:hint="eastAsia"/>
          <w:color w:val="auto"/>
          <w:sz w:val="28"/>
          <w:szCs w:val="28"/>
        </w:rPr>
        <w:t>2.12无关联承诺</w:t>
      </w:r>
      <w:bookmarkEnd w:id="75"/>
    </w:p>
    <w:p w14:paraId="66201E58">
      <w:pPr>
        <w:pageBreakBefore w:val="0"/>
        <w:wordWrap w:val="0"/>
        <w:overflowPunct/>
        <w:bidi w:val="0"/>
        <w:ind w:firstLine="422"/>
        <w:rPr>
          <w:b/>
          <w:bCs/>
          <w:color w:val="auto"/>
          <w:u w:val="single"/>
        </w:rPr>
      </w:pPr>
      <w:r>
        <w:rPr>
          <w:rFonts w:hint="eastAsia"/>
          <w:b/>
          <w:bCs/>
          <w:color w:val="auto"/>
        </w:rPr>
        <w:t>致云南省消防救援总队:</w:t>
      </w:r>
    </w:p>
    <w:p w14:paraId="1365F313">
      <w:pPr>
        <w:pageBreakBefore w:val="0"/>
        <w:wordWrap w:val="0"/>
        <w:overflowPunct/>
        <w:bidi w:val="0"/>
        <w:rPr>
          <w:color w:val="auto"/>
          <w:u w:val="single"/>
        </w:rPr>
      </w:pPr>
    </w:p>
    <w:p w14:paraId="6A3A0E96">
      <w:pPr>
        <w:pageBreakBefore w:val="0"/>
        <w:wordWrap w:val="0"/>
        <w:overflowPunct/>
        <w:bidi w:val="0"/>
        <w:rPr>
          <w:color w:val="auto"/>
        </w:rPr>
      </w:pPr>
      <w:r>
        <w:rPr>
          <w:rFonts w:hint="eastAsia"/>
          <w:color w:val="auto"/>
        </w:rPr>
        <w:t>我方</w:t>
      </w:r>
      <w:r>
        <w:rPr>
          <w:rFonts w:hint="eastAsia"/>
          <w:color w:val="auto"/>
          <w:u w:val="single"/>
        </w:rPr>
        <w:t xml:space="preserve">            </w:t>
      </w:r>
      <w:r>
        <w:rPr>
          <w:rFonts w:hint="eastAsia"/>
          <w:color w:val="auto"/>
        </w:rPr>
        <w:t>（属于/不属于）</w:t>
      </w:r>
      <w:r>
        <w:rPr>
          <w:rFonts w:hint="eastAsia"/>
          <w:color w:val="auto"/>
          <w:spacing w:val="1"/>
        </w:rPr>
        <w:t>直接或间接地与招标人为采购本次招标的项目进行设计、编制规范或其他文件所委托的咨询公司或其他附属机构、个人有任何关联。符合《中华人民共和国政府采购法实施条例》（第658号）第九条之规定。</w:t>
      </w:r>
    </w:p>
    <w:p w14:paraId="73E03073">
      <w:pPr>
        <w:pageBreakBefore w:val="0"/>
        <w:wordWrap w:val="0"/>
        <w:overflowPunct/>
        <w:bidi w:val="0"/>
        <w:rPr>
          <w:color w:val="auto"/>
        </w:rPr>
      </w:pPr>
    </w:p>
    <w:p w14:paraId="2A535813">
      <w:pPr>
        <w:pStyle w:val="21"/>
        <w:pageBreakBefore w:val="0"/>
        <w:wordWrap w:val="0"/>
        <w:overflowPunct/>
        <w:bidi w:val="0"/>
        <w:adjustRightInd/>
        <w:snapToGrid/>
        <w:spacing w:before="0" w:beforeAutospacing="0" w:after="0" w:afterAutospacing="0"/>
        <w:jc w:val="right"/>
        <w:rPr>
          <w:color w:val="auto"/>
          <w:sz w:val="21"/>
        </w:rPr>
      </w:pPr>
      <w:r>
        <w:rPr>
          <w:rFonts w:hint="eastAsia"/>
          <w:color w:val="auto"/>
          <w:sz w:val="21"/>
        </w:rPr>
        <w:t>投标人名称（盖公章）：________________________</w:t>
      </w:r>
    </w:p>
    <w:p w14:paraId="5A9BE265">
      <w:pPr>
        <w:pageBreakBefore w:val="0"/>
        <w:wordWrap w:val="0"/>
        <w:overflowPunct/>
        <w:bidi w:val="0"/>
        <w:adjustRightInd/>
        <w:snapToGrid/>
        <w:jc w:val="right"/>
        <w:rPr>
          <w:color w:val="auto"/>
        </w:rPr>
      </w:pPr>
      <w:r>
        <w:rPr>
          <w:rFonts w:hint="eastAsia"/>
          <w:color w:val="auto"/>
        </w:rPr>
        <w:t>法定代表人或其授权代理人（签字或盖章）：__________</w:t>
      </w:r>
    </w:p>
    <w:p w14:paraId="79469A53">
      <w:pPr>
        <w:pageBreakBefore w:val="0"/>
        <w:wordWrap w:val="0"/>
        <w:overflowPunct/>
        <w:bidi w:val="0"/>
        <w:adjustRightInd/>
        <w:snapToGrid/>
        <w:jc w:val="right"/>
        <w:rPr>
          <w:color w:val="auto"/>
        </w:rPr>
      </w:pPr>
      <w:r>
        <w:rPr>
          <w:rFonts w:hint="eastAsia"/>
          <w:color w:val="auto"/>
        </w:rPr>
        <w:t>日期：_______年____月_____日</w:t>
      </w:r>
    </w:p>
    <w:p w14:paraId="6BD40512">
      <w:pPr>
        <w:pageBreakBefore w:val="0"/>
        <w:wordWrap w:val="0"/>
        <w:overflowPunct/>
        <w:bidi w:val="0"/>
        <w:rPr>
          <w:color w:val="auto"/>
        </w:rPr>
      </w:pPr>
    </w:p>
    <w:p w14:paraId="74CAB8AB">
      <w:pPr>
        <w:pageBreakBefore w:val="0"/>
        <w:wordWrap w:val="0"/>
        <w:overflowPunct/>
        <w:bidi w:val="0"/>
        <w:rPr>
          <w:color w:val="auto"/>
        </w:rPr>
      </w:pPr>
    </w:p>
    <w:p w14:paraId="7E1903F9">
      <w:pPr>
        <w:pStyle w:val="3"/>
        <w:pageBreakBefore w:val="0"/>
        <w:wordWrap w:val="0"/>
        <w:overflowPunct/>
        <w:bidi w:val="0"/>
        <w:ind w:firstLine="562"/>
        <w:jc w:val="center"/>
        <w:rPr>
          <w:color w:val="auto"/>
          <w:sz w:val="28"/>
          <w:szCs w:val="28"/>
        </w:rPr>
      </w:pPr>
      <w:bookmarkStart w:id="76" w:name="_Toc10952"/>
      <w:r>
        <w:rPr>
          <w:rFonts w:hint="eastAsia"/>
          <w:color w:val="auto"/>
          <w:sz w:val="28"/>
          <w:szCs w:val="28"/>
        </w:rPr>
        <w:t>2.13非联合体投标承诺</w:t>
      </w:r>
      <w:bookmarkEnd w:id="76"/>
    </w:p>
    <w:p w14:paraId="225897CF">
      <w:pPr>
        <w:pageBreakBefore w:val="0"/>
        <w:wordWrap w:val="0"/>
        <w:overflowPunct/>
        <w:bidi w:val="0"/>
        <w:ind w:firstLine="422"/>
        <w:rPr>
          <w:b/>
          <w:bCs/>
          <w:color w:val="auto"/>
          <w:u w:val="single"/>
        </w:rPr>
      </w:pPr>
      <w:r>
        <w:rPr>
          <w:rFonts w:hint="eastAsia"/>
          <w:b/>
          <w:bCs/>
          <w:color w:val="auto"/>
        </w:rPr>
        <w:t>致云南省消防救援总队:</w:t>
      </w:r>
    </w:p>
    <w:p w14:paraId="0AE1490D">
      <w:pPr>
        <w:pageBreakBefore w:val="0"/>
        <w:wordWrap w:val="0"/>
        <w:overflowPunct/>
        <w:bidi w:val="0"/>
        <w:rPr>
          <w:color w:val="auto"/>
          <w:u w:val="single"/>
        </w:rPr>
      </w:pPr>
    </w:p>
    <w:p w14:paraId="631D6CB3">
      <w:pPr>
        <w:pageBreakBefore w:val="0"/>
        <w:wordWrap w:val="0"/>
        <w:overflowPunct/>
        <w:bidi w:val="0"/>
        <w:rPr>
          <w:color w:val="auto"/>
        </w:rPr>
      </w:pPr>
      <w:r>
        <w:rPr>
          <w:rFonts w:hint="eastAsia"/>
          <w:color w:val="auto"/>
        </w:rPr>
        <w:t>我方</w:t>
      </w:r>
      <w:r>
        <w:rPr>
          <w:rFonts w:hint="eastAsia"/>
          <w:color w:val="auto"/>
          <w:u w:val="single"/>
        </w:rPr>
        <w:t xml:space="preserve">            </w:t>
      </w:r>
      <w:r>
        <w:rPr>
          <w:rFonts w:hint="eastAsia"/>
          <w:color w:val="auto"/>
        </w:rPr>
        <w:t>（属于/不属于）</w:t>
      </w:r>
      <w:r>
        <w:rPr>
          <w:rFonts w:hint="eastAsia"/>
          <w:color w:val="auto"/>
          <w:spacing w:val="1"/>
        </w:rPr>
        <w:t>联合体参与本项目。</w:t>
      </w:r>
    </w:p>
    <w:p w14:paraId="02396464">
      <w:pPr>
        <w:pageBreakBefore w:val="0"/>
        <w:wordWrap w:val="0"/>
        <w:overflowPunct/>
        <w:bidi w:val="0"/>
        <w:rPr>
          <w:color w:val="auto"/>
        </w:rPr>
      </w:pPr>
    </w:p>
    <w:p w14:paraId="5078E1C5">
      <w:pPr>
        <w:pStyle w:val="21"/>
        <w:pageBreakBefore w:val="0"/>
        <w:wordWrap w:val="0"/>
        <w:overflowPunct/>
        <w:bidi w:val="0"/>
        <w:adjustRightInd/>
        <w:snapToGrid/>
        <w:spacing w:before="0" w:beforeAutospacing="0" w:after="0" w:afterAutospacing="0"/>
        <w:jc w:val="right"/>
        <w:rPr>
          <w:color w:val="auto"/>
          <w:sz w:val="21"/>
        </w:rPr>
      </w:pPr>
      <w:r>
        <w:rPr>
          <w:rFonts w:hint="eastAsia"/>
          <w:color w:val="auto"/>
          <w:sz w:val="21"/>
        </w:rPr>
        <w:t>投标人名称（盖公章）：________________________</w:t>
      </w:r>
    </w:p>
    <w:p w14:paraId="7DD98F9B">
      <w:pPr>
        <w:pageBreakBefore w:val="0"/>
        <w:wordWrap w:val="0"/>
        <w:overflowPunct/>
        <w:bidi w:val="0"/>
        <w:adjustRightInd/>
        <w:snapToGrid/>
        <w:jc w:val="right"/>
        <w:rPr>
          <w:color w:val="auto"/>
        </w:rPr>
      </w:pPr>
      <w:r>
        <w:rPr>
          <w:rFonts w:hint="eastAsia"/>
          <w:color w:val="auto"/>
        </w:rPr>
        <w:t>法定代表人或其授权代理人（签字或盖章）：__________</w:t>
      </w:r>
    </w:p>
    <w:p w14:paraId="7975D03B">
      <w:pPr>
        <w:pageBreakBefore w:val="0"/>
        <w:wordWrap w:val="0"/>
        <w:overflowPunct/>
        <w:bidi w:val="0"/>
        <w:adjustRightInd/>
        <w:snapToGrid/>
        <w:jc w:val="right"/>
        <w:rPr>
          <w:color w:val="auto"/>
        </w:rPr>
      </w:pPr>
      <w:r>
        <w:rPr>
          <w:rFonts w:hint="eastAsia"/>
          <w:color w:val="auto"/>
        </w:rPr>
        <w:t>日期：_______年____月_____日</w:t>
      </w:r>
    </w:p>
    <w:p w14:paraId="005B402A">
      <w:pPr>
        <w:pStyle w:val="32"/>
        <w:pageBreakBefore w:val="0"/>
        <w:wordWrap w:val="0"/>
        <w:overflowPunct/>
        <w:bidi w:val="0"/>
        <w:rPr>
          <w:color w:val="auto"/>
        </w:rPr>
      </w:pPr>
    </w:p>
    <w:p w14:paraId="149D0FCC">
      <w:pPr>
        <w:pStyle w:val="3"/>
        <w:pageBreakBefore w:val="0"/>
        <w:wordWrap w:val="0"/>
        <w:overflowPunct/>
        <w:bidi w:val="0"/>
        <w:ind w:firstLine="562"/>
        <w:jc w:val="center"/>
        <w:rPr>
          <w:color w:val="auto"/>
          <w:sz w:val="28"/>
          <w:szCs w:val="28"/>
        </w:rPr>
      </w:pPr>
      <w:bookmarkStart w:id="77" w:name="_Toc18086"/>
      <w:r>
        <w:rPr>
          <w:rFonts w:hint="eastAsia"/>
          <w:color w:val="auto"/>
          <w:sz w:val="28"/>
          <w:szCs w:val="28"/>
        </w:rPr>
        <w:t>2.14非</w:t>
      </w:r>
      <w:r>
        <w:rPr>
          <w:rFonts w:hint="eastAsia"/>
          <w:color w:val="auto"/>
        </w:rPr>
        <w:t>整车</w:t>
      </w:r>
      <w:r>
        <w:rPr>
          <w:rFonts w:hint="eastAsia"/>
          <w:color w:val="auto"/>
          <w:sz w:val="28"/>
          <w:szCs w:val="28"/>
        </w:rPr>
        <w:t>进口产品投标承诺</w:t>
      </w:r>
      <w:bookmarkEnd w:id="77"/>
    </w:p>
    <w:p w14:paraId="51A3C453">
      <w:pPr>
        <w:pageBreakBefore w:val="0"/>
        <w:wordWrap w:val="0"/>
        <w:overflowPunct/>
        <w:bidi w:val="0"/>
        <w:ind w:firstLine="422"/>
        <w:rPr>
          <w:b/>
          <w:bCs/>
          <w:color w:val="auto"/>
          <w:u w:val="single"/>
        </w:rPr>
      </w:pPr>
      <w:r>
        <w:rPr>
          <w:rFonts w:hint="eastAsia"/>
          <w:b/>
          <w:bCs/>
          <w:color w:val="auto"/>
        </w:rPr>
        <w:t>致云南省消防救援总队:</w:t>
      </w:r>
    </w:p>
    <w:p w14:paraId="39256102">
      <w:pPr>
        <w:pageBreakBefore w:val="0"/>
        <w:wordWrap w:val="0"/>
        <w:overflowPunct/>
        <w:bidi w:val="0"/>
        <w:rPr>
          <w:color w:val="auto"/>
          <w:u w:val="single"/>
        </w:rPr>
      </w:pPr>
    </w:p>
    <w:p w14:paraId="36913745">
      <w:pPr>
        <w:pageBreakBefore w:val="0"/>
        <w:wordWrap w:val="0"/>
        <w:overflowPunct/>
        <w:bidi w:val="0"/>
        <w:rPr>
          <w:color w:val="auto"/>
        </w:rPr>
      </w:pPr>
      <w:r>
        <w:rPr>
          <w:rFonts w:hint="eastAsia"/>
          <w:color w:val="auto"/>
        </w:rPr>
        <w:t>我方供货的车辆均不属于“财政部关于印发《政府采购进口产品管理办法》的通知 财库〔2007〕119号”中规定的整车进口产品</w:t>
      </w:r>
      <w:r>
        <w:rPr>
          <w:rFonts w:hint="eastAsia"/>
          <w:color w:val="auto"/>
          <w:spacing w:val="1"/>
        </w:rPr>
        <w:t>。</w:t>
      </w:r>
    </w:p>
    <w:p w14:paraId="7F164670">
      <w:pPr>
        <w:pageBreakBefore w:val="0"/>
        <w:wordWrap w:val="0"/>
        <w:overflowPunct/>
        <w:bidi w:val="0"/>
        <w:rPr>
          <w:color w:val="auto"/>
        </w:rPr>
      </w:pPr>
    </w:p>
    <w:p w14:paraId="79C3D550">
      <w:pPr>
        <w:pStyle w:val="21"/>
        <w:pageBreakBefore w:val="0"/>
        <w:wordWrap w:val="0"/>
        <w:overflowPunct/>
        <w:bidi w:val="0"/>
        <w:adjustRightInd/>
        <w:snapToGrid/>
        <w:spacing w:before="0" w:beforeAutospacing="0" w:after="0" w:afterAutospacing="0"/>
        <w:jc w:val="right"/>
        <w:rPr>
          <w:color w:val="auto"/>
          <w:sz w:val="21"/>
        </w:rPr>
      </w:pPr>
      <w:r>
        <w:rPr>
          <w:rFonts w:hint="eastAsia"/>
          <w:color w:val="auto"/>
          <w:sz w:val="21"/>
        </w:rPr>
        <w:t>投标人名称（盖公章）：________________________</w:t>
      </w:r>
    </w:p>
    <w:p w14:paraId="107B4800">
      <w:pPr>
        <w:pageBreakBefore w:val="0"/>
        <w:wordWrap w:val="0"/>
        <w:overflowPunct/>
        <w:bidi w:val="0"/>
        <w:adjustRightInd/>
        <w:snapToGrid/>
        <w:jc w:val="right"/>
        <w:rPr>
          <w:color w:val="auto"/>
        </w:rPr>
      </w:pPr>
      <w:r>
        <w:rPr>
          <w:rFonts w:hint="eastAsia"/>
          <w:color w:val="auto"/>
        </w:rPr>
        <w:t>法定代表人或其授权代理人（签字或盖章）：__________</w:t>
      </w:r>
    </w:p>
    <w:p w14:paraId="54FB719D">
      <w:pPr>
        <w:pageBreakBefore w:val="0"/>
        <w:wordWrap w:val="0"/>
        <w:overflowPunct/>
        <w:bidi w:val="0"/>
        <w:adjustRightInd/>
        <w:snapToGrid/>
        <w:jc w:val="right"/>
        <w:rPr>
          <w:color w:val="auto"/>
        </w:rPr>
      </w:pPr>
      <w:r>
        <w:rPr>
          <w:rFonts w:hint="eastAsia"/>
          <w:color w:val="auto"/>
        </w:rPr>
        <w:t>日期：_______年____月_____日</w:t>
      </w:r>
    </w:p>
    <w:p w14:paraId="5ECBC1AD">
      <w:pPr>
        <w:pageBreakBefore w:val="0"/>
        <w:wordWrap w:val="0"/>
        <w:overflowPunct/>
        <w:bidi w:val="0"/>
        <w:rPr>
          <w:color w:val="auto"/>
        </w:rPr>
      </w:pPr>
      <w:r>
        <w:rPr>
          <w:rFonts w:hint="eastAsia"/>
          <w:color w:val="auto"/>
        </w:rPr>
        <w:br w:type="page"/>
      </w:r>
    </w:p>
    <w:p w14:paraId="16DE47DB">
      <w:pPr>
        <w:pStyle w:val="3"/>
        <w:pageBreakBefore w:val="0"/>
        <w:wordWrap w:val="0"/>
        <w:overflowPunct/>
        <w:bidi w:val="0"/>
        <w:ind w:firstLine="562"/>
        <w:jc w:val="center"/>
        <w:rPr>
          <w:color w:val="auto"/>
          <w:sz w:val="28"/>
          <w:szCs w:val="28"/>
        </w:rPr>
      </w:pPr>
      <w:bookmarkStart w:id="78" w:name="_Toc13776"/>
      <w:r>
        <w:rPr>
          <w:rFonts w:hint="eastAsia"/>
          <w:color w:val="auto"/>
          <w:sz w:val="28"/>
          <w:szCs w:val="28"/>
        </w:rPr>
        <w:t>2.15小微企业声明函</w:t>
      </w:r>
      <w:bookmarkEnd w:id="78"/>
    </w:p>
    <w:p w14:paraId="55091F0F">
      <w:pPr>
        <w:pageBreakBefore w:val="0"/>
        <w:tabs>
          <w:tab w:val="left" w:pos="8505"/>
          <w:tab w:val="left" w:pos="9214"/>
        </w:tabs>
        <w:wordWrap w:val="0"/>
        <w:overflowPunct/>
        <w:bidi w:val="0"/>
        <w:ind w:right="893" w:rightChars="425"/>
        <w:rPr>
          <w:color w:val="auto"/>
        </w:rPr>
      </w:pPr>
      <w:r>
        <w:rPr>
          <w:rFonts w:hint="eastAsia"/>
          <w:color w:val="auto"/>
        </w:rPr>
        <w:t>本公司（联合体）郑重声明，根据《政府采购促进中小企业发展管理办法》（财库﹝2020﹞46号）的规定，本公司（联合体）参加</w:t>
      </w:r>
      <w:r>
        <w:rPr>
          <w:rFonts w:hint="eastAsia"/>
          <w:color w:val="auto"/>
          <w:u w:val="single"/>
        </w:rPr>
        <w:t xml:space="preserve"> （单位名称） </w:t>
      </w:r>
      <w:r>
        <w:rPr>
          <w:rFonts w:hint="eastAsia"/>
          <w:color w:val="auto"/>
        </w:rPr>
        <w:t>的</w:t>
      </w:r>
      <w:r>
        <w:rPr>
          <w:rFonts w:hint="eastAsia"/>
          <w:color w:val="auto"/>
          <w:u w:val="single"/>
        </w:rPr>
        <w:t xml:space="preserve"> （项目名称） </w:t>
      </w:r>
      <w:r>
        <w:rPr>
          <w:rFonts w:hint="eastAsia"/>
          <w:color w:val="auto"/>
        </w:rPr>
        <w:t>采购活动，提供的货物全部由符合政策要求的小微企业制造。相关企业（含联合体中的小微企业、签订分包意向协议的小微企业）的具体情况如下：</w:t>
      </w:r>
    </w:p>
    <w:p w14:paraId="45FEEED0">
      <w:pPr>
        <w:pageBreakBefore w:val="0"/>
        <w:tabs>
          <w:tab w:val="left" w:pos="8505"/>
          <w:tab w:val="left" w:pos="9214"/>
        </w:tabs>
        <w:wordWrap w:val="0"/>
        <w:overflowPunct/>
        <w:bidi w:val="0"/>
        <w:ind w:right="893" w:rightChars="425"/>
        <w:rPr>
          <w:color w:val="auto"/>
        </w:rPr>
      </w:pPr>
      <w:r>
        <w:rPr>
          <w:rFonts w:hint="eastAsia"/>
          <w:color w:val="auto"/>
        </w:rPr>
        <w:t>1.</w:t>
      </w:r>
      <w:r>
        <w:rPr>
          <w:rFonts w:hint="eastAsia"/>
          <w:color w:val="auto"/>
          <w:u w:val="single"/>
        </w:rPr>
        <w:t xml:space="preserve"> （标的名称） </w:t>
      </w:r>
      <w:r>
        <w:rPr>
          <w:rFonts w:hint="eastAsia"/>
          <w:color w:val="auto"/>
        </w:rPr>
        <w:t>，属于</w:t>
      </w:r>
      <w:r>
        <w:rPr>
          <w:rFonts w:hint="eastAsia"/>
          <w:color w:val="auto"/>
          <w:u w:val="single"/>
        </w:rPr>
        <w:t xml:space="preserve"> （招标文件中明确的所属行业）</w:t>
      </w:r>
      <w:r>
        <w:rPr>
          <w:rFonts w:hint="eastAsia"/>
          <w:color w:val="auto"/>
        </w:rPr>
        <w:t>行业；制造商为</w:t>
      </w:r>
      <w:r>
        <w:rPr>
          <w:rFonts w:hint="eastAsia"/>
          <w:color w:val="auto"/>
          <w:u w:val="single"/>
        </w:rPr>
        <w:t xml:space="preserve"> （企业名称）</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（小型企业、微型企业）</w:t>
      </w:r>
      <w:r>
        <w:rPr>
          <w:rFonts w:hint="eastAsia"/>
          <w:color w:val="auto"/>
        </w:rPr>
        <w:t>；</w:t>
      </w:r>
    </w:p>
    <w:p w14:paraId="7236110C">
      <w:pPr>
        <w:pageBreakBefore w:val="0"/>
        <w:tabs>
          <w:tab w:val="left" w:pos="8505"/>
          <w:tab w:val="left" w:pos="9214"/>
        </w:tabs>
        <w:wordWrap w:val="0"/>
        <w:overflowPunct/>
        <w:bidi w:val="0"/>
        <w:ind w:right="893" w:rightChars="425"/>
        <w:rPr>
          <w:color w:val="auto"/>
        </w:rPr>
      </w:pPr>
      <w:r>
        <w:rPr>
          <w:rFonts w:hint="eastAsia"/>
          <w:color w:val="auto"/>
        </w:rPr>
        <w:t>2.</w:t>
      </w:r>
      <w:r>
        <w:rPr>
          <w:rFonts w:hint="eastAsia"/>
          <w:color w:val="auto"/>
          <w:u w:val="single"/>
        </w:rPr>
        <w:t xml:space="preserve"> （标的名称）</w:t>
      </w:r>
      <w:r>
        <w:rPr>
          <w:rFonts w:hint="eastAsia"/>
          <w:color w:val="auto"/>
        </w:rPr>
        <w:t>，属于</w:t>
      </w:r>
      <w:r>
        <w:rPr>
          <w:rFonts w:hint="eastAsia"/>
          <w:color w:val="auto"/>
          <w:u w:val="single"/>
        </w:rPr>
        <w:t xml:space="preserve"> （招标文件中明确的所属行业）</w:t>
      </w:r>
      <w:r>
        <w:rPr>
          <w:rFonts w:hint="eastAsia"/>
          <w:color w:val="auto"/>
        </w:rPr>
        <w:t>行业；制造商为</w:t>
      </w:r>
      <w:r>
        <w:rPr>
          <w:rFonts w:hint="eastAsia"/>
          <w:color w:val="auto"/>
          <w:u w:val="single"/>
        </w:rPr>
        <w:t xml:space="preserve"> （企业名称）</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（小型企业、微型企业）</w:t>
      </w:r>
      <w:r>
        <w:rPr>
          <w:rFonts w:hint="eastAsia"/>
          <w:color w:val="auto"/>
        </w:rPr>
        <w:t>；</w:t>
      </w:r>
    </w:p>
    <w:p w14:paraId="1D0F33EA">
      <w:pPr>
        <w:pageBreakBefore w:val="0"/>
        <w:tabs>
          <w:tab w:val="left" w:pos="8505"/>
          <w:tab w:val="left" w:pos="9214"/>
        </w:tabs>
        <w:wordWrap w:val="0"/>
        <w:overflowPunct/>
        <w:bidi w:val="0"/>
        <w:ind w:right="893" w:rightChars="425"/>
        <w:rPr>
          <w:color w:val="auto"/>
        </w:rPr>
      </w:pPr>
      <w:r>
        <w:rPr>
          <w:rFonts w:hint="eastAsia"/>
          <w:color w:val="auto"/>
        </w:rPr>
        <w:t>……</w:t>
      </w:r>
    </w:p>
    <w:p w14:paraId="6359826C">
      <w:pPr>
        <w:pageBreakBefore w:val="0"/>
        <w:tabs>
          <w:tab w:val="left" w:pos="8505"/>
          <w:tab w:val="left" w:pos="9214"/>
        </w:tabs>
        <w:wordWrap w:val="0"/>
        <w:overflowPunct/>
        <w:bidi w:val="0"/>
        <w:ind w:right="893" w:rightChars="425"/>
        <w:rPr>
          <w:color w:val="auto"/>
        </w:rPr>
      </w:pPr>
      <w:r>
        <w:rPr>
          <w:rFonts w:hint="eastAsia"/>
          <w:color w:val="auto"/>
        </w:rPr>
        <w:t>以上企业，不属于大企业的分支机构，不存在控股股东为大企业的情形，也不存在与大企业的负责人为同一人的情形。</w:t>
      </w:r>
    </w:p>
    <w:p w14:paraId="2338DA36">
      <w:pPr>
        <w:pageBreakBefore w:val="0"/>
        <w:tabs>
          <w:tab w:val="left" w:pos="8505"/>
          <w:tab w:val="left" w:pos="9214"/>
        </w:tabs>
        <w:wordWrap w:val="0"/>
        <w:overflowPunct/>
        <w:bidi w:val="0"/>
        <w:ind w:right="893" w:rightChars="425"/>
        <w:rPr>
          <w:color w:val="auto"/>
        </w:rPr>
      </w:pPr>
      <w:r>
        <w:rPr>
          <w:rFonts w:hint="eastAsia"/>
          <w:color w:val="auto"/>
        </w:rPr>
        <w:t>本企业对上述声明内容的真实性负责。如有虚假，将依法承担相应责任。</w:t>
      </w:r>
    </w:p>
    <w:p w14:paraId="0669ADCC">
      <w:pPr>
        <w:pageBreakBefore w:val="0"/>
        <w:tabs>
          <w:tab w:val="left" w:pos="8505"/>
          <w:tab w:val="left" w:pos="9214"/>
        </w:tabs>
        <w:wordWrap w:val="0"/>
        <w:overflowPunct/>
        <w:bidi w:val="0"/>
        <w:ind w:right="893" w:rightChars="425"/>
        <w:rPr>
          <w:color w:val="auto"/>
        </w:rPr>
      </w:pPr>
    </w:p>
    <w:p w14:paraId="1254227B">
      <w:pPr>
        <w:pageBreakBefore w:val="0"/>
        <w:tabs>
          <w:tab w:val="left" w:pos="8505"/>
          <w:tab w:val="left" w:pos="9214"/>
        </w:tabs>
        <w:wordWrap w:val="0"/>
        <w:overflowPunct/>
        <w:bidi w:val="0"/>
        <w:spacing w:before="100" w:beforeAutospacing="1" w:after="100" w:afterAutospacing="1"/>
        <w:ind w:right="893" w:rightChars="425"/>
        <w:rPr>
          <w:color w:val="auto"/>
        </w:rPr>
      </w:pPr>
      <w:r>
        <w:rPr>
          <w:rFonts w:hint="eastAsia"/>
          <w:color w:val="auto"/>
        </w:rPr>
        <w:t>企业名称（盖章）：</w:t>
      </w:r>
    </w:p>
    <w:p w14:paraId="69F7EDEE">
      <w:pPr>
        <w:pageBreakBefore w:val="0"/>
        <w:tabs>
          <w:tab w:val="left" w:pos="8505"/>
          <w:tab w:val="left" w:pos="9214"/>
        </w:tabs>
        <w:wordWrap w:val="0"/>
        <w:overflowPunct/>
        <w:bidi w:val="0"/>
        <w:spacing w:before="100" w:beforeAutospacing="1" w:after="100" w:afterAutospacing="1"/>
        <w:ind w:right="893" w:rightChars="425"/>
        <w:rPr>
          <w:color w:val="auto"/>
        </w:rPr>
      </w:pPr>
      <w:r>
        <w:rPr>
          <w:rFonts w:hint="eastAsia"/>
          <w:color w:val="auto"/>
        </w:rPr>
        <w:t>日   期：</w:t>
      </w:r>
    </w:p>
    <w:p w14:paraId="678F5725">
      <w:pPr>
        <w:pageBreakBefore w:val="0"/>
        <w:tabs>
          <w:tab w:val="left" w:pos="8505"/>
          <w:tab w:val="left" w:pos="9214"/>
        </w:tabs>
        <w:wordWrap w:val="0"/>
        <w:overflowPunct/>
        <w:bidi w:val="0"/>
        <w:ind w:right="893" w:rightChars="425"/>
        <w:rPr>
          <w:color w:val="auto"/>
        </w:rPr>
      </w:pPr>
      <w:r>
        <w:rPr>
          <w:rFonts w:hint="eastAsia"/>
          <w:color w:val="auto"/>
        </w:rPr>
        <w:t>注：本项目参照“中小企业划型标准规定（工信部联企业〔2011〕300号）”中规定的划分方式，明确将本次所采购所列货物的所属行业划分为“工业”。供应商须认真核对格式提供的“中小企业划型标准规定（工信部联企业〔2011〕300号）”节选中规定的中小企业划型标准，根据所投内容，严格对照各行业划型标准如实填写声明函。</w:t>
      </w:r>
    </w:p>
    <w:p w14:paraId="240FDC9A">
      <w:pPr>
        <w:pageBreakBefore w:val="0"/>
        <w:tabs>
          <w:tab w:val="left" w:pos="8505"/>
          <w:tab w:val="left" w:pos="9214"/>
        </w:tabs>
        <w:wordWrap w:val="0"/>
        <w:overflowPunct/>
        <w:bidi w:val="0"/>
        <w:ind w:right="893" w:rightChars="425"/>
        <w:rPr>
          <w:color w:val="auto"/>
        </w:rPr>
      </w:pPr>
      <w:r>
        <w:rPr>
          <w:rFonts w:hint="eastAsia"/>
          <w:color w:val="auto"/>
        </w:rPr>
        <w:t>注：从业人员、营业收入、资产总额填报上一年度数据，无上一年度数据的新成立企业可不填报。中标人的《小型/微型企业声明函》将随中标结果公告一并公布。</w:t>
      </w:r>
    </w:p>
    <w:p w14:paraId="28ABE2D8">
      <w:pPr>
        <w:pageBreakBefore w:val="0"/>
        <w:tabs>
          <w:tab w:val="left" w:pos="8505"/>
          <w:tab w:val="left" w:pos="9214"/>
        </w:tabs>
        <w:wordWrap w:val="0"/>
        <w:overflowPunct/>
        <w:bidi w:val="0"/>
        <w:ind w:right="893" w:rightChars="425"/>
        <w:rPr>
          <w:color w:val="auto"/>
        </w:rPr>
      </w:pPr>
      <w:r>
        <w:rPr>
          <w:rFonts w:hint="eastAsia"/>
          <w:color w:val="auto"/>
        </w:rPr>
        <w:t>以下情况将不予进行价格扣除：</w:t>
      </w:r>
    </w:p>
    <w:p w14:paraId="55F461B5">
      <w:pPr>
        <w:pageBreakBefore w:val="0"/>
        <w:tabs>
          <w:tab w:val="left" w:pos="8505"/>
          <w:tab w:val="left" w:pos="9214"/>
        </w:tabs>
        <w:wordWrap w:val="0"/>
        <w:overflowPunct/>
        <w:bidi w:val="0"/>
        <w:ind w:right="893" w:rightChars="425"/>
        <w:rPr>
          <w:color w:val="auto"/>
        </w:rPr>
      </w:pPr>
      <w:r>
        <w:rPr>
          <w:rFonts w:hint="eastAsia"/>
          <w:color w:val="auto"/>
        </w:rPr>
        <w:t>①供应商提供的货物既有小微企业制造的货物，也有非小微企业制造的货物。</w:t>
      </w:r>
    </w:p>
    <w:p w14:paraId="7B28309C">
      <w:pPr>
        <w:pageBreakBefore w:val="0"/>
        <w:tabs>
          <w:tab w:val="left" w:pos="8505"/>
          <w:tab w:val="left" w:pos="9214"/>
        </w:tabs>
        <w:wordWrap w:val="0"/>
        <w:overflowPunct/>
        <w:bidi w:val="0"/>
        <w:ind w:right="893" w:rightChars="425"/>
        <w:rPr>
          <w:color w:val="auto"/>
        </w:rPr>
      </w:pPr>
      <w:r>
        <w:rPr>
          <w:rFonts w:hint="eastAsia"/>
          <w:color w:val="auto"/>
        </w:rPr>
        <w:t>②未按招标文件明确的所属行业填写的。未按要求填写本“小微企业声明函”。</w:t>
      </w:r>
    </w:p>
    <w:p w14:paraId="50F2A9FA">
      <w:pPr>
        <w:pageBreakBefore w:val="0"/>
        <w:tabs>
          <w:tab w:val="left" w:pos="8505"/>
          <w:tab w:val="left" w:pos="9214"/>
        </w:tabs>
        <w:wordWrap w:val="0"/>
        <w:overflowPunct/>
        <w:bidi w:val="0"/>
        <w:ind w:right="893" w:rightChars="425"/>
        <w:rPr>
          <w:color w:val="auto"/>
        </w:rPr>
      </w:pPr>
      <w:r>
        <w:rPr>
          <w:rFonts w:hint="eastAsia"/>
          <w:color w:val="auto"/>
        </w:rPr>
        <w:t>③所声明的从业人员人数、营业收入金额或资产总额不符合小型或微型企业划型标准规定的。填写的内容不符合《政府采购促进中小企业发展管理办法》（财库﹝2020﹞46号）规定的。</w:t>
      </w:r>
    </w:p>
    <w:p w14:paraId="0FDE5AAE">
      <w:pPr>
        <w:pageBreakBefore w:val="0"/>
        <w:tabs>
          <w:tab w:val="left" w:pos="8505"/>
          <w:tab w:val="left" w:pos="9214"/>
        </w:tabs>
        <w:wordWrap w:val="0"/>
        <w:overflowPunct/>
        <w:bidi w:val="0"/>
        <w:ind w:right="893" w:rightChars="425"/>
        <w:rPr>
          <w:color w:val="auto"/>
        </w:rPr>
      </w:pPr>
      <w:r>
        <w:rPr>
          <w:rFonts w:hint="eastAsia"/>
          <w:color w:val="auto"/>
        </w:rPr>
        <w:t>④供应商提供的货物由小微企业制造但使用了非小微企业商号或注册商标。</w:t>
      </w:r>
    </w:p>
    <w:p w14:paraId="6EC068EF">
      <w:pPr>
        <w:pageBreakBefore w:val="0"/>
        <w:wordWrap w:val="0"/>
        <w:overflowPunct/>
        <w:bidi w:val="0"/>
        <w:spacing w:line="480" w:lineRule="auto"/>
        <w:ind w:left="699" w:leftChars="333" w:right="893" w:rightChars="425"/>
        <w:rPr>
          <w:rFonts w:ascii="仿宋" w:hAnsi="仿宋" w:eastAsia="仿宋" w:cs="仿宋"/>
          <w:color w:val="auto"/>
        </w:rPr>
      </w:pPr>
      <w:r>
        <w:rPr>
          <w:rFonts w:hint="eastAsia" w:ascii="仿宋" w:hAnsi="仿宋" w:eastAsia="仿宋" w:cs="仿宋"/>
          <w:color w:val="auto"/>
          <w:szCs w:val="11"/>
        </w:rPr>
        <w:br w:type="page"/>
      </w:r>
    </w:p>
    <w:p w14:paraId="000AEE95">
      <w:pPr>
        <w:pStyle w:val="3"/>
        <w:pageBreakBefore w:val="0"/>
        <w:wordWrap w:val="0"/>
        <w:overflowPunct/>
        <w:bidi w:val="0"/>
        <w:ind w:firstLine="562"/>
        <w:jc w:val="center"/>
        <w:rPr>
          <w:color w:val="auto"/>
          <w:sz w:val="28"/>
          <w:szCs w:val="28"/>
        </w:rPr>
      </w:pPr>
      <w:bookmarkStart w:id="79" w:name="_Toc8355"/>
      <w:r>
        <w:rPr>
          <w:rFonts w:hint="eastAsia"/>
          <w:color w:val="auto"/>
          <w:sz w:val="28"/>
          <w:szCs w:val="28"/>
        </w:rPr>
        <w:t>2.16残疾人福利性单位声明函</w:t>
      </w:r>
      <w:bookmarkEnd w:id="79"/>
    </w:p>
    <w:p w14:paraId="67D88E3A">
      <w:pPr>
        <w:pageBreakBefore w:val="0"/>
        <w:wordWrap w:val="0"/>
        <w:overflowPunct/>
        <w:bidi w:val="0"/>
        <w:spacing w:line="560" w:lineRule="exact"/>
        <w:ind w:right="893" w:rightChars="425"/>
        <w:rPr>
          <w:color w:val="auto"/>
        </w:rPr>
      </w:pPr>
      <w:r>
        <w:rPr>
          <w:rFonts w:hint="eastAsia"/>
          <w:color w:val="auto"/>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u w:val="single"/>
        </w:rPr>
        <w:t xml:space="preserve">           </w:t>
      </w:r>
      <w:r>
        <w:rPr>
          <w:rFonts w:hint="eastAsia"/>
          <w:color w:val="auto"/>
        </w:rPr>
        <w:t>单位的</w:t>
      </w:r>
      <w:r>
        <w:rPr>
          <w:rFonts w:hint="eastAsia"/>
          <w:color w:val="auto"/>
          <w:u w:val="single"/>
        </w:rPr>
        <w:t xml:space="preserve">      </w:t>
      </w:r>
      <w:r>
        <w:rPr>
          <w:rFonts w:hint="eastAsia"/>
          <w:color w:val="auto"/>
        </w:rPr>
        <w:t>项目采购活动提供本单位制造的货物，或者提供其他残疾人福利性单位制造的货物（不包括使用非残疾人福利性单位注册商标的货物）。</w:t>
      </w:r>
    </w:p>
    <w:p w14:paraId="1F7A1CD8">
      <w:pPr>
        <w:pageBreakBefore w:val="0"/>
        <w:wordWrap w:val="0"/>
        <w:overflowPunct/>
        <w:bidi w:val="0"/>
        <w:spacing w:line="560" w:lineRule="exact"/>
        <w:ind w:right="893" w:rightChars="425"/>
        <w:rPr>
          <w:color w:val="auto"/>
        </w:rPr>
      </w:pPr>
      <w:r>
        <w:rPr>
          <w:rFonts w:hint="eastAsia"/>
          <w:color w:val="auto"/>
        </w:rPr>
        <w:t>本单位对上述声明的真实性负责。如有虚假，将依法承担相应责任。</w:t>
      </w:r>
    </w:p>
    <w:p w14:paraId="725311BB">
      <w:pPr>
        <w:pageBreakBefore w:val="0"/>
        <w:wordWrap w:val="0"/>
        <w:overflowPunct/>
        <w:bidi w:val="0"/>
        <w:spacing w:line="560" w:lineRule="exact"/>
        <w:ind w:right="893" w:rightChars="425"/>
        <w:rPr>
          <w:color w:val="auto"/>
          <w:szCs w:val="11"/>
        </w:rPr>
      </w:pPr>
    </w:p>
    <w:p w14:paraId="632E1A7E">
      <w:pPr>
        <w:pageBreakBefore w:val="0"/>
        <w:wordWrap w:val="0"/>
        <w:overflowPunct/>
        <w:bidi w:val="0"/>
        <w:spacing w:line="560" w:lineRule="exact"/>
        <w:ind w:right="893" w:rightChars="425"/>
        <w:rPr>
          <w:color w:val="auto"/>
          <w:szCs w:val="11"/>
        </w:rPr>
      </w:pPr>
      <w:r>
        <w:rPr>
          <w:rFonts w:hint="eastAsia"/>
          <w:color w:val="auto"/>
          <w:szCs w:val="11"/>
        </w:rPr>
        <w:t>投标人全称（盖章）</w:t>
      </w:r>
      <w:r>
        <w:rPr>
          <w:rFonts w:hint="eastAsia"/>
          <w:color w:val="auto"/>
          <w:w w:val="95"/>
          <w:szCs w:val="13"/>
        </w:rPr>
        <w:t>：</w:t>
      </w:r>
      <w:r>
        <w:rPr>
          <w:rFonts w:hint="eastAsia"/>
          <w:color w:val="auto"/>
          <w:w w:val="95"/>
          <w:szCs w:val="13"/>
          <w:u w:val="single"/>
        </w:rPr>
        <w:t xml:space="preserve"> </w:t>
      </w:r>
      <w:r>
        <w:rPr>
          <w:rFonts w:hint="eastAsia"/>
          <w:color w:val="auto"/>
          <w:szCs w:val="13"/>
          <w:u w:val="single"/>
        </w:rPr>
        <w:t xml:space="preserve">                 </w:t>
      </w:r>
      <w:r>
        <w:rPr>
          <w:rFonts w:hint="eastAsia"/>
          <w:color w:val="auto"/>
          <w:szCs w:val="11"/>
        </w:rPr>
        <w:t xml:space="preserve"> </w:t>
      </w:r>
    </w:p>
    <w:p w14:paraId="4E7BD704">
      <w:pPr>
        <w:pageBreakBefore w:val="0"/>
        <w:wordWrap w:val="0"/>
        <w:overflowPunct/>
        <w:bidi w:val="0"/>
        <w:spacing w:line="560" w:lineRule="exact"/>
        <w:ind w:right="893" w:rightChars="425"/>
        <w:rPr>
          <w:color w:val="auto"/>
          <w:szCs w:val="11"/>
          <w:u w:val="single"/>
        </w:rPr>
      </w:pPr>
      <w:r>
        <w:rPr>
          <w:rFonts w:hint="eastAsia"/>
          <w:color w:val="auto"/>
          <w:szCs w:val="11"/>
        </w:rPr>
        <w:t>法定代表人或授权代理人（签字或盖章）：</w:t>
      </w:r>
      <w:r>
        <w:rPr>
          <w:rFonts w:hint="eastAsia"/>
          <w:color w:val="auto"/>
          <w:szCs w:val="11"/>
          <w:u w:val="single"/>
        </w:rPr>
        <w:t xml:space="preserve">         </w:t>
      </w:r>
    </w:p>
    <w:p w14:paraId="5AE82639">
      <w:pPr>
        <w:pageBreakBefore w:val="0"/>
        <w:wordWrap w:val="0"/>
        <w:overflowPunct/>
        <w:bidi w:val="0"/>
        <w:spacing w:line="560" w:lineRule="exact"/>
        <w:ind w:right="893" w:rightChars="425"/>
        <w:rPr>
          <w:color w:val="auto"/>
          <w:szCs w:val="11"/>
        </w:rPr>
      </w:pPr>
      <w:r>
        <w:rPr>
          <w:rFonts w:hint="eastAsia"/>
          <w:color w:val="auto"/>
          <w:szCs w:val="11"/>
        </w:rPr>
        <w:t xml:space="preserve">日期： </w:t>
      </w:r>
      <w:r>
        <w:rPr>
          <w:rFonts w:hint="eastAsia"/>
          <w:color w:val="auto"/>
          <w:szCs w:val="11"/>
          <w:u w:val="single"/>
        </w:rPr>
        <w:t xml:space="preserve">      </w:t>
      </w:r>
      <w:r>
        <w:rPr>
          <w:rFonts w:hint="eastAsia"/>
          <w:color w:val="auto"/>
          <w:szCs w:val="11"/>
        </w:rPr>
        <w:t>年</w:t>
      </w:r>
      <w:r>
        <w:rPr>
          <w:rFonts w:hint="eastAsia"/>
          <w:color w:val="auto"/>
          <w:szCs w:val="11"/>
          <w:u w:val="single"/>
        </w:rPr>
        <w:t xml:space="preserve">    </w:t>
      </w:r>
      <w:r>
        <w:rPr>
          <w:rFonts w:hint="eastAsia"/>
          <w:color w:val="auto"/>
          <w:szCs w:val="11"/>
        </w:rPr>
        <w:t>月</w:t>
      </w:r>
      <w:r>
        <w:rPr>
          <w:rFonts w:hint="eastAsia"/>
          <w:color w:val="auto"/>
          <w:szCs w:val="11"/>
          <w:u w:val="single"/>
        </w:rPr>
        <w:t xml:space="preserve">     </w:t>
      </w:r>
      <w:r>
        <w:rPr>
          <w:rFonts w:hint="eastAsia"/>
          <w:color w:val="auto"/>
          <w:szCs w:val="11"/>
        </w:rPr>
        <w:t>日</w:t>
      </w:r>
    </w:p>
    <w:p w14:paraId="0974E32B">
      <w:pPr>
        <w:pageBreakBefore w:val="0"/>
        <w:wordWrap w:val="0"/>
        <w:overflowPunct/>
        <w:bidi w:val="0"/>
        <w:ind w:right="893" w:rightChars="425"/>
        <w:rPr>
          <w:color w:val="auto"/>
        </w:rPr>
      </w:pPr>
    </w:p>
    <w:p w14:paraId="0035D16A">
      <w:pPr>
        <w:pStyle w:val="12"/>
        <w:pageBreakBefore w:val="0"/>
        <w:wordWrap w:val="0"/>
        <w:overflowPunct/>
        <w:bidi w:val="0"/>
        <w:ind w:right="893" w:rightChars="425"/>
        <w:rPr>
          <w:rFonts w:ascii="宋体" w:hAnsi="宋体"/>
          <w:color w:val="auto"/>
        </w:rPr>
      </w:pPr>
    </w:p>
    <w:p w14:paraId="178EECB8">
      <w:pPr>
        <w:pageBreakBefore w:val="0"/>
        <w:wordWrap w:val="0"/>
        <w:overflowPunct/>
        <w:bidi w:val="0"/>
        <w:ind w:right="893" w:rightChars="425"/>
        <w:rPr>
          <w:color w:val="auto"/>
        </w:rPr>
      </w:pPr>
    </w:p>
    <w:p w14:paraId="143FB89F">
      <w:pPr>
        <w:pageBreakBefore w:val="0"/>
        <w:wordWrap w:val="0"/>
        <w:overflowPunct/>
        <w:bidi w:val="0"/>
        <w:spacing w:line="480" w:lineRule="auto"/>
        <w:ind w:right="893" w:rightChars="425" w:firstLine="422"/>
        <w:rPr>
          <w:b/>
          <w:bCs/>
          <w:color w:val="auto"/>
        </w:rPr>
      </w:pPr>
      <w:r>
        <w:rPr>
          <w:rFonts w:hint="eastAsia"/>
          <w:b/>
          <w:bCs/>
          <w:color w:val="auto"/>
        </w:rPr>
        <w:t>注：符合条件的残疾人福利性单位在参加政府采购活动时，应当按 《三部门联合发布关于促进残疾人就业政府采购政策的通知》（财库〔2017〕141号）提供规定的《残疾人福利性单位声明函》，并对声明的真实性负责。</w:t>
      </w:r>
    </w:p>
    <w:p w14:paraId="1D25B3B5">
      <w:pPr>
        <w:pageBreakBefore w:val="0"/>
        <w:wordWrap w:val="0"/>
        <w:overflowPunct/>
        <w:bidi w:val="0"/>
        <w:ind w:left="699" w:leftChars="333" w:right="893" w:rightChars="425"/>
        <w:rPr>
          <w:rFonts w:ascii="仿宋" w:hAnsi="仿宋" w:eastAsia="仿宋" w:cs="仿宋"/>
          <w:color w:val="auto"/>
          <w:szCs w:val="13"/>
        </w:rPr>
      </w:pPr>
      <w:r>
        <w:rPr>
          <w:rFonts w:hint="eastAsia" w:ascii="仿宋" w:hAnsi="仿宋" w:eastAsia="仿宋" w:cs="仿宋"/>
          <w:color w:val="auto"/>
          <w:szCs w:val="13"/>
        </w:rPr>
        <w:br w:type="page"/>
      </w:r>
    </w:p>
    <w:p w14:paraId="022FF717">
      <w:pPr>
        <w:pStyle w:val="3"/>
        <w:pageBreakBefore w:val="0"/>
        <w:wordWrap w:val="0"/>
        <w:overflowPunct/>
        <w:bidi w:val="0"/>
        <w:ind w:firstLine="562"/>
        <w:jc w:val="center"/>
        <w:rPr>
          <w:color w:val="auto"/>
          <w:sz w:val="28"/>
          <w:szCs w:val="28"/>
        </w:rPr>
      </w:pPr>
      <w:bookmarkStart w:id="80" w:name="_Toc26054"/>
      <w:r>
        <w:rPr>
          <w:rFonts w:hint="eastAsia"/>
          <w:color w:val="auto"/>
          <w:sz w:val="28"/>
          <w:szCs w:val="28"/>
        </w:rPr>
        <w:t>2.17监狱企业证明文件</w:t>
      </w:r>
      <w:bookmarkEnd w:id="80"/>
    </w:p>
    <w:p w14:paraId="62E66595">
      <w:pPr>
        <w:pageBreakBefore w:val="0"/>
        <w:wordWrap w:val="0"/>
        <w:overflowPunct/>
        <w:bidi w:val="0"/>
        <w:spacing w:line="480" w:lineRule="auto"/>
        <w:ind w:right="893" w:rightChars="425"/>
        <w:rPr>
          <w:color w:val="auto"/>
          <w:szCs w:val="11"/>
        </w:rPr>
      </w:pPr>
      <w:r>
        <w:rPr>
          <w:rFonts w:hint="eastAsia"/>
          <w:color w:val="auto"/>
          <w:szCs w:val="11"/>
        </w:rPr>
        <w:t>根据《财政部 司法部关于政府采购支持监狱企业发展有关问题的通知》（财库〔2014〕68 号） 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61C10C">
      <w:pPr>
        <w:pageBreakBefore w:val="0"/>
        <w:wordWrap w:val="0"/>
        <w:overflowPunct/>
        <w:bidi w:val="0"/>
        <w:spacing w:line="480" w:lineRule="auto"/>
        <w:ind w:right="893" w:rightChars="425"/>
        <w:rPr>
          <w:color w:val="auto"/>
        </w:rPr>
      </w:pPr>
      <w:r>
        <w:rPr>
          <w:rFonts w:hint="eastAsia"/>
          <w:color w:val="auto"/>
          <w:szCs w:val="11"/>
        </w:rPr>
        <w:t>监狱企业参加政府采购活动时，应当提供由省级以上监狱管理局、戒毒管理局（含新疆生产建设兵团）出具的属于监狱企业的证明文件</w:t>
      </w:r>
      <w:r>
        <w:rPr>
          <w:rFonts w:hint="eastAsia"/>
          <w:color w:val="auto"/>
        </w:rPr>
        <w:t>。</w:t>
      </w:r>
    </w:p>
    <w:p w14:paraId="2B55ECBF">
      <w:pPr>
        <w:pageBreakBefore w:val="0"/>
        <w:wordWrap w:val="0"/>
        <w:overflowPunct/>
        <w:bidi w:val="0"/>
        <w:ind w:firstLine="640"/>
        <w:rPr>
          <w:color w:val="auto"/>
        </w:rPr>
      </w:pPr>
      <w:r>
        <w:rPr>
          <w:rFonts w:hint="eastAsia" w:ascii="仿宋" w:hAnsi="仿宋" w:eastAsia="仿宋" w:cs="仿宋"/>
          <w:color w:val="auto"/>
          <w:sz w:val="32"/>
          <w:szCs w:val="28"/>
        </w:rPr>
        <w:br w:type="page"/>
      </w:r>
    </w:p>
    <w:bookmarkEnd w:id="59"/>
    <w:bookmarkEnd w:id="60"/>
    <w:bookmarkEnd w:id="61"/>
    <w:bookmarkEnd w:id="62"/>
    <w:bookmarkEnd w:id="63"/>
    <w:bookmarkEnd w:id="64"/>
    <w:bookmarkEnd w:id="65"/>
    <w:bookmarkEnd w:id="66"/>
    <w:bookmarkEnd w:id="67"/>
    <w:bookmarkEnd w:id="68"/>
    <w:bookmarkEnd w:id="69"/>
    <w:bookmarkEnd w:id="70"/>
    <w:bookmarkEnd w:id="71"/>
    <w:p w14:paraId="0F3F16C3">
      <w:pPr>
        <w:pStyle w:val="3"/>
        <w:pageBreakBefore w:val="0"/>
        <w:wordWrap w:val="0"/>
        <w:overflowPunct/>
        <w:bidi w:val="0"/>
        <w:ind w:firstLine="562"/>
        <w:jc w:val="center"/>
        <w:rPr>
          <w:color w:val="auto"/>
          <w:sz w:val="28"/>
          <w:szCs w:val="28"/>
        </w:rPr>
      </w:pPr>
      <w:bookmarkStart w:id="81" w:name="_Toc13369"/>
      <w:r>
        <w:rPr>
          <w:rFonts w:hint="eastAsia"/>
          <w:color w:val="auto"/>
          <w:sz w:val="28"/>
          <w:szCs w:val="28"/>
        </w:rPr>
        <w:t>2.18投标人认为资格条件需提交的其他资料</w:t>
      </w:r>
      <w:bookmarkEnd w:id="81"/>
    </w:p>
    <w:p w14:paraId="4297E0CA">
      <w:pPr>
        <w:pageBreakBefore w:val="0"/>
        <w:wordWrap w:val="0"/>
        <w:overflowPunct/>
        <w:bidi w:val="0"/>
        <w:adjustRightInd/>
        <w:snapToGrid/>
        <w:ind w:firstLine="560"/>
        <w:rPr>
          <w:color w:val="auto"/>
          <w:sz w:val="28"/>
          <w:szCs w:val="28"/>
        </w:rPr>
      </w:pPr>
      <w:r>
        <w:rPr>
          <w:rFonts w:hint="eastAsia"/>
          <w:color w:val="auto"/>
          <w:sz w:val="28"/>
          <w:szCs w:val="28"/>
        </w:rPr>
        <w:br w:type="page"/>
      </w:r>
    </w:p>
    <w:p w14:paraId="2D700B2C">
      <w:pPr>
        <w:pStyle w:val="3"/>
        <w:pageBreakBefore w:val="0"/>
        <w:numPr>
          <w:ilvl w:val="0"/>
          <w:numId w:val="5"/>
        </w:numPr>
        <w:wordWrap w:val="0"/>
        <w:overflowPunct/>
        <w:bidi w:val="0"/>
        <w:ind w:firstLine="643"/>
        <w:jc w:val="center"/>
        <w:rPr>
          <w:color w:val="auto"/>
          <w:sz w:val="32"/>
          <w:szCs w:val="32"/>
        </w:rPr>
      </w:pPr>
      <w:bookmarkStart w:id="82" w:name="_Toc9018"/>
      <w:r>
        <w:rPr>
          <w:rFonts w:hint="eastAsia"/>
          <w:color w:val="auto"/>
          <w:sz w:val="32"/>
          <w:szCs w:val="32"/>
        </w:rPr>
        <w:t>商务部分</w:t>
      </w:r>
      <w:bookmarkEnd w:id="82"/>
    </w:p>
    <w:p w14:paraId="04EEC8F1">
      <w:pPr>
        <w:pStyle w:val="3"/>
        <w:pageBreakBefore w:val="0"/>
        <w:wordWrap w:val="0"/>
        <w:overflowPunct/>
        <w:bidi w:val="0"/>
        <w:ind w:firstLine="562"/>
        <w:jc w:val="center"/>
        <w:rPr>
          <w:rFonts w:ascii="仿宋" w:hAnsi="仿宋" w:eastAsia="仿宋" w:cs="仿宋"/>
          <w:color w:val="auto"/>
          <w:sz w:val="28"/>
          <w:szCs w:val="28"/>
        </w:rPr>
      </w:pPr>
      <w:bookmarkStart w:id="83" w:name="_Toc27477"/>
      <w:r>
        <w:rPr>
          <w:rFonts w:hint="eastAsia" w:ascii="仿宋" w:hAnsi="仿宋" w:eastAsia="仿宋" w:cs="仿宋"/>
          <w:color w:val="auto"/>
          <w:sz w:val="28"/>
          <w:szCs w:val="28"/>
        </w:rPr>
        <w:t>3.1 商务条款偏离表</w:t>
      </w:r>
      <w:bookmarkEnd w:id="83"/>
    </w:p>
    <w:p w14:paraId="1F4B74C8">
      <w:pPr>
        <w:pageBreakBefore w:val="0"/>
        <w:wordWrap w:val="0"/>
        <w:overflowPunct/>
        <w:bidi w:val="0"/>
        <w:ind w:left="420" w:leftChars="200" w:firstLine="0" w:firstLineChars="0"/>
        <w:rPr>
          <w:color w:val="auto"/>
        </w:rPr>
      </w:pPr>
    </w:p>
    <w:tbl>
      <w:tblPr>
        <w:tblStyle w:val="26"/>
        <w:tblW w:w="911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82"/>
        <w:gridCol w:w="3379"/>
        <w:gridCol w:w="1304"/>
        <w:gridCol w:w="1045"/>
        <w:gridCol w:w="1304"/>
      </w:tblGrid>
      <w:tr w14:paraId="27627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1" w:hRule="atLeast"/>
          <w:jc w:val="center"/>
        </w:trPr>
        <w:tc>
          <w:tcPr>
            <w:tcW w:w="2082" w:type="dxa"/>
            <w:vAlign w:val="center"/>
          </w:tcPr>
          <w:p w14:paraId="20928E75">
            <w:pPr>
              <w:pageBreakBefore w:val="0"/>
              <w:widowControl w:val="0"/>
              <w:wordWrap w:val="0"/>
              <w:overflowPunct/>
              <w:bidi w:val="0"/>
              <w:ind w:firstLine="0" w:firstLineChars="0"/>
              <w:jc w:val="center"/>
              <w:rPr>
                <w:rFonts w:ascii="Times New Roman" w:hAnsi="Times New Roman" w:cs="Times New Roman"/>
                <w:color w:val="auto"/>
                <w:kern w:val="2"/>
                <w:szCs w:val="24"/>
              </w:rPr>
            </w:pPr>
            <w:r>
              <w:rPr>
                <w:rFonts w:ascii="Times New Roman" w:hAnsi="Times New Roman" w:cs="Times New Roman"/>
                <w:color w:val="auto"/>
                <w:kern w:val="2"/>
                <w:szCs w:val="24"/>
              </w:rPr>
              <w:t>招标文件条目号</w:t>
            </w:r>
          </w:p>
        </w:tc>
        <w:tc>
          <w:tcPr>
            <w:tcW w:w="3379" w:type="dxa"/>
            <w:vAlign w:val="center"/>
          </w:tcPr>
          <w:p w14:paraId="314510D7">
            <w:pPr>
              <w:pageBreakBefore w:val="0"/>
              <w:widowControl w:val="0"/>
              <w:wordWrap w:val="0"/>
              <w:overflowPunct/>
              <w:bidi w:val="0"/>
              <w:ind w:firstLine="0" w:firstLineChars="0"/>
              <w:jc w:val="center"/>
              <w:rPr>
                <w:rFonts w:ascii="Times New Roman" w:hAnsi="Times New Roman" w:cs="Times New Roman"/>
                <w:color w:val="auto"/>
                <w:kern w:val="2"/>
                <w:szCs w:val="24"/>
              </w:rPr>
            </w:pPr>
            <w:r>
              <w:rPr>
                <w:rFonts w:ascii="Times New Roman" w:hAnsi="Times New Roman" w:cs="Times New Roman"/>
                <w:color w:val="auto"/>
                <w:kern w:val="2"/>
                <w:szCs w:val="24"/>
              </w:rPr>
              <w:t>招标文件的商务、合同条款</w:t>
            </w:r>
          </w:p>
        </w:tc>
        <w:tc>
          <w:tcPr>
            <w:tcW w:w="1304" w:type="dxa"/>
            <w:vAlign w:val="center"/>
          </w:tcPr>
          <w:p w14:paraId="18113C3D">
            <w:pPr>
              <w:pageBreakBefore w:val="0"/>
              <w:widowControl w:val="0"/>
              <w:wordWrap w:val="0"/>
              <w:overflowPunct/>
              <w:bidi w:val="0"/>
              <w:ind w:firstLine="0" w:firstLineChars="0"/>
              <w:jc w:val="center"/>
              <w:rPr>
                <w:rFonts w:ascii="Times New Roman" w:hAnsi="Times New Roman" w:cs="Times New Roman"/>
                <w:color w:val="auto"/>
                <w:kern w:val="2"/>
                <w:szCs w:val="24"/>
              </w:rPr>
            </w:pPr>
            <w:r>
              <w:rPr>
                <w:rFonts w:hint="eastAsia" w:ascii="Times New Roman" w:hAnsi="Times New Roman" w:cs="Times New Roman"/>
                <w:color w:val="auto"/>
                <w:kern w:val="2"/>
                <w:szCs w:val="24"/>
              </w:rPr>
              <w:t>完全</w:t>
            </w:r>
            <w:r>
              <w:rPr>
                <w:rFonts w:ascii="Times New Roman" w:hAnsi="Times New Roman" w:cs="Times New Roman"/>
                <w:color w:val="auto"/>
                <w:kern w:val="2"/>
                <w:szCs w:val="24"/>
              </w:rPr>
              <w:t>响应</w:t>
            </w:r>
          </w:p>
        </w:tc>
        <w:tc>
          <w:tcPr>
            <w:tcW w:w="1045" w:type="dxa"/>
            <w:vAlign w:val="center"/>
          </w:tcPr>
          <w:p w14:paraId="7A40F283">
            <w:pPr>
              <w:pageBreakBefore w:val="0"/>
              <w:widowControl w:val="0"/>
              <w:wordWrap w:val="0"/>
              <w:overflowPunct/>
              <w:bidi w:val="0"/>
              <w:ind w:firstLine="0" w:firstLineChars="0"/>
              <w:jc w:val="center"/>
              <w:rPr>
                <w:rFonts w:ascii="Times New Roman" w:hAnsi="Times New Roman" w:cs="Times New Roman"/>
                <w:color w:val="auto"/>
                <w:kern w:val="2"/>
                <w:szCs w:val="24"/>
              </w:rPr>
            </w:pPr>
            <w:r>
              <w:rPr>
                <w:rFonts w:hint="eastAsia" w:ascii="Times New Roman" w:hAnsi="Times New Roman" w:cs="Times New Roman"/>
                <w:color w:val="auto"/>
                <w:kern w:val="2"/>
                <w:szCs w:val="24"/>
              </w:rPr>
              <w:t>有偏离</w:t>
            </w:r>
          </w:p>
        </w:tc>
        <w:tc>
          <w:tcPr>
            <w:tcW w:w="1304" w:type="dxa"/>
            <w:vAlign w:val="center"/>
          </w:tcPr>
          <w:p w14:paraId="4899BF97">
            <w:pPr>
              <w:pageBreakBefore w:val="0"/>
              <w:widowControl w:val="0"/>
              <w:wordWrap w:val="0"/>
              <w:overflowPunct/>
              <w:bidi w:val="0"/>
              <w:ind w:firstLine="0" w:firstLineChars="0"/>
              <w:jc w:val="center"/>
              <w:rPr>
                <w:rFonts w:ascii="Times New Roman" w:hAnsi="Times New Roman" w:cs="Times New Roman"/>
                <w:color w:val="auto"/>
                <w:kern w:val="2"/>
                <w:szCs w:val="24"/>
              </w:rPr>
            </w:pPr>
            <w:r>
              <w:rPr>
                <w:rFonts w:ascii="Times New Roman" w:hAnsi="Times New Roman" w:cs="Times New Roman"/>
                <w:color w:val="auto"/>
                <w:kern w:val="2"/>
                <w:szCs w:val="24"/>
              </w:rPr>
              <w:t>偏离</w:t>
            </w:r>
            <w:r>
              <w:rPr>
                <w:rFonts w:hint="eastAsia" w:ascii="Times New Roman" w:hAnsi="Times New Roman" w:cs="Times New Roman"/>
                <w:color w:val="auto"/>
                <w:kern w:val="2"/>
                <w:szCs w:val="24"/>
              </w:rPr>
              <w:t>描述</w:t>
            </w:r>
          </w:p>
        </w:tc>
      </w:tr>
      <w:tr w14:paraId="19BDF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9" w:hRule="atLeast"/>
          <w:jc w:val="center"/>
        </w:trPr>
        <w:tc>
          <w:tcPr>
            <w:tcW w:w="2082" w:type="dxa"/>
            <w:vAlign w:val="center"/>
          </w:tcPr>
          <w:p w14:paraId="5FEF8F9F">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3379" w:type="dxa"/>
            <w:vAlign w:val="center"/>
          </w:tcPr>
          <w:p w14:paraId="1E03745B">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304" w:type="dxa"/>
            <w:vAlign w:val="center"/>
          </w:tcPr>
          <w:p w14:paraId="47E5D7F3">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045" w:type="dxa"/>
            <w:vAlign w:val="center"/>
          </w:tcPr>
          <w:p w14:paraId="4D97C1D7">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304" w:type="dxa"/>
            <w:vAlign w:val="center"/>
          </w:tcPr>
          <w:p w14:paraId="4F21039C">
            <w:pPr>
              <w:pageBreakBefore w:val="0"/>
              <w:widowControl w:val="0"/>
              <w:wordWrap w:val="0"/>
              <w:overflowPunct/>
              <w:bidi w:val="0"/>
              <w:ind w:firstLine="0" w:firstLineChars="0"/>
              <w:jc w:val="center"/>
              <w:rPr>
                <w:rFonts w:ascii="Times New Roman" w:hAnsi="Times New Roman" w:cs="Times New Roman"/>
                <w:color w:val="auto"/>
                <w:kern w:val="2"/>
                <w:szCs w:val="24"/>
              </w:rPr>
            </w:pPr>
          </w:p>
        </w:tc>
      </w:tr>
      <w:tr w14:paraId="5BAC0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82" w:type="dxa"/>
            <w:vAlign w:val="center"/>
          </w:tcPr>
          <w:p w14:paraId="1F3DA878">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3379" w:type="dxa"/>
            <w:vAlign w:val="center"/>
          </w:tcPr>
          <w:p w14:paraId="4CD543EE">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304" w:type="dxa"/>
            <w:vAlign w:val="center"/>
          </w:tcPr>
          <w:p w14:paraId="0EFD3F5C">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045" w:type="dxa"/>
            <w:vAlign w:val="center"/>
          </w:tcPr>
          <w:p w14:paraId="19828B51">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304" w:type="dxa"/>
            <w:vAlign w:val="center"/>
          </w:tcPr>
          <w:p w14:paraId="282EE41A">
            <w:pPr>
              <w:pageBreakBefore w:val="0"/>
              <w:widowControl w:val="0"/>
              <w:wordWrap w:val="0"/>
              <w:overflowPunct/>
              <w:bidi w:val="0"/>
              <w:ind w:firstLine="0" w:firstLineChars="0"/>
              <w:jc w:val="center"/>
              <w:rPr>
                <w:rFonts w:ascii="Times New Roman" w:hAnsi="Times New Roman" w:cs="Times New Roman"/>
                <w:color w:val="auto"/>
                <w:kern w:val="2"/>
                <w:szCs w:val="24"/>
              </w:rPr>
            </w:pPr>
          </w:p>
        </w:tc>
      </w:tr>
      <w:tr w14:paraId="3125B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82" w:type="dxa"/>
            <w:vAlign w:val="center"/>
          </w:tcPr>
          <w:p w14:paraId="02DED861">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3379" w:type="dxa"/>
            <w:vAlign w:val="center"/>
          </w:tcPr>
          <w:p w14:paraId="010B1AC6">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304" w:type="dxa"/>
            <w:vAlign w:val="center"/>
          </w:tcPr>
          <w:p w14:paraId="00D099D4">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045" w:type="dxa"/>
            <w:vAlign w:val="center"/>
          </w:tcPr>
          <w:p w14:paraId="17A0DCB2">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304" w:type="dxa"/>
            <w:vAlign w:val="center"/>
          </w:tcPr>
          <w:p w14:paraId="05A697CD">
            <w:pPr>
              <w:pageBreakBefore w:val="0"/>
              <w:widowControl w:val="0"/>
              <w:wordWrap w:val="0"/>
              <w:overflowPunct/>
              <w:bidi w:val="0"/>
              <w:ind w:firstLine="0" w:firstLineChars="0"/>
              <w:jc w:val="center"/>
              <w:rPr>
                <w:rFonts w:ascii="Times New Roman" w:hAnsi="Times New Roman" w:cs="Times New Roman"/>
                <w:color w:val="auto"/>
                <w:kern w:val="2"/>
                <w:szCs w:val="24"/>
              </w:rPr>
            </w:pPr>
          </w:p>
        </w:tc>
      </w:tr>
      <w:tr w14:paraId="42F7D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82" w:type="dxa"/>
            <w:vAlign w:val="center"/>
          </w:tcPr>
          <w:p w14:paraId="296EF40E">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3379" w:type="dxa"/>
            <w:vAlign w:val="center"/>
          </w:tcPr>
          <w:p w14:paraId="36A938D2">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304" w:type="dxa"/>
            <w:vAlign w:val="center"/>
          </w:tcPr>
          <w:p w14:paraId="499575B6">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045" w:type="dxa"/>
            <w:vAlign w:val="center"/>
          </w:tcPr>
          <w:p w14:paraId="1C30F22E">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304" w:type="dxa"/>
            <w:vAlign w:val="center"/>
          </w:tcPr>
          <w:p w14:paraId="56029A0D">
            <w:pPr>
              <w:pageBreakBefore w:val="0"/>
              <w:widowControl w:val="0"/>
              <w:wordWrap w:val="0"/>
              <w:overflowPunct/>
              <w:bidi w:val="0"/>
              <w:ind w:firstLine="0" w:firstLineChars="0"/>
              <w:jc w:val="center"/>
              <w:rPr>
                <w:rFonts w:ascii="Times New Roman" w:hAnsi="Times New Roman" w:cs="Times New Roman"/>
                <w:color w:val="auto"/>
                <w:kern w:val="2"/>
                <w:szCs w:val="24"/>
              </w:rPr>
            </w:pPr>
          </w:p>
        </w:tc>
      </w:tr>
      <w:tr w14:paraId="3E7B6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82" w:type="dxa"/>
            <w:vAlign w:val="center"/>
          </w:tcPr>
          <w:p w14:paraId="157229B7">
            <w:pPr>
              <w:pageBreakBefore w:val="0"/>
              <w:widowControl w:val="0"/>
              <w:wordWrap w:val="0"/>
              <w:overflowPunct/>
              <w:bidi w:val="0"/>
              <w:ind w:firstLine="0" w:firstLineChars="0"/>
              <w:jc w:val="center"/>
              <w:rPr>
                <w:rFonts w:ascii="Times New Roman" w:hAnsi="Times New Roman" w:cs="Times New Roman"/>
                <w:color w:val="auto"/>
                <w:kern w:val="2"/>
              </w:rPr>
            </w:pPr>
          </w:p>
        </w:tc>
        <w:tc>
          <w:tcPr>
            <w:tcW w:w="3379" w:type="dxa"/>
            <w:vAlign w:val="center"/>
          </w:tcPr>
          <w:p w14:paraId="1CD4BBB1">
            <w:pPr>
              <w:pageBreakBefore w:val="0"/>
              <w:widowControl w:val="0"/>
              <w:wordWrap w:val="0"/>
              <w:overflowPunct/>
              <w:bidi w:val="0"/>
              <w:ind w:firstLine="0" w:firstLineChars="0"/>
              <w:jc w:val="center"/>
              <w:rPr>
                <w:rFonts w:ascii="Times New Roman" w:hAnsi="Times New Roman" w:cs="Times New Roman"/>
                <w:color w:val="auto"/>
                <w:kern w:val="2"/>
              </w:rPr>
            </w:pPr>
          </w:p>
        </w:tc>
        <w:tc>
          <w:tcPr>
            <w:tcW w:w="1304" w:type="dxa"/>
            <w:vAlign w:val="center"/>
          </w:tcPr>
          <w:p w14:paraId="433E86AF">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045" w:type="dxa"/>
            <w:vAlign w:val="center"/>
          </w:tcPr>
          <w:p w14:paraId="371F4366">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304" w:type="dxa"/>
            <w:vAlign w:val="center"/>
          </w:tcPr>
          <w:p w14:paraId="336C5DFC">
            <w:pPr>
              <w:pageBreakBefore w:val="0"/>
              <w:widowControl w:val="0"/>
              <w:wordWrap w:val="0"/>
              <w:overflowPunct/>
              <w:bidi w:val="0"/>
              <w:ind w:firstLine="0" w:firstLineChars="0"/>
              <w:jc w:val="center"/>
              <w:rPr>
                <w:rFonts w:ascii="Times New Roman" w:hAnsi="Times New Roman" w:cs="Times New Roman"/>
                <w:color w:val="auto"/>
                <w:kern w:val="2"/>
                <w:szCs w:val="24"/>
              </w:rPr>
            </w:pPr>
          </w:p>
        </w:tc>
      </w:tr>
      <w:tr w14:paraId="60975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82" w:type="dxa"/>
            <w:vAlign w:val="center"/>
          </w:tcPr>
          <w:p w14:paraId="4291A698">
            <w:pPr>
              <w:pageBreakBefore w:val="0"/>
              <w:widowControl w:val="0"/>
              <w:wordWrap w:val="0"/>
              <w:overflowPunct/>
              <w:bidi w:val="0"/>
              <w:ind w:firstLine="0" w:firstLineChars="0"/>
              <w:jc w:val="center"/>
              <w:rPr>
                <w:rFonts w:ascii="Times New Roman" w:hAnsi="Times New Roman" w:cs="Times New Roman"/>
                <w:color w:val="auto"/>
                <w:kern w:val="2"/>
              </w:rPr>
            </w:pPr>
            <w:r>
              <w:rPr>
                <w:rFonts w:hint="eastAsia" w:ascii="Times New Roman" w:hAnsi="Times New Roman" w:cs="Times New Roman"/>
                <w:color w:val="auto"/>
                <w:kern w:val="2"/>
              </w:rPr>
              <w:t>……</w:t>
            </w:r>
          </w:p>
        </w:tc>
        <w:tc>
          <w:tcPr>
            <w:tcW w:w="3379" w:type="dxa"/>
            <w:vAlign w:val="center"/>
          </w:tcPr>
          <w:p w14:paraId="04DF5D8D">
            <w:pPr>
              <w:pageBreakBefore w:val="0"/>
              <w:widowControl w:val="0"/>
              <w:wordWrap w:val="0"/>
              <w:overflowPunct/>
              <w:bidi w:val="0"/>
              <w:ind w:firstLine="0" w:firstLineChars="0"/>
              <w:jc w:val="center"/>
              <w:rPr>
                <w:rFonts w:ascii="Times New Roman" w:hAnsi="Times New Roman" w:cs="Times New Roman"/>
                <w:color w:val="auto"/>
                <w:kern w:val="2"/>
              </w:rPr>
            </w:pPr>
            <w:r>
              <w:rPr>
                <w:rFonts w:hint="eastAsia" w:ascii="Times New Roman" w:hAnsi="Times New Roman" w:cs="Times New Roman"/>
                <w:color w:val="auto"/>
                <w:kern w:val="2"/>
              </w:rPr>
              <w:t>……</w:t>
            </w:r>
          </w:p>
        </w:tc>
        <w:tc>
          <w:tcPr>
            <w:tcW w:w="1304" w:type="dxa"/>
            <w:vAlign w:val="center"/>
          </w:tcPr>
          <w:p w14:paraId="15AECEFA">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045" w:type="dxa"/>
            <w:vAlign w:val="center"/>
          </w:tcPr>
          <w:p w14:paraId="441BF388">
            <w:pPr>
              <w:pageBreakBefore w:val="0"/>
              <w:widowControl w:val="0"/>
              <w:wordWrap w:val="0"/>
              <w:overflowPunct/>
              <w:bidi w:val="0"/>
              <w:ind w:firstLine="0" w:firstLineChars="0"/>
              <w:jc w:val="center"/>
              <w:rPr>
                <w:rFonts w:ascii="Times New Roman" w:hAnsi="Times New Roman" w:cs="Times New Roman"/>
                <w:color w:val="auto"/>
                <w:kern w:val="2"/>
                <w:szCs w:val="24"/>
              </w:rPr>
            </w:pPr>
          </w:p>
        </w:tc>
        <w:tc>
          <w:tcPr>
            <w:tcW w:w="1304" w:type="dxa"/>
            <w:vAlign w:val="center"/>
          </w:tcPr>
          <w:p w14:paraId="2CF6868C">
            <w:pPr>
              <w:pageBreakBefore w:val="0"/>
              <w:widowControl w:val="0"/>
              <w:wordWrap w:val="0"/>
              <w:overflowPunct/>
              <w:bidi w:val="0"/>
              <w:ind w:firstLine="0" w:firstLineChars="0"/>
              <w:jc w:val="center"/>
              <w:rPr>
                <w:rFonts w:ascii="Times New Roman" w:hAnsi="Times New Roman" w:cs="Times New Roman"/>
                <w:color w:val="auto"/>
                <w:kern w:val="2"/>
                <w:szCs w:val="24"/>
              </w:rPr>
            </w:pPr>
          </w:p>
        </w:tc>
      </w:tr>
    </w:tbl>
    <w:p w14:paraId="5B116C37">
      <w:pPr>
        <w:pageBreakBefore w:val="0"/>
        <w:wordWrap w:val="0"/>
        <w:overflowPunct/>
        <w:bidi w:val="0"/>
        <w:rPr>
          <w:color w:val="auto"/>
        </w:rPr>
      </w:pPr>
      <w:r>
        <w:rPr>
          <w:color w:val="auto"/>
        </w:rPr>
        <w:t>注：</w:t>
      </w:r>
      <w:r>
        <w:rPr>
          <w:rFonts w:hint="eastAsia"/>
          <w:color w:val="auto"/>
        </w:rPr>
        <w:t>1、</w:t>
      </w:r>
      <w:r>
        <w:rPr>
          <w:rFonts w:hint="eastAsia"/>
          <w:color w:val="auto"/>
        </w:rPr>
        <w:tab/>
      </w:r>
      <w:r>
        <w:rPr>
          <w:rFonts w:hint="eastAsia"/>
          <w:color w:val="auto"/>
        </w:rPr>
        <w:t>第五章技术要求和第三章合同书样式及主要条款为商务条款；</w:t>
      </w:r>
    </w:p>
    <w:p w14:paraId="465AB352">
      <w:pPr>
        <w:pageBreakBefore w:val="0"/>
        <w:wordWrap w:val="0"/>
        <w:overflowPunct/>
        <w:bidi w:val="0"/>
        <w:rPr>
          <w:color w:val="auto"/>
        </w:rPr>
      </w:pPr>
      <w:r>
        <w:rPr>
          <w:rFonts w:hint="eastAsia"/>
          <w:color w:val="auto"/>
        </w:rPr>
        <w:t>2、</w:t>
      </w:r>
      <w:r>
        <w:rPr>
          <w:rFonts w:hint="eastAsia"/>
          <w:color w:val="auto"/>
        </w:rPr>
        <w:tab/>
      </w:r>
      <w:r>
        <w:rPr>
          <w:rFonts w:hint="eastAsia"/>
          <w:color w:val="auto"/>
        </w:rPr>
        <w:t>对完全响应的条目在本表相应列中标注“√”。对有偏离的条目在本表相应列中标注“正偏离”或“负偏离”。仅可在“完全响应”及“有偏离”中选一标注，同时，当且仅当选取“有偏离”栏中加以标注后，才能在“偏离简述”栏中加以说明。</w:t>
      </w:r>
    </w:p>
    <w:p w14:paraId="14422698">
      <w:pPr>
        <w:pageBreakBefore w:val="0"/>
        <w:wordWrap w:val="0"/>
        <w:overflowPunct/>
        <w:bidi w:val="0"/>
        <w:rPr>
          <w:color w:val="auto"/>
        </w:rPr>
      </w:pPr>
      <w:r>
        <w:rPr>
          <w:rFonts w:hint="eastAsia"/>
          <w:color w:val="auto"/>
        </w:rPr>
        <w:t>3、</w:t>
      </w:r>
      <w:r>
        <w:rPr>
          <w:rFonts w:hint="eastAsia"/>
          <w:color w:val="auto"/>
        </w:rPr>
        <w:tab/>
      </w:r>
      <w:r>
        <w:rPr>
          <w:rFonts w:hint="eastAsia"/>
          <w:color w:val="auto"/>
        </w:rPr>
        <w:t>正偏离是指应答的条件高于招标文件要求，负偏离是指应答的条件低于招标文件要求，正偏离项目不作扣分处理。</w:t>
      </w:r>
    </w:p>
    <w:p w14:paraId="5D7D082C">
      <w:pPr>
        <w:pageBreakBefore w:val="0"/>
        <w:wordWrap w:val="0"/>
        <w:overflowPunct/>
        <w:bidi w:val="0"/>
        <w:rPr>
          <w:color w:val="auto"/>
        </w:rPr>
      </w:pPr>
      <w:r>
        <w:rPr>
          <w:rFonts w:hint="eastAsia"/>
          <w:color w:val="auto"/>
        </w:rPr>
        <w:t>4、</w:t>
      </w:r>
      <w:r>
        <w:rPr>
          <w:rFonts w:hint="eastAsia"/>
          <w:color w:val="auto"/>
        </w:rPr>
        <w:tab/>
      </w:r>
      <w:r>
        <w:rPr>
          <w:rFonts w:hint="eastAsia"/>
          <w:color w:val="auto"/>
        </w:rPr>
        <w:t>投标人须完整填写响应表。如果未完整填写本表的各项内容则视作投标人已经对招标文件相关要求和内容完全理解并同意，其投标报价为在此基础上的完全价格。</w:t>
      </w:r>
    </w:p>
    <w:p w14:paraId="5A57BAED">
      <w:pPr>
        <w:pageBreakBefore w:val="0"/>
        <w:wordWrap w:val="0"/>
        <w:overflowPunct/>
        <w:bidi w:val="0"/>
        <w:rPr>
          <w:color w:val="auto"/>
        </w:rPr>
      </w:pPr>
      <w:r>
        <w:rPr>
          <w:rFonts w:hint="eastAsia"/>
          <w:color w:val="auto"/>
        </w:rPr>
        <w:t>5、</w:t>
      </w:r>
      <w:r>
        <w:rPr>
          <w:rFonts w:hint="eastAsia"/>
          <w:color w:val="auto"/>
        </w:rPr>
        <w:tab/>
      </w:r>
      <w:r>
        <w:rPr>
          <w:rFonts w:hint="eastAsia"/>
          <w:color w:val="auto"/>
        </w:rPr>
        <w:t>在招标人与中标人签订合同时，如中标人未在投标文件“偏离表”中列出偏离说明，无论已发生或即将发生任何情形，均视为完全符合招标文件要求，并写入合同。若中标人在合同签订前，以上述事项为借口而不履行合同签订手续及执行合同，则视作拒绝与招标人签订合同。</w:t>
      </w:r>
    </w:p>
    <w:p w14:paraId="02654BB5">
      <w:pPr>
        <w:pageBreakBefore w:val="0"/>
        <w:widowControl w:val="0"/>
        <w:wordWrap w:val="0"/>
        <w:overflowPunct/>
        <w:bidi w:val="0"/>
        <w:ind w:left="850" w:leftChars="203" w:hanging="424" w:hangingChars="202"/>
        <w:jc w:val="both"/>
        <w:rPr>
          <w:rFonts w:cs="Times New Roman"/>
          <w:color w:val="auto"/>
          <w:kern w:val="2"/>
          <w:szCs w:val="24"/>
        </w:rPr>
      </w:pPr>
    </w:p>
    <w:p w14:paraId="44BC4B62">
      <w:pPr>
        <w:pStyle w:val="21"/>
        <w:pageBreakBefore w:val="0"/>
        <w:wordWrap w:val="0"/>
        <w:overflowPunct/>
        <w:bidi w:val="0"/>
        <w:adjustRightInd/>
        <w:snapToGrid/>
        <w:spacing w:before="0" w:beforeAutospacing="0" w:after="0" w:afterAutospacing="0"/>
        <w:jc w:val="right"/>
        <w:rPr>
          <w:color w:val="auto"/>
          <w:sz w:val="21"/>
        </w:rPr>
      </w:pPr>
      <w:r>
        <w:rPr>
          <w:rFonts w:hint="eastAsia"/>
          <w:color w:val="auto"/>
          <w:sz w:val="21"/>
        </w:rPr>
        <w:t>投标人名称（盖公章）：________________________</w:t>
      </w:r>
    </w:p>
    <w:p w14:paraId="1A5D5B69">
      <w:pPr>
        <w:pageBreakBefore w:val="0"/>
        <w:wordWrap w:val="0"/>
        <w:overflowPunct/>
        <w:bidi w:val="0"/>
        <w:adjustRightInd/>
        <w:snapToGrid/>
        <w:jc w:val="right"/>
        <w:rPr>
          <w:color w:val="auto"/>
        </w:rPr>
      </w:pPr>
      <w:r>
        <w:rPr>
          <w:rFonts w:hint="eastAsia"/>
          <w:color w:val="auto"/>
        </w:rPr>
        <w:t>法定代表人或其授权代理人（签字或盖章）：__________</w:t>
      </w:r>
    </w:p>
    <w:p w14:paraId="6E973D5F">
      <w:pPr>
        <w:pageBreakBefore w:val="0"/>
        <w:wordWrap w:val="0"/>
        <w:overflowPunct/>
        <w:bidi w:val="0"/>
        <w:adjustRightInd/>
        <w:snapToGrid/>
        <w:jc w:val="right"/>
        <w:rPr>
          <w:color w:val="auto"/>
        </w:rPr>
      </w:pPr>
      <w:r>
        <w:rPr>
          <w:rFonts w:hint="eastAsia"/>
          <w:color w:val="auto"/>
        </w:rPr>
        <w:t>日期：_______年____月_____日</w:t>
      </w:r>
    </w:p>
    <w:p w14:paraId="302599E4">
      <w:pPr>
        <w:pStyle w:val="7"/>
        <w:pageBreakBefore w:val="0"/>
        <w:wordWrap w:val="0"/>
        <w:overflowPunct/>
        <w:bidi w:val="0"/>
        <w:rPr>
          <w:color w:val="auto"/>
        </w:rPr>
      </w:pPr>
    </w:p>
    <w:p w14:paraId="6409626F">
      <w:pPr>
        <w:pageBreakBefore w:val="0"/>
        <w:wordWrap w:val="0"/>
        <w:overflowPunct/>
        <w:bidi w:val="0"/>
        <w:rPr>
          <w:color w:val="auto"/>
        </w:rPr>
      </w:pPr>
      <w:r>
        <w:rPr>
          <w:rFonts w:hint="eastAsia"/>
          <w:color w:val="auto"/>
        </w:rPr>
        <w:br w:type="page"/>
      </w:r>
    </w:p>
    <w:p w14:paraId="63D55914">
      <w:pPr>
        <w:pStyle w:val="3"/>
        <w:pageBreakBefore w:val="0"/>
        <w:wordWrap w:val="0"/>
        <w:overflowPunct/>
        <w:bidi w:val="0"/>
        <w:spacing w:before="156" w:beforeLines="50" w:after="156" w:afterLines="50"/>
        <w:ind w:firstLine="482"/>
        <w:jc w:val="center"/>
        <w:rPr>
          <w:bCs/>
          <w:color w:val="auto"/>
        </w:rPr>
      </w:pPr>
      <w:bookmarkStart w:id="84" w:name="_Toc10010"/>
      <w:r>
        <w:rPr>
          <w:rFonts w:hint="eastAsia"/>
          <w:bCs/>
          <w:color w:val="auto"/>
        </w:rPr>
        <w:t>3.2政策功能情况（如有）</w:t>
      </w:r>
      <w:bookmarkEnd w:id="84"/>
    </w:p>
    <w:p w14:paraId="6A0B0A6E">
      <w:pPr>
        <w:pageBreakBefore w:val="0"/>
        <w:wordWrap w:val="0"/>
        <w:overflowPunct/>
        <w:bidi w:val="0"/>
        <w:ind w:firstLine="0" w:firstLineChars="0"/>
        <w:rPr>
          <w:color w:val="auto"/>
        </w:rPr>
      </w:pPr>
      <w:r>
        <w:rPr>
          <w:rFonts w:hint="eastAsia"/>
          <w:bCs/>
          <w:color w:val="auto"/>
        </w:rPr>
        <w:t>标包号：</w:t>
      </w:r>
    </w:p>
    <w:tbl>
      <w:tblPr>
        <w:tblStyle w:val="26"/>
        <w:tblW w:w="91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0"/>
        <w:gridCol w:w="2254"/>
        <w:gridCol w:w="1565"/>
        <w:gridCol w:w="1410"/>
        <w:gridCol w:w="2475"/>
      </w:tblGrid>
      <w:tr w14:paraId="00EC4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410" w:type="dxa"/>
            <w:vAlign w:val="center"/>
          </w:tcPr>
          <w:p w14:paraId="043E4D40">
            <w:pPr>
              <w:pageBreakBefore w:val="0"/>
              <w:tabs>
                <w:tab w:val="left" w:pos="1260"/>
              </w:tabs>
              <w:wordWrap w:val="0"/>
              <w:overflowPunct/>
              <w:bidi w:val="0"/>
              <w:ind w:right="-71" w:rightChars="-34" w:firstLine="0" w:firstLineChars="0"/>
              <w:jc w:val="center"/>
              <w:rPr>
                <w:b/>
                <w:color w:val="auto"/>
                <w:lang w:val="en-GB"/>
              </w:rPr>
            </w:pPr>
            <w:r>
              <w:rPr>
                <w:rFonts w:hint="eastAsia"/>
                <w:b/>
                <w:color w:val="auto"/>
                <w:lang w:val="en-GB"/>
              </w:rPr>
              <w:t>类别</w:t>
            </w:r>
          </w:p>
        </w:tc>
        <w:tc>
          <w:tcPr>
            <w:tcW w:w="2254" w:type="dxa"/>
            <w:vAlign w:val="center"/>
          </w:tcPr>
          <w:p w14:paraId="5D0536B2">
            <w:pPr>
              <w:pageBreakBefore w:val="0"/>
              <w:tabs>
                <w:tab w:val="left" w:pos="1260"/>
              </w:tabs>
              <w:wordWrap w:val="0"/>
              <w:overflowPunct/>
              <w:bidi w:val="0"/>
              <w:ind w:right="-71" w:rightChars="-34" w:firstLine="0" w:firstLineChars="0"/>
              <w:jc w:val="center"/>
              <w:rPr>
                <w:b/>
                <w:color w:val="auto"/>
                <w:lang w:val="en-GB"/>
              </w:rPr>
            </w:pPr>
            <w:r>
              <w:rPr>
                <w:rFonts w:hint="eastAsia"/>
                <w:b/>
                <w:color w:val="auto"/>
                <w:lang w:val="en-GB"/>
              </w:rPr>
              <w:t>投标产品（规格型号）</w:t>
            </w:r>
          </w:p>
        </w:tc>
        <w:tc>
          <w:tcPr>
            <w:tcW w:w="1565" w:type="dxa"/>
            <w:vAlign w:val="center"/>
          </w:tcPr>
          <w:p w14:paraId="05F9FF68">
            <w:pPr>
              <w:pageBreakBefore w:val="0"/>
              <w:tabs>
                <w:tab w:val="left" w:pos="1260"/>
              </w:tabs>
              <w:wordWrap w:val="0"/>
              <w:overflowPunct/>
              <w:bidi w:val="0"/>
              <w:ind w:right="-71" w:rightChars="-34" w:firstLine="0" w:firstLineChars="0"/>
              <w:jc w:val="center"/>
              <w:rPr>
                <w:b/>
                <w:color w:val="auto"/>
                <w:lang w:val="en-GB"/>
              </w:rPr>
            </w:pPr>
            <w:r>
              <w:rPr>
                <w:rFonts w:hint="eastAsia"/>
                <w:b/>
                <w:color w:val="auto"/>
                <w:lang w:val="en-GB"/>
              </w:rPr>
              <w:t>制造商</w:t>
            </w:r>
          </w:p>
        </w:tc>
        <w:tc>
          <w:tcPr>
            <w:tcW w:w="1410" w:type="dxa"/>
            <w:vAlign w:val="center"/>
          </w:tcPr>
          <w:p w14:paraId="7579353C">
            <w:pPr>
              <w:pageBreakBefore w:val="0"/>
              <w:tabs>
                <w:tab w:val="left" w:pos="1260"/>
              </w:tabs>
              <w:wordWrap w:val="0"/>
              <w:overflowPunct/>
              <w:bidi w:val="0"/>
              <w:ind w:right="-71" w:rightChars="-34" w:firstLine="0" w:firstLineChars="0"/>
              <w:jc w:val="center"/>
              <w:rPr>
                <w:b/>
                <w:color w:val="auto"/>
                <w:lang w:val="en-GB"/>
              </w:rPr>
            </w:pPr>
            <w:r>
              <w:rPr>
                <w:rFonts w:hint="eastAsia"/>
                <w:b/>
                <w:color w:val="auto"/>
                <w:lang w:val="en-GB"/>
              </w:rPr>
              <w:t>认证证书编号</w:t>
            </w:r>
          </w:p>
        </w:tc>
        <w:tc>
          <w:tcPr>
            <w:tcW w:w="2475" w:type="dxa"/>
            <w:vAlign w:val="center"/>
          </w:tcPr>
          <w:p w14:paraId="63D02D46">
            <w:pPr>
              <w:pageBreakBefore w:val="0"/>
              <w:tabs>
                <w:tab w:val="left" w:pos="1260"/>
              </w:tabs>
              <w:wordWrap w:val="0"/>
              <w:overflowPunct/>
              <w:bidi w:val="0"/>
              <w:ind w:right="-71" w:rightChars="-34" w:firstLine="0" w:firstLineChars="0"/>
              <w:jc w:val="center"/>
              <w:rPr>
                <w:b/>
                <w:color w:val="auto"/>
                <w:lang w:val="en-GB"/>
              </w:rPr>
            </w:pPr>
            <w:r>
              <w:rPr>
                <w:rFonts w:hint="eastAsia"/>
                <w:b/>
                <w:color w:val="auto"/>
              </w:rPr>
              <w:t>备注</w:t>
            </w:r>
          </w:p>
        </w:tc>
      </w:tr>
      <w:tr w14:paraId="6F7AF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10" w:type="dxa"/>
            <w:vMerge w:val="restart"/>
            <w:vAlign w:val="center"/>
          </w:tcPr>
          <w:p w14:paraId="13A21EAE">
            <w:pPr>
              <w:pageBreakBefore w:val="0"/>
              <w:tabs>
                <w:tab w:val="left" w:pos="1260"/>
              </w:tabs>
              <w:wordWrap w:val="0"/>
              <w:overflowPunct/>
              <w:bidi w:val="0"/>
              <w:ind w:right="-71" w:rightChars="-34" w:firstLine="0" w:firstLineChars="0"/>
              <w:jc w:val="center"/>
              <w:rPr>
                <w:b/>
                <w:color w:val="auto"/>
                <w:lang w:val="en-GB"/>
              </w:rPr>
            </w:pPr>
            <w:r>
              <w:rPr>
                <w:rFonts w:hint="eastAsia"/>
                <w:b/>
                <w:color w:val="auto"/>
                <w:lang w:val="en-GB"/>
              </w:rPr>
              <w:t>节能产品</w:t>
            </w:r>
          </w:p>
        </w:tc>
        <w:tc>
          <w:tcPr>
            <w:tcW w:w="2254" w:type="dxa"/>
            <w:vAlign w:val="center"/>
          </w:tcPr>
          <w:p w14:paraId="3E46C718">
            <w:pPr>
              <w:pageBreakBefore w:val="0"/>
              <w:tabs>
                <w:tab w:val="left" w:pos="1260"/>
              </w:tabs>
              <w:wordWrap w:val="0"/>
              <w:overflowPunct/>
              <w:bidi w:val="0"/>
              <w:ind w:right="-71" w:rightChars="-34" w:firstLine="0" w:firstLineChars="0"/>
              <w:jc w:val="center"/>
              <w:rPr>
                <w:b/>
                <w:color w:val="auto"/>
                <w:lang w:val="en-GB"/>
              </w:rPr>
            </w:pPr>
          </w:p>
        </w:tc>
        <w:tc>
          <w:tcPr>
            <w:tcW w:w="1565" w:type="dxa"/>
            <w:vAlign w:val="center"/>
          </w:tcPr>
          <w:p w14:paraId="125A9BB7">
            <w:pPr>
              <w:pageBreakBefore w:val="0"/>
              <w:tabs>
                <w:tab w:val="left" w:pos="1260"/>
              </w:tabs>
              <w:wordWrap w:val="0"/>
              <w:overflowPunct/>
              <w:bidi w:val="0"/>
              <w:ind w:right="-71" w:rightChars="-34" w:firstLine="0" w:firstLineChars="0"/>
              <w:jc w:val="center"/>
              <w:rPr>
                <w:b/>
                <w:color w:val="auto"/>
                <w:lang w:val="en-GB"/>
              </w:rPr>
            </w:pPr>
          </w:p>
        </w:tc>
        <w:tc>
          <w:tcPr>
            <w:tcW w:w="1410" w:type="dxa"/>
            <w:vAlign w:val="center"/>
          </w:tcPr>
          <w:p w14:paraId="54BCC708">
            <w:pPr>
              <w:pageBreakBefore w:val="0"/>
              <w:tabs>
                <w:tab w:val="left" w:pos="1260"/>
              </w:tabs>
              <w:wordWrap w:val="0"/>
              <w:overflowPunct/>
              <w:bidi w:val="0"/>
              <w:ind w:right="-71" w:rightChars="-34" w:firstLine="0" w:firstLineChars="0"/>
              <w:jc w:val="center"/>
              <w:rPr>
                <w:b/>
                <w:color w:val="auto"/>
                <w:lang w:val="en-GB"/>
              </w:rPr>
            </w:pPr>
          </w:p>
        </w:tc>
        <w:tc>
          <w:tcPr>
            <w:tcW w:w="2475" w:type="dxa"/>
            <w:vAlign w:val="center"/>
          </w:tcPr>
          <w:p w14:paraId="7854ADE5">
            <w:pPr>
              <w:pageBreakBefore w:val="0"/>
              <w:tabs>
                <w:tab w:val="left" w:pos="1260"/>
              </w:tabs>
              <w:wordWrap w:val="0"/>
              <w:overflowPunct/>
              <w:bidi w:val="0"/>
              <w:ind w:right="-71" w:rightChars="-34" w:firstLine="0" w:firstLineChars="0"/>
              <w:jc w:val="center"/>
              <w:rPr>
                <w:b/>
                <w:color w:val="auto"/>
                <w:lang w:val="en-GB"/>
              </w:rPr>
            </w:pPr>
            <w:r>
              <w:rPr>
                <w:rFonts w:hint="eastAsia"/>
                <w:b/>
                <w:color w:val="auto"/>
              </w:rPr>
              <w:t xml:space="preserve"> </w:t>
            </w:r>
          </w:p>
        </w:tc>
      </w:tr>
      <w:tr w14:paraId="79DB5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10" w:type="dxa"/>
            <w:vMerge w:val="continue"/>
            <w:vAlign w:val="center"/>
          </w:tcPr>
          <w:p w14:paraId="300A0470">
            <w:pPr>
              <w:pageBreakBefore w:val="0"/>
              <w:tabs>
                <w:tab w:val="left" w:pos="1260"/>
              </w:tabs>
              <w:wordWrap w:val="0"/>
              <w:overflowPunct/>
              <w:bidi w:val="0"/>
              <w:ind w:right="-71" w:rightChars="-34" w:firstLine="0" w:firstLineChars="0"/>
              <w:jc w:val="center"/>
              <w:rPr>
                <w:b/>
                <w:color w:val="auto"/>
                <w:lang w:val="en-GB"/>
              </w:rPr>
            </w:pPr>
          </w:p>
        </w:tc>
        <w:tc>
          <w:tcPr>
            <w:tcW w:w="2254" w:type="dxa"/>
            <w:vAlign w:val="center"/>
          </w:tcPr>
          <w:p w14:paraId="05415163">
            <w:pPr>
              <w:pageBreakBefore w:val="0"/>
              <w:tabs>
                <w:tab w:val="left" w:pos="1260"/>
              </w:tabs>
              <w:wordWrap w:val="0"/>
              <w:overflowPunct/>
              <w:bidi w:val="0"/>
              <w:ind w:right="-71" w:rightChars="-34" w:firstLine="0" w:firstLineChars="0"/>
              <w:jc w:val="center"/>
              <w:rPr>
                <w:b/>
                <w:color w:val="auto"/>
                <w:lang w:val="en-GB"/>
              </w:rPr>
            </w:pPr>
          </w:p>
        </w:tc>
        <w:tc>
          <w:tcPr>
            <w:tcW w:w="1565" w:type="dxa"/>
            <w:vAlign w:val="center"/>
          </w:tcPr>
          <w:p w14:paraId="68FF7CB7">
            <w:pPr>
              <w:pageBreakBefore w:val="0"/>
              <w:tabs>
                <w:tab w:val="left" w:pos="1260"/>
              </w:tabs>
              <w:wordWrap w:val="0"/>
              <w:overflowPunct/>
              <w:bidi w:val="0"/>
              <w:ind w:right="-71" w:rightChars="-34" w:firstLine="0" w:firstLineChars="0"/>
              <w:jc w:val="center"/>
              <w:rPr>
                <w:b/>
                <w:color w:val="auto"/>
                <w:lang w:val="en-GB"/>
              </w:rPr>
            </w:pPr>
          </w:p>
        </w:tc>
        <w:tc>
          <w:tcPr>
            <w:tcW w:w="1410" w:type="dxa"/>
            <w:vAlign w:val="center"/>
          </w:tcPr>
          <w:p w14:paraId="22835FE9">
            <w:pPr>
              <w:pageBreakBefore w:val="0"/>
              <w:tabs>
                <w:tab w:val="left" w:pos="1260"/>
              </w:tabs>
              <w:wordWrap w:val="0"/>
              <w:overflowPunct/>
              <w:bidi w:val="0"/>
              <w:ind w:right="-71" w:rightChars="-34" w:firstLine="0" w:firstLineChars="0"/>
              <w:jc w:val="center"/>
              <w:rPr>
                <w:b/>
                <w:color w:val="auto"/>
                <w:lang w:val="en-GB"/>
              </w:rPr>
            </w:pPr>
          </w:p>
        </w:tc>
        <w:tc>
          <w:tcPr>
            <w:tcW w:w="2475" w:type="dxa"/>
            <w:vAlign w:val="center"/>
          </w:tcPr>
          <w:p w14:paraId="1C261658">
            <w:pPr>
              <w:pageBreakBefore w:val="0"/>
              <w:tabs>
                <w:tab w:val="left" w:pos="1260"/>
              </w:tabs>
              <w:wordWrap w:val="0"/>
              <w:overflowPunct/>
              <w:bidi w:val="0"/>
              <w:ind w:right="-71" w:rightChars="-34" w:firstLine="0" w:firstLineChars="0"/>
              <w:jc w:val="center"/>
              <w:rPr>
                <w:b/>
                <w:color w:val="auto"/>
                <w:lang w:val="en-GB"/>
              </w:rPr>
            </w:pPr>
            <w:r>
              <w:rPr>
                <w:rFonts w:hint="eastAsia"/>
                <w:b/>
                <w:color w:val="auto"/>
              </w:rPr>
              <w:t xml:space="preserve"> </w:t>
            </w:r>
          </w:p>
        </w:tc>
      </w:tr>
      <w:tr w14:paraId="6BB5A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10" w:type="dxa"/>
            <w:vMerge w:val="restart"/>
            <w:vAlign w:val="center"/>
          </w:tcPr>
          <w:p w14:paraId="7CA4085C">
            <w:pPr>
              <w:pageBreakBefore w:val="0"/>
              <w:tabs>
                <w:tab w:val="left" w:pos="1260"/>
              </w:tabs>
              <w:wordWrap w:val="0"/>
              <w:overflowPunct/>
              <w:bidi w:val="0"/>
              <w:ind w:right="-71" w:rightChars="-34" w:firstLine="0" w:firstLineChars="0"/>
              <w:jc w:val="center"/>
              <w:rPr>
                <w:b/>
                <w:color w:val="auto"/>
                <w:lang w:val="en-GB"/>
              </w:rPr>
            </w:pPr>
            <w:r>
              <w:rPr>
                <w:rFonts w:hint="eastAsia"/>
                <w:b/>
                <w:color w:val="auto"/>
                <w:lang w:val="en-GB"/>
              </w:rPr>
              <w:t>环保标志产品</w:t>
            </w:r>
          </w:p>
        </w:tc>
        <w:tc>
          <w:tcPr>
            <w:tcW w:w="2254" w:type="dxa"/>
            <w:vAlign w:val="center"/>
          </w:tcPr>
          <w:p w14:paraId="18A9E99C">
            <w:pPr>
              <w:pageBreakBefore w:val="0"/>
              <w:tabs>
                <w:tab w:val="left" w:pos="1260"/>
              </w:tabs>
              <w:wordWrap w:val="0"/>
              <w:overflowPunct/>
              <w:bidi w:val="0"/>
              <w:ind w:right="-71" w:rightChars="-34" w:firstLine="0" w:firstLineChars="0"/>
              <w:jc w:val="center"/>
              <w:rPr>
                <w:b/>
                <w:color w:val="auto"/>
                <w:lang w:val="en-GB"/>
              </w:rPr>
            </w:pPr>
          </w:p>
        </w:tc>
        <w:tc>
          <w:tcPr>
            <w:tcW w:w="1565" w:type="dxa"/>
            <w:vAlign w:val="center"/>
          </w:tcPr>
          <w:p w14:paraId="7148E862">
            <w:pPr>
              <w:pageBreakBefore w:val="0"/>
              <w:tabs>
                <w:tab w:val="left" w:pos="1260"/>
              </w:tabs>
              <w:wordWrap w:val="0"/>
              <w:overflowPunct/>
              <w:bidi w:val="0"/>
              <w:ind w:right="-71" w:rightChars="-34" w:firstLine="0" w:firstLineChars="0"/>
              <w:jc w:val="center"/>
              <w:rPr>
                <w:b/>
                <w:color w:val="auto"/>
                <w:lang w:val="en-GB"/>
              </w:rPr>
            </w:pPr>
          </w:p>
        </w:tc>
        <w:tc>
          <w:tcPr>
            <w:tcW w:w="1410" w:type="dxa"/>
            <w:vAlign w:val="center"/>
          </w:tcPr>
          <w:p w14:paraId="4C3188EE">
            <w:pPr>
              <w:pageBreakBefore w:val="0"/>
              <w:tabs>
                <w:tab w:val="left" w:pos="1260"/>
              </w:tabs>
              <w:wordWrap w:val="0"/>
              <w:overflowPunct/>
              <w:bidi w:val="0"/>
              <w:ind w:right="-71" w:rightChars="-34" w:firstLine="0" w:firstLineChars="0"/>
              <w:jc w:val="center"/>
              <w:rPr>
                <w:b/>
                <w:color w:val="auto"/>
                <w:lang w:val="en-GB"/>
              </w:rPr>
            </w:pPr>
          </w:p>
        </w:tc>
        <w:tc>
          <w:tcPr>
            <w:tcW w:w="2475" w:type="dxa"/>
            <w:vAlign w:val="center"/>
          </w:tcPr>
          <w:p w14:paraId="695BA902">
            <w:pPr>
              <w:pageBreakBefore w:val="0"/>
              <w:tabs>
                <w:tab w:val="left" w:pos="1260"/>
              </w:tabs>
              <w:wordWrap w:val="0"/>
              <w:overflowPunct/>
              <w:bidi w:val="0"/>
              <w:ind w:right="-71" w:rightChars="-34" w:firstLine="0" w:firstLineChars="0"/>
              <w:jc w:val="center"/>
              <w:rPr>
                <w:b/>
                <w:color w:val="auto"/>
                <w:lang w:val="en-GB"/>
              </w:rPr>
            </w:pPr>
            <w:r>
              <w:rPr>
                <w:rFonts w:hint="eastAsia"/>
                <w:b/>
                <w:color w:val="auto"/>
              </w:rPr>
              <w:t xml:space="preserve"> </w:t>
            </w:r>
          </w:p>
        </w:tc>
      </w:tr>
      <w:tr w14:paraId="417F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10" w:type="dxa"/>
            <w:vMerge w:val="continue"/>
            <w:vAlign w:val="center"/>
          </w:tcPr>
          <w:p w14:paraId="74689DB3">
            <w:pPr>
              <w:pageBreakBefore w:val="0"/>
              <w:tabs>
                <w:tab w:val="left" w:pos="1260"/>
              </w:tabs>
              <w:wordWrap w:val="0"/>
              <w:overflowPunct/>
              <w:bidi w:val="0"/>
              <w:ind w:right="-71" w:rightChars="-34" w:firstLine="0" w:firstLineChars="0"/>
              <w:jc w:val="center"/>
              <w:rPr>
                <w:b/>
                <w:color w:val="auto"/>
                <w:lang w:val="en-GB"/>
              </w:rPr>
            </w:pPr>
          </w:p>
        </w:tc>
        <w:tc>
          <w:tcPr>
            <w:tcW w:w="2254" w:type="dxa"/>
            <w:vAlign w:val="center"/>
          </w:tcPr>
          <w:p w14:paraId="59A39FDE">
            <w:pPr>
              <w:pageBreakBefore w:val="0"/>
              <w:tabs>
                <w:tab w:val="left" w:pos="1260"/>
              </w:tabs>
              <w:wordWrap w:val="0"/>
              <w:overflowPunct/>
              <w:bidi w:val="0"/>
              <w:ind w:right="-71" w:rightChars="-34" w:firstLine="0" w:firstLineChars="0"/>
              <w:jc w:val="center"/>
              <w:rPr>
                <w:b/>
                <w:color w:val="auto"/>
                <w:lang w:val="en-GB"/>
              </w:rPr>
            </w:pPr>
          </w:p>
        </w:tc>
        <w:tc>
          <w:tcPr>
            <w:tcW w:w="1565" w:type="dxa"/>
            <w:vAlign w:val="center"/>
          </w:tcPr>
          <w:p w14:paraId="4ED5D21D">
            <w:pPr>
              <w:pageBreakBefore w:val="0"/>
              <w:tabs>
                <w:tab w:val="left" w:pos="1260"/>
              </w:tabs>
              <w:wordWrap w:val="0"/>
              <w:overflowPunct/>
              <w:bidi w:val="0"/>
              <w:ind w:right="-71" w:rightChars="-34" w:firstLine="0" w:firstLineChars="0"/>
              <w:jc w:val="center"/>
              <w:rPr>
                <w:b/>
                <w:color w:val="auto"/>
                <w:lang w:val="en-GB"/>
              </w:rPr>
            </w:pPr>
          </w:p>
        </w:tc>
        <w:tc>
          <w:tcPr>
            <w:tcW w:w="1410" w:type="dxa"/>
            <w:vAlign w:val="center"/>
          </w:tcPr>
          <w:p w14:paraId="23373E37">
            <w:pPr>
              <w:pageBreakBefore w:val="0"/>
              <w:tabs>
                <w:tab w:val="left" w:pos="1260"/>
              </w:tabs>
              <w:wordWrap w:val="0"/>
              <w:overflowPunct/>
              <w:bidi w:val="0"/>
              <w:ind w:right="-71" w:rightChars="-34" w:firstLine="0" w:firstLineChars="0"/>
              <w:jc w:val="center"/>
              <w:rPr>
                <w:b/>
                <w:color w:val="auto"/>
                <w:lang w:val="en-GB"/>
              </w:rPr>
            </w:pPr>
          </w:p>
        </w:tc>
        <w:tc>
          <w:tcPr>
            <w:tcW w:w="2475" w:type="dxa"/>
            <w:vAlign w:val="center"/>
          </w:tcPr>
          <w:p w14:paraId="79BB7CDA">
            <w:pPr>
              <w:pageBreakBefore w:val="0"/>
              <w:tabs>
                <w:tab w:val="left" w:pos="1260"/>
              </w:tabs>
              <w:wordWrap w:val="0"/>
              <w:overflowPunct/>
              <w:bidi w:val="0"/>
              <w:ind w:right="-71" w:rightChars="-34" w:firstLine="0" w:firstLineChars="0"/>
              <w:jc w:val="center"/>
              <w:rPr>
                <w:b/>
                <w:color w:val="auto"/>
                <w:lang w:val="en-GB"/>
              </w:rPr>
            </w:pPr>
            <w:r>
              <w:rPr>
                <w:rFonts w:hint="eastAsia"/>
                <w:b/>
                <w:color w:val="auto"/>
              </w:rPr>
              <w:t xml:space="preserve"> </w:t>
            </w:r>
          </w:p>
        </w:tc>
      </w:tr>
      <w:tr w14:paraId="5FA5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10" w:type="dxa"/>
            <w:vAlign w:val="center"/>
          </w:tcPr>
          <w:p w14:paraId="3CDFF98E">
            <w:pPr>
              <w:pageBreakBefore w:val="0"/>
              <w:tabs>
                <w:tab w:val="left" w:pos="1260"/>
              </w:tabs>
              <w:wordWrap w:val="0"/>
              <w:overflowPunct/>
              <w:bidi w:val="0"/>
              <w:ind w:right="-71" w:rightChars="-34" w:firstLine="0" w:firstLineChars="0"/>
              <w:jc w:val="center"/>
              <w:rPr>
                <w:b/>
                <w:color w:val="auto"/>
                <w:lang w:val="en-GB"/>
              </w:rPr>
            </w:pPr>
            <w:r>
              <w:rPr>
                <w:rFonts w:hint="eastAsia"/>
                <w:b/>
                <w:color w:val="auto"/>
                <w:lang w:val="en-GB"/>
              </w:rPr>
              <w:t>说明</w:t>
            </w:r>
          </w:p>
        </w:tc>
        <w:tc>
          <w:tcPr>
            <w:tcW w:w="7704" w:type="dxa"/>
            <w:gridSpan w:val="4"/>
            <w:vAlign w:val="center"/>
          </w:tcPr>
          <w:p w14:paraId="08D8E6AC">
            <w:pPr>
              <w:pageBreakBefore w:val="0"/>
              <w:tabs>
                <w:tab w:val="left" w:pos="1260"/>
              </w:tabs>
              <w:wordWrap w:val="0"/>
              <w:overflowPunct/>
              <w:bidi w:val="0"/>
              <w:ind w:right="-71" w:rightChars="-34" w:firstLine="0" w:firstLineChars="0"/>
              <w:jc w:val="center"/>
              <w:rPr>
                <w:b/>
                <w:color w:val="auto"/>
                <w:lang w:val="en-GB"/>
              </w:rPr>
            </w:pPr>
          </w:p>
        </w:tc>
      </w:tr>
    </w:tbl>
    <w:p w14:paraId="2B337E95">
      <w:pPr>
        <w:pageBreakBefore w:val="0"/>
        <w:wordWrap w:val="0"/>
        <w:overflowPunct/>
        <w:autoSpaceDE w:val="0"/>
        <w:autoSpaceDN w:val="0"/>
        <w:bidi w:val="0"/>
        <w:rPr>
          <w:color w:val="auto"/>
          <w:lang w:val="en-GB"/>
        </w:rPr>
      </w:pPr>
    </w:p>
    <w:p w14:paraId="7DB5C1B8">
      <w:pPr>
        <w:pageBreakBefore w:val="0"/>
        <w:tabs>
          <w:tab w:val="left" w:pos="360"/>
          <w:tab w:val="left" w:pos="993"/>
        </w:tabs>
        <w:wordWrap w:val="0"/>
        <w:overflowPunct/>
        <w:bidi w:val="0"/>
        <w:ind w:left="850" w:leftChars="-67" w:hanging="991" w:hangingChars="472"/>
        <w:rPr>
          <w:color w:val="auto"/>
          <w:lang w:val="en-GB"/>
        </w:rPr>
      </w:pPr>
      <w:r>
        <w:rPr>
          <w:rFonts w:hint="eastAsia"/>
          <w:color w:val="auto"/>
          <w:lang w:val="en-GB"/>
        </w:rPr>
        <w:t>注：</w:t>
      </w:r>
      <w:r>
        <w:rPr>
          <w:rFonts w:hint="eastAsia"/>
          <w:color w:val="auto"/>
          <w:lang w:val="en-GB"/>
        </w:rPr>
        <w:tab/>
      </w:r>
    </w:p>
    <w:p w14:paraId="0DA28C62">
      <w:pPr>
        <w:pageBreakBefore w:val="0"/>
        <w:wordWrap w:val="0"/>
        <w:overflowPunct/>
        <w:bidi w:val="0"/>
        <w:rPr>
          <w:rFonts w:ascii="仿宋" w:hAnsi="仿宋" w:eastAsia="仿宋" w:cs="仿宋"/>
          <w:color w:val="auto"/>
        </w:rPr>
      </w:pPr>
      <w:r>
        <w:rPr>
          <w:rFonts w:hint="eastAsia" w:ascii="仿宋" w:hAnsi="仿宋" w:eastAsia="仿宋" w:cs="仿宋"/>
          <w:color w:val="auto"/>
        </w:rPr>
        <w:t>1、“节能产品、环境标志产品”是属于国家行业主管部门颁布的清单目录中的产品，须填写认证证书编号，同时提供有效期内的证书复印件以及下述文件（均为复印件）：</w:t>
      </w:r>
    </w:p>
    <w:p w14:paraId="2F321242">
      <w:pPr>
        <w:pageBreakBefore w:val="0"/>
        <w:wordWrap w:val="0"/>
        <w:overflowPunct/>
        <w:bidi w:val="0"/>
        <w:rPr>
          <w:rFonts w:ascii="仿宋" w:hAnsi="仿宋" w:eastAsia="仿宋" w:cs="仿宋"/>
          <w:color w:val="auto"/>
        </w:rPr>
      </w:pPr>
      <w:r>
        <w:rPr>
          <w:rFonts w:hint="eastAsia" w:ascii="仿宋" w:hAnsi="仿宋" w:eastAsia="仿宋" w:cs="仿宋"/>
          <w:color w:val="auto"/>
        </w:rPr>
        <w:t>1.1属于“节能产品政府采购品目清单”中品目的产品，提供相关证明材料；</w:t>
      </w:r>
    </w:p>
    <w:p w14:paraId="4070FCFA">
      <w:pPr>
        <w:pageBreakBefore w:val="0"/>
        <w:wordWrap w:val="0"/>
        <w:overflowPunct/>
        <w:bidi w:val="0"/>
        <w:rPr>
          <w:rFonts w:ascii="仿宋" w:hAnsi="仿宋" w:eastAsia="仿宋" w:cs="仿宋"/>
          <w:color w:val="auto"/>
        </w:rPr>
      </w:pPr>
      <w:r>
        <w:rPr>
          <w:rFonts w:hint="eastAsia" w:ascii="仿宋" w:hAnsi="仿宋" w:eastAsia="仿宋" w:cs="仿宋"/>
          <w:color w:val="auto"/>
        </w:rPr>
        <w:t>1.2属于“环境标志产品政府采购品目清单”中品目的产品，提供相关证明材料。</w:t>
      </w:r>
    </w:p>
    <w:p w14:paraId="7590043A">
      <w:pPr>
        <w:pageBreakBefore w:val="0"/>
        <w:wordWrap w:val="0"/>
        <w:overflowPunct/>
        <w:bidi w:val="0"/>
        <w:rPr>
          <w:rFonts w:ascii="仿宋" w:hAnsi="仿宋" w:eastAsia="仿宋" w:cs="仿宋"/>
          <w:color w:val="auto"/>
        </w:rPr>
      </w:pPr>
      <w:r>
        <w:rPr>
          <w:rFonts w:hint="eastAsia" w:ascii="仿宋" w:hAnsi="仿宋" w:eastAsia="仿宋" w:cs="仿宋"/>
          <w:color w:val="auto"/>
        </w:rPr>
        <w:t>所投货物属于节能产品或环境标志产品的，在性能、技术、服务等指标同等条件下，应当被优先采购。</w:t>
      </w:r>
    </w:p>
    <w:p w14:paraId="0C1F556D">
      <w:pPr>
        <w:pageBreakBefore w:val="0"/>
        <w:wordWrap w:val="0"/>
        <w:overflowPunct/>
        <w:bidi w:val="0"/>
        <w:ind w:firstLine="4620" w:firstLineChars="2200"/>
        <w:rPr>
          <w:color w:val="auto"/>
        </w:rPr>
      </w:pPr>
    </w:p>
    <w:p w14:paraId="197DE757">
      <w:pPr>
        <w:pageBreakBefore w:val="0"/>
        <w:tabs>
          <w:tab w:val="left" w:pos="676"/>
          <w:tab w:val="left" w:pos="2330"/>
          <w:tab w:val="left" w:pos="9230"/>
        </w:tabs>
        <w:wordWrap w:val="0"/>
        <w:overflowPunct/>
        <w:autoSpaceDE w:val="0"/>
        <w:autoSpaceDN w:val="0"/>
        <w:bidi w:val="0"/>
        <w:spacing w:line="480" w:lineRule="exact"/>
        <w:ind w:left="4700" w:leftChars="2238"/>
        <w:rPr>
          <w:color w:val="auto"/>
        </w:rPr>
      </w:pPr>
    </w:p>
    <w:p w14:paraId="03C16A30">
      <w:pPr>
        <w:pStyle w:val="21"/>
        <w:pageBreakBefore w:val="0"/>
        <w:wordWrap w:val="0"/>
        <w:overflowPunct/>
        <w:bidi w:val="0"/>
        <w:adjustRightInd/>
        <w:snapToGrid/>
        <w:spacing w:before="0" w:beforeAutospacing="0" w:after="0" w:afterAutospacing="0"/>
        <w:jc w:val="right"/>
        <w:rPr>
          <w:color w:val="auto"/>
          <w:sz w:val="21"/>
        </w:rPr>
      </w:pPr>
      <w:r>
        <w:rPr>
          <w:rFonts w:hint="eastAsia"/>
          <w:color w:val="auto"/>
          <w:sz w:val="21"/>
        </w:rPr>
        <w:t>投标人名称（盖公章）：________________________</w:t>
      </w:r>
    </w:p>
    <w:p w14:paraId="3F42ED43">
      <w:pPr>
        <w:pageBreakBefore w:val="0"/>
        <w:wordWrap w:val="0"/>
        <w:overflowPunct/>
        <w:bidi w:val="0"/>
        <w:adjustRightInd/>
        <w:snapToGrid/>
        <w:jc w:val="right"/>
        <w:rPr>
          <w:color w:val="auto"/>
        </w:rPr>
      </w:pPr>
      <w:r>
        <w:rPr>
          <w:rFonts w:hint="eastAsia"/>
          <w:color w:val="auto"/>
        </w:rPr>
        <w:t>法定代表人或其授权代理人（签字或盖章）：__________</w:t>
      </w:r>
    </w:p>
    <w:p w14:paraId="3C9AF63A">
      <w:pPr>
        <w:pageBreakBefore w:val="0"/>
        <w:wordWrap w:val="0"/>
        <w:overflowPunct/>
        <w:bidi w:val="0"/>
        <w:adjustRightInd/>
        <w:snapToGrid/>
        <w:jc w:val="right"/>
        <w:rPr>
          <w:color w:val="auto"/>
        </w:rPr>
      </w:pPr>
      <w:r>
        <w:rPr>
          <w:rFonts w:hint="eastAsia"/>
          <w:color w:val="auto"/>
        </w:rPr>
        <w:t>日期：_______年____月_____日</w:t>
      </w:r>
    </w:p>
    <w:p w14:paraId="6E33F35E">
      <w:pPr>
        <w:pageBreakBefore w:val="0"/>
        <w:wordWrap w:val="0"/>
        <w:overflowPunct/>
        <w:bidi w:val="0"/>
        <w:rPr>
          <w:color w:val="auto"/>
        </w:rPr>
      </w:pPr>
      <w:r>
        <w:rPr>
          <w:rFonts w:hint="eastAsia"/>
          <w:color w:val="auto"/>
        </w:rPr>
        <w:br w:type="page"/>
      </w:r>
    </w:p>
    <w:p w14:paraId="407D2552">
      <w:pPr>
        <w:pStyle w:val="3"/>
        <w:pageBreakBefore w:val="0"/>
        <w:wordWrap w:val="0"/>
        <w:overflowPunct/>
        <w:bidi w:val="0"/>
        <w:ind w:firstLine="482"/>
        <w:jc w:val="center"/>
        <w:rPr>
          <w:rFonts w:ascii="仿宋" w:hAnsi="仿宋" w:eastAsia="仿宋" w:cs="仿宋"/>
          <w:color w:val="auto"/>
          <w:sz w:val="28"/>
          <w:szCs w:val="28"/>
        </w:rPr>
      </w:pPr>
      <w:bookmarkStart w:id="85" w:name="_Toc32058"/>
      <w:r>
        <w:rPr>
          <w:rFonts w:hint="eastAsia"/>
          <w:bCs/>
          <w:color w:val="auto"/>
        </w:rPr>
        <w:t>3.3</w:t>
      </w:r>
      <w:r>
        <w:rPr>
          <w:rFonts w:hint="eastAsia" w:ascii="仿宋" w:hAnsi="仿宋" w:eastAsia="仿宋" w:cs="仿宋"/>
          <w:color w:val="auto"/>
          <w:sz w:val="28"/>
          <w:szCs w:val="28"/>
        </w:rPr>
        <w:t>分项报价明细表</w:t>
      </w:r>
      <w:bookmarkEnd w:id="85"/>
    </w:p>
    <w:tbl>
      <w:tblPr>
        <w:tblStyle w:val="26"/>
        <w:tblpPr w:leftFromText="180" w:rightFromText="180" w:vertAnchor="text" w:horzAnchor="page" w:tblpXSpec="center" w:tblpY="394"/>
        <w:tblOverlap w:val="never"/>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320"/>
        <w:gridCol w:w="1312"/>
        <w:gridCol w:w="1078"/>
        <w:gridCol w:w="690"/>
        <w:gridCol w:w="1455"/>
        <w:gridCol w:w="697"/>
        <w:gridCol w:w="1190"/>
        <w:gridCol w:w="1966"/>
      </w:tblGrid>
      <w:tr w14:paraId="65662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8" w:type="dxa"/>
            <w:shd w:val="clear" w:color="auto" w:fill="auto"/>
            <w:tcMar>
              <w:top w:w="57" w:type="dxa"/>
              <w:left w:w="57" w:type="dxa"/>
              <w:bottom w:w="57" w:type="dxa"/>
              <w:right w:w="57" w:type="dxa"/>
            </w:tcMar>
            <w:vAlign w:val="center"/>
          </w:tcPr>
          <w:p w14:paraId="12796E63">
            <w:pPr>
              <w:pageBreakBefore w:val="0"/>
              <w:kinsoku w:val="0"/>
              <w:wordWrap w:val="0"/>
              <w:overflowPunct/>
              <w:autoSpaceDE w:val="0"/>
              <w:autoSpaceDN w:val="0"/>
              <w:bidi w:val="0"/>
              <w:spacing w:line="240" w:lineRule="auto"/>
              <w:ind w:firstLine="0" w:firstLineChars="0"/>
              <w:jc w:val="both"/>
              <w:rPr>
                <w:rFonts w:ascii="仿宋" w:hAnsi="仿宋" w:eastAsia="仿宋" w:cs="仿宋"/>
                <w:b/>
                <w:bCs/>
                <w:color w:val="auto"/>
              </w:rPr>
            </w:pPr>
            <w:r>
              <w:rPr>
                <w:rFonts w:hint="eastAsia" w:ascii="仿宋" w:hAnsi="仿宋" w:eastAsia="仿宋" w:cs="仿宋"/>
                <w:b/>
                <w:bCs/>
                <w:color w:val="auto"/>
              </w:rPr>
              <w:t>序号</w:t>
            </w:r>
          </w:p>
        </w:tc>
        <w:tc>
          <w:tcPr>
            <w:tcW w:w="1320" w:type="dxa"/>
            <w:shd w:val="clear" w:color="auto" w:fill="auto"/>
            <w:tcMar>
              <w:top w:w="57" w:type="dxa"/>
              <w:left w:w="57" w:type="dxa"/>
              <w:bottom w:w="57" w:type="dxa"/>
              <w:right w:w="57" w:type="dxa"/>
            </w:tcMar>
            <w:vAlign w:val="center"/>
          </w:tcPr>
          <w:p w14:paraId="29747F22">
            <w:pPr>
              <w:pageBreakBefore w:val="0"/>
              <w:kinsoku w:val="0"/>
              <w:wordWrap w:val="0"/>
              <w:overflowPunct/>
              <w:autoSpaceDE w:val="0"/>
              <w:autoSpaceDN w:val="0"/>
              <w:bidi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产品名称</w:t>
            </w:r>
          </w:p>
        </w:tc>
        <w:tc>
          <w:tcPr>
            <w:tcW w:w="1312" w:type="dxa"/>
            <w:shd w:val="clear" w:color="auto" w:fill="auto"/>
            <w:tcMar>
              <w:top w:w="57" w:type="dxa"/>
              <w:left w:w="57" w:type="dxa"/>
              <w:bottom w:w="57" w:type="dxa"/>
              <w:right w:w="57" w:type="dxa"/>
            </w:tcMar>
            <w:vAlign w:val="center"/>
          </w:tcPr>
          <w:p w14:paraId="45CC415A">
            <w:pPr>
              <w:pageBreakBefore w:val="0"/>
              <w:kinsoku w:val="0"/>
              <w:wordWrap w:val="0"/>
              <w:overflowPunct/>
              <w:autoSpaceDE w:val="0"/>
              <w:autoSpaceDN w:val="0"/>
              <w:bidi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单价（元）</w:t>
            </w:r>
          </w:p>
        </w:tc>
        <w:tc>
          <w:tcPr>
            <w:tcW w:w="1078" w:type="dxa"/>
            <w:shd w:val="clear" w:color="auto" w:fill="auto"/>
            <w:tcMar>
              <w:top w:w="57" w:type="dxa"/>
              <w:left w:w="57" w:type="dxa"/>
              <w:bottom w:w="57" w:type="dxa"/>
              <w:right w:w="57" w:type="dxa"/>
            </w:tcMar>
            <w:vAlign w:val="center"/>
          </w:tcPr>
          <w:p w14:paraId="39D4C3E8">
            <w:pPr>
              <w:pageBreakBefore w:val="0"/>
              <w:kinsoku w:val="0"/>
              <w:wordWrap w:val="0"/>
              <w:overflowPunct/>
              <w:autoSpaceDE w:val="0"/>
              <w:autoSpaceDN w:val="0"/>
              <w:bidi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采购数量</w:t>
            </w:r>
          </w:p>
        </w:tc>
        <w:tc>
          <w:tcPr>
            <w:tcW w:w="690" w:type="dxa"/>
            <w:shd w:val="clear" w:color="auto" w:fill="auto"/>
            <w:tcMar>
              <w:top w:w="57" w:type="dxa"/>
              <w:left w:w="57" w:type="dxa"/>
              <w:bottom w:w="57" w:type="dxa"/>
              <w:right w:w="57" w:type="dxa"/>
            </w:tcMar>
            <w:vAlign w:val="center"/>
          </w:tcPr>
          <w:p w14:paraId="3895EAB7">
            <w:pPr>
              <w:pageBreakBefore w:val="0"/>
              <w:kinsoku w:val="0"/>
              <w:wordWrap w:val="0"/>
              <w:overflowPunct/>
              <w:autoSpaceDE w:val="0"/>
              <w:autoSpaceDN w:val="0"/>
              <w:bidi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计量单位</w:t>
            </w:r>
          </w:p>
        </w:tc>
        <w:tc>
          <w:tcPr>
            <w:tcW w:w="1455" w:type="dxa"/>
            <w:shd w:val="clear" w:color="auto" w:fill="auto"/>
            <w:tcMar>
              <w:top w:w="57" w:type="dxa"/>
              <w:left w:w="57" w:type="dxa"/>
              <w:bottom w:w="57" w:type="dxa"/>
              <w:right w:w="57" w:type="dxa"/>
            </w:tcMar>
            <w:vAlign w:val="center"/>
          </w:tcPr>
          <w:p w14:paraId="65AAFF69">
            <w:pPr>
              <w:pageBreakBefore w:val="0"/>
              <w:kinsoku w:val="0"/>
              <w:wordWrap w:val="0"/>
              <w:overflowPunct/>
              <w:autoSpaceDE w:val="0"/>
              <w:autoSpaceDN w:val="0"/>
              <w:bidi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生产厂家名称</w:t>
            </w:r>
          </w:p>
        </w:tc>
        <w:tc>
          <w:tcPr>
            <w:tcW w:w="697" w:type="dxa"/>
            <w:shd w:val="clear" w:color="auto" w:fill="auto"/>
            <w:tcMar>
              <w:top w:w="57" w:type="dxa"/>
              <w:left w:w="57" w:type="dxa"/>
              <w:bottom w:w="57" w:type="dxa"/>
              <w:right w:w="57" w:type="dxa"/>
            </w:tcMar>
            <w:vAlign w:val="center"/>
          </w:tcPr>
          <w:p w14:paraId="1E9FC1D3">
            <w:pPr>
              <w:pageBreakBefore w:val="0"/>
              <w:kinsoku w:val="0"/>
              <w:wordWrap w:val="0"/>
              <w:overflowPunct/>
              <w:autoSpaceDE w:val="0"/>
              <w:autoSpaceDN w:val="0"/>
              <w:bidi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品牌</w:t>
            </w:r>
          </w:p>
        </w:tc>
        <w:tc>
          <w:tcPr>
            <w:tcW w:w="1190" w:type="dxa"/>
            <w:shd w:val="clear" w:color="auto" w:fill="auto"/>
            <w:tcMar>
              <w:top w:w="57" w:type="dxa"/>
              <w:left w:w="57" w:type="dxa"/>
              <w:bottom w:w="57" w:type="dxa"/>
              <w:right w:w="57" w:type="dxa"/>
            </w:tcMar>
            <w:vAlign w:val="center"/>
          </w:tcPr>
          <w:p w14:paraId="5CADB21A">
            <w:pPr>
              <w:pageBreakBefore w:val="0"/>
              <w:kinsoku w:val="0"/>
              <w:wordWrap w:val="0"/>
              <w:overflowPunct/>
              <w:autoSpaceDE w:val="0"/>
              <w:autoSpaceDN w:val="0"/>
              <w:bidi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规格、型号</w:t>
            </w:r>
          </w:p>
        </w:tc>
        <w:tc>
          <w:tcPr>
            <w:tcW w:w="1966" w:type="dxa"/>
            <w:shd w:val="clear" w:color="auto" w:fill="auto"/>
            <w:tcMar>
              <w:top w:w="57" w:type="dxa"/>
              <w:left w:w="57" w:type="dxa"/>
              <w:bottom w:w="57" w:type="dxa"/>
              <w:right w:w="57" w:type="dxa"/>
            </w:tcMar>
            <w:vAlign w:val="center"/>
          </w:tcPr>
          <w:p w14:paraId="332C5135">
            <w:pPr>
              <w:pageBreakBefore w:val="0"/>
              <w:kinsoku w:val="0"/>
              <w:wordWrap w:val="0"/>
              <w:overflowPunct/>
              <w:autoSpaceDE w:val="0"/>
              <w:autoSpaceDN w:val="0"/>
              <w:bidi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小计</w:t>
            </w:r>
          </w:p>
          <w:p w14:paraId="0208D8C9">
            <w:pPr>
              <w:pageBreakBefore w:val="0"/>
              <w:kinsoku w:val="0"/>
              <w:wordWrap w:val="0"/>
              <w:overflowPunct/>
              <w:autoSpaceDE w:val="0"/>
              <w:autoSpaceDN w:val="0"/>
              <w:bidi w:val="0"/>
              <w:spacing w:line="240" w:lineRule="auto"/>
              <w:ind w:firstLine="0" w:firstLineChars="0"/>
              <w:jc w:val="center"/>
              <w:rPr>
                <w:rFonts w:ascii="仿宋" w:hAnsi="仿宋" w:eastAsia="仿宋" w:cs="仿宋"/>
                <w:b/>
                <w:bCs/>
                <w:color w:val="auto"/>
              </w:rPr>
            </w:pPr>
            <w:r>
              <w:rPr>
                <w:rFonts w:hint="eastAsia" w:ascii="仿宋" w:hAnsi="仿宋" w:eastAsia="仿宋" w:cs="仿宋"/>
                <w:b/>
                <w:bCs/>
                <w:color w:val="auto"/>
              </w:rPr>
              <w:t>（=单价*采购数量）</w:t>
            </w:r>
          </w:p>
        </w:tc>
      </w:tr>
      <w:tr w14:paraId="0FEA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8" w:type="dxa"/>
            <w:shd w:val="clear" w:color="auto" w:fill="auto"/>
            <w:tcMar>
              <w:top w:w="57" w:type="dxa"/>
              <w:left w:w="57" w:type="dxa"/>
              <w:bottom w:w="57" w:type="dxa"/>
              <w:right w:w="57" w:type="dxa"/>
            </w:tcMar>
            <w:vAlign w:val="center"/>
          </w:tcPr>
          <w:p w14:paraId="46A65692">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r>
              <w:rPr>
                <w:rFonts w:hint="eastAsia" w:ascii="仿宋" w:hAnsi="仿宋" w:eastAsia="仿宋" w:cs="仿宋"/>
                <w:color w:val="auto"/>
              </w:rPr>
              <w:t>1</w:t>
            </w:r>
          </w:p>
        </w:tc>
        <w:tc>
          <w:tcPr>
            <w:tcW w:w="1320" w:type="dxa"/>
            <w:shd w:val="clear" w:color="FFFFFF" w:fill="FFFFFF"/>
            <w:tcMar>
              <w:top w:w="57" w:type="dxa"/>
              <w:left w:w="57" w:type="dxa"/>
              <w:bottom w:w="57" w:type="dxa"/>
              <w:right w:w="57" w:type="dxa"/>
            </w:tcMar>
            <w:vAlign w:val="center"/>
          </w:tcPr>
          <w:p w14:paraId="23ECE694">
            <w:pPr>
              <w:pageBreakBefore w:val="0"/>
              <w:kinsoku w:val="0"/>
              <w:wordWrap w:val="0"/>
              <w:overflowPunct/>
              <w:autoSpaceDE w:val="0"/>
              <w:autoSpaceDN w:val="0"/>
              <w:bidi w:val="0"/>
              <w:spacing w:line="240" w:lineRule="auto"/>
              <w:ind w:firstLine="0" w:firstLineChars="0"/>
              <w:rPr>
                <w:rFonts w:ascii="仿宋" w:hAnsi="仿宋" w:eastAsia="仿宋" w:cs="仿宋"/>
                <w:color w:val="auto"/>
              </w:rPr>
            </w:pPr>
          </w:p>
        </w:tc>
        <w:tc>
          <w:tcPr>
            <w:tcW w:w="1312" w:type="dxa"/>
            <w:shd w:val="clear" w:color="auto" w:fill="auto"/>
            <w:tcMar>
              <w:top w:w="57" w:type="dxa"/>
              <w:left w:w="57" w:type="dxa"/>
              <w:bottom w:w="57" w:type="dxa"/>
              <w:right w:w="57" w:type="dxa"/>
            </w:tcMar>
            <w:vAlign w:val="center"/>
          </w:tcPr>
          <w:p w14:paraId="2FD3AEBD">
            <w:pPr>
              <w:pageBreakBefore w:val="0"/>
              <w:kinsoku w:val="0"/>
              <w:wordWrap w:val="0"/>
              <w:overflowPunct/>
              <w:autoSpaceDE w:val="0"/>
              <w:autoSpaceDN w:val="0"/>
              <w:bidi w:val="0"/>
              <w:spacing w:line="240" w:lineRule="auto"/>
              <w:ind w:firstLine="0" w:firstLineChars="0"/>
              <w:rPr>
                <w:rFonts w:ascii="仿宋" w:hAnsi="仿宋" w:eastAsia="仿宋" w:cs="仿宋"/>
                <w:color w:val="auto"/>
              </w:rPr>
            </w:pPr>
          </w:p>
        </w:tc>
        <w:tc>
          <w:tcPr>
            <w:tcW w:w="1078" w:type="dxa"/>
            <w:shd w:val="clear" w:color="FFFFFF" w:fill="FFFFFF"/>
            <w:tcMar>
              <w:top w:w="57" w:type="dxa"/>
              <w:left w:w="57" w:type="dxa"/>
              <w:bottom w:w="57" w:type="dxa"/>
              <w:right w:w="57" w:type="dxa"/>
            </w:tcMar>
            <w:vAlign w:val="center"/>
          </w:tcPr>
          <w:p w14:paraId="515F0654">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690" w:type="dxa"/>
            <w:shd w:val="clear" w:color="FFFFFF" w:fill="FFFFFF"/>
            <w:tcMar>
              <w:top w:w="57" w:type="dxa"/>
              <w:left w:w="57" w:type="dxa"/>
              <w:bottom w:w="57" w:type="dxa"/>
              <w:right w:w="57" w:type="dxa"/>
            </w:tcMar>
            <w:vAlign w:val="center"/>
          </w:tcPr>
          <w:p w14:paraId="03F5E736">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455" w:type="dxa"/>
            <w:shd w:val="clear" w:color="FFFFFF" w:fill="FFFFFF"/>
            <w:tcMar>
              <w:top w:w="57" w:type="dxa"/>
              <w:left w:w="57" w:type="dxa"/>
              <w:bottom w:w="57" w:type="dxa"/>
              <w:right w:w="57" w:type="dxa"/>
            </w:tcMar>
            <w:vAlign w:val="center"/>
          </w:tcPr>
          <w:p w14:paraId="3846CC7C">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697" w:type="dxa"/>
            <w:shd w:val="clear" w:color="FFFFFF" w:fill="FFFFFF"/>
            <w:tcMar>
              <w:top w:w="57" w:type="dxa"/>
              <w:left w:w="57" w:type="dxa"/>
              <w:bottom w:w="57" w:type="dxa"/>
              <w:right w:w="57" w:type="dxa"/>
            </w:tcMar>
            <w:vAlign w:val="center"/>
          </w:tcPr>
          <w:p w14:paraId="176159B6">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190" w:type="dxa"/>
            <w:shd w:val="clear" w:color="FFFFFF" w:fill="FFFFFF"/>
            <w:tcMar>
              <w:top w:w="57" w:type="dxa"/>
              <w:left w:w="57" w:type="dxa"/>
              <w:bottom w:w="57" w:type="dxa"/>
              <w:right w:w="57" w:type="dxa"/>
            </w:tcMar>
            <w:vAlign w:val="center"/>
          </w:tcPr>
          <w:p w14:paraId="1E17593D">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966" w:type="dxa"/>
            <w:shd w:val="clear" w:color="FFFFFF" w:fill="FFFFFF"/>
            <w:tcMar>
              <w:top w:w="57" w:type="dxa"/>
              <w:left w:w="57" w:type="dxa"/>
              <w:bottom w:w="57" w:type="dxa"/>
              <w:right w:w="57" w:type="dxa"/>
            </w:tcMar>
            <w:vAlign w:val="center"/>
          </w:tcPr>
          <w:p w14:paraId="7639A188">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r>
      <w:tr w14:paraId="3AC7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8" w:type="dxa"/>
            <w:shd w:val="clear" w:color="auto" w:fill="auto"/>
            <w:tcMar>
              <w:top w:w="57" w:type="dxa"/>
              <w:left w:w="57" w:type="dxa"/>
              <w:bottom w:w="57" w:type="dxa"/>
              <w:right w:w="57" w:type="dxa"/>
            </w:tcMar>
            <w:vAlign w:val="center"/>
          </w:tcPr>
          <w:p w14:paraId="5DF3DA04">
            <w:pPr>
              <w:pageBreakBefore w:val="0"/>
              <w:kinsoku w:val="0"/>
              <w:wordWrap w:val="0"/>
              <w:overflowPunct/>
              <w:autoSpaceDE w:val="0"/>
              <w:autoSpaceDN w:val="0"/>
              <w:bidi w:val="0"/>
              <w:spacing w:line="240" w:lineRule="auto"/>
              <w:ind w:firstLine="0" w:firstLineChars="0"/>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2</w:t>
            </w:r>
          </w:p>
        </w:tc>
        <w:tc>
          <w:tcPr>
            <w:tcW w:w="1320" w:type="dxa"/>
            <w:shd w:val="clear" w:color="FFFFFF" w:fill="FFFFFF"/>
            <w:tcMar>
              <w:top w:w="57" w:type="dxa"/>
              <w:left w:w="57" w:type="dxa"/>
              <w:bottom w:w="57" w:type="dxa"/>
              <w:right w:w="57" w:type="dxa"/>
            </w:tcMar>
            <w:vAlign w:val="center"/>
          </w:tcPr>
          <w:p w14:paraId="41A3A55E">
            <w:pPr>
              <w:pageBreakBefore w:val="0"/>
              <w:kinsoku w:val="0"/>
              <w:wordWrap w:val="0"/>
              <w:overflowPunct/>
              <w:autoSpaceDE w:val="0"/>
              <w:autoSpaceDN w:val="0"/>
              <w:bidi w:val="0"/>
              <w:spacing w:line="240" w:lineRule="auto"/>
              <w:ind w:firstLine="0" w:firstLineChars="0"/>
              <w:rPr>
                <w:rFonts w:ascii="仿宋" w:hAnsi="仿宋" w:eastAsia="仿宋" w:cs="仿宋"/>
                <w:color w:val="auto"/>
              </w:rPr>
            </w:pPr>
          </w:p>
        </w:tc>
        <w:tc>
          <w:tcPr>
            <w:tcW w:w="1312" w:type="dxa"/>
            <w:shd w:val="clear" w:color="auto" w:fill="auto"/>
            <w:tcMar>
              <w:top w:w="57" w:type="dxa"/>
              <w:left w:w="57" w:type="dxa"/>
              <w:bottom w:w="57" w:type="dxa"/>
              <w:right w:w="57" w:type="dxa"/>
            </w:tcMar>
            <w:vAlign w:val="center"/>
          </w:tcPr>
          <w:p w14:paraId="78CA9DF8">
            <w:pPr>
              <w:pageBreakBefore w:val="0"/>
              <w:kinsoku w:val="0"/>
              <w:wordWrap w:val="0"/>
              <w:overflowPunct/>
              <w:autoSpaceDE w:val="0"/>
              <w:autoSpaceDN w:val="0"/>
              <w:bidi w:val="0"/>
              <w:spacing w:line="240" w:lineRule="auto"/>
              <w:ind w:firstLine="0" w:firstLineChars="0"/>
              <w:rPr>
                <w:rFonts w:ascii="仿宋" w:hAnsi="仿宋" w:eastAsia="仿宋" w:cs="仿宋"/>
                <w:color w:val="auto"/>
              </w:rPr>
            </w:pPr>
          </w:p>
        </w:tc>
        <w:tc>
          <w:tcPr>
            <w:tcW w:w="1078" w:type="dxa"/>
            <w:shd w:val="clear" w:color="FFFFFF" w:fill="FFFFFF"/>
            <w:tcMar>
              <w:top w:w="57" w:type="dxa"/>
              <w:left w:w="57" w:type="dxa"/>
              <w:bottom w:w="57" w:type="dxa"/>
              <w:right w:w="57" w:type="dxa"/>
            </w:tcMar>
            <w:vAlign w:val="center"/>
          </w:tcPr>
          <w:p w14:paraId="5D70A622">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690" w:type="dxa"/>
            <w:shd w:val="clear" w:color="FFFFFF" w:fill="FFFFFF"/>
            <w:tcMar>
              <w:top w:w="57" w:type="dxa"/>
              <w:left w:w="57" w:type="dxa"/>
              <w:bottom w:w="57" w:type="dxa"/>
              <w:right w:w="57" w:type="dxa"/>
            </w:tcMar>
            <w:vAlign w:val="center"/>
          </w:tcPr>
          <w:p w14:paraId="4711A379">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455" w:type="dxa"/>
            <w:shd w:val="clear" w:color="FFFFFF" w:fill="FFFFFF"/>
            <w:tcMar>
              <w:top w:w="57" w:type="dxa"/>
              <w:left w:w="57" w:type="dxa"/>
              <w:bottom w:w="57" w:type="dxa"/>
              <w:right w:w="57" w:type="dxa"/>
            </w:tcMar>
            <w:vAlign w:val="center"/>
          </w:tcPr>
          <w:p w14:paraId="759675EA">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697" w:type="dxa"/>
            <w:shd w:val="clear" w:color="FFFFFF" w:fill="FFFFFF"/>
            <w:tcMar>
              <w:top w:w="57" w:type="dxa"/>
              <w:left w:w="57" w:type="dxa"/>
              <w:bottom w:w="57" w:type="dxa"/>
              <w:right w:w="57" w:type="dxa"/>
            </w:tcMar>
            <w:vAlign w:val="center"/>
          </w:tcPr>
          <w:p w14:paraId="38A3A375">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190" w:type="dxa"/>
            <w:shd w:val="clear" w:color="FFFFFF" w:fill="FFFFFF"/>
            <w:tcMar>
              <w:top w:w="57" w:type="dxa"/>
              <w:left w:w="57" w:type="dxa"/>
              <w:bottom w:w="57" w:type="dxa"/>
              <w:right w:w="57" w:type="dxa"/>
            </w:tcMar>
            <w:vAlign w:val="center"/>
          </w:tcPr>
          <w:p w14:paraId="01FC4231">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966" w:type="dxa"/>
            <w:shd w:val="clear" w:color="FFFFFF" w:fill="FFFFFF"/>
            <w:tcMar>
              <w:top w:w="57" w:type="dxa"/>
              <w:left w:w="57" w:type="dxa"/>
              <w:bottom w:w="57" w:type="dxa"/>
              <w:right w:w="57" w:type="dxa"/>
            </w:tcMar>
            <w:vAlign w:val="center"/>
          </w:tcPr>
          <w:p w14:paraId="0574C7F5">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r>
      <w:tr w14:paraId="5E43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8" w:type="dxa"/>
            <w:shd w:val="clear" w:color="auto" w:fill="auto"/>
            <w:tcMar>
              <w:top w:w="57" w:type="dxa"/>
              <w:left w:w="57" w:type="dxa"/>
              <w:bottom w:w="57" w:type="dxa"/>
              <w:right w:w="57" w:type="dxa"/>
            </w:tcMar>
            <w:vAlign w:val="center"/>
          </w:tcPr>
          <w:p w14:paraId="10FC957F">
            <w:pPr>
              <w:pageBreakBefore w:val="0"/>
              <w:kinsoku w:val="0"/>
              <w:wordWrap w:val="0"/>
              <w:overflowPunct/>
              <w:autoSpaceDE w:val="0"/>
              <w:autoSpaceDN w:val="0"/>
              <w:bidi w:val="0"/>
              <w:spacing w:line="240" w:lineRule="auto"/>
              <w:ind w:firstLine="0" w:firstLineChars="0"/>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3</w:t>
            </w:r>
          </w:p>
        </w:tc>
        <w:tc>
          <w:tcPr>
            <w:tcW w:w="1320" w:type="dxa"/>
            <w:shd w:val="clear" w:color="FFFFFF" w:fill="FFFFFF"/>
            <w:tcMar>
              <w:top w:w="57" w:type="dxa"/>
              <w:left w:w="57" w:type="dxa"/>
              <w:bottom w:w="57" w:type="dxa"/>
              <w:right w:w="57" w:type="dxa"/>
            </w:tcMar>
            <w:vAlign w:val="center"/>
          </w:tcPr>
          <w:p w14:paraId="14F02AB9">
            <w:pPr>
              <w:pageBreakBefore w:val="0"/>
              <w:kinsoku w:val="0"/>
              <w:wordWrap w:val="0"/>
              <w:overflowPunct/>
              <w:autoSpaceDE w:val="0"/>
              <w:autoSpaceDN w:val="0"/>
              <w:bidi w:val="0"/>
              <w:spacing w:line="240" w:lineRule="auto"/>
              <w:ind w:firstLine="0" w:firstLineChars="0"/>
              <w:rPr>
                <w:rFonts w:ascii="仿宋" w:hAnsi="仿宋" w:eastAsia="仿宋" w:cs="仿宋"/>
                <w:color w:val="auto"/>
              </w:rPr>
            </w:pPr>
          </w:p>
        </w:tc>
        <w:tc>
          <w:tcPr>
            <w:tcW w:w="1312" w:type="dxa"/>
            <w:shd w:val="clear" w:color="auto" w:fill="auto"/>
            <w:tcMar>
              <w:top w:w="57" w:type="dxa"/>
              <w:left w:w="57" w:type="dxa"/>
              <w:bottom w:w="57" w:type="dxa"/>
              <w:right w:w="57" w:type="dxa"/>
            </w:tcMar>
            <w:vAlign w:val="center"/>
          </w:tcPr>
          <w:p w14:paraId="42C20833">
            <w:pPr>
              <w:pageBreakBefore w:val="0"/>
              <w:kinsoku w:val="0"/>
              <w:wordWrap w:val="0"/>
              <w:overflowPunct/>
              <w:autoSpaceDE w:val="0"/>
              <w:autoSpaceDN w:val="0"/>
              <w:bidi w:val="0"/>
              <w:spacing w:line="240" w:lineRule="auto"/>
              <w:ind w:firstLine="0" w:firstLineChars="0"/>
              <w:rPr>
                <w:rFonts w:ascii="仿宋" w:hAnsi="仿宋" w:eastAsia="仿宋" w:cs="仿宋"/>
                <w:color w:val="auto"/>
              </w:rPr>
            </w:pPr>
          </w:p>
        </w:tc>
        <w:tc>
          <w:tcPr>
            <w:tcW w:w="1078" w:type="dxa"/>
            <w:shd w:val="clear" w:color="FFFFFF" w:fill="FFFFFF"/>
            <w:tcMar>
              <w:top w:w="57" w:type="dxa"/>
              <w:left w:w="57" w:type="dxa"/>
              <w:bottom w:w="57" w:type="dxa"/>
              <w:right w:w="57" w:type="dxa"/>
            </w:tcMar>
            <w:vAlign w:val="center"/>
          </w:tcPr>
          <w:p w14:paraId="50744343">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690" w:type="dxa"/>
            <w:shd w:val="clear" w:color="FFFFFF" w:fill="FFFFFF"/>
            <w:tcMar>
              <w:top w:w="57" w:type="dxa"/>
              <w:left w:w="57" w:type="dxa"/>
              <w:bottom w:w="57" w:type="dxa"/>
              <w:right w:w="57" w:type="dxa"/>
            </w:tcMar>
            <w:vAlign w:val="center"/>
          </w:tcPr>
          <w:p w14:paraId="4A0B53FA">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455" w:type="dxa"/>
            <w:shd w:val="clear" w:color="FFFFFF" w:fill="FFFFFF"/>
            <w:tcMar>
              <w:top w:w="57" w:type="dxa"/>
              <w:left w:w="57" w:type="dxa"/>
              <w:bottom w:w="57" w:type="dxa"/>
              <w:right w:w="57" w:type="dxa"/>
            </w:tcMar>
            <w:vAlign w:val="center"/>
          </w:tcPr>
          <w:p w14:paraId="0A7882B6">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697" w:type="dxa"/>
            <w:shd w:val="clear" w:color="FFFFFF" w:fill="FFFFFF"/>
            <w:tcMar>
              <w:top w:w="57" w:type="dxa"/>
              <w:left w:w="57" w:type="dxa"/>
              <w:bottom w:w="57" w:type="dxa"/>
              <w:right w:w="57" w:type="dxa"/>
            </w:tcMar>
            <w:vAlign w:val="center"/>
          </w:tcPr>
          <w:p w14:paraId="2619B65D">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190" w:type="dxa"/>
            <w:shd w:val="clear" w:color="FFFFFF" w:fill="FFFFFF"/>
            <w:tcMar>
              <w:top w:w="57" w:type="dxa"/>
              <w:left w:w="57" w:type="dxa"/>
              <w:bottom w:w="57" w:type="dxa"/>
              <w:right w:w="57" w:type="dxa"/>
            </w:tcMar>
            <w:vAlign w:val="center"/>
          </w:tcPr>
          <w:p w14:paraId="0303FAE9">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966" w:type="dxa"/>
            <w:shd w:val="clear" w:color="FFFFFF" w:fill="FFFFFF"/>
            <w:tcMar>
              <w:top w:w="57" w:type="dxa"/>
              <w:left w:w="57" w:type="dxa"/>
              <w:bottom w:w="57" w:type="dxa"/>
              <w:right w:w="57" w:type="dxa"/>
            </w:tcMar>
            <w:vAlign w:val="center"/>
          </w:tcPr>
          <w:p w14:paraId="14D9FD83">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r>
      <w:tr w14:paraId="3A39A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8" w:type="dxa"/>
            <w:shd w:val="clear" w:color="auto" w:fill="auto"/>
            <w:tcMar>
              <w:top w:w="57" w:type="dxa"/>
              <w:left w:w="57" w:type="dxa"/>
              <w:bottom w:w="57" w:type="dxa"/>
              <w:right w:w="57" w:type="dxa"/>
            </w:tcMar>
            <w:vAlign w:val="center"/>
          </w:tcPr>
          <w:p w14:paraId="42A5540E">
            <w:pPr>
              <w:pageBreakBefore w:val="0"/>
              <w:kinsoku w:val="0"/>
              <w:wordWrap w:val="0"/>
              <w:overflowPunct/>
              <w:autoSpaceDE w:val="0"/>
              <w:autoSpaceDN w:val="0"/>
              <w:bidi w:val="0"/>
              <w:spacing w:line="240" w:lineRule="auto"/>
              <w:ind w:firstLine="0" w:firstLineChars="0"/>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4</w:t>
            </w:r>
          </w:p>
        </w:tc>
        <w:tc>
          <w:tcPr>
            <w:tcW w:w="1320" w:type="dxa"/>
            <w:shd w:val="clear" w:color="FFFFFF" w:fill="FFFFFF"/>
            <w:tcMar>
              <w:top w:w="57" w:type="dxa"/>
              <w:left w:w="57" w:type="dxa"/>
              <w:bottom w:w="57" w:type="dxa"/>
              <w:right w:w="57" w:type="dxa"/>
            </w:tcMar>
            <w:vAlign w:val="center"/>
          </w:tcPr>
          <w:p w14:paraId="584157F0">
            <w:pPr>
              <w:pageBreakBefore w:val="0"/>
              <w:kinsoku w:val="0"/>
              <w:wordWrap w:val="0"/>
              <w:overflowPunct/>
              <w:autoSpaceDE w:val="0"/>
              <w:autoSpaceDN w:val="0"/>
              <w:bidi w:val="0"/>
              <w:spacing w:line="240" w:lineRule="auto"/>
              <w:ind w:firstLine="0" w:firstLineChars="0"/>
              <w:rPr>
                <w:rFonts w:ascii="仿宋" w:hAnsi="仿宋" w:eastAsia="仿宋" w:cs="仿宋"/>
                <w:color w:val="auto"/>
              </w:rPr>
            </w:pPr>
          </w:p>
        </w:tc>
        <w:tc>
          <w:tcPr>
            <w:tcW w:w="1312" w:type="dxa"/>
            <w:shd w:val="clear" w:color="auto" w:fill="auto"/>
            <w:tcMar>
              <w:top w:w="57" w:type="dxa"/>
              <w:left w:w="57" w:type="dxa"/>
              <w:bottom w:w="57" w:type="dxa"/>
              <w:right w:w="57" w:type="dxa"/>
            </w:tcMar>
            <w:vAlign w:val="center"/>
          </w:tcPr>
          <w:p w14:paraId="579FD8E4">
            <w:pPr>
              <w:pageBreakBefore w:val="0"/>
              <w:kinsoku w:val="0"/>
              <w:wordWrap w:val="0"/>
              <w:overflowPunct/>
              <w:autoSpaceDE w:val="0"/>
              <w:autoSpaceDN w:val="0"/>
              <w:bidi w:val="0"/>
              <w:spacing w:line="240" w:lineRule="auto"/>
              <w:ind w:firstLine="0" w:firstLineChars="0"/>
              <w:rPr>
                <w:rFonts w:ascii="仿宋" w:hAnsi="仿宋" w:eastAsia="仿宋" w:cs="仿宋"/>
                <w:color w:val="auto"/>
              </w:rPr>
            </w:pPr>
          </w:p>
        </w:tc>
        <w:tc>
          <w:tcPr>
            <w:tcW w:w="1078" w:type="dxa"/>
            <w:shd w:val="clear" w:color="FFFFFF" w:fill="FFFFFF"/>
            <w:tcMar>
              <w:top w:w="57" w:type="dxa"/>
              <w:left w:w="57" w:type="dxa"/>
              <w:bottom w:w="57" w:type="dxa"/>
              <w:right w:w="57" w:type="dxa"/>
            </w:tcMar>
            <w:vAlign w:val="center"/>
          </w:tcPr>
          <w:p w14:paraId="463AE0CB">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690" w:type="dxa"/>
            <w:shd w:val="clear" w:color="FFFFFF" w:fill="FFFFFF"/>
            <w:tcMar>
              <w:top w:w="57" w:type="dxa"/>
              <w:left w:w="57" w:type="dxa"/>
              <w:bottom w:w="57" w:type="dxa"/>
              <w:right w:w="57" w:type="dxa"/>
            </w:tcMar>
            <w:vAlign w:val="center"/>
          </w:tcPr>
          <w:p w14:paraId="70CE0103">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455" w:type="dxa"/>
            <w:shd w:val="clear" w:color="FFFFFF" w:fill="FFFFFF"/>
            <w:tcMar>
              <w:top w:w="57" w:type="dxa"/>
              <w:left w:w="57" w:type="dxa"/>
              <w:bottom w:w="57" w:type="dxa"/>
              <w:right w:w="57" w:type="dxa"/>
            </w:tcMar>
            <w:vAlign w:val="center"/>
          </w:tcPr>
          <w:p w14:paraId="5F014EF6">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697" w:type="dxa"/>
            <w:shd w:val="clear" w:color="FFFFFF" w:fill="FFFFFF"/>
            <w:tcMar>
              <w:top w:w="57" w:type="dxa"/>
              <w:left w:w="57" w:type="dxa"/>
              <w:bottom w:w="57" w:type="dxa"/>
              <w:right w:w="57" w:type="dxa"/>
            </w:tcMar>
            <w:vAlign w:val="center"/>
          </w:tcPr>
          <w:p w14:paraId="4AD68046">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190" w:type="dxa"/>
            <w:shd w:val="clear" w:color="FFFFFF" w:fill="FFFFFF"/>
            <w:tcMar>
              <w:top w:w="57" w:type="dxa"/>
              <w:left w:w="57" w:type="dxa"/>
              <w:bottom w:w="57" w:type="dxa"/>
              <w:right w:w="57" w:type="dxa"/>
            </w:tcMar>
            <w:vAlign w:val="center"/>
          </w:tcPr>
          <w:p w14:paraId="75D0E1F2">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966" w:type="dxa"/>
            <w:shd w:val="clear" w:color="FFFFFF" w:fill="FFFFFF"/>
            <w:tcMar>
              <w:top w:w="57" w:type="dxa"/>
              <w:left w:w="57" w:type="dxa"/>
              <w:bottom w:w="57" w:type="dxa"/>
              <w:right w:w="57" w:type="dxa"/>
            </w:tcMar>
            <w:vAlign w:val="center"/>
          </w:tcPr>
          <w:p w14:paraId="10B784E1">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r>
      <w:tr w14:paraId="6065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8" w:type="dxa"/>
            <w:shd w:val="clear" w:color="auto" w:fill="auto"/>
            <w:tcMar>
              <w:top w:w="57" w:type="dxa"/>
              <w:left w:w="57" w:type="dxa"/>
              <w:bottom w:w="57" w:type="dxa"/>
              <w:right w:w="57" w:type="dxa"/>
            </w:tcMar>
            <w:vAlign w:val="center"/>
          </w:tcPr>
          <w:p w14:paraId="0DF17259">
            <w:pPr>
              <w:pageBreakBefore w:val="0"/>
              <w:kinsoku w:val="0"/>
              <w:wordWrap w:val="0"/>
              <w:overflowPunct/>
              <w:autoSpaceDE w:val="0"/>
              <w:autoSpaceDN w:val="0"/>
              <w:bidi w:val="0"/>
              <w:spacing w:line="240" w:lineRule="auto"/>
              <w:ind w:firstLine="0" w:firstLineChars="0"/>
              <w:jc w:val="center"/>
              <w:rPr>
                <w:rFonts w:hint="default" w:ascii="仿宋" w:hAnsi="仿宋" w:eastAsia="仿宋" w:cs="仿宋"/>
                <w:color w:val="auto"/>
                <w:lang w:val="en-US" w:eastAsia="zh-CN"/>
              </w:rPr>
            </w:pPr>
            <w:r>
              <w:rPr>
                <w:rFonts w:hint="eastAsia" w:ascii="仿宋" w:hAnsi="仿宋" w:eastAsia="仿宋" w:cs="仿宋"/>
                <w:color w:val="auto"/>
                <w:lang w:val="en-US" w:eastAsia="zh-CN"/>
              </w:rPr>
              <w:t>.....</w:t>
            </w:r>
          </w:p>
        </w:tc>
        <w:tc>
          <w:tcPr>
            <w:tcW w:w="1320" w:type="dxa"/>
            <w:shd w:val="clear" w:color="FFFFFF" w:fill="FFFFFF"/>
            <w:tcMar>
              <w:top w:w="57" w:type="dxa"/>
              <w:left w:w="57" w:type="dxa"/>
              <w:bottom w:w="57" w:type="dxa"/>
              <w:right w:w="57" w:type="dxa"/>
            </w:tcMar>
            <w:vAlign w:val="center"/>
          </w:tcPr>
          <w:p w14:paraId="7FE25E7F">
            <w:pPr>
              <w:pageBreakBefore w:val="0"/>
              <w:kinsoku w:val="0"/>
              <w:wordWrap w:val="0"/>
              <w:overflowPunct/>
              <w:autoSpaceDE w:val="0"/>
              <w:autoSpaceDN w:val="0"/>
              <w:bidi w:val="0"/>
              <w:spacing w:line="240" w:lineRule="auto"/>
              <w:ind w:firstLine="0" w:firstLineChars="0"/>
              <w:rPr>
                <w:rFonts w:ascii="仿宋" w:hAnsi="仿宋" w:eastAsia="仿宋" w:cs="仿宋"/>
                <w:color w:val="auto"/>
              </w:rPr>
            </w:pPr>
          </w:p>
        </w:tc>
        <w:tc>
          <w:tcPr>
            <w:tcW w:w="1312" w:type="dxa"/>
            <w:shd w:val="clear" w:color="auto" w:fill="auto"/>
            <w:tcMar>
              <w:top w:w="57" w:type="dxa"/>
              <w:left w:w="57" w:type="dxa"/>
              <w:bottom w:w="57" w:type="dxa"/>
              <w:right w:w="57" w:type="dxa"/>
            </w:tcMar>
            <w:vAlign w:val="center"/>
          </w:tcPr>
          <w:p w14:paraId="2548F5CE">
            <w:pPr>
              <w:pageBreakBefore w:val="0"/>
              <w:kinsoku w:val="0"/>
              <w:wordWrap w:val="0"/>
              <w:overflowPunct/>
              <w:autoSpaceDE w:val="0"/>
              <w:autoSpaceDN w:val="0"/>
              <w:bidi w:val="0"/>
              <w:spacing w:line="240" w:lineRule="auto"/>
              <w:ind w:firstLine="0" w:firstLineChars="0"/>
              <w:rPr>
                <w:rFonts w:ascii="仿宋" w:hAnsi="仿宋" w:eastAsia="仿宋" w:cs="仿宋"/>
                <w:color w:val="auto"/>
              </w:rPr>
            </w:pPr>
          </w:p>
        </w:tc>
        <w:tc>
          <w:tcPr>
            <w:tcW w:w="1078" w:type="dxa"/>
            <w:shd w:val="clear" w:color="FFFFFF" w:fill="FFFFFF"/>
            <w:tcMar>
              <w:top w:w="57" w:type="dxa"/>
              <w:left w:w="57" w:type="dxa"/>
              <w:bottom w:w="57" w:type="dxa"/>
              <w:right w:w="57" w:type="dxa"/>
            </w:tcMar>
            <w:vAlign w:val="center"/>
          </w:tcPr>
          <w:p w14:paraId="0E87EC0A">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690" w:type="dxa"/>
            <w:shd w:val="clear" w:color="FFFFFF" w:fill="FFFFFF"/>
            <w:tcMar>
              <w:top w:w="57" w:type="dxa"/>
              <w:left w:w="57" w:type="dxa"/>
              <w:bottom w:w="57" w:type="dxa"/>
              <w:right w:w="57" w:type="dxa"/>
            </w:tcMar>
            <w:vAlign w:val="center"/>
          </w:tcPr>
          <w:p w14:paraId="5C422457">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455" w:type="dxa"/>
            <w:shd w:val="clear" w:color="FFFFFF" w:fill="FFFFFF"/>
            <w:tcMar>
              <w:top w:w="57" w:type="dxa"/>
              <w:left w:w="57" w:type="dxa"/>
              <w:bottom w:w="57" w:type="dxa"/>
              <w:right w:w="57" w:type="dxa"/>
            </w:tcMar>
            <w:vAlign w:val="center"/>
          </w:tcPr>
          <w:p w14:paraId="29BCFEE1">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697" w:type="dxa"/>
            <w:shd w:val="clear" w:color="FFFFFF" w:fill="FFFFFF"/>
            <w:tcMar>
              <w:top w:w="57" w:type="dxa"/>
              <w:left w:w="57" w:type="dxa"/>
              <w:bottom w:w="57" w:type="dxa"/>
              <w:right w:w="57" w:type="dxa"/>
            </w:tcMar>
            <w:vAlign w:val="center"/>
          </w:tcPr>
          <w:p w14:paraId="1A7D63B7">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190" w:type="dxa"/>
            <w:shd w:val="clear" w:color="FFFFFF" w:fill="FFFFFF"/>
            <w:tcMar>
              <w:top w:w="57" w:type="dxa"/>
              <w:left w:w="57" w:type="dxa"/>
              <w:bottom w:w="57" w:type="dxa"/>
              <w:right w:w="57" w:type="dxa"/>
            </w:tcMar>
            <w:vAlign w:val="center"/>
          </w:tcPr>
          <w:p w14:paraId="41504F5D">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c>
          <w:tcPr>
            <w:tcW w:w="1966" w:type="dxa"/>
            <w:shd w:val="clear" w:color="FFFFFF" w:fill="FFFFFF"/>
            <w:tcMar>
              <w:top w:w="57" w:type="dxa"/>
              <w:left w:w="57" w:type="dxa"/>
              <w:bottom w:w="57" w:type="dxa"/>
              <w:right w:w="57" w:type="dxa"/>
            </w:tcMar>
            <w:vAlign w:val="center"/>
          </w:tcPr>
          <w:p w14:paraId="66154400">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r>
      <w:tr w14:paraId="208FA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70" w:type="dxa"/>
            <w:gridSpan w:val="8"/>
            <w:shd w:val="clear" w:color="auto" w:fill="auto"/>
            <w:tcMar>
              <w:top w:w="57" w:type="dxa"/>
              <w:left w:w="57" w:type="dxa"/>
              <w:bottom w:w="57" w:type="dxa"/>
              <w:right w:w="57" w:type="dxa"/>
            </w:tcMar>
            <w:vAlign w:val="center"/>
          </w:tcPr>
          <w:p w14:paraId="3BA4A6D6">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r>
              <w:rPr>
                <w:rFonts w:hint="eastAsia" w:ascii="仿宋" w:hAnsi="仿宋" w:eastAsia="仿宋" w:cs="仿宋"/>
                <w:color w:val="auto"/>
              </w:rPr>
              <w:t>投标总价（元）=所有小计之和</w:t>
            </w:r>
          </w:p>
        </w:tc>
        <w:tc>
          <w:tcPr>
            <w:tcW w:w="1966" w:type="dxa"/>
            <w:shd w:val="clear" w:color="FFFFFF" w:fill="FFFFFF"/>
            <w:tcMar>
              <w:top w:w="57" w:type="dxa"/>
              <w:left w:w="57" w:type="dxa"/>
              <w:bottom w:w="57" w:type="dxa"/>
              <w:right w:w="57" w:type="dxa"/>
            </w:tcMar>
            <w:vAlign w:val="center"/>
          </w:tcPr>
          <w:p w14:paraId="29F473DE">
            <w:pPr>
              <w:pageBreakBefore w:val="0"/>
              <w:kinsoku w:val="0"/>
              <w:wordWrap w:val="0"/>
              <w:overflowPunct/>
              <w:autoSpaceDE w:val="0"/>
              <w:autoSpaceDN w:val="0"/>
              <w:bidi w:val="0"/>
              <w:spacing w:line="240" w:lineRule="auto"/>
              <w:ind w:firstLine="0" w:firstLineChars="0"/>
              <w:jc w:val="center"/>
              <w:rPr>
                <w:rFonts w:ascii="仿宋" w:hAnsi="仿宋" w:eastAsia="仿宋" w:cs="仿宋"/>
                <w:color w:val="auto"/>
              </w:rPr>
            </w:pPr>
          </w:p>
        </w:tc>
      </w:tr>
    </w:tbl>
    <w:p w14:paraId="474EC24B">
      <w:pPr>
        <w:pageBreakBefore w:val="0"/>
        <w:wordWrap w:val="0"/>
        <w:overflowPunct/>
        <w:bidi w:val="0"/>
        <w:spacing w:line="240" w:lineRule="auto"/>
        <w:ind w:firstLine="422"/>
        <w:jc w:val="center"/>
        <w:rPr>
          <w:rFonts w:ascii="仿宋" w:hAnsi="仿宋" w:eastAsia="仿宋" w:cs="仿宋"/>
          <w:b/>
          <w:bCs/>
          <w:color w:val="auto"/>
        </w:rPr>
      </w:pPr>
      <w:r>
        <w:rPr>
          <w:rFonts w:hint="eastAsia" w:ascii="仿宋" w:hAnsi="仿宋" w:eastAsia="仿宋" w:cs="仿宋"/>
          <w:b/>
          <w:bCs/>
          <w:color w:val="auto"/>
        </w:rPr>
        <w:t>(投标人应根据招标文件第五章采购需求中的内容进行填报)</w:t>
      </w:r>
    </w:p>
    <w:p w14:paraId="7F197FA1">
      <w:pPr>
        <w:pageBreakBefore w:val="0"/>
        <w:wordWrap w:val="0"/>
        <w:overflowPunct/>
        <w:bidi w:val="0"/>
        <w:adjustRightInd/>
        <w:snapToGrid/>
        <w:ind w:firstLine="404"/>
        <w:rPr>
          <w:rFonts w:hint="eastAsia" w:ascii="仿宋" w:hAnsi="仿宋" w:eastAsia="仿宋" w:cs="仿宋"/>
          <w:color w:val="auto"/>
          <w:spacing w:val="-4"/>
        </w:rPr>
      </w:pPr>
      <w:r>
        <w:rPr>
          <w:rFonts w:hint="eastAsia" w:ascii="仿宋" w:hAnsi="仿宋" w:eastAsia="仿宋" w:cs="仿宋"/>
          <w:color w:val="auto"/>
          <w:spacing w:val="-4"/>
        </w:rPr>
        <w:t>注：1.上表根据所投标包采购品类及数量填写，</w:t>
      </w:r>
      <w:r>
        <w:rPr>
          <w:rFonts w:hint="eastAsia" w:ascii="仿宋" w:hAnsi="仿宋" w:eastAsia="仿宋" w:cs="仿宋"/>
          <w:b/>
          <w:bCs/>
          <w:color w:val="0000FF"/>
          <w:spacing w:val="-4"/>
        </w:rPr>
        <w:t>至少应该包含车辆底盘、照明、上装、随车器材</w:t>
      </w:r>
      <w:r>
        <w:rPr>
          <w:rFonts w:hint="eastAsia" w:ascii="仿宋" w:hAnsi="仿宋" w:eastAsia="仿宋" w:cs="仿宋"/>
          <w:b/>
          <w:bCs/>
          <w:color w:val="0000FF"/>
          <w:spacing w:val="-4"/>
          <w:lang w:eastAsia="zh-CN"/>
        </w:rPr>
        <w:t>。</w:t>
      </w:r>
      <w:r>
        <w:rPr>
          <w:rFonts w:hint="eastAsia" w:ascii="仿宋" w:hAnsi="仿宋" w:eastAsia="仿宋" w:cs="仿宋"/>
          <w:color w:val="auto"/>
          <w:spacing w:val="-4"/>
        </w:rPr>
        <w:t>若因缺漏单项货物或者采购数量与招标文件要求不一致，按否决投标处理。（请各投标人仔细核对）</w:t>
      </w:r>
    </w:p>
    <w:p w14:paraId="7A744EA9">
      <w:pPr>
        <w:pageBreakBefore w:val="0"/>
        <w:wordWrap w:val="0"/>
        <w:overflowPunct/>
        <w:bidi w:val="0"/>
        <w:adjustRightInd/>
        <w:snapToGrid/>
        <w:ind w:firstLine="404"/>
        <w:rPr>
          <w:rFonts w:ascii="仿宋" w:hAnsi="仿宋" w:eastAsia="仿宋" w:cs="仿宋"/>
          <w:color w:val="auto"/>
          <w:spacing w:val="-4"/>
        </w:rPr>
      </w:pPr>
      <w:r>
        <w:rPr>
          <w:rFonts w:hint="eastAsia" w:ascii="仿宋" w:hAnsi="仿宋" w:eastAsia="仿宋" w:cs="仿宋"/>
          <w:color w:val="auto"/>
          <w:spacing w:val="-4"/>
        </w:rPr>
        <w:t>2.上表中的“投标总价”应与“开标一览表”一致。</w:t>
      </w:r>
    </w:p>
    <w:p w14:paraId="428AB43A">
      <w:pPr>
        <w:pageBreakBefore w:val="0"/>
        <w:wordWrap w:val="0"/>
        <w:overflowPunct/>
        <w:bidi w:val="0"/>
        <w:adjustRightInd/>
        <w:snapToGrid/>
        <w:ind w:firstLine="404"/>
        <w:rPr>
          <w:rFonts w:hint="eastAsia" w:ascii="仿宋" w:hAnsi="仿宋" w:eastAsia="仿宋" w:cs="仿宋"/>
          <w:color w:val="auto"/>
          <w:spacing w:val="-4"/>
        </w:rPr>
      </w:pPr>
      <w:r>
        <w:rPr>
          <w:rFonts w:hint="eastAsia" w:ascii="仿宋" w:hAnsi="仿宋" w:eastAsia="仿宋" w:cs="仿宋"/>
          <w:color w:val="auto"/>
          <w:spacing w:val="-4"/>
        </w:rPr>
        <w:t>3.小计等于单价乘以采购数量，小计之和等于投标总价。</w:t>
      </w:r>
    </w:p>
    <w:p w14:paraId="3B056F4D">
      <w:pPr>
        <w:pageBreakBefore w:val="0"/>
        <w:wordWrap w:val="0"/>
        <w:overflowPunct/>
        <w:bidi w:val="0"/>
        <w:adjustRightInd/>
        <w:snapToGrid/>
        <w:ind w:firstLine="404"/>
        <w:rPr>
          <w:rFonts w:hint="default" w:ascii="仿宋" w:hAnsi="仿宋" w:eastAsia="仿宋" w:cs="仿宋"/>
          <w:b/>
          <w:bCs/>
          <w:color w:val="0000FF"/>
          <w:spacing w:val="-4"/>
          <w:lang w:val="en-US" w:eastAsia="zh-CN"/>
        </w:rPr>
      </w:pPr>
      <w:r>
        <w:rPr>
          <w:rFonts w:hint="eastAsia" w:ascii="仿宋" w:hAnsi="仿宋" w:eastAsia="仿宋" w:cs="仿宋"/>
          <w:b/>
          <w:bCs/>
          <w:color w:val="0000FF"/>
          <w:spacing w:val="-4"/>
          <w:lang w:val="en-US" w:eastAsia="zh-CN"/>
        </w:rPr>
        <w:t>4.投标人填写时，上述表格行数不够的，投标人可自行添加扩展。</w:t>
      </w:r>
    </w:p>
    <w:p w14:paraId="289A3EB2">
      <w:pPr>
        <w:pageBreakBefore w:val="0"/>
        <w:wordWrap w:val="0"/>
        <w:overflowPunct/>
        <w:bidi w:val="0"/>
        <w:adjustRightInd/>
        <w:snapToGrid/>
        <w:ind w:firstLine="404"/>
        <w:jc w:val="center"/>
        <w:rPr>
          <w:rFonts w:ascii="仿宋" w:hAnsi="仿宋" w:eastAsia="仿宋" w:cs="仿宋"/>
          <w:color w:val="auto"/>
          <w:spacing w:val="-4"/>
        </w:rPr>
      </w:pPr>
    </w:p>
    <w:p w14:paraId="36910E70">
      <w:pPr>
        <w:pageBreakBefore w:val="0"/>
        <w:wordWrap w:val="0"/>
        <w:overflowPunct/>
        <w:bidi w:val="0"/>
        <w:adjustRightInd/>
        <w:snapToGrid/>
        <w:ind w:firstLine="404"/>
        <w:jc w:val="center"/>
        <w:rPr>
          <w:rFonts w:ascii="仿宋" w:hAnsi="仿宋" w:eastAsia="仿宋" w:cs="仿宋"/>
          <w:color w:val="auto"/>
        </w:rPr>
      </w:pPr>
      <w:r>
        <w:rPr>
          <w:rFonts w:hint="eastAsia" w:ascii="仿宋" w:hAnsi="仿宋" w:eastAsia="仿宋" w:cs="仿宋"/>
          <w:color w:val="auto"/>
          <w:spacing w:val="-4"/>
        </w:rPr>
        <w:t>投标人名称（盖公章）：</w:t>
      </w:r>
      <w:r>
        <w:rPr>
          <w:rFonts w:hint="eastAsia" w:ascii="仿宋" w:hAnsi="仿宋" w:eastAsia="仿宋" w:cs="仿宋"/>
          <w:color w:val="auto"/>
          <w:spacing w:val="-4"/>
          <w:u w:val="single"/>
        </w:rPr>
        <w:t xml:space="preserve">     </w:t>
      </w:r>
      <w:r>
        <w:rPr>
          <w:rFonts w:hint="eastAsia" w:ascii="仿宋" w:hAnsi="仿宋" w:eastAsia="仿宋" w:cs="仿宋"/>
          <w:color w:val="auto"/>
          <w:spacing w:val="-3"/>
          <w:u w:val="single"/>
        </w:rPr>
        <w:t xml:space="preserve"> </w:t>
      </w:r>
      <w:r>
        <w:rPr>
          <w:rFonts w:hint="eastAsia" w:ascii="仿宋" w:hAnsi="仿宋" w:eastAsia="仿宋" w:cs="仿宋"/>
          <w:color w:val="auto"/>
          <w:spacing w:val="-2"/>
          <w:u w:val="single"/>
        </w:rPr>
        <w:t xml:space="preserve">                             </w:t>
      </w:r>
    </w:p>
    <w:p w14:paraId="24F1F110">
      <w:pPr>
        <w:pageBreakBefore w:val="0"/>
        <w:wordWrap w:val="0"/>
        <w:overflowPunct/>
        <w:bidi w:val="0"/>
        <w:adjustRightInd/>
        <w:snapToGrid/>
        <w:ind w:firstLine="396"/>
        <w:jc w:val="center"/>
        <w:rPr>
          <w:rFonts w:ascii="仿宋" w:hAnsi="仿宋" w:eastAsia="仿宋" w:cs="仿宋"/>
          <w:color w:val="auto"/>
        </w:rPr>
      </w:pPr>
      <w:r>
        <w:rPr>
          <w:rFonts w:hint="eastAsia" w:ascii="仿宋" w:hAnsi="仿宋" w:eastAsia="仿宋" w:cs="仿宋"/>
          <w:color w:val="auto"/>
          <w:spacing w:val="-6"/>
        </w:rPr>
        <w:t xml:space="preserve">                法定代表人或其授权代理人</w:t>
      </w:r>
      <w:r>
        <w:rPr>
          <w:rFonts w:hint="eastAsia" w:ascii="仿宋" w:hAnsi="仿宋" w:eastAsia="仿宋" w:cs="仿宋"/>
          <w:color w:val="auto"/>
          <w:spacing w:val="-3"/>
        </w:rPr>
        <w:t>(签字或盖章)：</w:t>
      </w:r>
      <w:r>
        <w:rPr>
          <w:rFonts w:hint="eastAsia" w:ascii="仿宋" w:hAnsi="仿宋" w:eastAsia="仿宋" w:cs="仿宋"/>
          <w:color w:val="auto"/>
          <w:spacing w:val="-3"/>
          <w:u w:val="single"/>
        </w:rPr>
        <w:t xml:space="preserve">                 </w:t>
      </w:r>
    </w:p>
    <w:p w14:paraId="3DFB5733">
      <w:pPr>
        <w:pageBreakBefore w:val="0"/>
        <w:tabs>
          <w:tab w:val="left" w:pos="863"/>
        </w:tabs>
        <w:wordWrap w:val="0"/>
        <w:overflowPunct/>
        <w:bidi w:val="0"/>
        <w:adjustRightInd/>
        <w:snapToGrid/>
        <w:jc w:val="right"/>
        <w:rPr>
          <w:rFonts w:ascii="仿宋" w:hAnsi="仿宋" w:eastAsia="仿宋" w:cs="仿宋"/>
          <w:color w:val="auto"/>
          <w:spacing w:val="2"/>
        </w:rPr>
      </w:pPr>
      <w:r>
        <w:rPr>
          <w:rFonts w:hint="eastAsia" w:ascii="仿宋" w:hAnsi="仿宋" w:eastAsia="仿宋" w:cs="仿宋"/>
          <w:color w:val="auto"/>
          <w:u w:val="single"/>
        </w:rPr>
        <w:tab/>
      </w:r>
      <w:r>
        <w:rPr>
          <w:rFonts w:hint="eastAsia" w:ascii="仿宋" w:hAnsi="仿宋" w:eastAsia="仿宋" w:cs="仿宋"/>
          <w:color w:val="auto"/>
          <w:spacing w:val="4"/>
        </w:rPr>
        <w:t>年</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月</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 xml:space="preserve"> </w:t>
      </w:r>
      <w:r>
        <w:rPr>
          <w:rFonts w:hint="eastAsia" w:ascii="仿宋" w:hAnsi="仿宋" w:eastAsia="仿宋" w:cs="仿宋"/>
          <w:color w:val="auto"/>
          <w:spacing w:val="2"/>
        </w:rPr>
        <w:t>日</w:t>
      </w:r>
    </w:p>
    <w:p w14:paraId="0AA248AE">
      <w:pPr>
        <w:pStyle w:val="2"/>
        <w:pageBreakBefore w:val="0"/>
        <w:wordWrap w:val="0"/>
        <w:overflowPunct/>
        <w:bidi w:val="0"/>
        <w:rPr>
          <w:rFonts w:ascii="仿宋" w:hAnsi="仿宋" w:eastAsia="仿宋" w:cs="仿宋"/>
          <w:color w:val="auto"/>
        </w:rPr>
        <w:sectPr>
          <w:footerReference r:id="rId13" w:type="default"/>
          <w:pgSz w:w="11906" w:h="16838"/>
          <w:pgMar w:top="1417" w:right="1417" w:bottom="1417" w:left="1587" w:header="1134" w:footer="1134" w:gutter="0"/>
          <w:cols w:space="425" w:num="1"/>
          <w:docGrid w:type="lines" w:linePitch="312" w:charSpace="0"/>
        </w:sectPr>
      </w:pPr>
    </w:p>
    <w:p w14:paraId="1C51F4AC">
      <w:pPr>
        <w:pStyle w:val="3"/>
        <w:pageBreakBefore w:val="0"/>
        <w:wordWrap w:val="0"/>
        <w:overflowPunct/>
        <w:bidi w:val="0"/>
        <w:ind w:firstLine="562"/>
        <w:jc w:val="center"/>
        <w:rPr>
          <w:rFonts w:ascii="仿宋" w:hAnsi="仿宋" w:eastAsia="仿宋" w:cs="仿宋"/>
          <w:color w:val="auto"/>
          <w:sz w:val="28"/>
          <w:szCs w:val="28"/>
        </w:rPr>
      </w:pPr>
      <w:bookmarkStart w:id="86" w:name="_Toc19839"/>
      <w:r>
        <w:rPr>
          <w:rFonts w:hint="eastAsia" w:ascii="仿宋" w:hAnsi="仿宋" w:eastAsia="仿宋" w:cs="仿宋"/>
          <w:color w:val="auto"/>
          <w:sz w:val="28"/>
          <w:szCs w:val="28"/>
        </w:rPr>
        <w:t>3.4  2020 年至今完成的类似项目一览表</w:t>
      </w:r>
      <w:bookmarkEnd w:id="86"/>
    </w:p>
    <w:tbl>
      <w:tblPr>
        <w:tblStyle w:val="26"/>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430"/>
        <w:gridCol w:w="1803"/>
        <w:gridCol w:w="1477"/>
        <w:gridCol w:w="1477"/>
      </w:tblGrid>
      <w:tr w14:paraId="4F9C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2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6B7398BD">
            <w:pPr>
              <w:pageBreakBefore w:val="0"/>
              <w:wordWrap w:val="0"/>
              <w:overflowPunct/>
              <w:bidi w:val="0"/>
              <w:adjustRightInd/>
              <w:snapToGrid/>
              <w:ind w:firstLine="0" w:firstLineChars="0"/>
              <w:jc w:val="center"/>
              <w:rPr>
                <w:rFonts w:ascii="仿宋" w:hAnsi="仿宋" w:eastAsia="仿宋" w:cs="仿宋"/>
                <w:color w:val="auto"/>
              </w:rPr>
            </w:pPr>
            <w:r>
              <w:rPr>
                <w:rFonts w:hint="eastAsia" w:ascii="仿宋" w:hAnsi="仿宋" w:eastAsia="仿宋" w:cs="仿宋"/>
                <w:color w:val="auto"/>
              </w:rPr>
              <w:t>序号</w:t>
            </w:r>
          </w:p>
        </w:tc>
        <w:tc>
          <w:tcPr>
            <w:tcW w:w="3430"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339D6729">
            <w:pPr>
              <w:pageBreakBefore w:val="0"/>
              <w:wordWrap w:val="0"/>
              <w:overflowPunct/>
              <w:bidi w:val="0"/>
              <w:adjustRightInd/>
              <w:snapToGrid/>
              <w:ind w:firstLine="0" w:firstLineChars="0"/>
              <w:jc w:val="center"/>
              <w:rPr>
                <w:rFonts w:ascii="仿宋" w:hAnsi="仿宋" w:eastAsia="仿宋" w:cs="仿宋"/>
                <w:color w:val="auto"/>
              </w:rPr>
            </w:pPr>
            <w:r>
              <w:rPr>
                <w:rFonts w:hint="eastAsia" w:ascii="仿宋" w:hAnsi="仿宋" w:eastAsia="仿宋" w:cs="仿宋"/>
                <w:color w:val="auto"/>
              </w:rPr>
              <w:t>参加过的类似项目名称</w:t>
            </w:r>
          </w:p>
        </w:tc>
        <w:tc>
          <w:tcPr>
            <w:tcW w:w="1803"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00D0033F">
            <w:pPr>
              <w:pStyle w:val="7"/>
              <w:pageBreakBefore w:val="0"/>
              <w:wordWrap w:val="0"/>
              <w:overflowPunct/>
              <w:bidi w:val="0"/>
              <w:adjustRightInd/>
              <w:snapToGrid/>
              <w:ind w:firstLine="0" w:firstLineChars="0"/>
              <w:jc w:val="center"/>
              <w:rPr>
                <w:rFonts w:ascii="仿宋" w:hAnsi="仿宋" w:eastAsia="仿宋" w:cs="仿宋"/>
                <w:color w:val="auto"/>
              </w:rPr>
            </w:pPr>
            <w:r>
              <w:rPr>
                <w:rFonts w:hint="eastAsia" w:ascii="仿宋" w:hAnsi="仿宋" w:eastAsia="仿宋" w:cs="仿宋"/>
                <w:color w:val="auto"/>
              </w:rPr>
              <w:t>招标人名称</w:t>
            </w: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653BA4B1">
            <w:pPr>
              <w:pStyle w:val="7"/>
              <w:pageBreakBefore w:val="0"/>
              <w:wordWrap w:val="0"/>
              <w:overflowPunct/>
              <w:bidi w:val="0"/>
              <w:adjustRightInd/>
              <w:snapToGrid/>
              <w:ind w:firstLine="0" w:firstLineChars="0"/>
              <w:jc w:val="center"/>
              <w:rPr>
                <w:rFonts w:ascii="仿宋" w:hAnsi="仿宋" w:eastAsia="仿宋" w:cs="仿宋"/>
                <w:color w:val="auto"/>
              </w:rPr>
            </w:pPr>
            <w:r>
              <w:rPr>
                <w:rFonts w:hint="eastAsia" w:ascii="仿宋" w:hAnsi="仿宋" w:eastAsia="仿宋" w:cs="仿宋"/>
                <w:color w:val="auto"/>
              </w:rPr>
              <w:t>合同金额</w:t>
            </w: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6B7E46DF">
            <w:pPr>
              <w:pStyle w:val="7"/>
              <w:pageBreakBefore w:val="0"/>
              <w:wordWrap w:val="0"/>
              <w:overflowPunct/>
              <w:bidi w:val="0"/>
              <w:adjustRightInd/>
              <w:snapToGrid/>
              <w:ind w:firstLine="0" w:firstLineChars="0"/>
              <w:jc w:val="center"/>
              <w:rPr>
                <w:rFonts w:ascii="仿宋" w:hAnsi="仿宋" w:eastAsia="仿宋" w:cs="仿宋"/>
                <w:color w:val="auto"/>
              </w:rPr>
            </w:pPr>
            <w:r>
              <w:rPr>
                <w:rFonts w:hint="eastAsia" w:ascii="仿宋" w:hAnsi="仿宋" w:eastAsia="仿宋" w:cs="仿宋"/>
                <w:color w:val="auto"/>
              </w:rPr>
              <w:t>完成时间</w:t>
            </w:r>
          </w:p>
        </w:tc>
      </w:tr>
      <w:tr w14:paraId="310F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82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2ECC703A">
            <w:pPr>
              <w:pageBreakBefore w:val="0"/>
              <w:wordWrap w:val="0"/>
              <w:overflowPunct/>
              <w:bidi w:val="0"/>
              <w:adjustRightInd/>
              <w:snapToGrid/>
              <w:ind w:firstLine="0" w:firstLineChars="0"/>
              <w:jc w:val="center"/>
              <w:rPr>
                <w:rFonts w:ascii="仿宋" w:hAnsi="仿宋" w:eastAsia="仿宋" w:cs="仿宋"/>
                <w:color w:val="auto"/>
              </w:rPr>
            </w:pPr>
            <w:r>
              <w:rPr>
                <w:rFonts w:hint="eastAsia" w:ascii="仿宋" w:hAnsi="仿宋" w:eastAsia="仿宋" w:cs="仿宋"/>
                <w:color w:val="auto"/>
              </w:rPr>
              <w:t>1</w:t>
            </w:r>
          </w:p>
        </w:tc>
        <w:tc>
          <w:tcPr>
            <w:tcW w:w="3430"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0A5C5F37">
            <w:pPr>
              <w:pageBreakBefore w:val="0"/>
              <w:wordWrap w:val="0"/>
              <w:overflowPunct/>
              <w:bidi w:val="0"/>
              <w:adjustRightInd/>
              <w:snapToGrid/>
              <w:ind w:firstLine="0" w:firstLineChars="0"/>
              <w:jc w:val="center"/>
              <w:rPr>
                <w:rFonts w:ascii="仿宋" w:hAnsi="仿宋" w:eastAsia="仿宋" w:cs="仿宋"/>
                <w:color w:val="auto"/>
              </w:rPr>
            </w:pPr>
          </w:p>
        </w:tc>
        <w:tc>
          <w:tcPr>
            <w:tcW w:w="1803"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60A19C3F">
            <w:pPr>
              <w:pageBreakBefore w:val="0"/>
              <w:wordWrap w:val="0"/>
              <w:overflowPunct/>
              <w:bidi w:val="0"/>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30111055">
            <w:pPr>
              <w:pageBreakBefore w:val="0"/>
              <w:wordWrap w:val="0"/>
              <w:overflowPunct/>
              <w:bidi w:val="0"/>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345592AE">
            <w:pPr>
              <w:pageBreakBefore w:val="0"/>
              <w:wordWrap w:val="0"/>
              <w:overflowPunct/>
              <w:bidi w:val="0"/>
              <w:adjustRightInd/>
              <w:snapToGrid/>
              <w:ind w:firstLine="0" w:firstLineChars="0"/>
              <w:jc w:val="center"/>
              <w:rPr>
                <w:rFonts w:ascii="仿宋" w:hAnsi="仿宋" w:eastAsia="仿宋" w:cs="仿宋"/>
                <w:color w:val="auto"/>
              </w:rPr>
            </w:pPr>
          </w:p>
        </w:tc>
      </w:tr>
      <w:tr w14:paraId="3EF21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82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597D48D5">
            <w:pPr>
              <w:pageBreakBefore w:val="0"/>
              <w:wordWrap w:val="0"/>
              <w:overflowPunct/>
              <w:bidi w:val="0"/>
              <w:adjustRightInd/>
              <w:snapToGrid/>
              <w:ind w:firstLine="0" w:firstLineChars="0"/>
              <w:jc w:val="center"/>
              <w:rPr>
                <w:rFonts w:ascii="仿宋" w:hAnsi="仿宋" w:eastAsia="仿宋" w:cs="仿宋"/>
                <w:color w:val="auto"/>
              </w:rPr>
            </w:pPr>
            <w:r>
              <w:rPr>
                <w:rFonts w:hint="eastAsia" w:ascii="仿宋" w:hAnsi="仿宋" w:eastAsia="仿宋" w:cs="仿宋"/>
                <w:color w:val="auto"/>
              </w:rPr>
              <w:t>2</w:t>
            </w:r>
          </w:p>
        </w:tc>
        <w:tc>
          <w:tcPr>
            <w:tcW w:w="3430"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07AA9098">
            <w:pPr>
              <w:pageBreakBefore w:val="0"/>
              <w:wordWrap w:val="0"/>
              <w:overflowPunct/>
              <w:bidi w:val="0"/>
              <w:adjustRightInd/>
              <w:snapToGrid/>
              <w:ind w:firstLine="0" w:firstLineChars="0"/>
              <w:jc w:val="center"/>
              <w:rPr>
                <w:rFonts w:ascii="仿宋" w:hAnsi="仿宋" w:eastAsia="仿宋" w:cs="仿宋"/>
                <w:color w:val="auto"/>
              </w:rPr>
            </w:pPr>
          </w:p>
        </w:tc>
        <w:tc>
          <w:tcPr>
            <w:tcW w:w="1803"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64B7DC66">
            <w:pPr>
              <w:pageBreakBefore w:val="0"/>
              <w:wordWrap w:val="0"/>
              <w:overflowPunct/>
              <w:bidi w:val="0"/>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62738BC4">
            <w:pPr>
              <w:pageBreakBefore w:val="0"/>
              <w:wordWrap w:val="0"/>
              <w:overflowPunct/>
              <w:bidi w:val="0"/>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2F16C10D">
            <w:pPr>
              <w:pageBreakBefore w:val="0"/>
              <w:wordWrap w:val="0"/>
              <w:overflowPunct/>
              <w:bidi w:val="0"/>
              <w:adjustRightInd/>
              <w:snapToGrid/>
              <w:ind w:firstLine="0" w:firstLineChars="0"/>
              <w:jc w:val="center"/>
              <w:rPr>
                <w:rFonts w:ascii="仿宋" w:hAnsi="仿宋" w:eastAsia="仿宋" w:cs="仿宋"/>
                <w:color w:val="auto"/>
              </w:rPr>
            </w:pPr>
          </w:p>
        </w:tc>
      </w:tr>
      <w:tr w14:paraId="04291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82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6736E70B">
            <w:pPr>
              <w:pageBreakBefore w:val="0"/>
              <w:wordWrap w:val="0"/>
              <w:overflowPunct/>
              <w:bidi w:val="0"/>
              <w:adjustRightInd/>
              <w:snapToGrid/>
              <w:ind w:firstLine="0" w:firstLineChars="0"/>
              <w:jc w:val="center"/>
              <w:rPr>
                <w:rFonts w:ascii="仿宋" w:hAnsi="仿宋" w:eastAsia="仿宋" w:cs="仿宋"/>
                <w:color w:val="auto"/>
              </w:rPr>
            </w:pPr>
            <w:r>
              <w:rPr>
                <w:rFonts w:hint="eastAsia" w:ascii="仿宋" w:hAnsi="仿宋" w:eastAsia="仿宋" w:cs="仿宋"/>
                <w:color w:val="auto"/>
              </w:rPr>
              <w:t>3</w:t>
            </w:r>
          </w:p>
        </w:tc>
        <w:tc>
          <w:tcPr>
            <w:tcW w:w="3430"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30E83901">
            <w:pPr>
              <w:pageBreakBefore w:val="0"/>
              <w:wordWrap w:val="0"/>
              <w:overflowPunct/>
              <w:bidi w:val="0"/>
              <w:adjustRightInd/>
              <w:snapToGrid/>
              <w:ind w:firstLine="0" w:firstLineChars="0"/>
              <w:jc w:val="center"/>
              <w:rPr>
                <w:rFonts w:ascii="仿宋" w:hAnsi="仿宋" w:eastAsia="仿宋" w:cs="仿宋"/>
                <w:color w:val="auto"/>
              </w:rPr>
            </w:pPr>
          </w:p>
        </w:tc>
        <w:tc>
          <w:tcPr>
            <w:tcW w:w="1803"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67FE5FFC">
            <w:pPr>
              <w:pageBreakBefore w:val="0"/>
              <w:wordWrap w:val="0"/>
              <w:overflowPunct/>
              <w:bidi w:val="0"/>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449E38E6">
            <w:pPr>
              <w:pageBreakBefore w:val="0"/>
              <w:wordWrap w:val="0"/>
              <w:overflowPunct/>
              <w:bidi w:val="0"/>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14193352">
            <w:pPr>
              <w:pageBreakBefore w:val="0"/>
              <w:wordWrap w:val="0"/>
              <w:overflowPunct/>
              <w:bidi w:val="0"/>
              <w:adjustRightInd/>
              <w:snapToGrid/>
              <w:ind w:firstLine="0" w:firstLineChars="0"/>
              <w:jc w:val="center"/>
              <w:rPr>
                <w:rFonts w:ascii="仿宋" w:hAnsi="仿宋" w:eastAsia="仿宋" w:cs="仿宋"/>
                <w:color w:val="auto"/>
              </w:rPr>
            </w:pPr>
          </w:p>
        </w:tc>
      </w:tr>
      <w:tr w14:paraId="649B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825"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1FE2E3A5">
            <w:pPr>
              <w:pageBreakBefore w:val="0"/>
              <w:wordWrap w:val="0"/>
              <w:overflowPunct/>
              <w:bidi w:val="0"/>
              <w:adjustRightInd/>
              <w:snapToGrid/>
              <w:ind w:firstLine="0" w:firstLineChars="0"/>
              <w:jc w:val="center"/>
              <w:rPr>
                <w:rFonts w:ascii="仿宋" w:hAnsi="仿宋" w:eastAsia="仿宋" w:cs="仿宋"/>
                <w:color w:val="auto"/>
              </w:rPr>
            </w:pPr>
            <w:r>
              <w:rPr>
                <w:rFonts w:hint="eastAsia" w:ascii="仿宋" w:hAnsi="仿宋" w:eastAsia="仿宋" w:cs="仿宋"/>
                <w:color w:val="auto"/>
              </w:rPr>
              <w:t>....</w:t>
            </w:r>
          </w:p>
        </w:tc>
        <w:tc>
          <w:tcPr>
            <w:tcW w:w="3430"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70DA18D8">
            <w:pPr>
              <w:pageBreakBefore w:val="0"/>
              <w:wordWrap w:val="0"/>
              <w:overflowPunct/>
              <w:bidi w:val="0"/>
              <w:adjustRightInd/>
              <w:snapToGrid/>
              <w:ind w:firstLine="0" w:firstLineChars="0"/>
              <w:jc w:val="center"/>
              <w:rPr>
                <w:rFonts w:ascii="仿宋" w:hAnsi="仿宋" w:eastAsia="仿宋" w:cs="仿宋"/>
                <w:color w:val="auto"/>
              </w:rPr>
            </w:pPr>
          </w:p>
        </w:tc>
        <w:tc>
          <w:tcPr>
            <w:tcW w:w="1803"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63EAC902">
            <w:pPr>
              <w:pageBreakBefore w:val="0"/>
              <w:wordWrap w:val="0"/>
              <w:overflowPunct/>
              <w:bidi w:val="0"/>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1A56881D">
            <w:pPr>
              <w:pageBreakBefore w:val="0"/>
              <w:wordWrap w:val="0"/>
              <w:overflowPunct/>
              <w:bidi w:val="0"/>
              <w:adjustRightInd/>
              <w:snapToGrid/>
              <w:ind w:firstLine="0" w:firstLineChars="0"/>
              <w:jc w:val="center"/>
              <w:rPr>
                <w:rFonts w:ascii="仿宋" w:hAnsi="仿宋" w:eastAsia="仿宋" w:cs="仿宋"/>
                <w:color w:val="auto"/>
              </w:rPr>
            </w:pPr>
          </w:p>
        </w:tc>
        <w:tc>
          <w:tcPr>
            <w:tcW w:w="1477"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290F6A89">
            <w:pPr>
              <w:pageBreakBefore w:val="0"/>
              <w:wordWrap w:val="0"/>
              <w:overflowPunct/>
              <w:bidi w:val="0"/>
              <w:adjustRightInd/>
              <w:snapToGrid/>
              <w:ind w:firstLine="0" w:firstLineChars="0"/>
              <w:jc w:val="center"/>
              <w:rPr>
                <w:rFonts w:ascii="仿宋" w:hAnsi="仿宋" w:eastAsia="仿宋" w:cs="仿宋"/>
                <w:color w:val="auto"/>
              </w:rPr>
            </w:pPr>
          </w:p>
        </w:tc>
      </w:tr>
    </w:tbl>
    <w:p w14:paraId="7A8D726E">
      <w:pPr>
        <w:pageBreakBefore w:val="0"/>
        <w:wordWrap w:val="0"/>
        <w:overflowPunct/>
        <w:bidi w:val="0"/>
        <w:adjustRightInd/>
        <w:snapToGrid/>
        <w:rPr>
          <w:rFonts w:ascii="仿宋" w:hAnsi="仿宋" w:eastAsia="仿宋" w:cs="仿宋"/>
          <w:color w:val="auto"/>
        </w:rPr>
      </w:pPr>
      <w:r>
        <w:rPr>
          <w:rFonts w:hint="eastAsia" w:ascii="仿宋" w:hAnsi="仿宋" w:eastAsia="仿宋" w:cs="仿宋"/>
          <w:color w:val="auto"/>
        </w:rPr>
        <w:t>注：投标人自2020年1月1日至今类似业绩，业绩证明材料按评审办法规定提供，否则不予认可。</w:t>
      </w:r>
    </w:p>
    <w:p w14:paraId="55166874">
      <w:pPr>
        <w:pStyle w:val="3"/>
        <w:pageBreakBefore w:val="0"/>
        <w:wordWrap w:val="0"/>
        <w:overflowPunct/>
        <w:bidi w:val="0"/>
        <w:ind w:firstLine="562"/>
        <w:jc w:val="center"/>
        <w:rPr>
          <w:rFonts w:ascii="仿宋" w:hAnsi="仿宋" w:eastAsia="仿宋" w:cs="仿宋"/>
          <w:color w:val="auto"/>
          <w:sz w:val="28"/>
          <w:szCs w:val="28"/>
        </w:rPr>
      </w:pPr>
      <w:bookmarkStart w:id="87" w:name="_Toc22519"/>
      <w:r>
        <w:rPr>
          <w:rFonts w:hint="eastAsia" w:ascii="仿宋" w:hAnsi="仿宋" w:eastAsia="仿宋" w:cs="仿宋"/>
          <w:color w:val="auto"/>
          <w:sz w:val="28"/>
          <w:szCs w:val="28"/>
        </w:rPr>
        <w:t>3.5 供货方案（格式自拟）</w:t>
      </w:r>
      <w:bookmarkEnd w:id="87"/>
    </w:p>
    <w:p w14:paraId="6AF4A716">
      <w:pPr>
        <w:pStyle w:val="3"/>
        <w:pageBreakBefore w:val="0"/>
        <w:wordWrap w:val="0"/>
        <w:overflowPunct/>
        <w:bidi w:val="0"/>
        <w:ind w:firstLine="562"/>
        <w:jc w:val="center"/>
        <w:rPr>
          <w:rFonts w:ascii="仿宋" w:hAnsi="仿宋" w:eastAsia="仿宋" w:cs="仿宋"/>
          <w:color w:val="auto"/>
          <w:sz w:val="28"/>
          <w:szCs w:val="28"/>
        </w:rPr>
      </w:pPr>
      <w:bookmarkStart w:id="88" w:name="_Toc11563"/>
      <w:r>
        <w:rPr>
          <w:rFonts w:hint="eastAsia" w:ascii="仿宋" w:hAnsi="仿宋" w:eastAsia="仿宋" w:cs="仿宋"/>
          <w:color w:val="auto"/>
          <w:sz w:val="28"/>
          <w:szCs w:val="28"/>
        </w:rPr>
        <w:t>3.6 售后服务承诺（格式自拟）</w:t>
      </w:r>
      <w:bookmarkEnd w:id="88"/>
    </w:p>
    <w:p w14:paraId="6470E184">
      <w:pPr>
        <w:pageBreakBefore w:val="0"/>
        <w:wordWrap w:val="0"/>
        <w:overflowPunct/>
        <w:bidi w:val="0"/>
        <w:ind w:firstLine="0" w:firstLineChars="0"/>
        <w:rPr>
          <w:b/>
          <w:bCs/>
          <w:color w:val="auto"/>
        </w:rPr>
      </w:pPr>
    </w:p>
    <w:p w14:paraId="35E11D96">
      <w:pPr>
        <w:pageBreakBefore w:val="0"/>
        <w:wordWrap w:val="0"/>
        <w:overflowPunct/>
        <w:bidi w:val="0"/>
        <w:ind w:firstLine="0" w:firstLineChars="0"/>
        <w:rPr>
          <w:color w:val="auto"/>
        </w:rPr>
      </w:pPr>
      <w:r>
        <w:rPr>
          <w:rFonts w:hint="eastAsia"/>
          <w:color w:val="auto"/>
        </w:rPr>
        <w:br w:type="page"/>
      </w:r>
    </w:p>
    <w:p w14:paraId="16A9BD23">
      <w:pPr>
        <w:pStyle w:val="3"/>
        <w:pageBreakBefore w:val="0"/>
        <w:wordWrap w:val="0"/>
        <w:overflowPunct/>
        <w:bidi w:val="0"/>
        <w:ind w:firstLine="643"/>
        <w:jc w:val="center"/>
        <w:rPr>
          <w:color w:val="auto"/>
          <w:sz w:val="32"/>
          <w:szCs w:val="32"/>
        </w:rPr>
      </w:pPr>
      <w:bookmarkStart w:id="89" w:name="_Toc23660"/>
      <w:r>
        <w:rPr>
          <w:rFonts w:hint="eastAsia"/>
          <w:color w:val="auto"/>
          <w:sz w:val="32"/>
          <w:szCs w:val="32"/>
        </w:rPr>
        <w:t>四、技术部分</w:t>
      </w:r>
      <w:bookmarkEnd w:id="89"/>
    </w:p>
    <w:p w14:paraId="7C59C4D8">
      <w:pPr>
        <w:pageBreakBefore w:val="0"/>
        <w:wordWrap w:val="0"/>
        <w:overflowPunct/>
        <w:bidi w:val="0"/>
        <w:jc w:val="center"/>
        <w:rPr>
          <w:color w:val="auto"/>
        </w:rPr>
      </w:pPr>
      <w:r>
        <w:rPr>
          <w:rFonts w:hint="eastAsia"/>
          <w:color w:val="auto"/>
        </w:rPr>
        <w:t>（按第七章评审办法的要求进行编制，格式自拟）</w:t>
      </w:r>
    </w:p>
    <w:p w14:paraId="7D0B9EAE">
      <w:pPr>
        <w:pageBreakBefore w:val="0"/>
        <w:wordWrap w:val="0"/>
        <w:overflowPunct/>
        <w:bidi w:val="0"/>
        <w:jc w:val="center"/>
        <w:rPr>
          <w:color w:val="auto"/>
        </w:rPr>
      </w:pPr>
    </w:p>
    <w:p w14:paraId="440F4C0F">
      <w:pPr>
        <w:pageBreakBefore w:val="0"/>
        <w:wordWrap w:val="0"/>
        <w:overflowPunct/>
        <w:bidi w:val="0"/>
        <w:ind w:firstLine="562"/>
        <w:rPr>
          <w:b/>
          <w:bCs/>
          <w:color w:val="auto"/>
          <w:sz w:val="28"/>
          <w:szCs w:val="28"/>
        </w:rPr>
      </w:pPr>
      <w:r>
        <w:rPr>
          <w:rFonts w:hint="eastAsia"/>
          <w:b/>
          <w:bCs/>
          <w:color w:val="auto"/>
          <w:sz w:val="28"/>
          <w:szCs w:val="28"/>
        </w:rPr>
        <w:t>4.1 技术偏离表</w:t>
      </w:r>
    </w:p>
    <w:p w14:paraId="176A3701">
      <w:pPr>
        <w:pageBreakBefore w:val="0"/>
        <w:wordWrap w:val="0"/>
        <w:overflowPunct/>
        <w:bidi w:val="0"/>
        <w:spacing w:line="240" w:lineRule="auto"/>
        <w:ind w:firstLine="0" w:firstLineChars="0"/>
        <w:rPr>
          <w:color w:val="auto"/>
        </w:rPr>
      </w:pPr>
      <w:r>
        <w:rPr>
          <w:rFonts w:hint="eastAsia"/>
          <w:color w:val="auto"/>
        </w:rPr>
        <w:t>标包号:</w:t>
      </w:r>
    </w:p>
    <w:tbl>
      <w:tblPr>
        <w:tblStyle w:val="26"/>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253"/>
        <w:gridCol w:w="2363"/>
        <w:gridCol w:w="1090"/>
        <w:gridCol w:w="1190"/>
        <w:gridCol w:w="2416"/>
      </w:tblGrid>
      <w:tr w14:paraId="301F9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0" w:type="dxa"/>
            <w:shd w:val="clear" w:color="auto" w:fill="auto"/>
            <w:tcMar>
              <w:top w:w="57" w:type="dxa"/>
              <w:left w:w="57" w:type="dxa"/>
              <w:bottom w:w="57" w:type="dxa"/>
              <w:right w:w="57" w:type="dxa"/>
            </w:tcMar>
            <w:vAlign w:val="center"/>
          </w:tcPr>
          <w:p w14:paraId="07CEDE70">
            <w:pPr>
              <w:pageBreakBefore w:val="0"/>
              <w:kinsoku w:val="0"/>
              <w:wordWrap w:val="0"/>
              <w:overflowPunct/>
              <w:autoSpaceDE w:val="0"/>
              <w:autoSpaceDN w:val="0"/>
              <w:bidi w:val="0"/>
              <w:spacing w:line="240" w:lineRule="auto"/>
              <w:ind w:firstLine="0" w:firstLineChars="0"/>
              <w:jc w:val="center"/>
              <w:rPr>
                <w:b/>
                <w:bCs/>
                <w:color w:val="auto"/>
              </w:rPr>
            </w:pPr>
            <w:r>
              <w:rPr>
                <w:rFonts w:hint="eastAsia"/>
                <w:b/>
                <w:bCs/>
                <w:color w:val="auto"/>
              </w:rPr>
              <w:t>序号</w:t>
            </w:r>
          </w:p>
        </w:tc>
        <w:tc>
          <w:tcPr>
            <w:tcW w:w="1253" w:type="dxa"/>
            <w:shd w:val="clear" w:color="auto" w:fill="auto"/>
            <w:tcMar>
              <w:top w:w="57" w:type="dxa"/>
              <w:left w:w="57" w:type="dxa"/>
              <w:bottom w:w="57" w:type="dxa"/>
              <w:right w:w="57" w:type="dxa"/>
            </w:tcMar>
            <w:vAlign w:val="center"/>
          </w:tcPr>
          <w:p w14:paraId="213E426A">
            <w:pPr>
              <w:pageBreakBefore w:val="0"/>
              <w:kinsoku w:val="0"/>
              <w:wordWrap w:val="0"/>
              <w:overflowPunct/>
              <w:autoSpaceDE w:val="0"/>
              <w:autoSpaceDN w:val="0"/>
              <w:bidi w:val="0"/>
              <w:spacing w:line="240" w:lineRule="auto"/>
              <w:ind w:firstLine="0" w:firstLineChars="0"/>
              <w:jc w:val="center"/>
              <w:rPr>
                <w:b/>
                <w:bCs/>
                <w:color w:val="auto"/>
              </w:rPr>
            </w:pPr>
            <w:r>
              <w:rPr>
                <w:rFonts w:hint="eastAsia"/>
                <w:b/>
                <w:bCs/>
                <w:color w:val="auto"/>
              </w:rPr>
              <w:t>产品名称</w:t>
            </w:r>
          </w:p>
        </w:tc>
        <w:tc>
          <w:tcPr>
            <w:tcW w:w="2363" w:type="dxa"/>
            <w:shd w:val="clear" w:color="auto" w:fill="auto"/>
            <w:tcMar>
              <w:top w:w="57" w:type="dxa"/>
              <w:left w:w="57" w:type="dxa"/>
              <w:bottom w:w="57" w:type="dxa"/>
              <w:right w:w="57" w:type="dxa"/>
            </w:tcMar>
            <w:vAlign w:val="center"/>
          </w:tcPr>
          <w:p w14:paraId="6F0BE128">
            <w:pPr>
              <w:pageBreakBefore w:val="0"/>
              <w:kinsoku w:val="0"/>
              <w:wordWrap w:val="0"/>
              <w:overflowPunct/>
              <w:autoSpaceDE w:val="0"/>
              <w:autoSpaceDN w:val="0"/>
              <w:bidi w:val="0"/>
              <w:spacing w:line="240" w:lineRule="auto"/>
              <w:ind w:firstLine="0" w:firstLineChars="0"/>
              <w:jc w:val="center"/>
              <w:rPr>
                <w:b/>
                <w:bCs/>
                <w:color w:val="auto"/>
              </w:rPr>
            </w:pPr>
            <w:r>
              <w:rPr>
                <w:rFonts w:hint="eastAsia"/>
                <w:b/>
                <w:bCs/>
                <w:color w:val="auto"/>
              </w:rPr>
              <w:t>技术规格及参数要求</w:t>
            </w:r>
          </w:p>
        </w:tc>
        <w:tc>
          <w:tcPr>
            <w:tcW w:w="1090" w:type="dxa"/>
            <w:shd w:val="clear" w:color="auto" w:fill="auto"/>
            <w:tcMar>
              <w:top w:w="57" w:type="dxa"/>
              <w:left w:w="57" w:type="dxa"/>
              <w:bottom w:w="57" w:type="dxa"/>
              <w:right w:w="57" w:type="dxa"/>
            </w:tcMar>
            <w:vAlign w:val="center"/>
          </w:tcPr>
          <w:p w14:paraId="64A66738">
            <w:pPr>
              <w:pageBreakBefore w:val="0"/>
              <w:kinsoku w:val="0"/>
              <w:wordWrap w:val="0"/>
              <w:overflowPunct/>
              <w:autoSpaceDE w:val="0"/>
              <w:autoSpaceDN w:val="0"/>
              <w:bidi w:val="0"/>
              <w:spacing w:line="240" w:lineRule="auto"/>
              <w:ind w:firstLine="0" w:firstLineChars="0"/>
              <w:jc w:val="center"/>
              <w:rPr>
                <w:b/>
                <w:bCs/>
                <w:color w:val="auto"/>
              </w:rPr>
            </w:pPr>
            <w:r>
              <w:rPr>
                <w:rFonts w:hint="eastAsia"/>
                <w:b/>
                <w:bCs/>
                <w:color w:val="auto"/>
              </w:rPr>
              <w:t>投标产品技术参数</w:t>
            </w:r>
          </w:p>
        </w:tc>
        <w:tc>
          <w:tcPr>
            <w:tcW w:w="1190" w:type="dxa"/>
            <w:shd w:val="clear" w:color="auto" w:fill="auto"/>
            <w:tcMar>
              <w:top w:w="57" w:type="dxa"/>
              <w:left w:w="57" w:type="dxa"/>
              <w:bottom w:w="57" w:type="dxa"/>
              <w:right w:w="57" w:type="dxa"/>
            </w:tcMar>
            <w:vAlign w:val="center"/>
          </w:tcPr>
          <w:p w14:paraId="195132F3">
            <w:pPr>
              <w:pageBreakBefore w:val="0"/>
              <w:kinsoku w:val="0"/>
              <w:wordWrap w:val="0"/>
              <w:overflowPunct/>
              <w:autoSpaceDE w:val="0"/>
              <w:autoSpaceDN w:val="0"/>
              <w:bidi w:val="0"/>
              <w:spacing w:line="240" w:lineRule="auto"/>
              <w:ind w:firstLine="0" w:firstLineChars="0"/>
              <w:jc w:val="center"/>
              <w:rPr>
                <w:b/>
                <w:bCs/>
                <w:color w:val="auto"/>
              </w:rPr>
            </w:pPr>
            <w:r>
              <w:rPr>
                <w:rFonts w:hint="eastAsia"/>
                <w:b/>
                <w:bCs/>
                <w:color w:val="auto"/>
              </w:rPr>
              <w:t>是否偏离</w:t>
            </w:r>
          </w:p>
        </w:tc>
        <w:tc>
          <w:tcPr>
            <w:tcW w:w="2416" w:type="dxa"/>
            <w:shd w:val="clear" w:color="auto" w:fill="auto"/>
            <w:tcMar>
              <w:top w:w="57" w:type="dxa"/>
              <w:left w:w="57" w:type="dxa"/>
              <w:bottom w:w="57" w:type="dxa"/>
              <w:right w:w="57" w:type="dxa"/>
            </w:tcMar>
            <w:vAlign w:val="center"/>
          </w:tcPr>
          <w:p w14:paraId="70E32875">
            <w:pPr>
              <w:pageBreakBefore w:val="0"/>
              <w:kinsoku w:val="0"/>
              <w:wordWrap w:val="0"/>
              <w:overflowPunct/>
              <w:autoSpaceDE w:val="0"/>
              <w:autoSpaceDN w:val="0"/>
              <w:bidi w:val="0"/>
              <w:spacing w:line="240" w:lineRule="auto"/>
              <w:ind w:firstLine="0" w:firstLineChars="0"/>
              <w:jc w:val="center"/>
              <w:rPr>
                <w:b/>
                <w:bCs/>
                <w:color w:val="auto"/>
              </w:rPr>
            </w:pPr>
            <w:r>
              <w:rPr>
                <w:rFonts w:hint="eastAsia"/>
                <w:b/>
                <w:bCs/>
                <w:color w:val="auto"/>
              </w:rPr>
              <w:t>投标产品技术参数支持资料（页码或条目号等）</w:t>
            </w:r>
          </w:p>
        </w:tc>
      </w:tr>
      <w:tr w14:paraId="07695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00" w:type="dxa"/>
            <w:shd w:val="clear" w:color="auto" w:fill="auto"/>
            <w:tcMar>
              <w:top w:w="57" w:type="dxa"/>
              <w:left w:w="57" w:type="dxa"/>
              <w:bottom w:w="57" w:type="dxa"/>
              <w:right w:w="57" w:type="dxa"/>
            </w:tcMar>
            <w:vAlign w:val="center"/>
          </w:tcPr>
          <w:p w14:paraId="31C724A2">
            <w:pPr>
              <w:pageBreakBefore w:val="0"/>
              <w:kinsoku w:val="0"/>
              <w:wordWrap w:val="0"/>
              <w:overflowPunct/>
              <w:autoSpaceDE w:val="0"/>
              <w:autoSpaceDN w:val="0"/>
              <w:bidi w:val="0"/>
              <w:ind w:firstLine="0" w:firstLineChars="0"/>
              <w:jc w:val="center"/>
              <w:rPr>
                <w:color w:val="auto"/>
              </w:rPr>
            </w:pPr>
            <w:r>
              <w:rPr>
                <w:rFonts w:hint="eastAsia"/>
                <w:color w:val="auto"/>
              </w:rPr>
              <w:t>1</w:t>
            </w:r>
          </w:p>
        </w:tc>
        <w:tc>
          <w:tcPr>
            <w:tcW w:w="1253" w:type="dxa"/>
            <w:shd w:val="clear" w:color="FFFFFF" w:fill="FFFFFF"/>
            <w:tcMar>
              <w:top w:w="57" w:type="dxa"/>
              <w:left w:w="57" w:type="dxa"/>
              <w:bottom w:w="57" w:type="dxa"/>
              <w:right w:w="57" w:type="dxa"/>
            </w:tcMar>
            <w:vAlign w:val="center"/>
          </w:tcPr>
          <w:p w14:paraId="530F38CE">
            <w:pPr>
              <w:pageBreakBefore w:val="0"/>
              <w:kinsoku w:val="0"/>
              <w:wordWrap w:val="0"/>
              <w:overflowPunct/>
              <w:autoSpaceDE w:val="0"/>
              <w:autoSpaceDN w:val="0"/>
              <w:bidi w:val="0"/>
              <w:ind w:firstLine="0" w:firstLineChars="0"/>
              <w:jc w:val="center"/>
              <w:rPr>
                <w:color w:val="auto"/>
              </w:rPr>
            </w:pPr>
          </w:p>
        </w:tc>
        <w:tc>
          <w:tcPr>
            <w:tcW w:w="2363" w:type="dxa"/>
            <w:shd w:val="clear" w:color="auto" w:fill="auto"/>
            <w:tcMar>
              <w:top w:w="57" w:type="dxa"/>
              <w:left w:w="57" w:type="dxa"/>
              <w:bottom w:w="57" w:type="dxa"/>
              <w:right w:w="57" w:type="dxa"/>
            </w:tcMar>
            <w:vAlign w:val="center"/>
          </w:tcPr>
          <w:p w14:paraId="512EEFE0">
            <w:pPr>
              <w:pageBreakBefore w:val="0"/>
              <w:kinsoku w:val="0"/>
              <w:wordWrap w:val="0"/>
              <w:overflowPunct/>
              <w:autoSpaceDE w:val="0"/>
              <w:autoSpaceDN w:val="0"/>
              <w:bidi w:val="0"/>
              <w:ind w:firstLine="0" w:firstLineChars="0"/>
              <w:rPr>
                <w:color w:val="auto"/>
              </w:rPr>
            </w:pPr>
          </w:p>
        </w:tc>
        <w:tc>
          <w:tcPr>
            <w:tcW w:w="1090" w:type="dxa"/>
            <w:shd w:val="clear" w:color="FFFFFF" w:fill="FFFFFF"/>
            <w:tcMar>
              <w:top w:w="57" w:type="dxa"/>
              <w:left w:w="57" w:type="dxa"/>
              <w:bottom w:w="57" w:type="dxa"/>
              <w:right w:w="57" w:type="dxa"/>
            </w:tcMar>
            <w:vAlign w:val="center"/>
          </w:tcPr>
          <w:p w14:paraId="6E5D596D">
            <w:pPr>
              <w:pageBreakBefore w:val="0"/>
              <w:kinsoku w:val="0"/>
              <w:wordWrap w:val="0"/>
              <w:overflowPunct/>
              <w:autoSpaceDE w:val="0"/>
              <w:autoSpaceDN w:val="0"/>
              <w:bidi w:val="0"/>
              <w:ind w:firstLine="0" w:firstLineChars="0"/>
              <w:jc w:val="center"/>
              <w:rPr>
                <w:color w:val="auto"/>
              </w:rPr>
            </w:pPr>
          </w:p>
        </w:tc>
        <w:tc>
          <w:tcPr>
            <w:tcW w:w="1190" w:type="dxa"/>
            <w:shd w:val="clear" w:color="FFFFFF" w:fill="FFFFFF"/>
            <w:tcMar>
              <w:top w:w="57" w:type="dxa"/>
              <w:left w:w="57" w:type="dxa"/>
              <w:bottom w:w="57" w:type="dxa"/>
              <w:right w:w="57" w:type="dxa"/>
            </w:tcMar>
            <w:vAlign w:val="center"/>
          </w:tcPr>
          <w:p w14:paraId="2E5B60A6">
            <w:pPr>
              <w:pageBreakBefore w:val="0"/>
              <w:kinsoku w:val="0"/>
              <w:wordWrap w:val="0"/>
              <w:overflowPunct/>
              <w:autoSpaceDE w:val="0"/>
              <w:autoSpaceDN w:val="0"/>
              <w:bidi w:val="0"/>
              <w:ind w:firstLine="0" w:firstLineChars="0"/>
              <w:jc w:val="center"/>
              <w:rPr>
                <w:color w:val="auto"/>
              </w:rPr>
            </w:pPr>
          </w:p>
        </w:tc>
        <w:tc>
          <w:tcPr>
            <w:tcW w:w="2416" w:type="dxa"/>
            <w:shd w:val="clear" w:color="FFFFFF" w:fill="FFFFFF"/>
            <w:tcMar>
              <w:top w:w="57" w:type="dxa"/>
              <w:left w:w="57" w:type="dxa"/>
              <w:bottom w:w="57" w:type="dxa"/>
              <w:right w:w="57" w:type="dxa"/>
            </w:tcMar>
            <w:vAlign w:val="center"/>
          </w:tcPr>
          <w:p w14:paraId="50279A36">
            <w:pPr>
              <w:pageBreakBefore w:val="0"/>
              <w:kinsoku w:val="0"/>
              <w:wordWrap w:val="0"/>
              <w:overflowPunct/>
              <w:autoSpaceDE w:val="0"/>
              <w:autoSpaceDN w:val="0"/>
              <w:bidi w:val="0"/>
              <w:ind w:firstLine="0" w:firstLineChars="0"/>
              <w:jc w:val="center"/>
              <w:rPr>
                <w:color w:val="auto"/>
              </w:rPr>
            </w:pPr>
          </w:p>
        </w:tc>
      </w:tr>
      <w:tr w14:paraId="7F94B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7" w:hRule="atLeast"/>
          <w:jc w:val="center"/>
        </w:trPr>
        <w:tc>
          <w:tcPr>
            <w:tcW w:w="700" w:type="dxa"/>
            <w:shd w:val="clear" w:color="auto" w:fill="auto"/>
            <w:tcMar>
              <w:top w:w="57" w:type="dxa"/>
              <w:left w:w="57" w:type="dxa"/>
              <w:bottom w:w="57" w:type="dxa"/>
              <w:right w:w="57" w:type="dxa"/>
            </w:tcMar>
            <w:vAlign w:val="center"/>
          </w:tcPr>
          <w:p w14:paraId="5A9AAD42">
            <w:pPr>
              <w:pageBreakBefore w:val="0"/>
              <w:kinsoku w:val="0"/>
              <w:wordWrap w:val="0"/>
              <w:overflowPunct/>
              <w:autoSpaceDE w:val="0"/>
              <w:autoSpaceDN w:val="0"/>
              <w:bidi w:val="0"/>
              <w:ind w:firstLine="0" w:firstLineChars="0"/>
              <w:jc w:val="center"/>
              <w:rPr>
                <w:color w:val="auto"/>
              </w:rPr>
            </w:pPr>
            <w:r>
              <w:rPr>
                <w:rFonts w:hint="eastAsia"/>
                <w:color w:val="auto"/>
              </w:rPr>
              <w:t>2</w:t>
            </w:r>
          </w:p>
        </w:tc>
        <w:tc>
          <w:tcPr>
            <w:tcW w:w="1253" w:type="dxa"/>
            <w:shd w:val="clear" w:color="FFFFFF" w:fill="FFFFFF"/>
            <w:tcMar>
              <w:top w:w="57" w:type="dxa"/>
              <w:left w:w="57" w:type="dxa"/>
              <w:bottom w:w="57" w:type="dxa"/>
              <w:right w:w="57" w:type="dxa"/>
            </w:tcMar>
            <w:vAlign w:val="center"/>
          </w:tcPr>
          <w:p w14:paraId="38EF610A">
            <w:pPr>
              <w:pageBreakBefore w:val="0"/>
              <w:kinsoku w:val="0"/>
              <w:wordWrap w:val="0"/>
              <w:overflowPunct/>
              <w:autoSpaceDE w:val="0"/>
              <w:autoSpaceDN w:val="0"/>
              <w:bidi w:val="0"/>
              <w:ind w:firstLine="0" w:firstLineChars="0"/>
              <w:jc w:val="center"/>
              <w:rPr>
                <w:color w:val="auto"/>
              </w:rPr>
            </w:pPr>
          </w:p>
        </w:tc>
        <w:tc>
          <w:tcPr>
            <w:tcW w:w="2363" w:type="dxa"/>
            <w:shd w:val="clear" w:color="auto" w:fill="auto"/>
            <w:tcMar>
              <w:top w:w="57" w:type="dxa"/>
              <w:left w:w="57" w:type="dxa"/>
              <w:bottom w:w="57" w:type="dxa"/>
              <w:right w:w="57" w:type="dxa"/>
            </w:tcMar>
            <w:vAlign w:val="center"/>
          </w:tcPr>
          <w:p w14:paraId="65759B40">
            <w:pPr>
              <w:pageBreakBefore w:val="0"/>
              <w:kinsoku w:val="0"/>
              <w:wordWrap w:val="0"/>
              <w:overflowPunct/>
              <w:autoSpaceDE w:val="0"/>
              <w:autoSpaceDN w:val="0"/>
              <w:bidi w:val="0"/>
              <w:ind w:firstLine="0" w:firstLineChars="0"/>
              <w:rPr>
                <w:color w:val="auto"/>
              </w:rPr>
            </w:pPr>
          </w:p>
        </w:tc>
        <w:tc>
          <w:tcPr>
            <w:tcW w:w="1090" w:type="dxa"/>
            <w:shd w:val="clear" w:color="FFFFFF" w:fill="FFFFFF"/>
            <w:tcMar>
              <w:top w:w="57" w:type="dxa"/>
              <w:left w:w="57" w:type="dxa"/>
              <w:bottom w:w="57" w:type="dxa"/>
              <w:right w:w="57" w:type="dxa"/>
            </w:tcMar>
            <w:vAlign w:val="center"/>
          </w:tcPr>
          <w:p w14:paraId="08CD099D">
            <w:pPr>
              <w:pageBreakBefore w:val="0"/>
              <w:kinsoku w:val="0"/>
              <w:wordWrap w:val="0"/>
              <w:overflowPunct/>
              <w:autoSpaceDE w:val="0"/>
              <w:autoSpaceDN w:val="0"/>
              <w:bidi w:val="0"/>
              <w:ind w:firstLine="0" w:firstLineChars="0"/>
              <w:jc w:val="center"/>
              <w:rPr>
                <w:color w:val="auto"/>
              </w:rPr>
            </w:pPr>
          </w:p>
        </w:tc>
        <w:tc>
          <w:tcPr>
            <w:tcW w:w="1190" w:type="dxa"/>
            <w:shd w:val="clear" w:color="FFFFFF" w:fill="FFFFFF"/>
            <w:tcMar>
              <w:top w:w="57" w:type="dxa"/>
              <w:left w:w="57" w:type="dxa"/>
              <w:bottom w:w="57" w:type="dxa"/>
              <w:right w:w="57" w:type="dxa"/>
            </w:tcMar>
            <w:vAlign w:val="center"/>
          </w:tcPr>
          <w:p w14:paraId="029941EA">
            <w:pPr>
              <w:pageBreakBefore w:val="0"/>
              <w:kinsoku w:val="0"/>
              <w:wordWrap w:val="0"/>
              <w:overflowPunct/>
              <w:autoSpaceDE w:val="0"/>
              <w:autoSpaceDN w:val="0"/>
              <w:bidi w:val="0"/>
              <w:ind w:firstLine="0" w:firstLineChars="0"/>
              <w:jc w:val="center"/>
              <w:rPr>
                <w:color w:val="auto"/>
              </w:rPr>
            </w:pPr>
          </w:p>
        </w:tc>
        <w:tc>
          <w:tcPr>
            <w:tcW w:w="2416" w:type="dxa"/>
            <w:shd w:val="clear" w:color="FFFFFF" w:fill="FFFFFF"/>
            <w:tcMar>
              <w:top w:w="57" w:type="dxa"/>
              <w:left w:w="57" w:type="dxa"/>
              <w:bottom w:w="57" w:type="dxa"/>
              <w:right w:w="57" w:type="dxa"/>
            </w:tcMar>
            <w:vAlign w:val="center"/>
          </w:tcPr>
          <w:p w14:paraId="05C1DD25">
            <w:pPr>
              <w:pageBreakBefore w:val="0"/>
              <w:kinsoku w:val="0"/>
              <w:wordWrap w:val="0"/>
              <w:overflowPunct/>
              <w:autoSpaceDE w:val="0"/>
              <w:autoSpaceDN w:val="0"/>
              <w:bidi w:val="0"/>
              <w:ind w:firstLine="0" w:firstLineChars="0"/>
              <w:jc w:val="center"/>
              <w:rPr>
                <w:color w:val="auto"/>
              </w:rPr>
            </w:pPr>
          </w:p>
        </w:tc>
      </w:tr>
      <w:tr w14:paraId="06C2F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700" w:type="dxa"/>
            <w:shd w:val="clear" w:color="auto" w:fill="auto"/>
            <w:tcMar>
              <w:top w:w="57" w:type="dxa"/>
              <w:left w:w="57" w:type="dxa"/>
              <w:bottom w:w="57" w:type="dxa"/>
              <w:right w:w="57" w:type="dxa"/>
            </w:tcMar>
            <w:vAlign w:val="center"/>
          </w:tcPr>
          <w:p w14:paraId="053CDD67">
            <w:pPr>
              <w:pageBreakBefore w:val="0"/>
              <w:kinsoku w:val="0"/>
              <w:wordWrap w:val="0"/>
              <w:overflowPunct/>
              <w:autoSpaceDE w:val="0"/>
              <w:autoSpaceDN w:val="0"/>
              <w:bidi w:val="0"/>
              <w:ind w:firstLine="0" w:firstLineChars="0"/>
              <w:jc w:val="center"/>
              <w:rPr>
                <w:color w:val="auto"/>
              </w:rPr>
            </w:pPr>
            <w:r>
              <w:rPr>
                <w:rFonts w:hint="eastAsia"/>
                <w:color w:val="auto"/>
              </w:rPr>
              <w:t>3</w:t>
            </w:r>
          </w:p>
        </w:tc>
        <w:tc>
          <w:tcPr>
            <w:tcW w:w="1253" w:type="dxa"/>
            <w:shd w:val="clear" w:color="FFFFFF" w:fill="FFFFFF"/>
            <w:tcMar>
              <w:top w:w="57" w:type="dxa"/>
              <w:left w:w="57" w:type="dxa"/>
              <w:bottom w:w="57" w:type="dxa"/>
              <w:right w:w="57" w:type="dxa"/>
            </w:tcMar>
            <w:vAlign w:val="center"/>
          </w:tcPr>
          <w:p w14:paraId="7A106F39">
            <w:pPr>
              <w:pageBreakBefore w:val="0"/>
              <w:kinsoku w:val="0"/>
              <w:wordWrap w:val="0"/>
              <w:overflowPunct/>
              <w:autoSpaceDE w:val="0"/>
              <w:autoSpaceDN w:val="0"/>
              <w:bidi w:val="0"/>
              <w:ind w:firstLine="0" w:firstLineChars="0"/>
              <w:jc w:val="center"/>
              <w:rPr>
                <w:color w:val="auto"/>
              </w:rPr>
            </w:pPr>
          </w:p>
        </w:tc>
        <w:tc>
          <w:tcPr>
            <w:tcW w:w="2363" w:type="dxa"/>
            <w:shd w:val="clear" w:color="auto" w:fill="auto"/>
            <w:tcMar>
              <w:top w:w="57" w:type="dxa"/>
              <w:left w:w="57" w:type="dxa"/>
              <w:bottom w:w="57" w:type="dxa"/>
              <w:right w:w="57" w:type="dxa"/>
            </w:tcMar>
            <w:vAlign w:val="center"/>
          </w:tcPr>
          <w:p w14:paraId="2E6909DF">
            <w:pPr>
              <w:pageBreakBefore w:val="0"/>
              <w:kinsoku w:val="0"/>
              <w:wordWrap w:val="0"/>
              <w:overflowPunct/>
              <w:autoSpaceDE w:val="0"/>
              <w:autoSpaceDN w:val="0"/>
              <w:bidi w:val="0"/>
              <w:ind w:firstLine="0" w:firstLineChars="0"/>
              <w:rPr>
                <w:color w:val="auto"/>
              </w:rPr>
            </w:pPr>
          </w:p>
        </w:tc>
        <w:tc>
          <w:tcPr>
            <w:tcW w:w="1090" w:type="dxa"/>
            <w:shd w:val="clear" w:color="FFFFFF" w:fill="FFFFFF"/>
            <w:tcMar>
              <w:top w:w="57" w:type="dxa"/>
              <w:left w:w="57" w:type="dxa"/>
              <w:bottom w:w="57" w:type="dxa"/>
              <w:right w:w="57" w:type="dxa"/>
            </w:tcMar>
            <w:vAlign w:val="center"/>
          </w:tcPr>
          <w:p w14:paraId="668A53FF">
            <w:pPr>
              <w:pageBreakBefore w:val="0"/>
              <w:kinsoku w:val="0"/>
              <w:wordWrap w:val="0"/>
              <w:overflowPunct/>
              <w:autoSpaceDE w:val="0"/>
              <w:autoSpaceDN w:val="0"/>
              <w:bidi w:val="0"/>
              <w:ind w:firstLine="0" w:firstLineChars="0"/>
              <w:jc w:val="center"/>
              <w:rPr>
                <w:color w:val="auto"/>
              </w:rPr>
            </w:pPr>
          </w:p>
        </w:tc>
        <w:tc>
          <w:tcPr>
            <w:tcW w:w="1190" w:type="dxa"/>
            <w:shd w:val="clear" w:color="FFFFFF" w:fill="FFFFFF"/>
            <w:tcMar>
              <w:top w:w="57" w:type="dxa"/>
              <w:left w:w="57" w:type="dxa"/>
              <w:bottom w:w="57" w:type="dxa"/>
              <w:right w:w="57" w:type="dxa"/>
            </w:tcMar>
            <w:vAlign w:val="center"/>
          </w:tcPr>
          <w:p w14:paraId="30FD845C">
            <w:pPr>
              <w:pageBreakBefore w:val="0"/>
              <w:kinsoku w:val="0"/>
              <w:wordWrap w:val="0"/>
              <w:overflowPunct/>
              <w:autoSpaceDE w:val="0"/>
              <w:autoSpaceDN w:val="0"/>
              <w:bidi w:val="0"/>
              <w:ind w:firstLine="0" w:firstLineChars="0"/>
              <w:jc w:val="center"/>
              <w:rPr>
                <w:color w:val="auto"/>
              </w:rPr>
            </w:pPr>
          </w:p>
        </w:tc>
        <w:tc>
          <w:tcPr>
            <w:tcW w:w="2416" w:type="dxa"/>
            <w:shd w:val="clear" w:color="FFFFFF" w:fill="FFFFFF"/>
            <w:tcMar>
              <w:top w:w="57" w:type="dxa"/>
              <w:left w:w="57" w:type="dxa"/>
              <w:bottom w:w="57" w:type="dxa"/>
              <w:right w:w="57" w:type="dxa"/>
            </w:tcMar>
            <w:vAlign w:val="center"/>
          </w:tcPr>
          <w:p w14:paraId="2762F4A7">
            <w:pPr>
              <w:pageBreakBefore w:val="0"/>
              <w:kinsoku w:val="0"/>
              <w:wordWrap w:val="0"/>
              <w:overflowPunct/>
              <w:autoSpaceDE w:val="0"/>
              <w:autoSpaceDN w:val="0"/>
              <w:bidi w:val="0"/>
              <w:ind w:firstLine="0" w:firstLineChars="0"/>
              <w:jc w:val="center"/>
              <w:rPr>
                <w:color w:val="auto"/>
              </w:rPr>
            </w:pPr>
          </w:p>
        </w:tc>
      </w:tr>
      <w:tr w14:paraId="2316B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00" w:type="dxa"/>
            <w:shd w:val="clear" w:color="auto" w:fill="auto"/>
            <w:tcMar>
              <w:top w:w="57" w:type="dxa"/>
              <w:left w:w="57" w:type="dxa"/>
              <w:bottom w:w="57" w:type="dxa"/>
              <w:right w:w="57" w:type="dxa"/>
            </w:tcMar>
            <w:vAlign w:val="center"/>
          </w:tcPr>
          <w:p w14:paraId="16663059">
            <w:pPr>
              <w:pageBreakBefore w:val="0"/>
              <w:kinsoku w:val="0"/>
              <w:wordWrap w:val="0"/>
              <w:overflowPunct/>
              <w:autoSpaceDE w:val="0"/>
              <w:autoSpaceDN w:val="0"/>
              <w:bidi w:val="0"/>
              <w:ind w:firstLine="0" w:firstLineChars="0"/>
              <w:jc w:val="center"/>
              <w:rPr>
                <w:color w:val="auto"/>
              </w:rPr>
            </w:pPr>
            <w:r>
              <w:rPr>
                <w:rFonts w:hint="eastAsia"/>
                <w:color w:val="auto"/>
              </w:rPr>
              <w:t>4</w:t>
            </w:r>
          </w:p>
        </w:tc>
        <w:tc>
          <w:tcPr>
            <w:tcW w:w="1253" w:type="dxa"/>
            <w:shd w:val="clear" w:color="FFFFFF" w:fill="FFFFFF"/>
            <w:tcMar>
              <w:top w:w="57" w:type="dxa"/>
              <w:left w:w="57" w:type="dxa"/>
              <w:bottom w:w="57" w:type="dxa"/>
              <w:right w:w="57" w:type="dxa"/>
            </w:tcMar>
            <w:vAlign w:val="center"/>
          </w:tcPr>
          <w:p w14:paraId="2D552CA2">
            <w:pPr>
              <w:pageBreakBefore w:val="0"/>
              <w:kinsoku w:val="0"/>
              <w:wordWrap w:val="0"/>
              <w:overflowPunct/>
              <w:autoSpaceDE w:val="0"/>
              <w:autoSpaceDN w:val="0"/>
              <w:bidi w:val="0"/>
              <w:ind w:firstLine="0" w:firstLineChars="0"/>
              <w:jc w:val="center"/>
              <w:rPr>
                <w:color w:val="auto"/>
              </w:rPr>
            </w:pPr>
          </w:p>
        </w:tc>
        <w:tc>
          <w:tcPr>
            <w:tcW w:w="2363" w:type="dxa"/>
            <w:shd w:val="clear" w:color="auto" w:fill="auto"/>
            <w:tcMar>
              <w:top w:w="57" w:type="dxa"/>
              <w:left w:w="57" w:type="dxa"/>
              <w:bottom w:w="57" w:type="dxa"/>
              <w:right w:w="57" w:type="dxa"/>
            </w:tcMar>
            <w:vAlign w:val="center"/>
          </w:tcPr>
          <w:p w14:paraId="63514701">
            <w:pPr>
              <w:pageBreakBefore w:val="0"/>
              <w:kinsoku w:val="0"/>
              <w:wordWrap w:val="0"/>
              <w:overflowPunct/>
              <w:autoSpaceDE w:val="0"/>
              <w:autoSpaceDN w:val="0"/>
              <w:bidi w:val="0"/>
              <w:ind w:firstLine="0" w:firstLineChars="0"/>
              <w:rPr>
                <w:color w:val="auto"/>
              </w:rPr>
            </w:pPr>
          </w:p>
        </w:tc>
        <w:tc>
          <w:tcPr>
            <w:tcW w:w="1090" w:type="dxa"/>
            <w:shd w:val="clear" w:color="FFFFFF" w:fill="FFFFFF"/>
            <w:tcMar>
              <w:top w:w="57" w:type="dxa"/>
              <w:left w:w="57" w:type="dxa"/>
              <w:bottom w:w="57" w:type="dxa"/>
              <w:right w:w="57" w:type="dxa"/>
            </w:tcMar>
            <w:vAlign w:val="center"/>
          </w:tcPr>
          <w:p w14:paraId="628A16F0">
            <w:pPr>
              <w:pageBreakBefore w:val="0"/>
              <w:kinsoku w:val="0"/>
              <w:wordWrap w:val="0"/>
              <w:overflowPunct/>
              <w:autoSpaceDE w:val="0"/>
              <w:autoSpaceDN w:val="0"/>
              <w:bidi w:val="0"/>
              <w:ind w:firstLine="0" w:firstLineChars="0"/>
              <w:jc w:val="center"/>
              <w:rPr>
                <w:color w:val="auto"/>
              </w:rPr>
            </w:pPr>
          </w:p>
        </w:tc>
        <w:tc>
          <w:tcPr>
            <w:tcW w:w="1190" w:type="dxa"/>
            <w:shd w:val="clear" w:color="FFFFFF" w:fill="FFFFFF"/>
            <w:tcMar>
              <w:top w:w="57" w:type="dxa"/>
              <w:left w:w="57" w:type="dxa"/>
              <w:bottom w:w="57" w:type="dxa"/>
              <w:right w:w="57" w:type="dxa"/>
            </w:tcMar>
            <w:vAlign w:val="center"/>
          </w:tcPr>
          <w:p w14:paraId="1F0192B0">
            <w:pPr>
              <w:pageBreakBefore w:val="0"/>
              <w:kinsoku w:val="0"/>
              <w:wordWrap w:val="0"/>
              <w:overflowPunct/>
              <w:autoSpaceDE w:val="0"/>
              <w:autoSpaceDN w:val="0"/>
              <w:bidi w:val="0"/>
              <w:ind w:firstLine="0" w:firstLineChars="0"/>
              <w:jc w:val="center"/>
              <w:rPr>
                <w:color w:val="auto"/>
              </w:rPr>
            </w:pPr>
          </w:p>
        </w:tc>
        <w:tc>
          <w:tcPr>
            <w:tcW w:w="2416" w:type="dxa"/>
            <w:shd w:val="clear" w:color="FFFFFF" w:fill="FFFFFF"/>
            <w:tcMar>
              <w:top w:w="57" w:type="dxa"/>
              <w:left w:w="57" w:type="dxa"/>
              <w:bottom w:w="57" w:type="dxa"/>
              <w:right w:w="57" w:type="dxa"/>
            </w:tcMar>
            <w:vAlign w:val="center"/>
          </w:tcPr>
          <w:p w14:paraId="13225482">
            <w:pPr>
              <w:pageBreakBefore w:val="0"/>
              <w:kinsoku w:val="0"/>
              <w:wordWrap w:val="0"/>
              <w:overflowPunct/>
              <w:autoSpaceDE w:val="0"/>
              <w:autoSpaceDN w:val="0"/>
              <w:bidi w:val="0"/>
              <w:ind w:firstLine="0" w:firstLineChars="0"/>
              <w:jc w:val="center"/>
              <w:rPr>
                <w:color w:val="auto"/>
              </w:rPr>
            </w:pPr>
          </w:p>
        </w:tc>
      </w:tr>
      <w:tr w14:paraId="3B5F6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700" w:type="dxa"/>
            <w:shd w:val="clear" w:color="auto" w:fill="auto"/>
            <w:tcMar>
              <w:top w:w="57" w:type="dxa"/>
              <w:left w:w="57" w:type="dxa"/>
              <w:bottom w:w="57" w:type="dxa"/>
              <w:right w:w="57" w:type="dxa"/>
            </w:tcMar>
            <w:vAlign w:val="center"/>
          </w:tcPr>
          <w:p w14:paraId="4D071F00">
            <w:pPr>
              <w:pageBreakBefore w:val="0"/>
              <w:kinsoku w:val="0"/>
              <w:wordWrap w:val="0"/>
              <w:overflowPunct/>
              <w:autoSpaceDE w:val="0"/>
              <w:autoSpaceDN w:val="0"/>
              <w:bidi w:val="0"/>
              <w:ind w:firstLine="0" w:firstLineChars="0"/>
              <w:jc w:val="center"/>
              <w:rPr>
                <w:color w:val="auto"/>
              </w:rPr>
            </w:pPr>
            <w:r>
              <w:rPr>
                <w:rFonts w:hint="eastAsia"/>
                <w:color w:val="auto"/>
              </w:rPr>
              <w:t>...</w:t>
            </w:r>
          </w:p>
        </w:tc>
        <w:tc>
          <w:tcPr>
            <w:tcW w:w="1253" w:type="dxa"/>
            <w:shd w:val="clear" w:color="FFFFFF" w:fill="FFFFFF"/>
            <w:tcMar>
              <w:top w:w="57" w:type="dxa"/>
              <w:left w:w="57" w:type="dxa"/>
              <w:bottom w:w="57" w:type="dxa"/>
              <w:right w:w="57" w:type="dxa"/>
            </w:tcMar>
            <w:vAlign w:val="center"/>
          </w:tcPr>
          <w:p w14:paraId="75C73EA2">
            <w:pPr>
              <w:pageBreakBefore w:val="0"/>
              <w:kinsoku w:val="0"/>
              <w:wordWrap w:val="0"/>
              <w:overflowPunct/>
              <w:autoSpaceDE w:val="0"/>
              <w:autoSpaceDN w:val="0"/>
              <w:bidi w:val="0"/>
              <w:ind w:firstLine="0" w:firstLineChars="0"/>
              <w:jc w:val="center"/>
              <w:rPr>
                <w:color w:val="auto"/>
              </w:rPr>
            </w:pPr>
          </w:p>
        </w:tc>
        <w:tc>
          <w:tcPr>
            <w:tcW w:w="2363" w:type="dxa"/>
            <w:shd w:val="clear" w:color="auto" w:fill="auto"/>
            <w:tcMar>
              <w:top w:w="57" w:type="dxa"/>
              <w:left w:w="57" w:type="dxa"/>
              <w:bottom w:w="57" w:type="dxa"/>
              <w:right w:w="57" w:type="dxa"/>
            </w:tcMar>
            <w:vAlign w:val="center"/>
          </w:tcPr>
          <w:p w14:paraId="114F726B">
            <w:pPr>
              <w:pageBreakBefore w:val="0"/>
              <w:kinsoku w:val="0"/>
              <w:wordWrap w:val="0"/>
              <w:overflowPunct/>
              <w:autoSpaceDE w:val="0"/>
              <w:autoSpaceDN w:val="0"/>
              <w:bidi w:val="0"/>
              <w:ind w:firstLine="0" w:firstLineChars="0"/>
              <w:rPr>
                <w:color w:val="auto"/>
              </w:rPr>
            </w:pPr>
          </w:p>
        </w:tc>
        <w:tc>
          <w:tcPr>
            <w:tcW w:w="1090" w:type="dxa"/>
            <w:shd w:val="clear" w:color="FFFFFF" w:fill="FFFFFF"/>
            <w:tcMar>
              <w:top w:w="57" w:type="dxa"/>
              <w:left w:w="57" w:type="dxa"/>
              <w:bottom w:w="57" w:type="dxa"/>
              <w:right w:w="57" w:type="dxa"/>
            </w:tcMar>
            <w:vAlign w:val="center"/>
          </w:tcPr>
          <w:p w14:paraId="0A14E946">
            <w:pPr>
              <w:pageBreakBefore w:val="0"/>
              <w:kinsoku w:val="0"/>
              <w:wordWrap w:val="0"/>
              <w:overflowPunct/>
              <w:autoSpaceDE w:val="0"/>
              <w:autoSpaceDN w:val="0"/>
              <w:bidi w:val="0"/>
              <w:ind w:firstLine="0" w:firstLineChars="0"/>
              <w:jc w:val="center"/>
              <w:rPr>
                <w:color w:val="auto"/>
              </w:rPr>
            </w:pPr>
          </w:p>
        </w:tc>
        <w:tc>
          <w:tcPr>
            <w:tcW w:w="1190" w:type="dxa"/>
            <w:shd w:val="clear" w:color="FFFFFF" w:fill="FFFFFF"/>
            <w:tcMar>
              <w:top w:w="57" w:type="dxa"/>
              <w:left w:w="57" w:type="dxa"/>
              <w:bottom w:w="57" w:type="dxa"/>
              <w:right w:w="57" w:type="dxa"/>
            </w:tcMar>
            <w:vAlign w:val="center"/>
          </w:tcPr>
          <w:p w14:paraId="655D0C31">
            <w:pPr>
              <w:pageBreakBefore w:val="0"/>
              <w:kinsoku w:val="0"/>
              <w:wordWrap w:val="0"/>
              <w:overflowPunct/>
              <w:autoSpaceDE w:val="0"/>
              <w:autoSpaceDN w:val="0"/>
              <w:bidi w:val="0"/>
              <w:ind w:firstLine="0" w:firstLineChars="0"/>
              <w:jc w:val="center"/>
              <w:rPr>
                <w:color w:val="auto"/>
              </w:rPr>
            </w:pPr>
          </w:p>
        </w:tc>
        <w:tc>
          <w:tcPr>
            <w:tcW w:w="2416" w:type="dxa"/>
            <w:shd w:val="clear" w:color="FFFFFF" w:fill="FFFFFF"/>
            <w:tcMar>
              <w:top w:w="57" w:type="dxa"/>
              <w:left w:w="57" w:type="dxa"/>
              <w:bottom w:w="57" w:type="dxa"/>
              <w:right w:w="57" w:type="dxa"/>
            </w:tcMar>
            <w:vAlign w:val="center"/>
          </w:tcPr>
          <w:p w14:paraId="0B856716">
            <w:pPr>
              <w:pageBreakBefore w:val="0"/>
              <w:kinsoku w:val="0"/>
              <w:wordWrap w:val="0"/>
              <w:overflowPunct/>
              <w:autoSpaceDE w:val="0"/>
              <w:autoSpaceDN w:val="0"/>
              <w:bidi w:val="0"/>
              <w:ind w:firstLine="0" w:firstLineChars="0"/>
              <w:jc w:val="center"/>
              <w:rPr>
                <w:color w:val="auto"/>
              </w:rPr>
            </w:pPr>
          </w:p>
        </w:tc>
      </w:tr>
    </w:tbl>
    <w:p w14:paraId="39183342">
      <w:pPr>
        <w:pageBreakBefore w:val="0"/>
        <w:wordWrap w:val="0"/>
        <w:overflowPunct/>
        <w:bidi w:val="0"/>
        <w:ind w:firstLine="480"/>
        <w:rPr>
          <w:color w:val="auto"/>
          <w:sz w:val="24"/>
          <w:szCs w:val="24"/>
        </w:rPr>
      </w:pPr>
      <w:r>
        <w:rPr>
          <w:rFonts w:hint="eastAsia"/>
          <w:color w:val="auto"/>
          <w:sz w:val="24"/>
          <w:szCs w:val="24"/>
        </w:rPr>
        <w:t>注：1.投标人根据所标包的产品的技术参数，如实填写本表。若发现虚假应标，按废标处理。</w:t>
      </w:r>
    </w:p>
    <w:p w14:paraId="12612064">
      <w:pPr>
        <w:pageBreakBefore w:val="0"/>
        <w:numPr>
          <w:ilvl w:val="0"/>
          <w:numId w:val="6"/>
        </w:numPr>
        <w:wordWrap w:val="0"/>
        <w:overflowPunct/>
        <w:bidi w:val="0"/>
        <w:ind w:firstLine="480"/>
        <w:rPr>
          <w:color w:val="auto"/>
          <w:sz w:val="24"/>
          <w:szCs w:val="24"/>
        </w:rPr>
      </w:pPr>
      <w:r>
        <w:rPr>
          <w:rFonts w:hint="eastAsia"/>
          <w:color w:val="auto"/>
          <w:sz w:val="24"/>
          <w:szCs w:val="24"/>
        </w:rPr>
        <w:t>后附技术参数支持材料及招标文件要求的质检报告等。</w:t>
      </w:r>
    </w:p>
    <w:p w14:paraId="5BEB555A">
      <w:pPr>
        <w:pageBreakBefore w:val="0"/>
        <w:numPr>
          <w:ilvl w:val="0"/>
          <w:numId w:val="6"/>
        </w:numPr>
        <w:wordWrap w:val="0"/>
        <w:overflowPunct/>
        <w:bidi w:val="0"/>
        <w:ind w:firstLine="480"/>
        <w:rPr>
          <w:color w:val="auto"/>
          <w:sz w:val="24"/>
          <w:szCs w:val="24"/>
        </w:rPr>
      </w:pPr>
      <w:r>
        <w:rPr>
          <w:rFonts w:hint="eastAsia"/>
          <w:color w:val="auto"/>
          <w:sz w:val="24"/>
          <w:szCs w:val="24"/>
        </w:rPr>
        <w:br w:type="page"/>
      </w:r>
    </w:p>
    <w:p w14:paraId="523C66E5">
      <w:pPr>
        <w:pageBreakBefore w:val="0"/>
        <w:wordWrap w:val="0"/>
        <w:overflowPunct/>
        <w:bidi w:val="0"/>
        <w:ind w:firstLine="562"/>
        <w:rPr>
          <w:b/>
          <w:bCs/>
          <w:color w:val="auto"/>
          <w:sz w:val="28"/>
          <w:szCs w:val="28"/>
        </w:rPr>
      </w:pPr>
      <w:r>
        <w:rPr>
          <w:rFonts w:hint="eastAsia"/>
          <w:b/>
          <w:bCs/>
          <w:color w:val="auto"/>
          <w:sz w:val="28"/>
          <w:szCs w:val="28"/>
        </w:rPr>
        <w:t>4.2 构成投标文件的其他资料</w:t>
      </w:r>
    </w:p>
    <w:p w14:paraId="006C76F1">
      <w:pPr>
        <w:pageBreakBefore w:val="0"/>
        <w:wordWrap w:val="0"/>
        <w:overflowPunct/>
        <w:bidi w:val="0"/>
        <w:adjustRightInd/>
        <w:snapToGrid/>
        <w:ind w:firstLine="0" w:firstLineChars="0"/>
        <w:rPr>
          <w:color w:val="auto"/>
        </w:rPr>
      </w:pPr>
      <w:r>
        <w:rPr>
          <w:rFonts w:hint="eastAsia"/>
          <w:color w:val="auto"/>
        </w:rPr>
        <w:br w:type="page"/>
      </w:r>
    </w:p>
    <w:p w14:paraId="5853DD3D">
      <w:pPr>
        <w:pStyle w:val="2"/>
        <w:pageBreakBefore w:val="0"/>
        <w:wordWrap w:val="0"/>
        <w:overflowPunct/>
        <w:bidi w:val="0"/>
        <w:rPr>
          <w:color w:val="auto"/>
          <w:sz w:val="32"/>
          <w:szCs w:val="32"/>
        </w:rPr>
      </w:pPr>
      <w:bookmarkStart w:id="90" w:name="_Toc23552"/>
      <w:r>
        <w:rPr>
          <w:rFonts w:hint="eastAsia"/>
          <w:color w:val="auto"/>
          <w:sz w:val="32"/>
          <w:szCs w:val="32"/>
        </w:rPr>
        <w:t>第五章  技术要求</w:t>
      </w:r>
      <w:bookmarkEnd w:id="90"/>
    </w:p>
    <w:p w14:paraId="65CA990D">
      <w:pPr>
        <w:pageBreakBefore w:val="0"/>
        <w:widowControl w:val="0"/>
        <w:tabs>
          <w:tab w:val="left" w:pos="4060"/>
        </w:tabs>
        <w:wordWrap w:val="0"/>
        <w:overflowPunct/>
        <w:bidi w:val="0"/>
        <w:adjustRightInd/>
        <w:ind w:firstLine="0" w:firstLineChars="0"/>
        <w:rPr>
          <w:b/>
          <w:bCs/>
          <w:color w:val="auto"/>
          <w:sz w:val="28"/>
          <w:szCs w:val="28"/>
        </w:rPr>
      </w:pPr>
      <w:r>
        <w:rPr>
          <w:rFonts w:hint="eastAsia"/>
          <w:b/>
          <w:bCs/>
          <w:color w:val="auto"/>
          <w:sz w:val="28"/>
          <w:szCs w:val="28"/>
        </w:rPr>
        <w:t>一、总体要求</w:t>
      </w:r>
    </w:p>
    <w:p w14:paraId="2CBB53E6">
      <w:pPr>
        <w:pageBreakBefore w:val="0"/>
        <w:widowControl w:val="0"/>
        <w:wordWrap w:val="0"/>
        <w:overflowPunct/>
        <w:bidi w:val="0"/>
        <w:adjustRightInd/>
        <w:rPr>
          <w:color w:val="auto"/>
        </w:rPr>
      </w:pPr>
      <w:r>
        <w:rPr>
          <w:rFonts w:hint="eastAsia"/>
          <w:color w:val="auto"/>
        </w:rPr>
        <w:t>各投标人必须对招标文件第五章《技术要求》中的商务、技术等要求作出全面、真实的反映。若投标文件中响应情况与招标文件采购需求及技术参数内容不符或无有效证明，而投标人又未在投标文件中作出说明和解释的，评标委员会在评审时将视为不响应该条商务、技术等要求的规定。</w:t>
      </w:r>
    </w:p>
    <w:p w14:paraId="75231194">
      <w:pPr>
        <w:pageBreakBefore w:val="0"/>
        <w:widowControl w:val="0"/>
        <w:wordWrap w:val="0"/>
        <w:overflowPunct/>
        <w:bidi w:val="0"/>
        <w:adjustRightInd/>
        <w:rPr>
          <w:color w:val="auto"/>
        </w:rPr>
      </w:pPr>
      <w:r>
        <w:rPr>
          <w:rFonts w:hint="eastAsia"/>
          <w:color w:val="auto"/>
        </w:rPr>
        <w:t>本章各项技术参数、规格和性能要求如出现引用某一特定的专利技术、商标、名称、设计、原产地或供应者等情况，则仅起参考作用。投标人可选用实质上“相当于”或“优于”该参考技术规格要求的产品投标。</w:t>
      </w:r>
    </w:p>
    <w:p w14:paraId="619EDA26">
      <w:pPr>
        <w:pageBreakBefore w:val="0"/>
        <w:widowControl w:val="0"/>
        <w:wordWrap w:val="0"/>
        <w:overflowPunct/>
        <w:bidi w:val="0"/>
        <w:adjustRightInd/>
        <w:rPr>
          <w:color w:val="auto"/>
        </w:rPr>
      </w:pPr>
      <w:r>
        <w:rPr>
          <w:rFonts w:hint="eastAsia"/>
          <w:color w:val="auto"/>
        </w:rPr>
        <w:t>投标人应严格按照《中华人民共和国政府采购法》、《中华人民共和国政府采购法实施条例》、《政府采购货物和服务招标投标管理办法》（财政部令第87号）等有关法律、法规的规定进行投标，合同签订后招标人将按照中标人投标文件中所投货物者服务进行验收，一旦发现虚假应标行为，取消该中标人的中标资格，并保留追究其法律责任的权利。</w:t>
      </w:r>
    </w:p>
    <w:p w14:paraId="52DBFAA6">
      <w:pPr>
        <w:pageBreakBefore w:val="0"/>
        <w:widowControl w:val="0"/>
        <w:wordWrap w:val="0"/>
        <w:overflowPunct/>
        <w:bidi w:val="0"/>
        <w:adjustRightInd/>
        <w:rPr>
          <w:color w:val="auto"/>
        </w:rPr>
      </w:pPr>
      <w:r>
        <w:rPr>
          <w:rFonts w:hint="eastAsia"/>
          <w:color w:val="auto"/>
        </w:rPr>
        <w:t>本文件的解释权属于招标人、招标代理机构。</w:t>
      </w:r>
    </w:p>
    <w:p w14:paraId="2F2845CC">
      <w:pPr>
        <w:pageBreakBefore w:val="0"/>
        <w:widowControl w:val="0"/>
        <w:wordWrap w:val="0"/>
        <w:overflowPunct/>
        <w:bidi w:val="0"/>
        <w:adjustRightInd/>
        <w:rPr>
          <w:color w:val="auto"/>
        </w:rPr>
      </w:pPr>
      <w:r>
        <w:rPr>
          <w:rFonts w:hint="eastAsia"/>
          <w:color w:val="auto"/>
        </w:rPr>
        <w:t>本章采购需求及技术参数中，标注“★”号的参数在详细评审阶段均为重要参数，未标注“★”号条款为一般参数。</w:t>
      </w:r>
    </w:p>
    <w:p w14:paraId="6234FAC5">
      <w:pPr>
        <w:pageBreakBefore w:val="0"/>
        <w:tabs>
          <w:tab w:val="left" w:pos="4060"/>
        </w:tabs>
        <w:wordWrap w:val="0"/>
        <w:overflowPunct/>
        <w:bidi w:val="0"/>
        <w:ind w:firstLine="0" w:firstLineChars="0"/>
        <w:rPr>
          <w:b/>
          <w:bCs/>
          <w:color w:val="auto"/>
          <w:sz w:val="28"/>
          <w:szCs w:val="28"/>
        </w:rPr>
      </w:pPr>
      <w:r>
        <w:rPr>
          <w:rFonts w:hint="eastAsia"/>
          <w:b/>
          <w:bCs/>
          <w:color w:val="auto"/>
          <w:sz w:val="28"/>
          <w:szCs w:val="28"/>
        </w:rPr>
        <w:t>二、技术参数</w:t>
      </w:r>
    </w:p>
    <w:p w14:paraId="5B0195BD">
      <w:pPr>
        <w:pageBreakBefore w:val="0"/>
        <w:wordWrap w:val="0"/>
        <w:overflowPunct/>
        <w:bidi w:val="0"/>
        <w:ind w:firstLine="482"/>
        <w:rPr>
          <w:b/>
          <w:bCs/>
          <w:color w:val="auto"/>
          <w:sz w:val="24"/>
          <w:szCs w:val="24"/>
        </w:rPr>
      </w:pPr>
      <w:r>
        <w:rPr>
          <w:rFonts w:hint="eastAsia"/>
          <w:b/>
          <w:bCs/>
          <w:color w:val="auto"/>
          <w:sz w:val="24"/>
          <w:szCs w:val="24"/>
        </w:rPr>
        <w:t>5标包，2辆泡沫输转消防车，预算价：540万元</w:t>
      </w:r>
    </w:p>
    <w:p w14:paraId="1BF6070D">
      <w:pPr>
        <w:pageBreakBefore w:val="0"/>
        <w:wordWrap w:val="0"/>
        <w:overflowPunct/>
        <w:bidi w:val="0"/>
        <w:rPr>
          <w:color w:val="auto"/>
        </w:rPr>
      </w:pPr>
      <w:r>
        <w:rPr>
          <w:rFonts w:hint="eastAsia"/>
          <w:color w:val="auto"/>
        </w:rPr>
        <w:t>1.基本要求</w:t>
      </w:r>
    </w:p>
    <w:p w14:paraId="4319877D">
      <w:pPr>
        <w:pageBreakBefore w:val="0"/>
        <w:wordWrap w:val="0"/>
        <w:overflowPunct/>
        <w:bidi w:val="0"/>
        <w:rPr>
          <w:color w:val="auto"/>
        </w:rPr>
      </w:pPr>
      <w:r>
        <w:rPr>
          <w:rFonts w:hint="eastAsia"/>
          <w:color w:val="auto"/>
        </w:rPr>
        <w:t>1.1进口底盘（此为符合性审查标准，非进口底盘投标的，将不通过符合性审查），国内消防车制造厂产品。</w:t>
      </w:r>
    </w:p>
    <w:p w14:paraId="01B8B77E">
      <w:pPr>
        <w:pageBreakBefore w:val="0"/>
        <w:wordWrap w:val="0"/>
        <w:overflowPunct/>
        <w:bidi w:val="0"/>
        <w:rPr>
          <w:color w:val="auto"/>
        </w:rPr>
      </w:pPr>
      <w:r>
        <w:rPr>
          <w:rFonts w:hint="eastAsia"/>
          <w:color w:val="auto"/>
        </w:rPr>
        <w:t>1.2执行标准：GB 7956.1-2014 消防车 第1部分：通用技术条件、GB 7956.2-2014 消防车 第2部分：水罐消防车、GB 7956.3-2014 消防车 第3部分：泡沫消防车。</w:t>
      </w:r>
    </w:p>
    <w:p w14:paraId="36E7D5EB">
      <w:pPr>
        <w:pageBreakBefore w:val="0"/>
        <w:wordWrap w:val="0"/>
        <w:overflowPunct/>
        <w:bidi w:val="0"/>
        <w:rPr>
          <w:color w:val="auto"/>
        </w:rPr>
      </w:pPr>
      <w:r>
        <w:rPr>
          <w:rFonts w:hint="eastAsia"/>
          <w:color w:val="auto"/>
        </w:rPr>
        <w:t>1.3取得消防产品认证证书。</w:t>
      </w:r>
    </w:p>
    <w:p w14:paraId="60DBD7BB">
      <w:pPr>
        <w:pageBreakBefore w:val="0"/>
        <w:wordWrap w:val="0"/>
        <w:overflowPunct/>
        <w:bidi w:val="0"/>
        <w:rPr>
          <w:color w:val="auto"/>
        </w:rPr>
      </w:pPr>
      <w:r>
        <w:rPr>
          <w:rFonts w:hint="eastAsia"/>
          <w:color w:val="auto"/>
        </w:rPr>
        <w:t>1.4最高车速：≥90km/h。</w:t>
      </w:r>
    </w:p>
    <w:p w14:paraId="0E3AC314">
      <w:pPr>
        <w:pageBreakBefore w:val="0"/>
        <w:wordWrap w:val="0"/>
        <w:overflowPunct/>
        <w:bidi w:val="0"/>
        <w:rPr>
          <w:color w:val="auto"/>
        </w:rPr>
      </w:pPr>
      <w:r>
        <w:rPr>
          <w:rFonts w:hint="eastAsia"/>
          <w:color w:val="auto"/>
        </w:rPr>
        <w:t>1.5排放标准：不低于中国国家机动车现行排放标准。</w:t>
      </w:r>
    </w:p>
    <w:p w14:paraId="0C9B83D9">
      <w:pPr>
        <w:pageBreakBefore w:val="0"/>
        <w:wordWrap w:val="0"/>
        <w:overflowPunct/>
        <w:bidi w:val="0"/>
        <w:rPr>
          <w:color w:val="auto"/>
        </w:rPr>
      </w:pPr>
      <w:r>
        <w:rPr>
          <w:rFonts w:hint="eastAsia"/>
          <w:color w:val="auto"/>
        </w:rPr>
        <w:t>1.6比功率：≥8Kw/t。</w:t>
      </w:r>
    </w:p>
    <w:p w14:paraId="73F9DA6D">
      <w:pPr>
        <w:pageBreakBefore w:val="0"/>
        <w:wordWrap w:val="0"/>
        <w:overflowPunct/>
        <w:bidi w:val="0"/>
        <w:rPr>
          <w:color w:val="auto"/>
        </w:rPr>
      </w:pPr>
      <w:r>
        <w:rPr>
          <w:rFonts w:hint="eastAsia"/>
          <w:color w:val="auto"/>
        </w:rPr>
        <w:t>1.7指示标牌、操作说明、安全警示必须为中文，仪表计量单位必须为中国法定计量单位。</w:t>
      </w:r>
    </w:p>
    <w:p w14:paraId="76A444BC">
      <w:pPr>
        <w:pageBreakBefore w:val="0"/>
        <w:wordWrap w:val="0"/>
        <w:overflowPunct/>
        <w:bidi w:val="0"/>
        <w:rPr>
          <w:color w:val="auto"/>
        </w:rPr>
      </w:pPr>
      <w:r>
        <w:rPr>
          <w:rFonts w:hint="eastAsia"/>
          <w:color w:val="auto"/>
        </w:rPr>
        <w:t>1.8整车外型尺寸：≤12000mm×2500mm×3800mm。</w:t>
      </w:r>
    </w:p>
    <w:p w14:paraId="282D24DF">
      <w:pPr>
        <w:pageBreakBefore w:val="0"/>
        <w:wordWrap w:val="0"/>
        <w:overflowPunct/>
        <w:bidi w:val="0"/>
        <w:rPr>
          <w:color w:val="auto"/>
        </w:rPr>
      </w:pPr>
      <w:r>
        <w:rPr>
          <w:rFonts w:hint="eastAsia"/>
          <w:color w:val="auto"/>
        </w:rPr>
        <w:t>2.底盘</w:t>
      </w:r>
    </w:p>
    <w:p w14:paraId="182864ED">
      <w:pPr>
        <w:pageBreakBefore w:val="0"/>
        <w:wordWrap w:val="0"/>
        <w:overflowPunct/>
        <w:bidi w:val="0"/>
        <w:rPr>
          <w:color w:val="auto"/>
        </w:rPr>
      </w:pPr>
      <w:r>
        <w:rPr>
          <w:rFonts w:hint="eastAsia"/>
          <w:color w:val="auto"/>
        </w:rPr>
        <w:t>2.1驱动形式：8×4。</w:t>
      </w:r>
    </w:p>
    <w:p w14:paraId="1B63B73C">
      <w:pPr>
        <w:pageBreakBefore w:val="0"/>
        <w:wordWrap w:val="0"/>
        <w:overflowPunct/>
        <w:bidi w:val="0"/>
        <w:rPr>
          <w:color w:val="auto"/>
        </w:rPr>
      </w:pPr>
      <w:r>
        <w:rPr>
          <w:rFonts w:hint="eastAsia"/>
          <w:color w:val="auto"/>
        </w:rPr>
        <w:t>2.2发动机：直列6缸涡轮增压柴油发动机。</w:t>
      </w:r>
    </w:p>
    <w:p w14:paraId="24962DDC">
      <w:pPr>
        <w:pageBreakBefore w:val="0"/>
        <w:wordWrap w:val="0"/>
        <w:overflowPunct/>
        <w:bidi w:val="0"/>
        <w:rPr>
          <w:color w:val="auto"/>
        </w:rPr>
      </w:pPr>
      <w:r>
        <w:rPr>
          <w:rFonts w:hint="eastAsia"/>
          <w:color w:val="auto"/>
        </w:rPr>
        <w:t>★2.3发动机功率：≥340kw。</w:t>
      </w:r>
    </w:p>
    <w:p w14:paraId="751CD1B9">
      <w:pPr>
        <w:pageBreakBefore w:val="0"/>
        <w:wordWrap w:val="0"/>
        <w:overflowPunct/>
        <w:bidi w:val="0"/>
        <w:rPr>
          <w:color w:val="auto"/>
        </w:rPr>
      </w:pPr>
      <w:r>
        <w:rPr>
          <w:rFonts w:hint="eastAsia"/>
          <w:color w:val="auto"/>
        </w:rPr>
        <w:t>2.4取力器：全功率取力器。</w:t>
      </w:r>
    </w:p>
    <w:p w14:paraId="459694C1">
      <w:pPr>
        <w:pageBreakBefore w:val="0"/>
        <w:wordWrap w:val="0"/>
        <w:overflowPunct/>
        <w:bidi w:val="0"/>
        <w:rPr>
          <w:color w:val="auto"/>
        </w:rPr>
      </w:pPr>
      <w:r>
        <w:rPr>
          <w:rFonts w:hint="eastAsia"/>
          <w:color w:val="auto"/>
        </w:rPr>
        <w:t>2.5转向：液压助力，方向盘高度和倾角可调。</w:t>
      </w:r>
    </w:p>
    <w:p w14:paraId="102052CF">
      <w:pPr>
        <w:pageBreakBefore w:val="0"/>
        <w:wordWrap w:val="0"/>
        <w:overflowPunct/>
        <w:bidi w:val="0"/>
        <w:rPr>
          <w:color w:val="auto"/>
        </w:rPr>
      </w:pPr>
      <w:r>
        <w:rPr>
          <w:rFonts w:hint="eastAsia"/>
          <w:color w:val="auto"/>
        </w:rPr>
        <w:t>2.6制动：独立式双回路压缩空气制动系统， ABS（防抱死系统）行车制动，配备液力缓速器功能。</w:t>
      </w:r>
    </w:p>
    <w:p w14:paraId="2815406E">
      <w:pPr>
        <w:pageBreakBefore w:val="0"/>
        <w:wordWrap w:val="0"/>
        <w:overflowPunct/>
        <w:bidi w:val="0"/>
        <w:rPr>
          <w:color w:val="auto"/>
        </w:rPr>
      </w:pPr>
      <w:r>
        <w:rPr>
          <w:rFonts w:hint="eastAsia"/>
          <w:color w:val="auto"/>
        </w:rPr>
        <w:t xml:space="preserve">    2.7变速箱：手动变速箱优先。</w:t>
      </w:r>
    </w:p>
    <w:p w14:paraId="68CA9A17">
      <w:pPr>
        <w:pageBreakBefore w:val="0"/>
        <w:wordWrap w:val="0"/>
        <w:overflowPunct/>
        <w:bidi w:val="0"/>
        <w:rPr>
          <w:color w:val="auto"/>
        </w:rPr>
      </w:pPr>
      <w:r>
        <w:rPr>
          <w:rFonts w:hint="eastAsia"/>
          <w:color w:val="auto"/>
        </w:rPr>
        <w:t xml:space="preserve">    3.驾驶室和乘员室</w:t>
      </w:r>
    </w:p>
    <w:p w14:paraId="7B2A5895">
      <w:pPr>
        <w:pageBreakBefore w:val="0"/>
        <w:wordWrap w:val="0"/>
        <w:overflowPunct/>
        <w:bidi w:val="0"/>
        <w:rPr>
          <w:color w:val="auto"/>
        </w:rPr>
      </w:pPr>
      <w:r>
        <w:rPr>
          <w:rFonts w:hint="eastAsia"/>
          <w:color w:val="auto"/>
        </w:rPr>
        <w:t xml:space="preserve">    3.1座椅：座位数≥2人，驾驶员座椅采用气动悬浮，多角度可调；所有座椅必须配备安全带。</w:t>
      </w:r>
    </w:p>
    <w:p w14:paraId="26818F58">
      <w:pPr>
        <w:pageBreakBefore w:val="0"/>
        <w:wordWrap w:val="0"/>
        <w:overflowPunct/>
        <w:bidi w:val="0"/>
        <w:rPr>
          <w:color w:val="auto"/>
        </w:rPr>
      </w:pPr>
      <w:r>
        <w:rPr>
          <w:rFonts w:hint="eastAsia"/>
          <w:color w:val="auto"/>
        </w:rPr>
        <w:t xml:space="preserve">    3.2结构：驾驶室经过安全碰撞试验，车窗玻璃采用加强型防爆玻璃。</w:t>
      </w:r>
    </w:p>
    <w:p w14:paraId="4A98B9D4">
      <w:pPr>
        <w:pageBreakBefore w:val="0"/>
        <w:wordWrap w:val="0"/>
        <w:overflowPunct/>
        <w:bidi w:val="0"/>
        <w:rPr>
          <w:color w:val="auto"/>
        </w:rPr>
      </w:pPr>
      <w:r>
        <w:rPr>
          <w:rFonts w:hint="eastAsia"/>
          <w:color w:val="auto"/>
        </w:rPr>
        <w:t xml:space="preserve">    3.3门窗：中控门锁，可电动升降的安全玻璃。</w:t>
      </w:r>
    </w:p>
    <w:p w14:paraId="6B5182F2">
      <w:pPr>
        <w:pageBreakBefore w:val="0"/>
        <w:wordWrap w:val="0"/>
        <w:overflowPunct/>
        <w:bidi w:val="0"/>
        <w:rPr>
          <w:color w:val="auto"/>
        </w:rPr>
      </w:pPr>
      <w:r>
        <w:rPr>
          <w:rFonts w:hint="eastAsia"/>
          <w:color w:val="auto"/>
        </w:rPr>
        <w:t xml:space="preserve">    3.4空调：配独立通风冷暖空调。</w:t>
      </w:r>
    </w:p>
    <w:p w14:paraId="7A1B0ABE">
      <w:pPr>
        <w:pageBreakBefore w:val="0"/>
        <w:wordWrap w:val="0"/>
        <w:overflowPunct/>
        <w:bidi w:val="0"/>
        <w:rPr>
          <w:color w:val="auto"/>
        </w:rPr>
      </w:pPr>
      <w:r>
        <w:rPr>
          <w:rFonts w:hint="eastAsia"/>
          <w:color w:val="auto"/>
        </w:rPr>
        <w:t xml:space="preserve">    3.5设备：安装360度全景影像，含前后可视行车记录仪，含倒车雷达，存储卡≥128G、高清显示屏≥9英寸。</w:t>
      </w:r>
    </w:p>
    <w:p w14:paraId="6A835AAB">
      <w:pPr>
        <w:pageBreakBefore w:val="0"/>
        <w:wordWrap w:val="0"/>
        <w:overflowPunct/>
        <w:bidi w:val="0"/>
        <w:rPr>
          <w:color w:val="auto"/>
        </w:rPr>
      </w:pPr>
      <w:r>
        <w:rPr>
          <w:rFonts w:hint="eastAsia"/>
          <w:color w:val="auto"/>
        </w:rPr>
        <w:t xml:space="preserve">    3.6其他：设置快速充电口（220V）。</w:t>
      </w:r>
    </w:p>
    <w:p w14:paraId="42B7DDD9">
      <w:pPr>
        <w:pageBreakBefore w:val="0"/>
        <w:wordWrap w:val="0"/>
        <w:overflowPunct/>
        <w:bidi w:val="0"/>
        <w:rPr>
          <w:color w:val="auto"/>
        </w:rPr>
      </w:pPr>
      <w:r>
        <w:rPr>
          <w:rFonts w:hint="eastAsia"/>
          <w:color w:val="auto"/>
        </w:rPr>
        <w:t>4上装</w:t>
      </w:r>
    </w:p>
    <w:p w14:paraId="76AB9CBC">
      <w:pPr>
        <w:pageBreakBefore w:val="0"/>
        <w:wordWrap w:val="0"/>
        <w:overflowPunct/>
        <w:bidi w:val="0"/>
        <w:rPr>
          <w:color w:val="auto"/>
        </w:rPr>
      </w:pPr>
      <w:r>
        <w:rPr>
          <w:rFonts w:hint="eastAsia"/>
          <w:color w:val="auto"/>
        </w:rPr>
        <w:t>4.1器材箱和踏板</w:t>
      </w:r>
    </w:p>
    <w:p w14:paraId="7F581C5A">
      <w:pPr>
        <w:pageBreakBefore w:val="0"/>
        <w:wordWrap w:val="0"/>
        <w:overflowPunct/>
        <w:bidi w:val="0"/>
        <w:rPr>
          <w:color w:val="auto"/>
        </w:rPr>
      </w:pPr>
      <w:r>
        <w:rPr>
          <w:rFonts w:hint="eastAsia"/>
          <w:color w:val="auto"/>
        </w:rPr>
        <w:t>4.1.1材质：高强度金属材质，满足满负荷承载能力。</w:t>
      </w:r>
    </w:p>
    <w:p w14:paraId="5EBB1024">
      <w:pPr>
        <w:pageBreakBefore w:val="0"/>
        <w:wordWrap w:val="0"/>
        <w:overflowPunct/>
        <w:bidi w:val="0"/>
        <w:rPr>
          <w:color w:val="auto"/>
        </w:rPr>
      </w:pPr>
      <w:r>
        <w:rPr>
          <w:rFonts w:hint="eastAsia"/>
          <w:color w:val="auto"/>
        </w:rPr>
        <w:t>4.1.2箱内：无骨架板式联接，设有排水孔/槽，按需求方要求进行空间设计。</w:t>
      </w:r>
    </w:p>
    <w:p w14:paraId="57A59C4C">
      <w:pPr>
        <w:pageBreakBefore w:val="0"/>
        <w:wordWrap w:val="0"/>
        <w:overflowPunct/>
        <w:bidi w:val="0"/>
        <w:rPr>
          <w:color w:val="auto"/>
        </w:rPr>
      </w:pPr>
      <w:r>
        <w:rPr>
          <w:rFonts w:hint="eastAsia"/>
          <w:color w:val="auto"/>
        </w:rPr>
        <w:t>4.1.3箱门：高强度铝合金型材料，箱门关闭后密封、防水，箱门关闭时自动锁闭，在三级道路以60Km/h行驶时器材箱门不会自动开启，所有帘子门可以用一把钥匙开启。</w:t>
      </w:r>
    </w:p>
    <w:p w14:paraId="24CB7D9A">
      <w:pPr>
        <w:pageBreakBefore w:val="0"/>
        <w:wordWrap w:val="0"/>
        <w:overflowPunct/>
        <w:bidi w:val="0"/>
        <w:rPr>
          <w:color w:val="auto"/>
        </w:rPr>
      </w:pPr>
      <w:r>
        <w:rPr>
          <w:rFonts w:hint="eastAsia"/>
          <w:color w:val="auto"/>
        </w:rPr>
        <w:t>4.1.4箱内照明：LED自动照明。</w:t>
      </w:r>
    </w:p>
    <w:p w14:paraId="3E2C237A">
      <w:pPr>
        <w:pageBreakBefore w:val="0"/>
        <w:wordWrap w:val="0"/>
        <w:overflowPunct/>
        <w:bidi w:val="0"/>
        <w:rPr>
          <w:color w:val="auto"/>
        </w:rPr>
      </w:pPr>
      <w:r>
        <w:rPr>
          <w:rFonts w:hint="eastAsia"/>
          <w:color w:val="auto"/>
        </w:rPr>
        <w:t>4.1.5翻门踏板：防滑设计，承载重量≥150kg。</w:t>
      </w:r>
    </w:p>
    <w:p w14:paraId="673A0961">
      <w:pPr>
        <w:pageBreakBefore w:val="0"/>
        <w:wordWrap w:val="0"/>
        <w:overflowPunct/>
        <w:bidi w:val="0"/>
        <w:rPr>
          <w:color w:val="auto"/>
        </w:rPr>
      </w:pPr>
      <w:r>
        <w:rPr>
          <w:rFonts w:hint="eastAsia"/>
          <w:color w:val="auto"/>
        </w:rPr>
        <w:t>4.2供液系统及管路</w:t>
      </w:r>
    </w:p>
    <w:p w14:paraId="1A201F56">
      <w:pPr>
        <w:pageBreakBefore w:val="0"/>
        <w:wordWrap w:val="0"/>
        <w:overflowPunct/>
        <w:bidi w:val="0"/>
        <w:rPr>
          <w:color w:val="auto"/>
        </w:rPr>
      </w:pPr>
      <w:r>
        <w:rPr>
          <w:rFonts w:hint="eastAsia"/>
          <w:color w:val="auto"/>
        </w:rPr>
        <w:t>4.2.1泡沫泵</w:t>
      </w:r>
    </w:p>
    <w:p w14:paraId="342141B4">
      <w:pPr>
        <w:pageBreakBefore w:val="0"/>
        <w:wordWrap w:val="0"/>
        <w:overflowPunct/>
        <w:bidi w:val="0"/>
        <w:rPr>
          <w:color w:val="auto"/>
        </w:rPr>
      </w:pPr>
      <w:r>
        <w:rPr>
          <w:rFonts w:hint="eastAsia"/>
          <w:color w:val="auto"/>
        </w:rPr>
        <w:t>★4.2.1.1采用2台转子消防泵，可同时吸液和供液或1台吸液1台供液。</w:t>
      </w:r>
    </w:p>
    <w:p w14:paraId="316A2D65">
      <w:pPr>
        <w:pageBreakBefore w:val="0"/>
        <w:wordWrap w:val="0"/>
        <w:overflowPunct/>
        <w:bidi w:val="0"/>
        <w:rPr>
          <w:color w:val="auto"/>
        </w:rPr>
      </w:pPr>
      <w:r>
        <w:rPr>
          <w:rFonts w:hint="eastAsia"/>
          <w:color w:val="auto"/>
        </w:rPr>
        <w:t>★4.2.1.2流量和压力：额定工作压力：1.0MPa，单台泵吸液供液流量≥1500L/min，2台泵同时工作吸液供液流量≥3000L/min。</w:t>
      </w:r>
    </w:p>
    <w:p w14:paraId="0BE429C0">
      <w:pPr>
        <w:pageBreakBefore w:val="0"/>
        <w:wordWrap w:val="0"/>
        <w:overflowPunct/>
        <w:bidi w:val="0"/>
        <w:rPr>
          <w:color w:val="auto"/>
        </w:rPr>
      </w:pPr>
      <w:r>
        <w:rPr>
          <w:rFonts w:hint="eastAsia"/>
          <w:color w:val="auto"/>
        </w:rPr>
        <w:t>4.2.1.3吸液深度：≥2m（机械臂至泡沫桶液面）。</w:t>
      </w:r>
    </w:p>
    <w:p w14:paraId="6A42218A">
      <w:pPr>
        <w:pageBreakBefore w:val="0"/>
        <w:wordWrap w:val="0"/>
        <w:overflowPunct/>
        <w:bidi w:val="0"/>
        <w:rPr>
          <w:color w:val="auto"/>
        </w:rPr>
      </w:pPr>
      <w:r>
        <w:rPr>
          <w:rFonts w:hint="eastAsia"/>
          <w:color w:val="auto"/>
        </w:rPr>
        <w:t>4.3吸液系统</w:t>
      </w:r>
    </w:p>
    <w:p w14:paraId="470F880C">
      <w:pPr>
        <w:pageBreakBefore w:val="0"/>
        <w:wordWrap w:val="0"/>
        <w:overflowPunct/>
        <w:bidi w:val="0"/>
        <w:rPr>
          <w:color w:val="auto"/>
        </w:rPr>
      </w:pPr>
      <w:r>
        <w:rPr>
          <w:rFonts w:hint="eastAsia"/>
          <w:color w:val="auto"/>
        </w:rPr>
        <w:t>4.3.1吸液系统由回转台、吸液臂、吸液管、遥控台等组成。</w:t>
      </w:r>
    </w:p>
    <w:p w14:paraId="7F1B0578">
      <w:pPr>
        <w:pageBreakBefore w:val="0"/>
        <w:wordWrap w:val="0"/>
        <w:overflowPunct/>
        <w:bidi w:val="0"/>
        <w:rPr>
          <w:color w:val="auto"/>
        </w:rPr>
      </w:pPr>
      <w:r>
        <w:rPr>
          <w:rFonts w:hint="eastAsia"/>
          <w:color w:val="auto"/>
        </w:rPr>
        <w:t>4.3.2吸液臂水平回转角度：≥90°，仰角≥30°。</w:t>
      </w:r>
    </w:p>
    <w:p w14:paraId="57374814">
      <w:pPr>
        <w:pageBreakBefore w:val="0"/>
        <w:wordWrap w:val="0"/>
        <w:overflowPunct/>
        <w:bidi w:val="0"/>
        <w:rPr>
          <w:color w:val="auto"/>
        </w:rPr>
      </w:pPr>
      <w:r>
        <w:rPr>
          <w:rFonts w:hint="eastAsia"/>
          <w:color w:val="auto"/>
        </w:rPr>
        <w:t>★4.3.3配备转接头，可使用单个125mm吸液管或转换多个100mm、40mm吸液管吸液。</w:t>
      </w:r>
    </w:p>
    <w:p w14:paraId="553B1025">
      <w:pPr>
        <w:pageBreakBefore w:val="0"/>
        <w:wordWrap w:val="0"/>
        <w:overflowPunct/>
        <w:bidi w:val="0"/>
        <w:rPr>
          <w:color w:val="auto"/>
        </w:rPr>
      </w:pPr>
      <w:r>
        <w:rPr>
          <w:rFonts w:hint="eastAsia"/>
          <w:color w:val="auto"/>
        </w:rPr>
        <w:t>4.3.4控制方式：遥控控制。</w:t>
      </w:r>
    </w:p>
    <w:p w14:paraId="1F808DBA">
      <w:pPr>
        <w:pageBreakBefore w:val="0"/>
        <w:wordWrap w:val="0"/>
        <w:overflowPunct/>
        <w:bidi w:val="0"/>
        <w:rPr>
          <w:color w:val="auto"/>
        </w:rPr>
      </w:pPr>
      <w:r>
        <w:rPr>
          <w:rFonts w:hint="eastAsia"/>
          <w:color w:val="auto"/>
        </w:rPr>
        <w:t>4.4消防管路系统</w:t>
      </w:r>
    </w:p>
    <w:p w14:paraId="6B1CA009">
      <w:pPr>
        <w:pageBreakBefore w:val="0"/>
        <w:wordWrap w:val="0"/>
        <w:overflowPunct/>
        <w:bidi w:val="0"/>
        <w:rPr>
          <w:color w:val="auto"/>
        </w:rPr>
      </w:pPr>
      <w:r>
        <w:rPr>
          <w:rFonts w:hint="eastAsia"/>
          <w:color w:val="auto"/>
        </w:rPr>
        <w:t>4.4.1管路及法兰等配件采用304以上材质不锈钢制造，耐压≥1.6MPa。</w:t>
      </w:r>
    </w:p>
    <w:p w14:paraId="605ABEE0">
      <w:pPr>
        <w:pageBreakBefore w:val="0"/>
        <w:wordWrap w:val="0"/>
        <w:overflowPunct/>
        <w:bidi w:val="0"/>
        <w:rPr>
          <w:color w:val="auto"/>
        </w:rPr>
      </w:pPr>
      <w:r>
        <w:rPr>
          <w:rFonts w:hint="eastAsia"/>
          <w:color w:val="auto"/>
        </w:rPr>
        <w:t>4.4.2吸液管路：泵房两侧各设吸液口≥2个，DN80mm。</w:t>
      </w:r>
    </w:p>
    <w:p w14:paraId="5D4D05B2">
      <w:pPr>
        <w:pageBreakBefore w:val="0"/>
        <w:wordWrap w:val="0"/>
        <w:overflowPunct/>
        <w:bidi w:val="0"/>
        <w:rPr>
          <w:color w:val="auto"/>
        </w:rPr>
      </w:pPr>
      <w:r>
        <w:rPr>
          <w:rFonts w:hint="eastAsia"/>
          <w:color w:val="auto"/>
        </w:rPr>
        <w:t>4.4.3出液管路：泵房两侧各设出液口≥2个，DN80mm。</w:t>
      </w:r>
    </w:p>
    <w:p w14:paraId="0640A1C9">
      <w:pPr>
        <w:pageBreakBefore w:val="0"/>
        <w:wordWrap w:val="0"/>
        <w:overflowPunct/>
        <w:bidi w:val="0"/>
        <w:rPr>
          <w:color w:val="auto"/>
        </w:rPr>
      </w:pPr>
      <w:r>
        <w:rPr>
          <w:rFonts w:hint="eastAsia"/>
          <w:color w:val="auto"/>
        </w:rPr>
        <w:t>4.4.4设置泵及管路冲洗系统。</w:t>
      </w:r>
    </w:p>
    <w:p w14:paraId="257693B4">
      <w:pPr>
        <w:pageBreakBefore w:val="0"/>
        <w:wordWrap w:val="0"/>
        <w:overflowPunct/>
        <w:bidi w:val="0"/>
        <w:rPr>
          <w:color w:val="auto"/>
        </w:rPr>
      </w:pPr>
      <w:r>
        <w:rPr>
          <w:rFonts w:hint="eastAsia"/>
          <w:color w:val="auto"/>
        </w:rPr>
        <w:t>4.5液罐</w:t>
      </w:r>
    </w:p>
    <w:p w14:paraId="5DF62632">
      <w:pPr>
        <w:pageBreakBefore w:val="0"/>
        <w:wordWrap w:val="0"/>
        <w:overflowPunct/>
        <w:bidi w:val="0"/>
        <w:rPr>
          <w:color w:val="auto"/>
        </w:rPr>
      </w:pPr>
      <w:r>
        <w:rPr>
          <w:rFonts w:hint="eastAsia"/>
          <w:color w:val="auto"/>
        </w:rPr>
        <w:t>4.5.1载液量：≥20吨；同时可装载3种泡沫液（按照2:2:1分割），3种泡沫液可手动切换；具有循环搅拌功能。</w:t>
      </w:r>
    </w:p>
    <w:p w14:paraId="3BD9A080">
      <w:pPr>
        <w:pageBreakBefore w:val="0"/>
        <w:wordWrap w:val="0"/>
        <w:overflowPunct/>
        <w:bidi w:val="0"/>
        <w:rPr>
          <w:color w:val="auto"/>
        </w:rPr>
      </w:pPr>
      <w:r>
        <w:rPr>
          <w:rFonts w:hint="eastAsia"/>
          <w:color w:val="auto"/>
        </w:rPr>
        <w:t>4.5.2 材质：采用高分子抗腐合成材料制作厚度≥20mm或采用304以上高强度不锈钢材料制作厚度≥3mm。</w:t>
      </w:r>
    </w:p>
    <w:p w14:paraId="6679A756">
      <w:pPr>
        <w:pageBreakBefore w:val="0"/>
        <w:wordWrap w:val="0"/>
        <w:overflowPunct/>
        <w:bidi w:val="0"/>
        <w:rPr>
          <w:color w:val="auto"/>
        </w:rPr>
      </w:pPr>
      <w:r>
        <w:rPr>
          <w:rFonts w:hint="eastAsia"/>
          <w:color w:val="auto"/>
        </w:rPr>
        <w:t>4.5.3 人孔：2个，450mm内径，主体采用高强度玻璃钢制作，弹簧加载快速打开盖，自动泄压设计。</w:t>
      </w:r>
    </w:p>
    <w:p w14:paraId="1D801B36">
      <w:pPr>
        <w:pageBreakBefore w:val="0"/>
        <w:wordWrap w:val="0"/>
        <w:overflowPunct/>
        <w:bidi w:val="0"/>
        <w:rPr>
          <w:color w:val="auto"/>
        </w:rPr>
      </w:pPr>
      <w:r>
        <w:rPr>
          <w:rFonts w:hint="eastAsia"/>
          <w:color w:val="auto"/>
        </w:rPr>
        <w:t>4.5.4 溢流通风口：2个，带黄色的溢流管管帽，满足罐体溢流及通气要求。</w:t>
      </w:r>
    </w:p>
    <w:p w14:paraId="7E99FD0E">
      <w:pPr>
        <w:pageBreakBefore w:val="0"/>
        <w:wordWrap w:val="0"/>
        <w:overflowPunct/>
        <w:bidi w:val="0"/>
        <w:rPr>
          <w:color w:val="auto"/>
        </w:rPr>
      </w:pPr>
      <w:r>
        <w:rPr>
          <w:rFonts w:hint="eastAsia"/>
          <w:color w:val="auto"/>
        </w:rPr>
        <w:t>4.5.5 液位系统：3套，分别在驾驶室和泵室控制面板上通过液位表显示。</w:t>
      </w:r>
    </w:p>
    <w:p w14:paraId="71971E3C">
      <w:pPr>
        <w:pageBreakBefore w:val="0"/>
        <w:wordWrap w:val="0"/>
        <w:overflowPunct/>
        <w:bidi w:val="0"/>
        <w:rPr>
          <w:color w:val="auto"/>
        </w:rPr>
      </w:pPr>
      <w:r>
        <w:rPr>
          <w:rFonts w:hint="eastAsia"/>
          <w:color w:val="auto"/>
        </w:rPr>
        <w:t>4.6 泵控制面板：控制面板设有夜间操作照明灯；控制面板上所有手柄、按钮、开关和指示灯均标注有中文标识；管路布置图及操作、维护说明均固化在控制面板上适当位置。</w:t>
      </w:r>
    </w:p>
    <w:p w14:paraId="7311DB93">
      <w:pPr>
        <w:pageBreakBefore w:val="0"/>
        <w:wordWrap w:val="0"/>
        <w:overflowPunct/>
        <w:bidi w:val="0"/>
        <w:rPr>
          <w:color w:val="auto"/>
        </w:rPr>
      </w:pPr>
      <w:r>
        <w:rPr>
          <w:rFonts w:hint="eastAsia"/>
          <w:color w:val="auto"/>
        </w:rPr>
        <w:t>4.7泡沫比例混合器：混合比例：1%-10%，全自动。</w:t>
      </w:r>
    </w:p>
    <w:p w14:paraId="696FD23C">
      <w:pPr>
        <w:pageBreakBefore w:val="0"/>
        <w:wordWrap w:val="0"/>
        <w:overflowPunct/>
        <w:bidi w:val="0"/>
        <w:rPr>
          <w:color w:val="auto"/>
        </w:rPr>
      </w:pPr>
      <w:r>
        <w:rPr>
          <w:rFonts w:hint="eastAsia"/>
          <w:color w:val="auto"/>
        </w:rPr>
        <w:t>5外观颜色及标识</w:t>
      </w:r>
    </w:p>
    <w:p w14:paraId="2F98D3C2">
      <w:pPr>
        <w:pageBreakBefore w:val="0"/>
        <w:wordWrap w:val="0"/>
        <w:overflowPunct/>
        <w:bidi w:val="0"/>
        <w:rPr>
          <w:color w:val="auto"/>
        </w:rPr>
      </w:pPr>
      <w:r>
        <w:rPr>
          <w:rFonts w:hint="eastAsia"/>
          <w:color w:val="auto"/>
        </w:rPr>
        <w:t xml:space="preserve">    5.1整车标识：涂装符合《国家综合性消防救援车辆外观制式涂装规范》。</w:t>
      </w:r>
    </w:p>
    <w:p w14:paraId="784D88D9">
      <w:pPr>
        <w:pageBreakBefore w:val="0"/>
        <w:wordWrap w:val="0"/>
        <w:overflowPunct/>
        <w:bidi w:val="0"/>
        <w:rPr>
          <w:color w:val="auto"/>
        </w:rPr>
      </w:pPr>
      <w:r>
        <w:rPr>
          <w:rFonts w:hint="eastAsia"/>
          <w:color w:val="auto"/>
        </w:rPr>
        <w:t xml:space="preserve">    5.2警灯：符合应急管理部警灯要求。</w:t>
      </w:r>
    </w:p>
    <w:p w14:paraId="4FF499CF">
      <w:pPr>
        <w:pageBreakBefore w:val="0"/>
        <w:wordWrap w:val="0"/>
        <w:overflowPunct/>
        <w:bidi w:val="0"/>
        <w:rPr>
          <w:color w:val="auto"/>
        </w:rPr>
      </w:pPr>
      <w:r>
        <w:rPr>
          <w:rFonts w:hint="eastAsia"/>
          <w:color w:val="auto"/>
        </w:rPr>
        <w:t>6.随车资料（均为中文材料）</w:t>
      </w:r>
    </w:p>
    <w:p w14:paraId="58FC115E">
      <w:pPr>
        <w:pageBreakBefore w:val="0"/>
        <w:wordWrap w:val="0"/>
        <w:overflowPunct/>
        <w:bidi w:val="0"/>
        <w:rPr>
          <w:color w:val="auto"/>
        </w:rPr>
      </w:pPr>
      <w:r>
        <w:rPr>
          <w:rFonts w:hint="eastAsia"/>
          <w:color w:val="auto"/>
        </w:rPr>
        <w:t>附底盘使用手册2份；底盘维护手册2份；上装使用维护手册2份；车辆零件目录2份；安全操作光盘2张；底盘电气原理图1套；随车工具、备胎等常用随车器材；发动机号和底盘号拓印件2套；底盘保修卡1份；车辆一致性证书1份、底盘合格证1份等。</w:t>
      </w:r>
    </w:p>
    <w:p w14:paraId="457E8CCC">
      <w:pPr>
        <w:pageBreakBefore w:val="0"/>
        <w:wordWrap w:val="0"/>
        <w:overflowPunct/>
        <w:bidi w:val="0"/>
        <w:rPr>
          <w:b/>
          <w:bCs/>
          <w:color w:val="auto"/>
        </w:rPr>
      </w:pPr>
      <w:r>
        <w:rPr>
          <w:rFonts w:hint="eastAsia"/>
          <w:color w:val="auto"/>
        </w:rPr>
        <w:t>★7.随车器材（≥下列标准，且符合相关国家技术标准）：DN125转2个DN100异径接口≥2个，DN100转4个DN40异径接口≥3个，吸液枪≥1把，水带护桥≥1副，水带挂钩≥2个，水带包布≥4块，移动泡沫输转泵（流量≥120L/min）≥1台。</w:t>
      </w:r>
      <w:r>
        <w:rPr>
          <w:rFonts w:hint="eastAsia"/>
          <w:b/>
          <w:bCs/>
          <w:color w:val="auto"/>
        </w:rPr>
        <w:br w:type="page"/>
      </w:r>
    </w:p>
    <w:p w14:paraId="7D9D12A7">
      <w:pPr>
        <w:pageBreakBefore w:val="0"/>
        <w:wordWrap w:val="0"/>
        <w:overflowPunct/>
        <w:bidi w:val="0"/>
        <w:ind w:firstLine="482"/>
        <w:rPr>
          <w:b/>
          <w:bCs/>
          <w:color w:val="auto"/>
          <w:sz w:val="24"/>
          <w:szCs w:val="24"/>
        </w:rPr>
      </w:pPr>
      <w:r>
        <w:rPr>
          <w:rFonts w:hint="eastAsia"/>
          <w:b/>
          <w:bCs/>
          <w:color w:val="auto"/>
          <w:sz w:val="24"/>
          <w:szCs w:val="24"/>
        </w:rPr>
        <w:t>6标包，1辆指挥方舱车，预算价：350万元</w:t>
      </w:r>
    </w:p>
    <w:p w14:paraId="04567639">
      <w:pPr>
        <w:pageBreakBefore w:val="0"/>
        <w:wordWrap w:val="0"/>
        <w:overflowPunct/>
        <w:bidi w:val="0"/>
        <w:rPr>
          <w:color w:val="auto"/>
        </w:rPr>
      </w:pPr>
      <w:r>
        <w:rPr>
          <w:rFonts w:hint="eastAsia"/>
          <w:color w:val="auto"/>
        </w:rPr>
        <w:t>指挥方舱车应满足：</w:t>
      </w:r>
    </w:p>
    <w:p w14:paraId="3C96AE73">
      <w:pPr>
        <w:pageBreakBefore w:val="0"/>
        <w:wordWrap w:val="0"/>
        <w:overflowPunct/>
        <w:bidi w:val="0"/>
        <w:rPr>
          <w:color w:val="auto"/>
        </w:rPr>
      </w:pPr>
      <w:r>
        <w:rPr>
          <w:rFonts w:hint="eastAsia"/>
          <w:color w:val="auto"/>
        </w:rPr>
        <w:t>★1.国家或行业标准：《消防车 第1部分：通用技术标准》（GB 7956.1-2014）《移动消防指挥中心通用技术要求》（GB/T25113-2010）。</w:t>
      </w:r>
    </w:p>
    <w:p w14:paraId="4F78505E">
      <w:pPr>
        <w:pageBreakBefore w:val="0"/>
        <w:wordWrap w:val="0"/>
        <w:overflowPunct/>
        <w:bidi w:val="0"/>
        <w:rPr>
          <w:color w:val="auto"/>
        </w:rPr>
      </w:pPr>
      <w:r>
        <w:rPr>
          <w:rFonts w:hint="eastAsia"/>
          <w:color w:val="auto"/>
        </w:rPr>
        <w:t>★2.整车主要功能：车辆主要用于快速和准确地实现事故现场数据信息的采集工作，通过多种信息传输方式实现灵活机动的灭火救援工作。</w:t>
      </w:r>
    </w:p>
    <w:p w14:paraId="6B593105">
      <w:pPr>
        <w:pageBreakBefore w:val="0"/>
        <w:wordWrap w:val="0"/>
        <w:overflowPunct/>
        <w:bidi w:val="0"/>
        <w:rPr>
          <w:color w:val="auto"/>
        </w:rPr>
      </w:pPr>
      <w:r>
        <w:rPr>
          <w:rFonts w:hint="eastAsia"/>
          <w:color w:val="auto"/>
        </w:rPr>
        <w:t>★3.底盘主要技术要求：驱动形式：6*4（等同或优于），机动性强，通过性能好。</w:t>
      </w:r>
    </w:p>
    <w:p w14:paraId="6EBAEDA1">
      <w:pPr>
        <w:pageBreakBefore w:val="0"/>
        <w:wordWrap w:val="0"/>
        <w:overflowPunct/>
        <w:bidi w:val="0"/>
        <w:rPr>
          <w:color w:val="auto"/>
        </w:rPr>
      </w:pPr>
      <w:r>
        <w:rPr>
          <w:rFonts w:hint="eastAsia"/>
          <w:color w:val="auto"/>
        </w:rPr>
        <w:t>★4.主要技术要求：会议室展开面积≥20㎡。</w:t>
      </w:r>
    </w:p>
    <w:p w14:paraId="061C0E0C">
      <w:pPr>
        <w:pageBreakBefore w:val="0"/>
        <w:wordWrap w:val="0"/>
        <w:overflowPunct/>
        <w:bidi w:val="0"/>
        <w:rPr>
          <w:color w:val="auto"/>
        </w:rPr>
      </w:pPr>
      <w:r>
        <w:rPr>
          <w:rFonts w:hint="eastAsia"/>
          <w:color w:val="auto"/>
        </w:rPr>
        <w:t>★5.其他要求：具有卫星通信、视频会议、摄录系统、照明、发电等功能。</w:t>
      </w:r>
    </w:p>
    <w:p w14:paraId="5BD5DD7F">
      <w:pPr>
        <w:pageBreakBefore w:val="0"/>
        <w:wordWrap w:val="0"/>
        <w:overflowPunct/>
        <w:bidi w:val="0"/>
        <w:rPr>
          <w:color w:val="auto"/>
        </w:rPr>
      </w:pPr>
    </w:p>
    <w:p w14:paraId="698F1936">
      <w:pPr>
        <w:pageBreakBefore w:val="0"/>
        <w:wordWrap w:val="0"/>
        <w:overflowPunct/>
        <w:bidi w:val="0"/>
        <w:rPr>
          <w:color w:val="auto"/>
        </w:rPr>
      </w:pPr>
      <w:r>
        <w:rPr>
          <w:rFonts w:hint="eastAsia"/>
          <w:color w:val="auto"/>
        </w:rPr>
        <w:t>主要技术参数</w:t>
      </w:r>
    </w:p>
    <w:p w14:paraId="2DC26583">
      <w:pPr>
        <w:pageBreakBefore w:val="0"/>
        <w:wordWrap w:val="0"/>
        <w:overflowPunct/>
        <w:bidi w:val="0"/>
        <w:rPr>
          <w:color w:val="auto"/>
        </w:rPr>
      </w:pPr>
      <w:r>
        <w:rPr>
          <w:rFonts w:hint="eastAsia"/>
          <w:color w:val="auto"/>
        </w:rPr>
        <w:t>1.基本要求</w:t>
      </w:r>
    </w:p>
    <w:p w14:paraId="0519411D">
      <w:pPr>
        <w:pageBreakBefore w:val="0"/>
        <w:wordWrap w:val="0"/>
        <w:overflowPunct/>
        <w:bidi w:val="0"/>
        <w:rPr>
          <w:color w:val="auto"/>
        </w:rPr>
      </w:pPr>
      <w:r>
        <w:rPr>
          <w:rFonts w:hint="eastAsia"/>
          <w:color w:val="auto"/>
        </w:rPr>
        <w:t>★1.1底盘尺寸：长≥11700mm；宽≥2400mm；高≥3300mm，轴距（mm）：≥5900+1400；</w:t>
      </w:r>
    </w:p>
    <w:p w14:paraId="58841E84">
      <w:pPr>
        <w:pageBreakBefore w:val="0"/>
        <w:wordWrap w:val="0"/>
        <w:overflowPunct/>
        <w:bidi w:val="0"/>
        <w:rPr>
          <w:color w:val="auto"/>
        </w:rPr>
      </w:pPr>
      <w:r>
        <w:rPr>
          <w:rFonts w:hint="eastAsia"/>
          <w:color w:val="auto"/>
        </w:rPr>
        <w:t>1.2驱动形式：6×4（或优于）；</w:t>
      </w:r>
    </w:p>
    <w:p w14:paraId="380C72E9">
      <w:pPr>
        <w:pageBreakBefore w:val="0"/>
        <w:wordWrap w:val="0"/>
        <w:overflowPunct/>
        <w:bidi w:val="0"/>
        <w:rPr>
          <w:color w:val="auto"/>
        </w:rPr>
      </w:pPr>
      <w:r>
        <w:rPr>
          <w:rFonts w:hint="eastAsia"/>
          <w:color w:val="auto"/>
        </w:rPr>
        <w:t>1.3排放标准：符合中国国家机动车现行排放标准；</w:t>
      </w:r>
    </w:p>
    <w:p w14:paraId="754E5EBD">
      <w:pPr>
        <w:pageBreakBefore w:val="0"/>
        <w:wordWrap w:val="0"/>
        <w:overflowPunct/>
        <w:bidi w:val="0"/>
        <w:rPr>
          <w:color w:val="auto"/>
        </w:rPr>
      </w:pPr>
      <w:r>
        <w:rPr>
          <w:rFonts w:hint="eastAsia"/>
          <w:color w:val="auto"/>
        </w:rPr>
        <w:t>★1.4最大额定功率：≥390kW；</w:t>
      </w:r>
    </w:p>
    <w:p w14:paraId="197C80C1">
      <w:pPr>
        <w:pageBreakBefore w:val="0"/>
        <w:wordWrap w:val="0"/>
        <w:overflowPunct/>
        <w:bidi w:val="0"/>
        <w:rPr>
          <w:color w:val="auto"/>
        </w:rPr>
      </w:pPr>
      <w:r>
        <w:rPr>
          <w:rFonts w:hint="eastAsia"/>
          <w:color w:val="auto"/>
        </w:rPr>
        <w:t>1.5车辆允许总质量（GVW）≥25000kg；整备质量≤9500kg</w:t>
      </w:r>
    </w:p>
    <w:p w14:paraId="1B409BBA">
      <w:pPr>
        <w:pageBreakBefore w:val="0"/>
        <w:wordWrap w:val="0"/>
        <w:overflowPunct/>
        <w:bidi w:val="0"/>
        <w:rPr>
          <w:color w:val="auto"/>
        </w:rPr>
      </w:pPr>
      <w:r>
        <w:rPr>
          <w:rFonts w:hint="eastAsia"/>
          <w:color w:val="auto"/>
        </w:rPr>
        <w:t>1.6最高车速：≥110km/h；</w:t>
      </w:r>
    </w:p>
    <w:p w14:paraId="4471D657">
      <w:pPr>
        <w:pageBreakBefore w:val="0"/>
        <w:wordWrap w:val="0"/>
        <w:overflowPunct/>
        <w:bidi w:val="0"/>
        <w:rPr>
          <w:color w:val="auto"/>
        </w:rPr>
      </w:pPr>
      <w:r>
        <w:rPr>
          <w:rFonts w:hint="eastAsia"/>
          <w:color w:val="auto"/>
        </w:rPr>
        <w:t>1.7悬挂形式：前后空气悬架；</w:t>
      </w:r>
    </w:p>
    <w:p w14:paraId="4809773C">
      <w:pPr>
        <w:pageBreakBefore w:val="0"/>
        <w:wordWrap w:val="0"/>
        <w:overflowPunct/>
        <w:bidi w:val="0"/>
        <w:rPr>
          <w:color w:val="auto"/>
        </w:rPr>
      </w:pPr>
      <w:r>
        <w:rPr>
          <w:rFonts w:hint="eastAsia"/>
          <w:color w:val="auto"/>
        </w:rPr>
        <w:t>★1.8变速箱：自动变速箱；</w:t>
      </w:r>
    </w:p>
    <w:p w14:paraId="55800F55">
      <w:pPr>
        <w:pageBreakBefore w:val="0"/>
        <w:wordWrap w:val="0"/>
        <w:overflowPunct/>
        <w:bidi w:val="0"/>
        <w:rPr>
          <w:color w:val="auto"/>
        </w:rPr>
      </w:pPr>
      <w:r>
        <w:rPr>
          <w:rFonts w:hint="eastAsia"/>
          <w:color w:val="auto"/>
        </w:rPr>
        <w:t>1.9驾驶室：单排双门布局，主驾气囊减震座椅+副驾简易型座椅，主副驾电动升降车窗。</w:t>
      </w:r>
    </w:p>
    <w:p w14:paraId="788EDA1D">
      <w:pPr>
        <w:pageBreakBefore w:val="0"/>
        <w:wordWrap w:val="0"/>
        <w:overflowPunct/>
        <w:bidi w:val="0"/>
        <w:rPr>
          <w:color w:val="auto"/>
        </w:rPr>
      </w:pPr>
      <w:r>
        <w:rPr>
          <w:rFonts w:hint="eastAsia"/>
          <w:color w:val="auto"/>
        </w:rPr>
        <w:t>★1.10安全辅助：EBS（电子制动系统）+ESC(电子防侧翻系统)、液力缓速器、转向轮爆胎应急装置、胎压监测系统(全轮位)、专用车寒区包、保险杠(全金属)、导流罩、电动电加热后视镜；</w:t>
      </w:r>
    </w:p>
    <w:p w14:paraId="238017AB">
      <w:pPr>
        <w:pageBreakBefore w:val="0"/>
        <w:wordWrap w:val="0"/>
        <w:overflowPunct/>
        <w:bidi w:val="0"/>
        <w:rPr>
          <w:color w:val="auto"/>
        </w:rPr>
      </w:pPr>
      <w:r>
        <w:rPr>
          <w:rFonts w:hint="eastAsia"/>
          <w:color w:val="auto"/>
        </w:rPr>
        <w:t>1.11设备：安装360度全景影像，含前后可视行车记录仪，含倒车雷达，存储卡≥128G、高清显示屏≥9英寸。</w:t>
      </w:r>
    </w:p>
    <w:p w14:paraId="29D4AD88">
      <w:pPr>
        <w:pageBreakBefore w:val="0"/>
        <w:wordWrap w:val="0"/>
        <w:overflowPunct/>
        <w:bidi w:val="0"/>
        <w:rPr>
          <w:color w:val="auto"/>
        </w:rPr>
      </w:pPr>
      <w:r>
        <w:rPr>
          <w:rFonts w:hint="eastAsia"/>
          <w:color w:val="auto"/>
        </w:rPr>
        <w:t>1.12整车标识：涂装符合《国家综合性消防救援车辆外观制式涂装规范》。</w:t>
      </w:r>
    </w:p>
    <w:p w14:paraId="6BEC6C45">
      <w:pPr>
        <w:pageBreakBefore w:val="0"/>
        <w:wordWrap w:val="0"/>
        <w:overflowPunct/>
        <w:bidi w:val="0"/>
        <w:rPr>
          <w:color w:val="auto"/>
        </w:rPr>
      </w:pPr>
      <w:r>
        <w:rPr>
          <w:rFonts w:hint="eastAsia"/>
          <w:color w:val="auto"/>
        </w:rPr>
        <w:t>1.13警灯：符合应急管理部警灯要求。</w:t>
      </w:r>
    </w:p>
    <w:p w14:paraId="51CBE674">
      <w:pPr>
        <w:pageBreakBefore w:val="0"/>
        <w:wordWrap w:val="0"/>
        <w:overflowPunct/>
        <w:bidi w:val="0"/>
        <w:rPr>
          <w:color w:val="auto"/>
        </w:rPr>
      </w:pPr>
      <w:r>
        <w:rPr>
          <w:rFonts w:hint="eastAsia"/>
          <w:color w:val="auto"/>
        </w:rPr>
        <w:t>1.14空调系统：顶置独立空调；</w:t>
      </w:r>
    </w:p>
    <w:p w14:paraId="3B323C0E">
      <w:pPr>
        <w:pageBreakBefore w:val="0"/>
        <w:wordWrap w:val="0"/>
        <w:overflowPunct/>
        <w:bidi w:val="0"/>
        <w:rPr>
          <w:color w:val="auto"/>
        </w:rPr>
      </w:pPr>
      <w:r>
        <w:rPr>
          <w:rFonts w:hint="eastAsia"/>
          <w:color w:val="auto"/>
        </w:rPr>
        <w:t>1.15配备的移动通信设备符合GB15842的相关规定；配备的无线电发射设备符合GB9159的相关规定。</w:t>
      </w:r>
    </w:p>
    <w:p w14:paraId="5F26F3A6">
      <w:pPr>
        <w:pageBreakBefore w:val="0"/>
        <w:wordWrap w:val="0"/>
        <w:overflowPunct/>
        <w:bidi w:val="0"/>
        <w:rPr>
          <w:color w:val="auto"/>
        </w:rPr>
      </w:pPr>
      <w:r>
        <w:rPr>
          <w:rFonts w:hint="eastAsia"/>
          <w:color w:val="auto"/>
        </w:rPr>
        <w:t>2.车载卫星通信系统</w:t>
      </w:r>
    </w:p>
    <w:p w14:paraId="6EA8E0B2">
      <w:pPr>
        <w:pageBreakBefore w:val="0"/>
        <w:wordWrap w:val="0"/>
        <w:overflowPunct/>
        <w:bidi w:val="0"/>
        <w:rPr>
          <w:color w:val="auto"/>
        </w:rPr>
      </w:pPr>
      <w:r>
        <w:rPr>
          <w:rFonts w:hint="eastAsia"/>
          <w:color w:val="auto"/>
        </w:rPr>
        <w:t>2.1卫星天线1套</w:t>
      </w:r>
    </w:p>
    <w:p w14:paraId="390C145E">
      <w:pPr>
        <w:pageBreakBefore w:val="0"/>
        <w:wordWrap w:val="0"/>
        <w:overflowPunct/>
        <w:bidi w:val="0"/>
        <w:rPr>
          <w:color w:val="auto"/>
        </w:rPr>
      </w:pPr>
      <w:r>
        <w:rPr>
          <w:rFonts w:hint="eastAsia"/>
          <w:color w:val="auto"/>
        </w:rPr>
        <w:t>2.1.1天线类型：单偏置天线；</w:t>
      </w:r>
    </w:p>
    <w:p w14:paraId="4FED3969">
      <w:pPr>
        <w:pageBreakBefore w:val="0"/>
        <w:wordWrap w:val="0"/>
        <w:overflowPunct/>
        <w:bidi w:val="0"/>
        <w:rPr>
          <w:color w:val="auto"/>
        </w:rPr>
      </w:pPr>
      <w:r>
        <w:rPr>
          <w:rFonts w:hint="eastAsia"/>
          <w:color w:val="auto"/>
        </w:rPr>
        <w:t>★2.1.2等效口径：≥1.5米；</w:t>
      </w:r>
    </w:p>
    <w:p w14:paraId="1E357860">
      <w:pPr>
        <w:pageBreakBefore w:val="0"/>
        <w:wordWrap w:val="0"/>
        <w:overflowPunct/>
        <w:bidi w:val="0"/>
        <w:rPr>
          <w:color w:val="auto"/>
        </w:rPr>
      </w:pPr>
      <w:r>
        <w:rPr>
          <w:rFonts w:hint="eastAsia"/>
          <w:color w:val="auto"/>
        </w:rPr>
        <w:t>2.1.3工作频率：RX:10.70—12.75GHz，TX:13.75—14.5GHz；</w:t>
      </w:r>
    </w:p>
    <w:p w14:paraId="7FD6D5CB">
      <w:pPr>
        <w:pageBreakBefore w:val="0"/>
        <w:wordWrap w:val="0"/>
        <w:overflowPunct/>
        <w:bidi w:val="0"/>
        <w:rPr>
          <w:color w:val="auto"/>
        </w:rPr>
      </w:pPr>
      <w:r>
        <w:rPr>
          <w:rFonts w:hint="eastAsia"/>
          <w:color w:val="auto"/>
        </w:rPr>
        <w:t>2.1.4反射面材料：碳纤维；</w:t>
      </w:r>
    </w:p>
    <w:p w14:paraId="1DA23974">
      <w:pPr>
        <w:pageBreakBefore w:val="0"/>
        <w:wordWrap w:val="0"/>
        <w:overflowPunct/>
        <w:bidi w:val="0"/>
        <w:rPr>
          <w:color w:val="auto"/>
        </w:rPr>
      </w:pPr>
      <w:r>
        <w:rPr>
          <w:rFonts w:hint="eastAsia"/>
          <w:color w:val="auto"/>
        </w:rPr>
        <w:t>2.1.5天线增益：RX≥43.5dBi@12.5GHz，TX≥44.5dBi@14.25GHz；</w:t>
      </w:r>
    </w:p>
    <w:p w14:paraId="7D4FB83B">
      <w:pPr>
        <w:pageBreakBefore w:val="0"/>
        <w:wordWrap w:val="0"/>
        <w:overflowPunct/>
        <w:bidi w:val="0"/>
        <w:rPr>
          <w:color w:val="auto"/>
        </w:rPr>
      </w:pPr>
      <w:r>
        <w:rPr>
          <w:rFonts w:hint="eastAsia"/>
          <w:color w:val="auto"/>
        </w:rPr>
        <w:t>2.1.6极化方式：双线性极化；</w:t>
      </w:r>
    </w:p>
    <w:p w14:paraId="1B6063B4">
      <w:pPr>
        <w:pageBreakBefore w:val="0"/>
        <w:wordWrap w:val="0"/>
        <w:overflowPunct/>
        <w:bidi w:val="0"/>
        <w:rPr>
          <w:color w:val="auto"/>
        </w:rPr>
      </w:pPr>
      <w:r>
        <w:rPr>
          <w:rFonts w:hint="eastAsia"/>
          <w:color w:val="auto"/>
        </w:rPr>
        <w:t>2.1.7隔离度：收发隔离度≥85dB，极化隔离度≥30dB (轴向)；</w:t>
      </w:r>
    </w:p>
    <w:p w14:paraId="7E8566F5">
      <w:pPr>
        <w:pageBreakBefore w:val="0"/>
        <w:wordWrap w:val="0"/>
        <w:overflowPunct/>
        <w:bidi w:val="0"/>
        <w:rPr>
          <w:color w:val="auto"/>
        </w:rPr>
      </w:pPr>
      <w:r>
        <w:rPr>
          <w:rFonts w:hint="eastAsia"/>
          <w:color w:val="auto"/>
        </w:rPr>
        <w:t>2.1.8天线支持信标、DVB和参考星寻星，具有倾斜对星、极化自动补偿、参数记忆和任意方位寻星功能；</w:t>
      </w:r>
    </w:p>
    <w:p w14:paraId="06B49702">
      <w:pPr>
        <w:pageBreakBefore w:val="0"/>
        <w:wordWrap w:val="0"/>
        <w:overflowPunct/>
        <w:bidi w:val="0"/>
        <w:rPr>
          <w:color w:val="auto"/>
        </w:rPr>
      </w:pPr>
      <w:r>
        <w:rPr>
          <w:rFonts w:hint="eastAsia"/>
          <w:color w:val="auto"/>
        </w:rPr>
        <w:t>2.1.9对星时间：≤3min；</w:t>
      </w:r>
    </w:p>
    <w:p w14:paraId="635CC5E0">
      <w:pPr>
        <w:pageBreakBefore w:val="0"/>
        <w:wordWrap w:val="0"/>
        <w:overflowPunct/>
        <w:bidi w:val="0"/>
        <w:rPr>
          <w:color w:val="auto"/>
        </w:rPr>
      </w:pPr>
      <w:r>
        <w:rPr>
          <w:rFonts w:hint="eastAsia"/>
          <w:color w:val="auto"/>
        </w:rPr>
        <w:t>2.1.10天线指向范围：方位：≥±200°，俯仰：≥10°- 95°；</w:t>
      </w:r>
    </w:p>
    <w:p w14:paraId="3B89C143">
      <w:pPr>
        <w:pageBreakBefore w:val="0"/>
        <w:wordWrap w:val="0"/>
        <w:overflowPunct/>
        <w:bidi w:val="0"/>
        <w:rPr>
          <w:color w:val="auto"/>
        </w:rPr>
      </w:pPr>
      <w:r>
        <w:rPr>
          <w:rFonts w:hint="eastAsia"/>
          <w:color w:val="auto"/>
        </w:rPr>
        <w:t>2.1.11极化：≥±95°；</w:t>
      </w:r>
    </w:p>
    <w:p w14:paraId="73B6A2FE">
      <w:pPr>
        <w:pageBreakBefore w:val="0"/>
        <w:wordWrap w:val="0"/>
        <w:overflowPunct/>
        <w:bidi w:val="0"/>
        <w:rPr>
          <w:color w:val="auto"/>
        </w:rPr>
      </w:pPr>
      <w:r>
        <w:rPr>
          <w:rFonts w:hint="eastAsia"/>
          <w:color w:val="auto"/>
        </w:rPr>
        <w:t>2.1.12控制终端：标准1U，配置自寻星控制系统软件，具备良好的全中文操作界面，可实现一键对星；</w:t>
      </w:r>
    </w:p>
    <w:p w14:paraId="6A33F220">
      <w:pPr>
        <w:pageBreakBefore w:val="0"/>
        <w:wordWrap w:val="0"/>
        <w:overflowPunct/>
        <w:bidi w:val="0"/>
        <w:rPr>
          <w:color w:val="auto"/>
        </w:rPr>
      </w:pPr>
      <w:r>
        <w:rPr>
          <w:rFonts w:hint="eastAsia"/>
          <w:color w:val="auto"/>
        </w:rPr>
        <w:t>2.1.13支持标准Ku和亚太Ku高通量卫星双模式，可内置亚太6D高通量卫星专用调制解调器，一键切换传统卫星和高通量卫星，无需切换射频电缆即可实现自由切换；</w:t>
      </w:r>
    </w:p>
    <w:p w14:paraId="453DDF22">
      <w:pPr>
        <w:pageBreakBefore w:val="0"/>
        <w:wordWrap w:val="0"/>
        <w:overflowPunct/>
        <w:bidi w:val="0"/>
        <w:rPr>
          <w:color w:val="auto"/>
        </w:rPr>
      </w:pPr>
      <w:r>
        <w:rPr>
          <w:rFonts w:hint="eastAsia"/>
          <w:color w:val="auto"/>
        </w:rPr>
        <w:t>2.1.14天线收藏尺寸：≤2220mm×1500mm×450mm；</w:t>
      </w:r>
    </w:p>
    <w:p w14:paraId="6641C00E">
      <w:pPr>
        <w:pageBreakBefore w:val="0"/>
        <w:wordWrap w:val="0"/>
        <w:overflowPunct/>
        <w:bidi w:val="0"/>
        <w:rPr>
          <w:color w:val="auto"/>
        </w:rPr>
      </w:pPr>
      <w:r>
        <w:rPr>
          <w:rFonts w:hint="eastAsia"/>
          <w:color w:val="auto"/>
        </w:rPr>
        <w:t>2.1.15天线净重：≤120kg；</w:t>
      </w:r>
    </w:p>
    <w:p w14:paraId="4950E386">
      <w:pPr>
        <w:pageBreakBefore w:val="0"/>
        <w:wordWrap w:val="0"/>
        <w:overflowPunct/>
        <w:bidi w:val="0"/>
        <w:rPr>
          <w:color w:val="auto"/>
        </w:rPr>
      </w:pPr>
      <w:r>
        <w:rPr>
          <w:rFonts w:hint="eastAsia"/>
          <w:color w:val="auto"/>
        </w:rPr>
        <w:t>2.1.16供电：90–264 VAC, 47–63 Hz；</w:t>
      </w:r>
    </w:p>
    <w:p w14:paraId="567ED6D0">
      <w:pPr>
        <w:pageBreakBefore w:val="0"/>
        <w:wordWrap w:val="0"/>
        <w:overflowPunct/>
        <w:bidi w:val="0"/>
        <w:rPr>
          <w:color w:val="auto"/>
        </w:rPr>
      </w:pPr>
      <w:r>
        <w:rPr>
          <w:rFonts w:hint="eastAsia"/>
          <w:color w:val="auto"/>
        </w:rPr>
        <w:t>2.1.17峰值功耗：≤260W，平均功耗：≤160W；</w:t>
      </w:r>
    </w:p>
    <w:p w14:paraId="3F720DF7">
      <w:pPr>
        <w:pageBreakBefore w:val="0"/>
        <w:wordWrap w:val="0"/>
        <w:overflowPunct/>
        <w:bidi w:val="0"/>
        <w:rPr>
          <w:color w:val="auto"/>
        </w:rPr>
      </w:pPr>
      <w:r>
        <w:rPr>
          <w:rFonts w:hint="eastAsia"/>
          <w:color w:val="auto"/>
        </w:rPr>
        <w:t>2.1.18工作温度：-40℃～+55℃；</w:t>
      </w:r>
    </w:p>
    <w:p w14:paraId="245D0B72">
      <w:pPr>
        <w:pageBreakBefore w:val="0"/>
        <w:wordWrap w:val="0"/>
        <w:overflowPunct/>
        <w:bidi w:val="0"/>
        <w:rPr>
          <w:color w:val="auto"/>
        </w:rPr>
      </w:pPr>
      <w:r>
        <w:rPr>
          <w:rFonts w:hint="eastAsia"/>
          <w:color w:val="auto"/>
        </w:rPr>
        <w:t>2.1.19存储温度：-50℃～+70℃；</w:t>
      </w:r>
    </w:p>
    <w:p w14:paraId="01DD5736">
      <w:pPr>
        <w:pageBreakBefore w:val="0"/>
        <w:wordWrap w:val="0"/>
        <w:overflowPunct/>
        <w:bidi w:val="0"/>
        <w:rPr>
          <w:color w:val="auto"/>
        </w:rPr>
      </w:pPr>
      <w:r>
        <w:rPr>
          <w:rFonts w:hint="eastAsia"/>
          <w:color w:val="auto"/>
        </w:rPr>
        <w:t>2.1.20抗风：工作风速：20m/s、保全风速（展开）：27m/s、保全风速（收藏）：50m/s。</w:t>
      </w:r>
    </w:p>
    <w:p w14:paraId="4623DD0F">
      <w:pPr>
        <w:pageBreakBefore w:val="0"/>
        <w:wordWrap w:val="0"/>
        <w:overflowPunct/>
        <w:bidi w:val="0"/>
        <w:rPr>
          <w:color w:val="auto"/>
        </w:rPr>
      </w:pPr>
      <w:r>
        <w:rPr>
          <w:rFonts w:hint="eastAsia"/>
          <w:color w:val="auto"/>
        </w:rPr>
        <w:t>2.2卫星功放（BUC）</w:t>
      </w:r>
    </w:p>
    <w:p w14:paraId="5C6893AB">
      <w:pPr>
        <w:pageBreakBefore w:val="0"/>
        <w:wordWrap w:val="0"/>
        <w:overflowPunct/>
        <w:bidi w:val="0"/>
        <w:rPr>
          <w:color w:val="auto"/>
        </w:rPr>
      </w:pPr>
      <w:r>
        <w:rPr>
          <w:rFonts w:hint="eastAsia"/>
          <w:color w:val="auto"/>
        </w:rPr>
        <w:t>2.2.1射频输出频率：14-14.5 GHz；</w:t>
      </w:r>
    </w:p>
    <w:p w14:paraId="385D33C0">
      <w:pPr>
        <w:pageBreakBefore w:val="0"/>
        <w:wordWrap w:val="0"/>
        <w:overflowPunct/>
        <w:bidi w:val="0"/>
        <w:rPr>
          <w:color w:val="auto"/>
        </w:rPr>
      </w:pPr>
      <w:r>
        <w:rPr>
          <w:rFonts w:hint="eastAsia"/>
          <w:color w:val="auto"/>
        </w:rPr>
        <w:t>2.2.2中频输入频率：950-1450 MHz；</w:t>
      </w:r>
    </w:p>
    <w:p w14:paraId="5B2E8BD8">
      <w:pPr>
        <w:pageBreakBefore w:val="0"/>
        <w:wordWrap w:val="0"/>
        <w:overflowPunct/>
        <w:bidi w:val="0"/>
        <w:rPr>
          <w:color w:val="auto"/>
        </w:rPr>
      </w:pPr>
      <w:r>
        <w:rPr>
          <w:rFonts w:hint="eastAsia"/>
          <w:color w:val="auto"/>
        </w:rPr>
        <w:t>2.2.3输出功率：≥49 dBm；</w:t>
      </w:r>
    </w:p>
    <w:p w14:paraId="6CFBEA77">
      <w:pPr>
        <w:pageBreakBefore w:val="0"/>
        <w:wordWrap w:val="0"/>
        <w:overflowPunct/>
        <w:bidi w:val="0"/>
        <w:rPr>
          <w:color w:val="auto"/>
        </w:rPr>
      </w:pPr>
      <w:r>
        <w:rPr>
          <w:rFonts w:hint="eastAsia"/>
          <w:color w:val="auto"/>
        </w:rPr>
        <w:t>2.2.4增益：≥70 dB；</w:t>
      </w:r>
    </w:p>
    <w:p w14:paraId="6115566A">
      <w:pPr>
        <w:pageBreakBefore w:val="0"/>
        <w:wordWrap w:val="0"/>
        <w:overflowPunct/>
        <w:bidi w:val="0"/>
        <w:rPr>
          <w:color w:val="auto"/>
        </w:rPr>
      </w:pPr>
      <w:r>
        <w:rPr>
          <w:rFonts w:hint="eastAsia"/>
          <w:color w:val="auto"/>
        </w:rPr>
        <w:t>2.2.5增益调整范围和步进：50-70 dB，步进0.1 dB；</w:t>
      </w:r>
    </w:p>
    <w:p w14:paraId="6E8C2244">
      <w:pPr>
        <w:pageBreakBefore w:val="0"/>
        <w:wordWrap w:val="0"/>
        <w:overflowPunct/>
        <w:bidi w:val="0"/>
        <w:rPr>
          <w:color w:val="auto"/>
        </w:rPr>
      </w:pPr>
      <w:r>
        <w:rPr>
          <w:rFonts w:hint="eastAsia"/>
          <w:color w:val="auto"/>
        </w:rPr>
        <w:t>2.2.6 220 VAC供电；</w:t>
      </w:r>
    </w:p>
    <w:p w14:paraId="6B626246">
      <w:pPr>
        <w:pageBreakBefore w:val="0"/>
        <w:wordWrap w:val="0"/>
        <w:overflowPunct/>
        <w:bidi w:val="0"/>
        <w:rPr>
          <w:color w:val="auto"/>
        </w:rPr>
      </w:pPr>
      <w:r>
        <w:rPr>
          <w:rFonts w:hint="eastAsia"/>
          <w:color w:val="auto"/>
        </w:rPr>
        <w:t>2.2.7功耗：&lt;420W；</w:t>
      </w:r>
    </w:p>
    <w:p w14:paraId="387467FD">
      <w:pPr>
        <w:pageBreakBefore w:val="0"/>
        <w:wordWrap w:val="0"/>
        <w:overflowPunct/>
        <w:bidi w:val="0"/>
        <w:rPr>
          <w:color w:val="auto"/>
        </w:rPr>
      </w:pPr>
      <w:r>
        <w:rPr>
          <w:rFonts w:hint="eastAsia"/>
          <w:color w:val="auto"/>
        </w:rPr>
        <w:t>2.2.8重量：&lt;5 Kg；</w:t>
      </w:r>
    </w:p>
    <w:p w14:paraId="54306DD8">
      <w:pPr>
        <w:pageBreakBefore w:val="0"/>
        <w:wordWrap w:val="0"/>
        <w:overflowPunct/>
        <w:bidi w:val="0"/>
        <w:rPr>
          <w:color w:val="auto"/>
        </w:rPr>
      </w:pPr>
      <w:r>
        <w:rPr>
          <w:rFonts w:hint="eastAsia"/>
          <w:color w:val="auto"/>
        </w:rPr>
        <w:t>2.2.9M&amp;C监控：支持RS232和RS485/RS422和以太网（Web GUI）；</w:t>
      </w:r>
    </w:p>
    <w:p w14:paraId="4DDD7EDD">
      <w:pPr>
        <w:pageBreakBefore w:val="0"/>
        <w:wordWrap w:val="0"/>
        <w:overflowPunct/>
        <w:bidi w:val="0"/>
        <w:rPr>
          <w:color w:val="auto"/>
        </w:rPr>
      </w:pPr>
      <w:r>
        <w:rPr>
          <w:rFonts w:hint="eastAsia"/>
          <w:color w:val="auto"/>
        </w:rPr>
        <w:t>2.2.10支持1:1 冗余系统，内嵌控制器（无需额外控制器）；</w:t>
      </w:r>
    </w:p>
    <w:p w14:paraId="297CE322">
      <w:pPr>
        <w:pageBreakBefore w:val="0"/>
        <w:wordWrap w:val="0"/>
        <w:overflowPunct/>
        <w:bidi w:val="0"/>
        <w:rPr>
          <w:color w:val="auto"/>
        </w:rPr>
      </w:pPr>
      <w:r>
        <w:rPr>
          <w:rFonts w:hint="eastAsia"/>
          <w:color w:val="auto"/>
        </w:rPr>
        <w:t>2.3低噪声变频器（LNB）</w:t>
      </w:r>
    </w:p>
    <w:p w14:paraId="71FC11CD">
      <w:pPr>
        <w:pageBreakBefore w:val="0"/>
        <w:wordWrap w:val="0"/>
        <w:overflowPunct/>
        <w:bidi w:val="0"/>
        <w:rPr>
          <w:color w:val="auto"/>
        </w:rPr>
      </w:pPr>
      <w:r>
        <w:rPr>
          <w:rFonts w:hint="eastAsia"/>
          <w:color w:val="auto"/>
        </w:rPr>
        <w:t>2.3.1射频频率：12.25 GHz～12.75GHz；</w:t>
      </w:r>
    </w:p>
    <w:p w14:paraId="41D955AF">
      <w:pPr>
        <w:pageBreakBefore w:val="0"/>
        <w:wordWrap w:val="0"/>
        <w:overflowPunct/>
        <w:bidi w:val="0"/>
        <w:rPr>
          <w:color w:val="auto"/>
        </w:rPr>
      </w:pPr>
      <w:r>
        <w:rPr>
          <w:rFonts w:hint="eastAsia"/>
          <w:color w:val="auto"/>
        </w:rPr>
        <w:t>2.3.2输出频率范围：950MHz～1450MHz；</w:t>
      </w:r>
    </w:p>
    <w:p w14:paraId="4A6C4DA2">
      <w:pPr>
        <w:pageBreakBefore w:val="0"/>
        <w:wordWrap w:val="0"/>
        <w:overflowPunct/>
        <w:bidi w:val="0"/>
        <w:rPr>
          <w:color w:val="auto"/>
        </w:rPr>
      </w:pPr>
      <w:r>
        <w:rPr>
          <w:rFonts w:hint="eastAsia"/>
          <w:color w:val="auto"/>
        </w:rPr>
        <w:t>2.3.3本振频率：11.3GHz；</w:t>
      </w:r>
    </w:p>
    <w:p w14:paraId="5A1E60D9">
      <w:pPr>
        <w:pageBreakBefore w:val="0"/>
        <w:wordWrap w:val="0"/>
        <w:overflowPunct/>
        <w:bidi w:val="0"/>
        <w:rPr>
          <w:color w:val="auto"/>
        </w:rPr>
      </w:pPr>
      <w:r>
        <w:rPr>
          <w:rFonts w:hint="eastAsia"/>
          <w:color w:val="auto"/>
        </w:rPr>
        <w:t>2.3.4频率稳定度：±10MHz；</w:t>
      </w:r>
    </w:p>
    <w:p w14:paraId="1A066BF3">
      <w:pPr>
        <w:pageBreakBefore w:val="0"/>
        <w:wordWrap w:val="0"/>
        <w:overflowPunct/>
        <w:bidi w:val="0"/>
        <w:rPr>
          <w:color w:val="auto"/>
        </w:rPr>
      </w:pPr>
      <w:r>
        <w:rPr>
          <w:rFonts w:hint="eastAsia"/>
          <w:color w:val="auto"/>
        </w:rPr>
        <w:t>2.3.5噪声系数：≤0.8dB；</w:t>
      </w:r>
    </w:p>
    <w:p w14:paraId="2397C04B">
      <w:pPr>
        <w:pageBreakBefore w:val="0"/>
        <w:wordWrap w:val="0"/>
        <w:overflowPunct/>
        <w:bidi w:val="0"/>
        <w:rPr>
          <w:color w:val="auto"/>
        </w:rPr>
      </w:pPr>
      <w:r>
        <w:rPr>
          <w:rFonts w:hint="eastAsia"/>
          <w:color w:val="auto"/>
        </w:rPr>
        <w:t>2.3.6线性增益：典型值≥60dB。</w:t>
      </w:r>
    </w:p>
    <w:p w14:paraId="47D8FA3C">
      <w:pPr>
        <w:pageBreakBefore w:val="0"/>
        <w:wordWrap w:val="0"/>
        <w:overflowPunct/>
        <w:bidi w:val="0"/>
        <w:rPr>
          <w:color w:val="auto"/>
        </w:rPr>
      </w:pPr>
      <w:r>
        <w:rPr>
          <w:rFonts w:hint="eastAsia"/>
          <w:color w:val="auto"/>
        </w:rPr>
        <w:t>2.4消防专网业务调制解调器1台</w:t>
      </w:r>
    </w:p>
    <w:p w14:paraId="7FB0E585">
      <w:pPr>
        <w:pageBreakBefore w:val="0"/>
        <w:wordWrap w:val="0"/>
        <w:overflowPunct/>
        <w:bidi w:val="0"/>
        <w:rPr>
          <w:color w:val="auto"/>
        </w:rPr>
      </w:pPr>
      <w:r>
        <w:rPr>
          <w:rFonts w:hint="eastAsia"/>
          <w:color w:val="auto"/>
        </w:rPr>
        <w:t>★2.4.1能够接入国家消防救援局新网管系统（提供承诺函），界面为中文；</w:t>
      </w:r>
    </w:p>
    <w:p w14:paraId="3E308571">
      <w:pPr>
        <w:pageBreakBefore w:val="0"/>
        <w:wordWrap w:val="0"/>
        <w:overflowPunct/>
        <w:bidi w:val="0"/>
        <w:rPr>
          <w:color w:val="auto"/>
        </w:rPr>
      </w:pPr>
      <w:r>
        <w:rPr>
          <w:rFonts w:hint="eastAsia"/>
          <w:color w:val="auto"/>
        </w:rPr>
        <w:t>2.4.2频率范围：950 ~ 1950 MHz, 100 Hz 分辨率；</w:t>
      </w:r>
    </w:p>
    <w:p w14:paraId="4083A77E">
      <w:pPr>
        <w:pageBreakBefore w:val="0"/>
        <w:wordWrap w:val="0"/>
        <w:overflowPunct/>
        <w:bidi w:val="0"/>
        <w:rPr>
          <w:color w:val="auto"/>
        </w:rPr>
      </w:pPr>
      <w:r>
        <w:rPr>
          <w:rFonts w:hint="eastAsia"/>
          <w:color w:val="auto"/>
        </w:rPr>
        <w:t>2.4.3调制方式：≥BPSK、QPSK、8PSK、16APSK；</w:t>
      </w:r>
    </w:p>
    <w:p w14:paraId="177BB41F">
      <w:pPr>
        <w:pageBreakBefore w:val="0"/>
        <w:wordWrap w:val="0"/>
        <w:overflowPunct/>
        <w:bidi w:val="0"/>
        <w:rPr>
          <w:color w:val="auto"/>
        </w:rPr>
      </w:pPr>
      <w:r>
        <w:rPr>
          <w:rFonts w:hint="eastAsia"/>
          <w:color w:val="auto"/>
        </w:rPr>
        <w:t>2.4.4输入/输出阻抗和接头：发射：50Ω( N 型阴头) 接收：50Ω (N 型阴头)；</w:t>
      </w:r>
    </w:p>
    <w:p w14:paraId="329DF828">
      <w:pPr>
        <w:pageBreakBefore w:val="0"/>
        <w:wordWrap w:val="0"/>
        <w:overflowPunct/>
        <w:bidi w:val="0"/>
        <w:rPr>
          <w:color w:val="auto"/>
        </w:rPr>
      </w:pPr>
      <w:r>
        <w:rPr>
          <w:rFonts w:hint="eastAsia"/>
          <w:color w:val="auto"/>
        </w:rPr>
        <w:t>2.4.5数据接口：10/100 Base-T 以太网接口， V.35， RS-232，支持VNO 管理；</w:t>
      </w:r>
    </w:p>
    <w:p w14:paraId="606113FF">
      <w:pPr>
        <w:pageBreakBefore w:val="0"/>
        <w:wordWrap w:val="0"/>
        <w:overflowPunct/>
        <w:bidi w:val="0"/>
        <w:rPr>
          <w:color w:val="auto"/>
        </w:rPr>
      </w:pPr>
      <w:r>
        <w:rPr>
          <w:rFonts w:hint="eastAsia"/>
          <w:color w:val="auto"/>
        </w:rPr>
        <w:t>2.4.6服务质量保证：Quality of Service (4 Level Priority)；</w:t>
      </w:r>
    </w:p>
    <w:p w14:paraId="17365551">
      <w:pPr>
        <w:pageBreakBefore w:val="0"/>
        <w:wordWrap w:val="0"/>
        <w:overflowPunct/>
        <w:bidi w:val="0"/>
        <w:rPr>
          <w:color w:val="auto"/>
        </w:rPr>
      </w:pPr>
      <w:r>
        <w:rPr>
          <w:rFonts w:hint="eastAsia"/>
          <w:color w:val="auto"/>
        </w:rPr>
        <w:t>2.4.7 IP 模块标准特性：支持Managed Switch 模式和路由模式，支持单播和多播的静态IP 路由，支持SNMP, Web 或Telnet 的管理，支持组播协议IGMP v1 和v2，支持对称与非对称传输，实现最大的带宽效率； M&amp;C 监控接口：EIA-232，EIA-485 (2-或4-线)，以太网Ethernet 10/100 Base T；</w:t>
      </w:r>
    </w:p>
    <w:p w14:paraId="4C674F31">
      <w:pPr>
        <w:pageBreakBefore w:val="0"/>
        <w:wordWrap w:val="0"/>
        <w:overflowPunct/>
        <w:bidi w:val="0"/>
        <w:rPr>
          <w:color w:val="auto"/>
        </w:rPr>
      </w:pPr>
      <w:r>
        <w:rPr>
          <w:rFonts w:hint="eastAsia"/>
          <w:color w:val="auto"/>
        </w:rPr>
        <w:t>2.5高通量业务调制解调器1台</w:t>
      </w:r>
    </w:p>
    <w:p w14:paraId="25C51791">
      <w:pPr>
        <w:pageBreakBefore w:val="0"/>
        <w:wordWrap w:val="0"/>
        <w:overflowPunct/>
        <w:bidi w:val="0"/>
        <w:rPr>
          <w:color w:val="auto"/>
        </w:rPr>
      </w:pPr>
      <w:r>
        <w:rPr>
          <w:rFonts w:hint="eastAsia"/>
          <w:color w:val="auto"/>
        </w:rPr>
        <w:t>2.5.1可接入Ku频段高通量国产卫星的国产卫星通信系统；</w:t>
      </w:r>
    </w:p>
    <w:p w14:paraId="5C52DFC7">
      <w:pPr>
        <w:pageBreakBefore w:val="0"/>
        <w:wordWrap w:val="0"/>
        <w:overflowPunct/>
        <w:bidi w:val="0"/>
        <w:rPr>
          <w:color w:val="auto"/>
        </w:rPr>
      </w:pPr>
      <w:r>
        <w:rPr>
          <w:rFonts w:hint="eastAsia"/>
          <w:color w:val="auto"/>
        </w:rPr>
        <w:t>2.5.2DVB-S2（最高45 Msps）/ DVB-S2X（最高100 Msps）出境</w:t>
      </w:r>
    </w:p>
    <w:p w14:paraId="3D663139">
      <w:pPr>
        <w:pageBreakBefore w:val="0"/>
        <w:wordWrap w:val="0"/>
        <w:overflowPunct/>
        <w:bidi w:val="0"/>
        <w:rPr>
          <w:color w:val="auto"/>
        </w:rPr>
      </w:pPr>
      <w:r>
        <w:rPr>
          <w:rFonts w:hint="eastAsia"/>
          <w:color w:val="auto"/>
        </w:rPr>
        <w:t>2.5.3全系列DVB-S2X支持高达256APSK的编码方式</w:t>
      </w:r>
    </w:p>
    <w:p w14:paraId="44D39566">
      <w:pPr>
        <w:pageBreakBefore w:val="0"/>
        <w:wordWrap w:val="0"/>
        <w:overflowPunct/>
        <w:bidi w:val="0"/>
        <w:rPr>
          <w:color w:val="auto"/>
        </w:rPr>
      </w:pPr>
      <w:r>
        <w:rPr>
          <w:rFonts w:hint="eastAsia"/>
          <w:color w:val="auto"/>
        </w:rPr>
        <w:t>2.5.4自适应TDMA最高15 Msps，16QAM</w:t>
      </w:r>
    </w:p>
    <w:p w14:paraId="72EE7991">
      <w:pPr>
        <w:pageBreakBefore w:val="0"/>
        <w:wordWrap w:val="0"/>
        <w:overflowPunct/>
        <w:bidi w:val="0"/>
        <w:rPr>
          <w:color w:val="auto"/>
        </w:rPr>
      </w:pPr>
      <w:r>
        <w:rPr>
          <w:rFonts w:hint="eastAsia"/>
          <w:color w:val="auto"/>
        </w:rPr>
        <w:t xml:space="preserve">2.5.5适应于固定和移动站 </w:t>
      </w:r>
    </w:p>
    <w:p w14:paraId="69A19665">
      <w:pPr>
        <w:pageBreakBefore w:val="0"/>
        <w:wordWrap w:val="0"/>
        <w:overflowPunct/>
        <w:bidi w:val="0"/>
        <w:rPr>
          <w:color w:val="auto"/>
        </w:rPr>
      </w:pPr>
      <w:r>
        <w:rPr>
          <w:rFonts w:hint="eastAsia"/>
          <w:color w:val="auto"/>
        </w:rPr>
        <w:t>2.5.6具有256位AES链接加密的安全功能</w:t>
      </w:r>
    </w:p>
    <w:p w14:paraId="22E0D7ED">
      <w:pPr>
        <w:pageBreakBefore w:val="0"/>
        <w:wordWrap w:val="0"/>
        <w:overflowPunct/>
        <w:bidi w:val="0"/>
        <w:rPr>
          <w:color w:val="auto"/>
        </w:rPr>
      </w:pPr>
      <w:r>
        <w:rPr>
          <w:rFonts w:hint="eastAsia"/>
          <w:color w:val="auto"/>
        </w:rPr>
        <w:t>2.5.7提供BUC兼容10和50 MHz参考信号</w:t>
      </w:r>
    </w:p>
    <w:p w14:paraId="49FCDDEA">
      <w:pPr>
        <w:pageBreakBefore w:val="0"/>
        <w:wordWrap w:val="0"/>
        <w:overflowPunct/>
        <w:bidi w:val="0"/>
        <w:rPr>
          <w:color w:val="auto"/>
        </w:rPr>
      </w:pPr>
      <w:r>
        <w:rPr>
          <w:rFonts w:hint="eastAsia"/>
          <w:color w:val="auto"/>
        </w:rPr>
        <w:t xml:space="preserve">2.5.8兼容OpenAMIP协议，易于集成 </w:t>
      </w:r>
    </w:p>
    <w:p w14:paraId="5944209B">
      <w:pPr>
        <w:pageBreakBefore w:val="0"/>
        <w:wordWrap w:val="0"/>
        <w:overflowPunct/>
        <w:bidi w:val="0"/>
        <w:rPr>
          <w:color w:val="auto"/>
        </w:rPr>
      </w:pPr>
      <w:r>
        <w:rPr>
          <w:rFonts w:hint="eastAsia"/>
          <w:color w:val="auto"/>
        </w:rPr>
        <w:t>2.5.9中频频率：≥ 950MHz～2150MHz 的范围；</w:t>
      </w:r>
    </w:p>
    <w:p w14:paraId="08EEBD54">
      <w:pPr>
        <w:pageBreakBefore w:val="0"/>
        <w:wordWrap w:val="0"/>
        <w:overflowPunct/>
        <w:bidi w:val="0"/>
        <w:rPr>
          <w:color w:val="auto"/>
        </w:rPr>
      </w:pPr>
      <w:r>
        <w:rPr>
          <w:rFonts w:hint="eastAsia"/>
          <w:color w:val="auto"/>
        </w:rPr>
        <w:t>2.5.10输出电平：≥-50dBm～0dBm 的范围；</w:t>
      </w:r>
    </w:p>
    <w:p w14:paraId="1420B670">
      <w:pPr>
        <w:pageBreakBefore w:val="0"/>
        <w:wordWrap w:val="0"/>
        <w:overflowPunct/>
        <w:bidi w:val="0"/>
        <w:rPr>
          <w:color w:val="auto"/>
        </w:rPr>
      </w:pPr>
      <w:r>
        <w:rPr>
          <w:rFonts w:hint="eastAsia"/>
          <w:color w:val="auto"/>
        </w:rPr>
        <w:t>2.5.11输出杂散：优于-55dBc/4kHz；</w:t>
      </w:r>
    </w:p>
    <w:p w14:paraId="1A843C9C">
      <w:pPr>
        <w:pageBreakBefore w:val="0"/>
        <w:wordWrap w:val="0"/>
        <w:overflowPunct/>
        <w:bidi w:val="0"/>
        <w:rPr>
          <w:color w:val="auto"/>
        </w:rPr>
      </w:pPr>
      <w:r>
        <w:rPr>
          <w:rFonts w:hint="eastAsia"/>
          <w:color w:val="auto"/>
        </w:rPr>
        <w:t xml:space="preserve">2.5.12调制解调方式：前返向载波都至少包含 BPSK、QPSK、8PSK、16APSK； </w:t>
      </w:r>
    </w:p>
    <w:p w14:paraId="4C97146D">
      <w:pPr>
        <w:pageBreakBefore w:val="0"/>
        <w:wordWrap w:val="0"/>
        <w:overflowPunct/>
        <w:bidi w:val="0"/>
        <w:rPr>
          <w:color w:val="auto"/>
        </w:rPr>
      </w:pPr>
      <w:r>
        <w:rPr>
          <w:rFonts w:hint="eastAsia"/>
          <w:color w:val="auto"/>
        </w:rPr>
        <w:t>2.5.13最高数据速率：前返向最大速率均≥50Mbps；</w:t>
      </w:r>
    </w:p>
    <w:p w14:paraId="2EEDCC5B">
      <w:pPr>
        <w:pageBreakBefore w:val="0"/>
        <w:wordWrap w:val="0"/>
        <w:overflowPunct/>
        <w:bidi w:val="0"/>
        <w:rPr>
          <w:color w:val="auto"/>
        </w:rPr>
      </w:pPr>
      <w:r>
        <w:rPr>
          <w:rFonts w:hint="eastAsia"/>
          <w:color w:val="auto"/>
        </w:rPr>
        <w:t>2.5.14外形尺寸：标准1U上架机箱；</w:t>
      </w:r>
    </w:p>
    <w:p w14:paraId="1E10979B">
      <w:pPr>
        <w:pageBreakBefore w:val="0"/>
        <w:wordWrap w:val="0"/>
        <w:overflowPunct/>
        <w:bidi w:val="0"/>
        <w:rPr>
          <w:color w:val="auto"/>
        </w:rPr>
      </w:pPr>
      <w:r>
        <w:rPr>
          <w:rFonts w:hint="eastAsia"/>
          <w:color w:val="auto"/>
        </w:rPr>
        <w:t>2.5.15温度范围：工作温度≥-40～60°C；储存温度≥-50～85°C；</w:t>
      </w:r>
    </w:p>
    <w:p w14:paraId="5FF9CB0D">
      <w:pPr>
        <w:pageBreakBefore w:val="0"/>
        <w:wordWrap w:val="0"/>
        <w:overflowPunct/>
        <w:bidi w:val="0"/>
        <w:rPr>
          <w:color w:val="auto"/>
        </w:rPr>
      </w:pPr>
      <w:r>
        <w:rPr>
          <w:rFonts w:hint="eastAsia"/>
          <w:color w:val="auto"/>
        </w:rPr>
        <w:t>★2.5.16含3年不限流量通信费用。</w:t>
      </w:r>
      <w:r>
        <w:rPr>
          <w:rFonts w:hint="eastAsia"/>
          <w:color w:val="auto"/>
        </w:rPr>
        <w:tab/>
      </w:r>
    </w:p>
    <w:p w14:paraId="5F9E63A4">
      <w:pPr>
        <w:pageBreakBefore w:val="0"/>
        <w:wordWrap w:val="0"/>
        <w:overflowPunct/>
        <w:bidi w:val="0"/>
        <w:rPr>
          <w:color w:val="auto"/>
        </w:rPr>
      </w:pPr>
      <w:r>
        <w:rPr>
          <w:rFonts w:hint="eastAsia"/>
          <w:color w:val="auto"/>
        </w:rPr>
        <w:t>2.6射频功分器1台</w:t>
      </w:r>
    </w:p>
    <w:p w14:paraId="6BF9EE88">
      <w:pPr>
        <w:pageBreakBefore w:val="0"/>
        <w:wordWrap w:val="0"/>
        <w:overflowPunct/>
        <w:bidi w:val="0"/>
        <w:rPr>
          <w:color w:val="auto"/>
        </w:rPr>
      </w:pPr>
      <w:r>
        <w:rPr>
          <w:rFonts w:hint="eastAsia"/>
          <w:color w:val="auto"/>
        </w:rPr>
        <w:t>2.6.1类型：1分4路，4合1各一；</w:t>
      </w:r>
    </w:p>
    <w:p w14:paraId="6858D915">
      <w:pPr>
        <w:pageBreakBefore w:val="0"/>
        <w:wordWrap w:val="0"/>
        <w:overflowPunct/>
        <w:bidi w:val="0"/>
        <w:rPr>
          <w:color w:val="auto"/>
        </w:rPr>
      </w:pPr>
      <w:r>
        <w:rPr>
          <w:rFonts w:hint="eastAsia"/>
          <w:color w:val="auto"/>
        </w:rPr>
        <w:t>2.6.2频率范围：950～1450MHz；</w:t>
      </w:r>
    </w:p>
    <w:p w14:paraId="21FAFECC">
      <w:pPr>
        <w:pageBreakBefore w:val="0"/>
        <w:wordWrap w:val="0"/>
        <w:overflowPunct/>
        <w:bidi w:val="0"/>
        <w:rPr>
          <w:color w:val="auto"/>
        </w:rPr>
      </w:pPr>
      <w:r>
        <w:rPr>
          <w:rFonts w:hint="eastAsia"/>
          <w:color w:val="auto"/>
        </w:rPr>
        <w:t>2.6.3阻抗：≤50欧姆；</w:t>
      </w:r>
    </w:p>
    <w:p w14:paraId="5F97E1EE">
      <w:pPr>
        <w:pageBreakBefore w:val="0"/>
        <w:wordWrap w:val="0"/>
        <w:overflowPunct/>
        <w:bidi w:val="0"/>
        <w:rPr>
          <w:color w:val="auto"/>
        </w:rPr>
      </w:pPr>
      <w:r>
        <w:rPr>
          <w:rFonts w:hint="eastAsia"/>
          <w:color w:val="auto"/>
        </w:rPr>
        <w:t>2.6.4插损：0.6～0.8dB；</w:t>
      </w:r>
    </w:p>
    <w:p w14:paraId="2C63EB5A">
      <w:pPr>
        <w:pageBreakBefore w:val="0"/>
        <w:wordWrap w:val="0"/>
        <w:overflowPunct/>
        <w:bidi w:val="0"/>
        <w:rPr>
          <w:color w:val="auto"/>
        </w:rPr>
      </w:pPr>
      <w:r>
        <w:rPr>
          <w:rFonts w:hint="eastAsia"/>
          <w:color w:val="auto"/>
        </w:rPr>
        <w:t>2.6.5隔离度：≥20dB；</w:t>
      </w:r>
    </w:p>
    <w:p w14:paraId="75BD0045">
      <w:pPr>
        <w:pageBreakBefore w:val="0"/>
        <w:wordWrap w:val="0"/>
        <w:overflowPunct/>
        <w:bidi w:val="0"/>
        <w:rPr>
          <w:color w:val="auto"/>
        </w:rPr>
      </w:pPr>
      <w:r>
        <w:rPr>
          <w:rFonts w:hint="eastAsia"/>
          <w:color w:val="auto"/>
        </w:rPr>
        <w:t>2.6.6其他：含接收端供电。</w:t>
      </w:r>
    </w:p>
    <w:p w14:paraId="796B34A2">
      <w:pPr>
        <w:pageBreakBefore w:val="0"/>
        <w:wordWrap w:val="0"/>
        <w:overflowPunct/>
        <w:bidi w:val="0"/>
        <w:rPr>
          <w:color w:val="auto"/>
        </w:rPr>
      </w:pPr>
      <w:r>
        <w:rPr>
          <w:rFonts w:hint="eastAsia"/>
          <w:color w:val="auto"/>
        </w:rPr>
        <w:t>3.1专网语音通信系统</w:t>
      </w:r>
    </w:p>
    <w:p w14:paraId="3EF9948C">
      <w:pPr>
        <w:pageBreakBefore w:val="0"/>
        <w:wordWrap w:val="0"/>
        <w:overflowPunct/>
        <w:bidi w:val="0"/>
        <w:rPr>
          <w:color w:val="auto"/>
        </w:rPr>
      </w:pPr>
      <w:r>
        <w:rPr>
          <w:rFonts w:hint="eastAsia"/>
          <w:color w:val="auto"/>
        </w:rPr>
        <w:t>3.1.1车载台1台（驾驶室内）。</w:t>
      </w:r>
    </w:p>
    <w:p w14:paraId="784CA44F">
      <w:pPr>
        <w:pageBreakBefore w:val="0"/>
        <w:wordWrap w:val="0"/>
        <w:overflowPunct/>
        <w:bidi w:val="0"/>
        <w:rPr>
          <w:color w:val="auto"/>
        </w:rPr>
      </w:pPr>
      <w:r>
        <w:rPr>
          <w:rFonts w:hint="eastAsia"/>
          <w:color w:val="auto"/>
        </w:rPr>
        <w:t>3.1.2支持PDT制式，模拟+数字双模制式，中英文显示，频率范围：350-400M。频点与使用单位现有频点兼容，能接入使用单位现有专用网络；信道：≥1000个；信道间隔：12.5KHz/20KHz/25KHz/；工作电压13.6V±15%，天线阻抗50Ω；防水防尘≥IP54;含吸盘天线，支持北斗定位功能。</w:t>
      </w:r>
    </w:p>
    <w:p w14:paraId="5F7689AA">
      <w:pPr>
        <w:pageBreakBefore w:val="0"/>
        <w:wordWrap w:val="0"/>
        <w:overflowPunct/>
        <w:bidi w:val="0"/>
        <w:rPr>
          <w:color w:val="auto"/>
        </w:rPr>
      </w:pPr>
      <w:r>
        <w:rPr>
          <w:rFonts w:hint="eastAsia"/>
          <w:color w:val="auto"/>
        </w:rPr>
        <w:t>3.1.3屏幕尺寸≥1.8英寸，TFT 彩色显示屏，不低于25万色；通过信道切换旋钮/音量调节旋钮即可实现工作模式的切换；</w:t>
      </w:r>
    </w:p>
    <w:p w14:paraId="5A8E82ED">
      <w:pPr>
        <w:pageBreakBefore w:val="0"/>
        <w:wordWrap w:val="0"/>
        <w:overflowPunct/>
        <w:bidi w:val="0"/>
        <w:rPr>
          <w:color w:val="auto"/>
        </w:rPr>
      </w:pPr>
      <w:r>
        <w:rPr>
          <w:rFonts w:hint="eastAsia"/>
          <w:color w:val="auto"/>
        </w:rPr>
        <w:t>3.1.4发射功率：高功率:25W，低功率:5W；</w:t>
      </w:r>
    </w:p>
    <w:p w14:paraId="1EF52F12">
      <w:pPr>
        <w:pageBreakBefore w:val="0"/>
        <w:wordWrap w:val="0"/>
        <w:overflowPunct/>
        <w:bidi w:val="0"/>
        <w:rPr>
          <w:color w:val="auto"/>
        </w:rPr>
      </w:pPr>
      <w:r>
        <w:rPr>
          <w:rFonts w:hint="eastAsia"/>
          <w:color w:val="auto"/>
        </w:rPr>
        <w:t>3.1.5内置蓝牙模块，能够支持蓝牙耳机、手咪等多种配件，蓝牙协议版本不低于4.0；</w:t>
      </w:r>
    </w:p>
    <w:p w14:paraId="273ABF1E">
      <w:pPr>
        <w:pageBreakBefore w:val="0"/>
        <w:wordWrap w:val="0"/>
        <w:overflowPunct/>
        <w:bidi w:val="0"/>
        <w:rPr>
          <w:color w:val="auto"/>
        </w:rPr>
      </w:pPr>
      <w:r>
        <w:rPr>
          <w:rFonts w:hint="eastAsia"/>
          <w:color w:val="auto"/>
        </w:rPr>
        <w:t>3.1.6需提供有效期内无线电发射设备型号核准证；</w:t>
      </w:r>
    </w:p>
    <w:p w14:paraId="15D157CB">
      <w:pPr>
        <w:pageBreakBefore w:val="0"/>
        <w:wordWrap w:val="0"/>
        <w:overflowPunct/>
        <w:bidi w:val="0"/>
        <w:rPr>
          <w:color w:val="auto"/>
        </w:rPr>
      </w:pPr>
      <w:r>
        <w:rPr>
          <w:rFonts w:hint="eastAsia"/>
          <w:color w:val="auto"/>
        </w:rPr>
        <w:t>3.1.7应具有良好的可靠性及耐用性，符合国军标GJB150A-2009，能够在各种恶劣的工作环境中发挥优异性能。</w:t>
      </w:r>
    </w:p>
    <w:p w14:paraId="25866158">
      <w:pPr>
        <w:pageBreakBefore w:val="0"/>
        <w:wordWrap w:val="0"/>
        <w:overflowPunct/>
        <w:bidi w:val="0"/>
        <w:rPr>
          <w:color w:val="auto"/>
        </w:rPr>
      </w:pPr>
      <w:r>
        <w:rPr>
          <w:rFonts w:hint="eastAsia"/>
          <w:color w:val="auto"/>
        </w:rPr>
        <w:t>3.2 PDT转信台1台</w:t>
      </w:r>
    </w:p>
    <w:p w14:paraId="7748E272">
      <w:pPr>
        <w:pageBreakBefore w:val="0"/>
        <w:wordWrap w:val="0"/>
        <w:overflowPunct/>
        <w:bidi w:val="0"/>
        <w:rPr>
          <w:color w:val="auto"/>
        </w:rPr>
      </w:pPr>
      <w:r>
        <w:rPr>
          <w:rFonts w:hint="eastAsia"/>
          <w:color w:val="auto"/>
        </w:rPr>
        <w:t>3.2.1频率：350-400MHz；</w:t>
      </w:r>
    </w:p>
    <w:p w14:paraId="7C00F89A">
      <w:pPr>
        <w:pageBreakBefore w:val="0"/>
        <w:wordWrap w:val="0"/>
        <w:overflowPunct/>
        <w:bidi w:val="0"/>
        <w:rPr>
          <w:color w:val="auto"/>
        </w:rPr>
      </w:pPr>
      <w:r>
        <w:rPr>
          <w:rFonts w:hint="eastAsia"/>
          <w:color w:val="auto"/>
        </w:rPr>
        <w:t>3.2.2信道容量：＞1000；</w:t>
      </w:r>
    </w:p>
    <w:p w14:paraId="66991416">
      <w:pPr>
        <w:pageBreakBefore w:val="0"/>
        <w:wordWrap w:val="0"/>
        <w:overflowPunct/>
        <w:bidi w:val="0"/>
        <w:rPr>
          <w:color w:val="auto"/>
        </w:rPr>
      </w:pPr>
      <w:r>
        <w:rPr>
          <w:rFonts w:hint="eastAsia"/>
          <w:color w:val="auto"/>
        </w:rPr>
        <w:t>3.2.3支持数字和模拟两种模式，可根据收到的信号类别智能选择工作信道；</w:t>
      </w:r>
    </w:p>
    <w:p w14:paraId="321F5C30">
      <w:pPr>
        <w:pageBreakBefore w:val="0"/>
        <w:wordWrap w:val="0"/>
        <w:overflowPunct/>
        <w:bidi w:val="0"/>
        <w:rPr>
          <w:color w:val="auto"/>
        </w:rPr>
      </w:pPr>
      <w:r>
        <w:rPr>
          <w:rFonts w:hint="eastAsia"/>
          <w:color w:val="auto"/>
        </w:rPr>
        <w:t>3.2.3 256位数字加密技术，可以防止通话内容被他人非法窃听；</w:t>
      </w:r>
    </w:p>
    <w:p w14:paraId="199BC4DF">
      <w:pPr>
        <w:pageBreakBefore w:val="0"/>
        <w:wordWrap w:val="0"/>
        <w:overflowPunct/>
        <w:bidi w:val="0"/>
        <w:rPr>
          <w:color w:val="auto"/>
        </w:rPr>
      </w:pPr>
      <w:r>
        <w:rPr>
          <w:rFonts w:hint="eastAsia"/>
          <w:color w:val="auto"/>
        </w:rPr>
        <w:t>3.2.4外形尺寸：≤2RU、19英寸机柜式设计；</w:t>
      </w:r>
    </w:p>
    <w:p w14:paraId="1A669B33">
      <w:pPr>
        <w:pageBreakBefore w:val="0"/>
        <w:wordWrap w:val="0"/>
        <w:overflowPunct/>
        <w:bidi w:val="0"/>
        <w:rPr>
          <w:color w:val="auto"/>
        </w:rPr>
      </w:pPr>
      <w:r>
        <w:rPr>
          <w:rFonts w:hint="eastAsia"/>
          <w:color w:val="auto"/>
        </w:rPr>
        <w:t>3.2.5具有模拟数字自动切换功能；</w:t>
      </w:r>
    </w:p>
    <w:p w14:paraId="701E8B10">
      <w:pPr>
        <w:pageBreakBefore w:val="0"/>
        <w:wordWrap w:val="0"/>
        <w:overflowPunct/>
        <w:bidi w:val="0"/>
        <w:rPr>
          <w:color w:val="auto"/>
        </w:rPr>
      </w:pPr>
      <w:r>
        <w:rPr>
          <w:rFonts w:hint="eastAsia"/>
          <w:color w:val="auto"/>
        </w:rPr>
        <w:t>3.2.6支持IP互联功能；</w:t>
      </w:r>
    </w:p>
    <w:p w14:paraId="1E510C28">
      <w:pPr>
        <w:pageBreakBefore w:val="0"/>
        <w:wordWrap w:val="0"/>
        <w:overflowPunct/>
        <w:bidi w:val="0"/>
        <w:rPr>
          <w:color w:val="auto"/>
        </w:rPr>
      </w:pPr>
      <w:r>
        <w:rPr>
          <w:rFonts w:hint="eastAsia"/>
          <w:color w:val="auto"/>
        </w:rPr>
        <w:t>3.2.7灵敏度：模拟≥0.3μV，数字≥0.3uV/BER5%；</w:t>
      </w:r>
    </w:p>
    <w:p w14:paraId="6059BFD4">
      <w:pPr>
        <w:pageBreakBefore w:val="0"/>
        <w:wordWrap w:val="0"/>
        <w:overflowPunct/>
        <w:bidi w:val="0"/>
        <w:rPr>
          <w:color w:val="auto"/>
        </w:rPr>
      </w:pPr>
      <w:r>
        <w:rPr>
          <w:rFonts w:hint="eastAsia"/>
          <w:color w:val="auto"/>
        </w:rPr>
        <w:t>3.2.8额定音频失真：&lt;3%；</w:t>
      </w:r>
    </w:p>
    <w:p w14:paraId="6E36A0A8">
      <w:pPr>
        <w:pageBreakBefore w:val="0"/>
        <w:wordWrap w:val="0"/>
        <w:overflowPunct/>
        <w:bidi w:val="0"/>
        <w:rPr>
          <w:color w:val="auto"/>
        </w:rPr>
      </w:pPr>
      <w:r>
        <w:rPr>
          <w:rFonts w:hint="eastAsia"/>
          <w:color w:val="auto"/>
        </w:rPr>
        <w:t>3.2.9传导发射杂散：&lt;-57 dBm</w:t>
      </w:r>
    </w:p>
    <w:p w14:paraId="7FAB03FD">
      <w:pPr>
        <w:pageBreakBefore w:val="0"/>
        <w:wordWrap w:val="0"/>
        <w:overflowPunct/>
        <w:bidi w:val="0"/>
        <w:rPr>
          <w:color w:val="auto"/>
        </w:rPr>
      </w:pPr>
      <w:r>
        <w:rPr>
          <w:rFonts w:hint="eastAsia"/>
          <w:color w:val="auto"/>
        </w:rPr>
        <w:t>3.2.10配置手柄话筒1个；</w:t>
      </w:r>
    </w:p>
    <w:p w14:paraId="6722F412">
      <w:pPr>
        <w:pageBreakBefore w:val="0"/>
        <w:wordWrap w:val="0"/>
        <w:overflowPunct/>
        <w:bidi w:val="0"/>
        <w:rPr>
          <w:color w:val="auto"/>
        </w:rPr>
      </w:pPr>
      <w:r>
        <w:rPr>
          <w:rFonts w:hint="eastAsia"/>
          <w:color w:val="auto"/>
        </w:rPr>
        <w:t>3.2.11配置双工器。</w:t>
      </w:r>
    </w:p>
    <w:p w14:paraId="45FFD281">
      <w:pPr>
        <w:pageBreakBefore w:val="0"/>
        <w:wordWrap w:val="0"/>
        <w:overflowPunct/>
        <w:bidi w:val="0"/>
        <w:rPr>
          <w:color w:val="auto"/>
        </w:rPr>
      </w:pPr>
      <w:r>
        <w:rPr>
          <w:rFonts w:hint="eastAsia"/>
          <w:color w:val="auto"/>
        </w:rPr>
        <w:t>3.3对讲机排充1个</w:t>
      </w:r>
    </w:p>
    <w:p w14:paraId="26FDF53E">
      <w:pPr>
        <w:pageBreakBefore w:val="0"/>
        <w:wordWrap w:val="0"/>
        <w:overflowPunct/>
        <w:bidi w:val="0"/>
        <w:rPr>
          <w:color w:val="auto"/>
        </w:rPr>
      </w:pPr>
      <w:r>
        <w:rPr>
          <w:rFonts w:hint="eastAsia"/>
          <w:color w:val="auto"/>
        </w:rPr>
        <w:t>3.3.1可同时为六台手持台充电，手持台型号由使用单位提供。</w:t>
      </w:r>
    </w:p>
    <w:p w14:paraId="2F1749B9">
      <w:pPr>
        <w:pageBreakBefore w:val="0"/>
        <w:wordWrap w:val="0"/>
        <w:overflowPunct/>
        <w:bidi w:val="0"/>
        <w:rPr>
          <w:color w:val="auto"/>
        </w:rPr>
      </w:pPr>
      <w:r>
        <w:rPr>
          <w:rFonts w:hint="eastAsia"/>
          <w:color w:val="auto"/>
        </w:rPr>
        <w:t>3.3.2满足同时对六台对讲机或六块电池进行快速充电。</w:t>
      </w:r>
    </w:p>
    <w:p w14:paraId="00D354CA">
      <w:pPr>
        <w:pageBreakBefore w:val="0"/>
        <w:wordWrap w:val="0"/>
        <w:overflowPunct/>
        <w:bidi w:val="0"/>
        <w:rPr>
          <w:color w:val="auto"/>
        </w:rPr>
      </w:pPr>
      <w:r>
        <w:rPr>
          <w:rFonts w:hint="eastAsia"/>
          <w:color w:val="auto"/>
        </w:rPr>
        <w:t>3.4天通卫星电话1部</w:t>
      </w:r>
    </w:p>
    <w:p w14:paraId="3F526A52">
      <w:pPr>
        <w:pageBreakBefore w:val="0"/>
        <w:wordWrap w:val="0"/>
        <w:overflowPunct/>
        <w:bidi w:val="0"/>
        <w:rPr>
          <w:color w:val="auto"/>
        </w:rPr>
      </w:pPr>
      <w:r>
        <w:rPr>
          <w:rFonts w:hint="eastAsia"/>
          <w:color w:val="auto"/>
        </w:rPr>
        <w:t>3.4.1基本功能：天通卫星移动通信话音、短信功能；支持地面移动网络2G、3G、4G，联通2G网络话音、短信和数据功能，支持单北斗定位功能；</w:t>
      </w:r>
    </w:p>
    <w:p w14:paraId="432D4E68">
      <w:pPr>
        <w:pageBreakBefore w:val="0"/>
        <w:wordWrap w:val="0"/>
        <w:overflowPunct/>
        <w:bidi w:val="0"/>
        <w:rPr>
          <w:color w:val="auto"/>
        </w:rPr>
      </w:pPr>
      <w:r>
        <w:rPr>
          <w:rFonts w:hint="eastAsia"/>
          <w:color w:val="auto"/>
        </w:rPr>
        <w:t>3.4.2显示单元：≥5英寸显示屏，支持触摸屏功能；</w:t>
      </w:r>
    </w:p>
    <w:p w14:paraId="4100342D">
      <w:pPr>
        <w:pageBreakBefore w:val="0"/>
        <w:wordWrap w:val="0"/>
        <w:overflowPunct/>
        <w:bidi w:val="0"/>
        <w:rPr>
          <w:color w:val="auto"/>
        </w:rPr>
      </w:pPr>
      <w:r>
        <w:rPr>
          <w:rFonts w:hint="eastAsia"/>
          <w:color w:val="auto"/>
        </w:rPr>
        <w:t>3.4.3存储单元：运行内存：≥2GB RAM，机身内存：≥16GB ROM，最大存储扩展≥32GB；</w:t>
      </w:r>
    </w:p>
    <w:p w14:paraId="6BFFD4A3">
      <w:pPr>
        <w:pageBreakBefore w:val="0"/>
        <w:wordWrap w:val="0"/>
        <w:overflowPunct/>
        <w:bidi w:val="0"/>
        <w:rPr>
          <w:color w:val="auto"/>
        </w:rPr>
      </w:pPr>
      <w:r>
        <w:rPr>
          <w:rFonts w:hint="eastAsia"/>
          <w:color w:val="auto"/>
        </w:rPr>
        <w:t>3.4.4终端电池：采用额定电压7.4V/5700mAh锂电池供电；</w:t>
      </w:r>
    </w:p>
    <w:p w14:paraId="783FD607">
      <w:pPr>
        <w:pageBreakBefore w:val="0"/>
        <w:wordWrap w:val="0"/>
        <w:overflowPunct/>
        <w:bidi w:val="0"/>
        <w:rPr>
          <w:color w:val="auto"/>
        </w:rPr>
      </w:pPr>
      <w:r>
        <w:rPr>
          <w:rFonts w:hint="eastAsia"/>
          <w:color w:val="auto"/>
        </w:rPr>
        <w:t>3.4.5工作时长： 待机时长：≥150小时，工作时长：≥8小时；</w:t>
      </w:r>
    </w:p>
    <w:p w14:paraId="4C498891">
      <w:pPr>
        <w:pageBreakBefore w:val="0"/>
        <w:wordWrap w:val="0"/>
        <w:overflowPunct/>
        <w:bidi w:val="0"/>
        <w:rPr>
          <w:color w:val="auto"/>
        </w:rPr>
      </w:pPr>
      <w:r>
        <w:rPr>
          <w:rFonts w:hint="eastAsia"/>
          <w:color w:val="auto"/>
        </w:rPr>
        <w:t>3.4.6外部接口：支持USB TYPE-C接口；支持RJ9话柄接口、RJ11二线话接口；支持TNC卫星天线接口、SMA定位天线接口；支持TF卡存储扩展接口、支持天通和地面双SIM卡接口；支持外部9V～12V和A型USB供电接口，支持网口、串口和PBX接口等。</w:t>
      </w:r>
    </w:p>
    <w:p w14:paraId="588EA9C3">
      <w:pPr>
        <w:pageBreakBefore w:val="0"/>
        <w:wordWrap w:val="0"/>
        <w:overflowPunct/>
        <w:bidi w:val="0"/>
        <w:rPr>
          <w:color w:val="auto"/>
        </w:rPr>
      </w:pPr>
      <w:r>
        <w:rPr>
          <w:rFonts w:hint="eastAsia"/>
          <w:color w:val="auto"/>
        </w:rPr>
        <w:t>3.5语音网关1部</w:t>
      </w:r>
    </w:p>
    <w:p w14:paraId="5AC3EC36">
      <w:pPr>
        <w:pageBreakBefore w:val="0"/>
        <w:wordWrap w:val="0"/>
        <w:overflowPunct/>
        <w:bidi w:val="0"/>
        <w:rPr>
          <w:color w:val="auto"/>
        </w:rPr>
      </w:pPr>
      <w:r>
        <w:rPr>
          <w:rFonts w:hint="eastAsia"/>
          <w:color w:val="auto"/>
        </w:rPr>
        <w:t>3.5.1语音端口数目：≥4路FXS；</w:t>
      </w:r>
    </w:p>
    <w:p w14:paraId="66D32CA5">
      <w:pPr>
        <w:pageBreakBefore w:val="0"/>
        <w:wordWrap w:val="0"/>
        <w:overflowPunct/>
        <w:bidi w:val="0"/>
        <w:rPr>
          <w:color w:val="auto"/>
        </w:rPr>
      </w:pPr>
      <w:r>
        <w:rPr>
          <w:rFonts w:hint="eastAsia"/>
          <w:color w:val="auto"/>
        </w:rPr>
        <w:t>3.5.2支持SIP 协议；</w:t>
      </w:r>
    </w:p>
    <w:p w14:paraId="571C24F6">
      <w:pPr>
        <w:pageBreakBefore w:val="0"/>
        <w:wordWrap w:val="0"/>
        <w:overflowPunct/>
        <w:bidi w:val="0"/>
        <w:rPr>
          <w:color w:val="auto"/>
        </w:rPr>
      </w:pPr>
      <w:r>
        <w:rPr>
          <w:rFonts w:hint="eastAsia"/>
          <w:color w:val="auto"/>
        </w:rPr>
        <w:t>3.5.3支持≥G.723.1(5.3K)、G.723.1(6.3K)、G.729(A/B/AB)、G.711Alaw/Ulaw语音编码；</w:t>
      </w:r>
    </w:p>
    <w:p w14:paraId="59463600">
      <w:pPr>
        <w:pageBreakBefore w:val="0"/>
        <w:wordWrap w:val="0"/>
        <w:overflowPunct/>
        <w:bidi w:val="0"/>
        <w:rPr>
          <w:color w:val="auto"/>
        </w:rPr>
      </w:pPr>
      <w:r>
        <w:rPr>
          <w:rFonts w:hint="eastAsia"/>
          <w:color w:val="auto"/>
        </w:rPr>
        <w:t>3.5.4音频接口采用RJ11；</w:t>
      </w:r>
    </w:p>
    <w:p w14:paraId="698C5C3F">
      <w:pPr>
        <w:pageBreakBefore w:val="0"/>
        <w:wordWrap w:val="0"/>
        <w:overflowPunct/>
        <w:bidi w:val="0"/>
        <w:rPr>
          <w:color w:val="auto"/>
        </w:rPr>
      </w:pPr>
      <w:r>
        <w:rPr>
          <w:rFonts w:hint="eastAsia"/>
          <w:color w:val="auto"/>
        </w:rPr>
        <w:t>3.5.5可进行TOS值设置；</w:t>
      </w:r>
    </w:p>
    <w:p w14:paraId="7E1F7E39">
      <w:pPr>
        <w:pageBreakBefore w:val="0"/>
        <w:wordWrap w:val="0"/>
        <w:overflowPunct/>
        <w:bidi w:val="0"/>
        <w:rPr>
          <w:color w:val="auto"/>
        </w:rPr>
      </w:pPr>
      <w:r>
        <w:rPr>
          <w:rFonts w:hint="eastAsia"/>
          <w:color w:val="auto"/>
        </w:rPr>
        <w:t>3.5.6二线电话2部；</w:t>
      </w:r>
    </w:p>
    <w:p w14:paraId="460BEC1F">
      <w:pPr>
        <w:pageBreakBefore w:val="0"/>
        <w:wordWrap w:val="0"/>
        <w:overflowPunct/>
        <w:bidi w:val="0"/>
        <w:rPr>
          <w:color w:val="auto"/>
        </w:rPr>
      </w:pPr>
      <w:r>
        <w:rPr>
          <w:rFonts w:hint="eastAsia"/>
          <w:color w:val="auto"/>
        </w:rPr>
        <w:t>3.6 天线倒伏机构1套</w:t>
      </w:r>
    </w:p>
    <w:p w14:paraId="1EABEDC5">
      <w:pPr>
        <w:pageBreakBefore w:val="0"/>
        <w:wordWrap w:val="0"/>
        <w:overflowPunct/>
        <w:bidi w:val="0"/>
        <w:rPr>
          <w:color w:val="auto"/>
        </w:rPr>
      </w:pPr>
      <w:r>
        <w:rPr>
          <w:rFonts w:hint="eastAsia"/>
          <w:color w:val="auto"/>
        </w:rPr>
        <w:t>3.6.1工作温度：-40℃～ +55℃；</w:t>
      </w:r>
    </w:p>
    <w:p w14:paraId="0A04EB07">
      <w:pPr>
        <w:pageBreakBefore w:val="0"/>
        <w:wordWrap w:val="0"/>
        <w:overflowPunct/>
        <w:bidi w:val="0"/>
        <w:rPr>
          <w:color w:val="auto"/>
        </w:rPr>
      </w:pPr>
      <w:r>
        <w:rPr>
          <w:rFonts w:hint="eastAsia"/>
          <w:color w:val="auto"/>
        </w:rPr>
        <w:t>3.6.2工作转矩：≥ 3kg.m；</w:t>
      </w:r>
    </w:p>
    <w:p w14:paraId="5C618AE6">
      <w:pPr>
        <w:pageBreakBefore w:val="0"/>
        <w:wordWrap w:val="0"/>
        <w:overflowPunct/>
        <w:bidi w:val="0"/>
        <w:rPr>
          <w:color w:val="auto"/>
        </w:rPr>
      </w:pPr>
      <w:r>
        <w:rPr>
          <w:rFonts w:hint="eastAsia"/>
          <w:color w:val="auto"/>
        </w:rPr>
        <w:t>3.6.3最大工作耗流：≤ 3A；</w:t>
      </w:r>
    </w:p>
    <w:p w14:paraId="42B6E89F">
      <w:pPr>
        <w:pageBreakBefore w:val="0"/>
        <w:wordWrap w:val="0"/>
        <w:overflowPunct/>
        <w:bidi w:val="0"/>
        <w:rPr>
          <w:color w:val="auto"/>
        </w:rPr>
      </w:pPr>
      <w:r>
        <w:rPr>
          <w:rFonts w:hint="eastAsia"/>
          <w:color w:val="auto"/>
        </w:rPr>
        <w:t>3.6.4倒下或竖直时间：≤ 12s。</w:t>
      </w:r>
    </w:p>
    <w:p w14:paraId="30FE7DE9">
      <w:pPr>
        <w:pageBreakBefore w:val="0"/>
        <w:wordWrap w:val="0"/>
        <w:overflowPunct/>
        <w:bidi w:val="0"/>
        <w:rPr>
          <w:color w:val="auto"/>
        </w:rPr>
      </w:pPr>
      <w:r>
        <w:rPr>
          <w:rFonts w:hint="eastAsia"/>
          <w:color w:val="auto"/>
        </w:rPr>
        <w:t>4聚合通信系统</w:t>
      </w:r>
    </w:p>
    <w:p w14:paraId="0D45A752">
      <w:pPr>
        <w:pageBreakBefore w:val="0"/>
        <w:wordWrap w:val="0"/>
        <w:overflowPunct/>
        <w:bidi w:val="0"/>
        <w:rPr>
          <w:color w:val="auto"/>
        </w:rPr>
      </w:pPr>
      <w:r>
        <w:rPr>
          <w:rFonts w:hint="eastAsia"/>
          <w:color w:val="auto"/>
        </w:rPr>
        <w:t>4.1 5G聚合路由器1台。</w:t>
      </w:r>
    </w:p>
    <w:p w14:paraId="6EB31E4D">
      <w:pPr>
        <w:pageBreakBefore w:val="0"/>
        <w:wordWrap w:val="0"/>
        <w:overflowPunct/>
        <w:bidi w:val="0"/>
        <w:rPr>
          <w:color w:val="auto"/>
        </w:rPr>
      </w:pPr>
      <w:r>
        <w:rPr>
          <w:rFonts w:hint="eastAsia"/>
          <w:color w:val="auto"/>
        </w:rPr>
        <w:t>4.1.1≥1个5G 数据卡（5天线）和4个4G 数据卡（双天线）设计；</w:t>
      </w:r>
    </w:p>
    <w:p w14:paraId="051AEFAF">
      <w:pPr>
        <w:pageBreakBefore w:val="0"/>
        <w:wordWrap w:val="0"/>
        <w:overflowPunct/>
        <w:bidi w:val="0"/>
        <w:rPr>
          <w:color w:val="auto"/>
        </w:rPr>
      </w:pPr>
      <w:r>
        <w:rPr>
          <w:rFonts w:hint="eastAsia"/>
          <w:color w:val="auto"/>
        </w:rPr>
        <w:t>4.1.2支持移动、联通、电信SIM卡热拔插，进入某运营商信号盲区，可无缝切换到其它运营商，轻松应对各种4G/5G 网络变化；</w:t>
      </w:r>
    </w:p>
    <w:p w14:paraId="26E5DB8D">
      <w:pPr>
        <w:pageBreakBefore w:val="0"/>
        <w:wordWrap w:val="0"/>
        <w:overflowPunct/>
        <w:bidi w:val="0"/>
        <w:rPr>
          <w:color w:val="auto"/>
        </w:rPr>
      </w:pPr>
      <w:r>
        <w:rPr>
          <w:rFonts w:hint="eastAsia"/>
          <w:color w:val="auto"/>
        </w:rPr>
        <w:t>4.1.3支持5卡聚合，在各种复杂的网络环境下能提供稳定传输链路；</w:t>
      </w:r>
    </w:p>
    <w:p w14:paraId="18F612A7">
      <w:pPr>
        <w:pageBreakBefore w:val="0"/>
        <w:wordWrap w:val="0"/>
        <w:overflowPunct/>
        <w:bidi w:val="0"/>
        <w:rPr>
          <w:color w:val="auto"/>
        </w:rPr>
      </w:pPr>
      <w:r>
        <w:rPr>
          <w:rFonts w:hint="eastAsia"/>
          <w:color w:val="auto"/>
        </w:rPr>
        <w:t>4.1.4 4G+5G高带宽聚合技术；</w:t>
      </w:r>
    </w:p>
    <w:p w14:paraId="6E79D45A">
      <w:pPr>
        <w:pageBreakBefore w:val="0"/>
        <w:wordWrap w:val="0"/>
        <w:overflowPunct/>
        <w:bidi w:val="0"/>
        <w:rPr>
          <w:color w:val="auto"/>
        </w:rPr>
      </w:pPr>
      <w:r>
        <w:rPr>
          <w:rFonts w:hint="eastAsia"/>
          <w:color w:val="auto"/>
        </w:rPr>
        <w:t>4.1.5 U机架式,外置SMA天线接口，最多可接8根LTE天线，便于更换高增益天线；</w:t>
      </w:r>
    </w:p>
    <w:p w14:paraId="431DF25E">
      <w:pPr>
        <w:pageBreakBefore w:val="0"/>
        <w:wordWrap w:val="0"/>
        <w:overflowPunct/>
        <w:bidi w:val="0"/>
        <w:rPr>
          <w:color w:val="auto"/>
        </w:rPr>
      </w:pPr>
      <w:r>
        <w:rPr>
          <w:rFonts w:hint="eastAsia"/>
          <w:color w:val="auto"/>
        </w:rPr>
        <w:t>4.1.6 支持WIFI2.4G、5.8G多频覆盖；</w:t>
      </w:r>
    </w:p>
    <w:p w14:paraId="6993ADD5">
      <w:pPr>
        <w:pageBreakBefore w:val="0"/>
        <w:wordWrap w:val="0"/>
        <w:overflowPunct/>
        <w:bidi w:val="0"/>
        <w:rPr>
          <w:color w:val="auto"/>
        </w:rPr>
      </w:pPr>
      <w:r>
        <w:rPr>
          <w:rFonts w:hint="eastAsia"/>
          <w:color w:val="auto"/>
        </w:rPr>
        <w:t>4.1.7 4×1000MbpsLAN口，1×1000Mbps WAN口，支持WAN口聚合功能，支持802 11b/g/n；</w:t>
      </w:r>
    </w:p>
    <w:p w14:paraId="22EC973B">
      <w:pPr>
        <w:pageBreakBefore w:val="0"/>
        <w:wordWrap w:val="0"/>
        <w:overflowPunct/>
        <w:bidi w:val="0"/>
        <w:rPr>
          <w:color w:val="auto"/>
        </w:rPr>
      </w:pPr>
      <w:r>
        <w:rPr>
          <w:rFonts w:hint="eastAsia"/>
          <w:color w:val="auto"/>
        </w:rPr>
        <w:t>4.1.8聚合路由器专网卡5张（移动2、联通1、电信2张）。自项目终验之日起算，所有卡服务期3年。</w:t>
      </w:r>
    </w:p>
    <w:p w14:paraId="31876146">
      <w:pPr>
        <w:pageBreakBefore w:val="0"/>
        <w:wordWrap w:val="0"/>
        <w:overflowPunct/>
        <w:bidi w:val="0"/>
        <w:rPr>
          <w:color w:val="auto"/>
        </w:rPr>
      </w:pPr>
      <w:r>
        <w:rPr>
          <w:rFonts w:hint="eastAsia"/>
          <w:color w:val="auto"/>
        </w:rPr>
        <w:t>5.高清视频会议系统</w:t>
      </w:r>
    </w:p>
    <w:p w14:paraId="20577DF6">
      <w:pPr>
        <w:pageBreakBefore w:val="0"/>
        <w:wordWrap w:val="0"/>
        <w:overflowPunct/>
        <w:bidi w:val="0"/>
        <w:rPr>
          <w:color w:val="auto"/>
        </w:rPr>
      </w:pPr>
      <w:r>
        <w:rPr>
          <w:rFonts w:hint="eastAsia"/>
          <w:color w:val="auto"/>
        </w:rPr>
        <w:t>5.1高清视频指挥终端2台</w:t>
      </w:r>
    </w:p>
    <w:p w14:paraId="3F04C8D6">
      <w:pPr>
        <w:pageBreakBefore w:val="0"/>
        <w:wordWrap w:val="0"/>
        <w:overflowPunct/>
        <w:bidi w:val="0"/>
        <w:rPr>
          <w:color w:val="auto"/>
        </w:rPr>
      </w:pPr>
      <w:r>
        <w:rPr>
          <w:rFonts w:hint="eastAsia"/>
          <w:color w:val="auto"/>
        </w:rPr>
        <w:t>★5.1. 1可无缝接入消防图像综合管理平台，指挥中心通过视频终端可调度平台设备图像，进行视频会商调度；</w:t>
      </w:r>
    </w:p>
    <w:p w14:paraId="77FC5397">
      <w:pPr>
        <w:pageBreakBefore w:val="0"/>
        <w:wordWrap w:val="0"/>
        <w:overflowPunct/>
        <w:bidi w:val="0"/>
        <w:rPr>
          <w:color w:val="auto"/>
        </w:rPr>
      </w:pPr>
      <w:r>
        <w:rPr>
          <w:rFonts w:hint="eastAsia"/>
          <w:color w:val="auto"/>
        </w:rPr>
        <w:t>5.1.2 终端为分体式视频终端，摄像机与视频终端可分离部署，终端系统应为嵌入式操作系统，确保终端长时间稳定可靠运行；</w:t>
      </w:r>
    </w:p>
    <w:p w14:paraId="6BBC359F">
      <w:pPr>
        <w:pageBreakBefore w:val="0"/>
        <w:wordWrap w:val="0"/>
        <w:overflowPunct/>
        <w:bidi w:val="0"/>
        <w:rPr>
          <w:color w:val="auto"/>
        </w:rPr>
      </w:pPr>
      <w:r>
        <w:rPr>
          <w:rFonts w:hint="eastAsia"/>
          <w:color w:val="auto"/>
        </w:rPr>
        <w:t>5.1.3 视频标准：H.263+、H.264、H.264 High Profile；音频标准：G.711/G722/G.722.1/G.729/G.719/OPUS；</w:t>
      </w:r>
    </w:p>
    <w:p w14:paraId="4ACAF90C">
      <w:pPr>
        <w:pageBreakBefore w:val="0"/>
        <w:wordWrap w:val="0"/>
        <w:overflowPunct/>
        <w:bidi w:val="0"/>
        <w:rPr>
          <w:color w:val="auto"/>
        </w:rPr>
      </w:pPr>
      <w:r>
        <w:rPr>
          <w:rFonts w:hint="eastAsia"/>
          <w:color w:val="auto"/>
        </w:rPr>
        <w:t>5.1.4 视频分辨率支持1080P、1080i、720P、VGA、AUTO可选；</w:t>
      </w:r>
    </w:p>
    <w:p w14:paraId="5B9A7312">
      <w:pPr>
        <w:pageBreakBefore w:val="0"/>
        <w:wordWrap w:val="0"/>
        <w:overflowPunct/>
        <w:bidi w:val="0"/>
        <w:rPr>
          <w:color w:val="auto"/>
        </w:rPr>
      </w:pPr>
      <w:r>
        <w:rPr>
          <w:rFonts w:hint="eastAsia"/>
          <w:color w:val="auto"/>
        </w:rPr>
        <w:t>5.1.5 视频码率支持64Kbps～6Mbps可选，图像帧率支持5～60可选；音频码率支持8Kbps、24Kbps、48Kbps可选；</w:t>
      </w:r>
    </w:p>
    <w:p w14:paraId="0D7EEE5F">
      <w:pPr>
        <w:pageBreakBefore w:val="0"/>
        <w:wordWrap w:val="0"/>
        <w:overflowPunct/>
        <w:bidi w:val="0"/>
        <w:rPr>
          <w:color w:val="auto"/>
        </w:rPr>
      </w:pPr>
      <w:r>
        <w:rPr>
          <w:rFonts w:hint="eastAsia"/>
          <w:color w:val="auto"/>
        </w:rPr>
        <w:t>5.1.6 视频输入接口：≥2/4路，至少1/2×SDI，1/2×HDMI；</w:t>
      </w:r>
    </w:p>
    <w:p w14:paraId="767DF56A">
      <w:pPr>
        <w:pageBreakBefore w:val="0"/>
        <w:wordWrap w:val="0"/>
        <w:overflowPunct/>
        <w:bidi w:val="0"/>
        <w:rPr>
          <w:color w:val="auto"/>
        </w:rPr>
      </w:pPr>
      <w:r>
        <w:rPr>
          <w:rFonts w:hint="eastAsia"/>
          <w:color w:val="auto"/>
        </w:rPr>
        <w:t>5.1.7 视频输出接口：≥3路，至少1×DVI，1×HDMI，1×VGA；支持三显输出；</w:t>
      </w:r>
    </w:p>
    <w:p w14:paraId="43698776">
      <w:pPr>
        <w:pageBreakBefore w:val="0"/>
        <w:wordWrap w:val="0"/>
        <w:overflowPunct/>
        <w:bidi w:val="0"/>
        <w:rPr>
          <w:color w:val="auto"/>
        </w:rPr>
      </w:pPr>
      <w:r>
        <w:rPr>
          <w:rFonts w:hint="eastAsia"/>
          <w:color w:val="auto"/>
        </w:rPr>
        <w:t>5.1.8 音频输入接口：≥2路；至少1组RCA左右声道接口；</w:t>
      </w:r>
    </w:p>
    <w:p w14:paraId="10A56D15">
      <w:pPr>
        <w:pageBreakBefore w:val="0"/>
        <w:wordWrap w:val="0"/>
        <w:overflowPunct/>
        <w:bidi w:val="0"/>
        <w:rPr>
          <w:color w:val="auto"/>
        </w:rPr>
      </w:pPr>
      <w:r>
        <w:rPr>
          <w:rFonts w:hint="eastAsia"/>
          <w:color w:val="auto"/>
        </w:rPr>
        <w:t>5.1.9 音频输出接口：≥2路；至少1组RCA左右声道接口；</w:t>
      </w:r>
    </w:p>
    <w:p w14:paraId="618E5710">
      <w:pPr>
        <w:pageBreakBefore w:val="0"/>
        <w:wordWrap w:val="0"/>
        <w:overflowPunct/>
        <w:bidi w:val="0"/>
        <w:rPr>
          <w:color w:val="auto"/>
        </w:rPr>
      </w:pPr>
      <w:r>
        <w:rPr>
          <w:rFonts w:hint="eastAsia"/>
          <w:color w:val="auto"/>
        </w:rPr>
        <w:t>5.1.10 其他接口：1×VISCA，4×USB，1×DC12V输出，1×100M/1000M 快速自适应以太网口；</w:t>
      </w:r>
    </w:p>
    <w:p w14:paraId="3F32FD55">
      <w:pPr>
        <w:pageBreakBefore w:val="0"/>
        <w:wordWrap w:val="0"/>
        <w:overflowPunct/>
        <w:bidi w:val="0"/>
        <w:rPr>
          <w:color w:val="auto"/>
        </w:rPr>
      </w:pPr>
      <w:r>
        <w:rPr>
          <w:rFonts w:hint="eastAsia"/>
          <w:color w:val="auto"/>
        </w:rPr>
        <w:t>5.1.11 支持视音频、协议全适配，支持不同速率、不同编码协议、不同分辨率的终端混合会议；支持每个会议都有多画面，多画面显示个数≥16；</w:t>
      </w:r>
    </w:p>
    <w:p w14:paraId="7B06F61C">
      <w:pPr>
        <w:pageBreakBefore w:val="0"/>
        <w:wordWrap w:val="0"/>
        <w:overflowPunct/>
        <w:bidi w:val="0"/>
        <w:rPr>
          <w:color w:val="auto"/>
        </w:rPr>
      </w:pPr>
      <w:r>
        <w:rPr>
          <w:rFonts w:hint="eastAsia"/>
          <w:color w:val="auto"/>
        </w:rPr>
        <w:t>5.1.12 支持分屏输出，每个输出屏可以同时显示≥16个视频图像，支持数据和视频混合排列，配合视频轮询功能，可对分会场实时轮询监控；</w:t>
      </w:r>
    </w:p>
    <w:p w14:paraId="47039B25">
      <w:pPr>
        <w:pageBreakBefore w:val="0"/>
        <w:wordWrap w:val="0"/>
        <w:overflowPunct/>
        <w:bidi w:val="0"/>
        <w:rPr>
          <w:color w:val="auto"/>
        </w:rPr>
      </w:pPr>
      <w:r>
        <w:rPr>
          <w:rFonts w:hint="eastAsia"/>
          <w:color w:val="auto"/>
        </w:rPr>
        <w:t>5.1.13 支持远程摄像机控制，可进行左右转动、拉近/远、调焦、光圈等进行全方位的控制和预置位设置。</w:t>
      </w:r>
    </w:p>
    <w:p w14:paraId="0F4BAA4C">
      <w:pPr>
        <w:pageBreakBefore w:val="0"/>
        <w:wordWrap w:val="0"/>
        <w:overflowPunct/>
        <w:bidi w:val="0"/>
        <w:rPr>
          <w:color w:val="auto"/>
        </w:rPr>
      </w:pPr>
      <w:r>
        <w:rPr>
          <w:rFonts w:hint="eastAsia"/>
          <w:color w:val="auto"/>
        </w:rPr>
        <w:t>6.可视化指挥调度系统</w:t>
      </w:r>
    </w:p>
    <w:p w14:paraId="0C19D8CC">
      <w:pPr>
        <w:pageBreakBefore w:val="0"/>
        <w:wordWrap w:val="0"/>
        <w:overflowPunct/>
        <w:bidi w:val="0"/>
        <w:rPr>
          <w:color w:val="auto"/>
        </w:rPr>
      </w:pPr>
      <w:r>
        <w:rPr>
          <w:rFonts w:hint="eastAsia"/>
          <w:color w:val="auto"/>
        </w:rPr>
        <w:t>6.1音视频综合一体机1台</w:t>
      </w:r>
    </w:p>
    <w:p w14:paraId="079F74CF">
      <w:pPr>
        <w:pageBreakBefore w:val="0"/>
        <w:wordWrap w:val="0"/>
        <w:overflowPunct/>
        <w:bidi w:val="0"/>
        <w:rPr>
          <w:color w:val="auto"/>
        </w:rPr>
      </w:pPr>
      <w:r>
        <w:rPr>
          <w:rFonts w:hint="eastAsia"/>
          <w:color w:val="auto"/>
        </w:rPr>
        <w:t>6.1.1 音视频综合一体机具备音频处理器、视频矩阵、录播编解码、视频会议终端、多方互动MCU、可编程中控等功能，应符合指挥车标准化装机需求，采用纯嵌入式架构；</w:t>
      </w:r>
    </w:p>
    <w:p w14:paraId="1C754F6B">
      <w:pPr>
        <w:pageBreakBefore w:val="0"/>
        <w:wordWrap w:val="0"/>
        <w:overflowPunct/>
        <w:bidi w:val="0"/>
        <w:rPr>
          <w:color w:val="auto"/>
        </w:rPr>
      </w:pPr>
      <w:r>
        <w:rPr>
          <w:rFonts w:hint="eastAsia"/>
          <w:color w:val="auto"/>
        </w:rPr>
        <w:t>6.1.2 主机支持标准机柜安装，设备高度不高于4U。采用电信级拔插式结构设计，输入输出板卡采用可自由配置方式，支持带电插拔升级维护。前面板支持不低于7英寸液晶触摸显示屏，可以视频预览和触控操作菜单；</w:t>
      </w:r>
    </w:p>
    <w:p w14:paraId="42BC4E53">
      <w:pPr>
        <w:pageBreakBefore w:val="0"/>
        <w:wordWrap w:val="0"/>
        <w:overflowPunct/>
        <w:bidi w:val="0"/>
        <w:rPr>
          <w:color w:val="auto"/>
        </w:rPr>
      </w:pPr>
      <w:r>
        <w:rPr>
          <w:rFonts w:hint="eastAsia"/>
          <w:color w:val="auto"/>
        </w:rPr>
        <w:t>6.1.3 视频接口卡需满足：输入槽位≥4个,输出槽位≥4个，单卡不低于4路接口，主机满载不低于16路输入、16路输出，视频输入板卡支持hdmi/DVI/VGA/SDI/CVBS/YPbPr/HDBaseT/光纤等各类信号接口卡，hdmi接口支持数字音频同步输入输出。</w:t>
      </w:r>
    </w:p>
    <w:p w14:paraId="757D68C1">
      <w:pPr>
        <w:pageBreakBefore w:val="0"/>
        <w:wordWrap w:val="0"/>
        <w:overflowPunct/>
        <w:bidi w:val="0"/>
        <w:rPr>
          <w:color w:val="auto"/>
        </w:rPr>
      </w:pPr>
      <w:r>
        <w:rPr>
          <w:rFonts w:hint="eastAsia"/>
          <w:color w:val="auto"/>
        </w:rPr>
        <w:t>6.1.4 音频接口卡需满足：麦克风输入（需带48V幻象供电）≥12路；立体声线路输入≥6路；远程解码音频输入≥4路；平衡音频输出≥8路。</w:t>
      </w:r>
    </w:p>
    <w:p w14:paraId="0FC97294">
      <w:pPr>
        <w:pageBreakBefore w:val="0"/>
        <w:wordWrap w:val="0"/>
        <w:overflowPunct/>
        <w:bidi w:val="0"/>
        <w:rPr>
          <w:color w:val="auto"/>
        </w:rPr>
      </w:pPr>
      <w:r>
        <w:rPr>
          <w:rFonts w:hint="eastAsia"/>
          <w:color w:val="auto"/>
        </w:rPr>
        <w:t>6.1.5 支持内置16*16Dante模块，数字音频输入输出≥16路。</w:t>
      </w:r>
    </w:p>
    <w:p w14:paraId="31F6DD47">
      <w:pPr>
        <w:pageBreakBefore w:val="0"/>
        <w:wordWrap w:val="0"/>
        <w:overflowPunct/>
        <w:bidi w:val="0"/>
        <w:rPr>
          <w:color w:val="auto"/>
        </w:rPr>
      </w:pPr>
      <w:r>
        <w:rPr>
          <w:rFonts w:hint="eastAsia"/>
          <w:color w:val="auto"/>
        </w:rPr>
        <w:t>6.1.6 控制接口卡满足：RS232串口≥8路、RS485接口≥1路、RS422接口≥1路、红外发射接口≥8路、红外学习接口≥1路、I/O接口≥8路。USB接口≥2路，可USB外置光驱进行音视频实时刻录，键盘鼠标操作GUI管理界面，U盘文件下载。</w:t>
      </w:r>
    </w:p>
    <w:p w14:paraId="0F8295DC">
      <w:pPr>
        <w:pageBreakBefore w:val="0"/>
        <w:wordWrap w:val="0"/>
        <w:overflowPunct/>
        <w:bidi w:val="0"/>
        <w:rPr>
          <w:color w:val="auto"/>
        </w:rPr>
      </w:pPr>
      <w:r>
        <w:rPr>
          <w:rFonts w:hint="eastAsia"/>
          <w:color w:val="auto"/>
        </w:rPr>
        <w:t>6.1.7 支持H.265,H.264视频压缩算法，支持音频G.711A/G.711U/AAC音频压缩算法；编码分辨率、码率、采样率可调。</w:t>
      </w:r>
    </w:p>
    <w:p w14:paraId="28480403">
      <w:pPr>
        <w:pageBreakBefore w:val="0"/>
        <w:wordWrap w:val="0"/>
        <w:overflowPunct/>
        <w:bidi w:val="0"/>
        <w:rPr>
          <w:color w:val="auto"/>
        </w:rPr>
      </w:pPr>
      <w:r>
        <w:rPr>
          <w:rFonts w:hint="eastAsia"/>
          <w:color w:val="auto"/>
        </w:rPr>
        <w:t>6.1.8 音视频编码≥8路，每路支持双流；音视频解码≥4路。</w:t>
      </w:r>
    </w:p>
    <w:p w14:paraId="142FE347">
      <w:pPr>
        <w:pageBreakBefore w:val="0"/>
        <w:wordWrap w:val="0"/>
        <w:overflowPunct/>
        <w:bidi w:val="0"/>
        <w:rPr>
          <w:color w:val="auto"/>
        </w:rPr>
      </w:pPr>
      <w:r>
        <w:rPr>
          <w:rFonts w:hint="eastAsia"/>
          <w:color w:val="auto"/>
        </w:rPr>
        <w:t>6.1.9 主机具备音频处理功能，应支持回声消除AEC，反馈抑制AFC，环境噪声抑制ANS，均衡调节等功能；麦克风变声保护等音效处理功能。</w:t>
      </w:r>
    </w:p>
    <w:p w14:paraId="12A6802F">
      <w:pPr>
        <w:pageBreakBefore w:val="0"/>
        <w:wordWrap w:val="0"/>
        <w:overflowPunct/>
        <w:bidi w:val="0"/>
        <w:rPr>
          <w:color w:val="auto"/>
        </w:rPr>
      </w:pPr>
      <w:r>
        <w:rPr>
          <w:rFonts w:hint="eastAsia"/>
          <w:color w:val="auto"/>
        </w:rPr>
        <w:t>6.1.10 主机支持语音激励功能，支持设置MIC语音激励调取摄像机画面、导播特写。语音激励关系支持保存为预案场景。</w:t>
      </w:r>
    </w:p>
    <w:p w14:paraId="0BF9A1F6">
      <w:pPr>
        <w:pageBreakBefore w:val="0"/>
        <w:wordWrap w:val="0"/>
        <w:overflowPunct/>
        <w:bidi w:val="0"/>
        <w:rPr>
          <w:color w:val="auto"/>
        </w:rPr>
      </w:pPr>
      <w:r>
        <w:rPr>
          <w:rFonts w:hint="eastAsia"/>
          <w:color w:val="auto"/>
        </w:rPr>
        <w:t>6.1.11 支持H.323/SIP协议，实现设备与设备、设备与手机、设备与市场主流视频会议终端和MCU之间一键交互。</w:t>
      </w:r>
    </w:p>
    <w:p w14:paraId="7B735E67">
      <w:pPr>
        <w:pageBreakBefore w:val="0"/>
        <w:wordWrap w:val="0"/>
        <w:overflowPunct/>
        <w:bidi w:val="0"/>
        <w:rPr>
          <w:color w:val="auto"/>
        </w:rPr>
      </w:pPr>
      <w:r>
        <w:rPr>
          <w:rFonts w:hint="eastAsia"/>
          <w:color w:val="auto"/>
        </w:rPr>
        <w:t>6.1.12 主机具备录播功能，内置不低于2T容量硬盘，可扩展至8T；音视频码流实时存储≥8路。</w:t>
      </w:r>
    </w:p>
    <w:p w14:paraId="7E81723D">
      <w:pPr>
        <w:pageBreakBefore w:val="0"/>
        <w:wordWrap w:val="0"/>
        <w:overflowPunct/>
        <w:bidi w:val="0"/>
        <w:rPr>
          <w:color w:val="auto"/>
        </w:rPr>
      </w:pPr>
      <w:r>
        <w:rPr>
          <w:rFonts w:hint="eastAsia"/>
          <w:color w:val="auto"/>
        </w:rPr>
        <w:t>6.1.13 满足不低于2路画面合成；合成模式≥20种，支持2/4/6/8等分屏模式；不低于12种切换特效,擦除/收缩/淡入淡出等；合成分辨率≥4K，且可设置。</w:t>
      </w:r>
    </w:p>
    <w:p w14:paraId="64679CED">
      <w:pPr>
        <w:pageBreakBefore w:val="0"/>
        <w:wordWrap w:val="0"/>
        <w:overflowPunct/>
        <w:bidi w:val="0"/>
        <w:rPr>
          <w:color w:val="auto"/>
        </w:rPr>
      </w:pPr>
      <w:r>
        <w:rPr>
          <w:rFonts w:hint="eastAsia"/>
          <w:color w:val="auto"/>
        </w:rPr>
        <w:t>6.1.14 主机支持字幕叠加、台标叠加，支持图像画面移动检测实现自动视频切换。</w:t>
      </w:r>
    </w:p>
    <w:p w14:paraId="6BCC16CA">
      <w:pPr>
        <w:pageBreakBefore w:val="0"/>
        <w:wordWrap w:val="0"/>
        <w:overflowPunct/>
        <w:bidi w:val="0"/>
        <w:rPr>
          <w:color w:val="auto"/>
        </w:rPr>
      </w:pPr>
      <w:r>
        <w:rPr>
          <w:rFonts w:hint="eastAsia"/>
          <w:color w:val="auto"/>
        </w:rPr>
        <w:t>6.1.15 产品支持FTP手动/定时/结束自动上传模式；支持手动/定时预约/开机录制；支持网络直播/点播/文件查看、下载、删除等管理；支持多任务分时分录；支持硬盘文件本地视频输出端口直接回放。</w:t>
      </w:r>
    </w:p>
    <w:p w14:paraId="0C22780B">
      <w:pPr>
        <w:pageBreakBefore w:val="0"/>
        <w:wordWrap w:val="0"/>
        <w:overflowPunct/>
        <w:bidi w:val="0"/>
        <w:rPr>
          <w:color w:val="auto"/>
        </w:rPr>
      </w:pPr>
      <w:r>
        <w:rPr>
          <w:rFonts w:hint="eastAsia"/>
          <w:color w:val="auto"/>
        </w:rPr>
        <w:t>6.1.16 需支持设置和载入会议云台摄像机，不低于7个预置位；支持摄像机云台上、下、左、右方向旋转，支持归位操作；支持对摄像头的焦距进行调节、推近、拉远。</w:t>
      </w:r>
    </w:p>
    <w:p w14:paraId="75B57266">
      <w:pPr>
        <w:pageBreakBefore w:val="0"/>
        <w:wordWrap w:val="0"/>
        <w:overflowPunct/>
        <w:bidi w:val="0"/>
        <w:rPr>
          <w:color w:val="auto"/>
        </w:rPr>
      </w:pPr>
      <w:r>
        <w:rPr>
          <w:rFonts w:hint="eastAsia"/>
          <w:color w:val="auto"/>
        </w:rPr>
        <w:t>6.1.17 主机需具备中控接口，支持红外学习、串口和网络数据传输。客户端软件支持自定义中控按钮编程，如灯光、大屏、环境控制等，支持导入可编程中控界面。</w:t>
      </w:r>
    </w:p>
    <w:p w14:paraId="0D0A8D6B">
      <w:pPr>
        <w:pageBreakBefore w:val="0"/>
        <w:wordWrap w:val="0"/>
        <w:overflowPunct/>
        <w:bidi w:val="0"/>
        <w:rPr>
          <w:color w:val="auto"/>
        </w:rPr>
      </w:pPr>
      <w:r>
        <w:rPr>
          <w:rFonts w:hint="eastAsia"/>
          <w:color w:val="auto"/>
        </w:rPr>
        <w:t>6.1.18 需支持TCP/UDP/RTSP/RTP/RTMP/ONVIF/H.323/SIP/HTTP等协议。</w:t>
      </w:r>
    </w:p>
    <w:p w14:paraId="33012D3B">
      <w:pPr>
        <w:pageBreakBefore w:val="0"/>
        <w:wordWrap w:val="0"/>
        <w:overflowPunct/>
        <w:bidi w:val="0"/>
        <w:rPr>
          <w:color w:val="auto"/>
        </w:rPr>
      </w:pPr>
      <w:r>
        <w:rPr>
          <w:rFonts w:hint="eastAsia"/>
          <w:color w:val="auto"/>
        </w:rPr>
        <w:t>6.1.19 主机支持B/S、GUI可视化集控操作界面，具备场景一键调用、视频可视化预览及拖拽切换。并支持C/S客户端APP，实现安卓、Windwos以及国产化中标麒麟等系统客户端可视化管理。</w:t>
      </w:r>
    </w:p>
    <w:p w14:paraId="04A7E72C">
      <w:pPr>
        <w:pageBreakBefore w:val="0"/>
        <w:wordWrap w:val="0"/>
        <w:overflowPunct/>
        <w:bidi w:val="0"/>
        <w:rPr>
          <w:color w:val="auto"/>
        </w:rPr>
      </w:pPr>
      <w:r>
        <w:rPr>
          <w:rFonts w:hint="eastAsia"/>
          <w:color w:val="auto"/>
        </w:rPr>
        <w:t>6.1.20 C/S可视化集控端,应具备可编程自定义功能，根据不同应用场景实现自定义界面。</w:t>
      </w:r>
    </w:p>
    <w:p w14:paraId="4E6D1120">
      <w:pPr>
        <w:pageBreakBefore w:val="0"/>
        <w:wordWrap w:val="0"/>
        <w:overflowPunct/>
        <w:bidi w:val="0"/>
        <w:rPr>
          <w:color w:val="auto"/>
        </w:rPr>
      </w:pPr>
      <w:r>
        <w:rPr>
          <w:rFonts w:hint="eastAsia"/>
          <w:color w:val="auto"/>
        </w:rPr>
        <w:t>6.1.21 要求主机设备平均无故障运行时间MTBF≥100000小时。</w:t>
      </w:r>
    </w:p>
    <w:p w14:paraId="4C68F2D6">
      <w:pPr>
        <w:pageBreakBefore w:val="0"/>
        <w:wordWrap w:val="0"/>
        <w:overflowPunct/>
        <w:bidi w:val="0"/>
        <w:rPr>
          <w:color w:val="auto"/>
        </w:rPr>
      </w:pPr>
      <w:r>
        <w:rPr>
          <w:rFonts w:hint="eastAsia"/>
          <w:color w:val="auto"/>
        </w:rPr>
        <w:t>6.2音视频融合调度指挥系统1套</w:t>
      </w:r>
    </w:p>
    <w:p w14:paraId="208B8029">
      <w:pPr>
        <w:pageBreakBefore w:val="0"/>
        <w:wordWrap w:val="0"/>
        <w:overflowPunct/>
        <w:bidi w:val="0"/>
        <w:rPr>
          <w:color w:val="auto"/>
        </w:rPr>
      </w:pPr>
      <w:r>
        <w:rPr>
          <w:rFonts w:hint="eastAsia"/>
          <w:color w:val="auto"/>
        </w:rPr>
        <w:t>6.2.1 平台需具备视频监视、视频切换、云台控制、可编程中控、音频调节、直播、录播控制、互动拨号呼叫、系统管理等功能。</w:t>
      </w:r>
    </w:p>
    <w:p w14:paraId="00E5459C">
      <w:pPr>
        <w:pageBreakBefore w:val="0"/>
        <w:wordWrap w:val="0"/>
        <w:overflowPunct/>
        <w:bidi w:val="0"/>
        <w:rPr>
          <w:color w:val="auto"/>
        </w:rPr>
      </w:pPr>
      <w:r>
        <w:rPr>
          <w:rFonts w:hint="eastAsia"/>
          <w:color w:val="auto"/>
        </w:rPr>
        <w:t>6.2.2 平台需支持 B/S、C/S、GUI 等管理及控制方式。支持安卓、windows系统。</w:t>
      </w:r>
    </w:p>
    <w:p w14:paraId="70C99BBB">
      <w:pPr>
        <w:pageBreakBefore w:val="0"/>
        <w:wordWrap w:val="0"/>
        <w:overflowPunct/>
        <w:bidi w:val="0"/>
        <w:rPr>
          <w:color w:val="auto"/>
        </w:rPr>
      </w:pPr>
      <w:r>
        <w:rPr>
          <w:rFonts w:hint="eastAsia"/>
          <w:color w:val="auto"/>
        </w:rPr>
        <w:t>6.2.3 系统应能实时显示录播画面、显示会议信息、录制时间和硬盘容量、剩余硬盘空间、网络连接状态等实时信息。</w:t>
      </w:r>
    </w:p>
    <w:p w14:paraId="56134283">
      <w:pPr>
        <w:pageBreakBefore w:val="0"/>
        <w:wordWrap w:val="0"/>
        <w:overflowPunct/>
        <w:bidi w:val="0"/>
        <w:rPr>
          <w:color w:val="auto"/>
        </w:rPr>
      </w:pPr>
      <w:r>
        <w:rPr>
          <w:rFonts w:hint="eastAsia"/>
          <w:color w:val="auto"/>
        </w:rPr>
        <w:t>6.2.4 应支持第三方流媒体平台直播推流，同时支持互联网二维码一键直播应用，实现互联网直播。（需提供互联网直播界面截图证明）</w:t>
      </w:r>
    </w:p>
    <w:p w14:paraId="1AFF8DAF">
      <w:pPr>
        <w:pageBreakBefore w:val="0"/>
        <w:wordWrap w:val="0"/>
        <w:overflowPunct/>
        <w:bidi w:val="0"/>
        <w:rPr>
          <w:color w:val="auto"/>
        </w:rPr>
      </w:pPr>
      <w:r>
        <w:rPr>
          <w:rFonts w:hint="eastAsia"/>
          <w:color w:val="auto"/>
        </w:rPr>
        <w:t>6.2.5 应支持≥ 7 路高清视频的实时预览显示，支持视频通道拖拽式切换；支持输出视频通道预览放大。</w:t>
      </w:r>
    </w:p>
    <w:p w14:paraId="36AA42CE">
      <w:pPr>
        <w:pageBreakBefore w:val="0"/>
        <w:wordWrap w:val="0"/>
        <w:overflowPunct/>
        <w:bidi w:val="0"/>
        <w:rPr>
          <w:color w:val="auto"/>
        </w:rPr>
      </w:pPr>
      <w:r>
        <w:rPr>
          <w:rFonts w:hint="eastAsia"/>
          <w:color w:val="auto"/>
        </w:rPr>
        <w:t>6.2.6 平台需支持输入输出音频控制，以音柱实时显示音频大小，采用推拉式音量调节；</w:t>
      </w:r>
    </w:p>
    <w:p w14:paraId="1EDD407A">
      <w:pPr>
        <w:pageBreakBefore w:val="0"/>
        <w:wordWrap w:val="0"/>
        <w:overflowPunct/>
        <w:bidi w:val="0"/>
        <w:rPr>
          <w:color w:val="auto"/>
        </w:rPr>
      </w:pPr>
      <w:r>
        <w:rPr>
          <w:rFonts w:hint="eastAsia"/>
          <w:color w:val="auto"/>
        </w:rPr>
        <w:t>6.2.7 中控界面可编程页面在线编辑，支持图片，文字，按键等编程应用，实现中控的集中控制管理。</w:t>
      </w:r>
    </w:p>
    <w:p w14:paraId="5233EDF5">
      <w:pPr>
        <w:pageBreakBefore w:val="0"/>
        <w:wordWrap w:val="0"/>
        <w:overflowPunct/>
        <w:bidi w:val="0"/>
        <w:rPr>
          <w:color w:val="auto"/>
        </w:rPr>
      </w:pPr>
      <w:r>
        <w:rPr>
          <w:rFonts w:hint="eastAsia"/>
          <w:color w:val="auto"/>
        </w:rPr>
        <w:t>6.2.8 需支持本地画面，远程交互画面合成布局，具备≥23 种合成布局模式。</w:t>
      </w:r>
    </w:p>
    <w:p w14:paraId="7DA40CC9">
      <w:pPr>
        <w:pageBreakBefore w:val="0"/>
        <w:wordWrap w:val="0"/>
        <w:overflowPunct/>
        <w:bidi w:val="0"/>
        <w:rPr>
          <w:color w:val="auto"/>
        </w:rPr>
      </w:pPr>
      <w:r>
        <w:rPr>
          <w:rFonts w:hint="eastAsia"/>
          <w:color w:val="auto"/>
        </w:rPr>
        <w:t>6.2.9 平台需具备录制、暂停、停止、录制通道选择、直播推送控制功能。</w:t>
      </w:r>
    </w:p>
    <w:p w14:paraId="5DC6797F">
      <w:pPr>
        <w:pageBreakBefore w:val="0"/>
        <w:wordWrap w:val="0"/>
        <w:overflowPunct/>
        <w:bidi w:val="0"/>
        <w:rPr>
          <w:color w:val="auto"/>
        </w:rPr>
      </w:pPr>
      <w:r>
        <w:rPr>
          <w:rFonts w:hint="eastAsia"/>
          <w:color w:val="auto"/>
        </w:rPr>
        <w:t>6.2.10 需支持视频文件在线点播 VOD，需支持录像文件下载、FTP 上传管理。</w:t>
      </w:r>
    </w:p>
    <w:p w14:paraId="7A9360BD">
      <w:pPr>
        <w:pageBreakBefore w:val="0"/>
        <w:wordWrap w:val="0"/>
        <w:overflowPunct/>
        <w:bidi w:val="0"/>
        <w:rPr>
          <w:color w:val="auto"/>
        </w:rPr>
      </w:pPr>
      <w:r>
        <w:rPr>
          <w:rFonts w:hint="eastAsia"/>
          <w:color w:val="auto"/>
        </w:rPr>
        <w:t>6.2.11 需支持值班模式、工作模式、演习模式、休息模式等场景保存，一键调取场景预案。</w:t>
      </w:r>
    </w:p>
    <w:p w14:paraId="759C2F1D">
      <w:pPr>
        <w:pageBreakBefore w:val="0"/>
        <w:wordWrap w:val="0"/>
        <w:overflowPunct/>
        <w:bidi w:val="0"/>
        <w:rPr>
          <w:color w:val="auto"/>
        </w:rPr>
      </w:pPr>
      <w:r>
        <w:rPr>
          <w:rFonts w:hint="eastAsia"/>
          <w:color w:val="auto"/>
        </w:rPr>
        <w:t>6.3 移动式控制终端1台</w:t>
      </w:r>
    </w:p>
    <w:p w14:paraId="519BE051">
      <w:pPr>
        <w:pageBreakBefore w:val="0"/>
        <w:wordWrap w:val="0"/>
        <w:overflowPunct/>
        <w:bidi w:val="0"/>
        <w:rPr>
          <w:color w:val="auto"/>
        </w:rPr>
      </w:pPr>
      <w:r>
        <w:rPr>
          <w:rFonts w:hint="eastAsia"/>
          <w:color w:val="auto"/>
        </w:rPr>
        <w:t>6.3.1屏幕尺寸≥11英寸OLED屏，分辨率≥2.5K（2560*1600），刷新率≥120Hz，亮度≥600nit，RAM+ROM≥8+256GB，支持WIFI，电池容量不低于8200mAh。</w:t>
      </w:r>
    </w:p>
    <w:p w14:paraId="3E3AD52A">
      <w:pPr>
        <w:pageBreakBefore w:val="0"/>
        <w:wordWrap w:val="0"/>
        <w:overflowPunct/>
        <w:bidi w:val="0"/>
        <w:rPr>
          <w:color w:val="auto"/>
        </w:rPr>
      </w:pPr>
      <w:r>
        <w:rPr>
          <w:rFonts w:hint="eastAsia"/>
          <w:color w:val="auto"/>
        </w:rPr>
        <w:t>7.音视频系统</w:t>
      </w:r>
    </w:p>
    <w:p w14:paraId="11EDF4AC">
      <w:pPr>
        <w:pageBreakBefore w:val="0"/>
        <w:wordWrap w:val="0"/>
        <w:overflowPunct/>
        <w:bidi w:val="0"/>
        <w:rPr>
          <w:color w:val="auto"/>
        </w:rPr>
      </w:pPr>
      <w:r>
        <w:rPr>
          <w:rFonts w:hint="eastAsia"/>
          <w:color w:val="auto"/>
        </w:rPr>
        <w:t>7.1.1 车内高清摄像机2台</w:t>
      </w:r>
    </w:p>
    <w:p w14:paraId="1C549D85">
      <w:pPr>
        <w:pageBreakBefore w:val="0"/>
        <w:wordWrap w:val="0"/>
        <w:overflowPunct/>
        <w:bidi w:val="0"/>
        <w:rPr>
          <w:color w:val="auto"/>
        </w:rPr>
      </w:pPr>
      <w:r>
        <w:rPr>
          <w:rFonts w:hint="eastAsia"/>
          <w:color w:val="auto"/>
        </w:rPr>
        <w:t>7.1.2 成像器件:1/2.8" CMOS 2.13MP；</w:t>
      </w:r>
    </w:p>
    <w:p w14:paraId="1D6F3564">
      <w:pPr>
        <w:pageBreakBefore w:val="0"/>
        <w:wordWrap w:val="0"/>
        <w:overflowPunct/>
        <w:bidi w:val="0"/>
        <w:rPr>
          <w:color w:val="auto"/>
        </w:rPr>
      </w:pPr>
      <w:r>
        <w:rPr>
          <w:rFonts w:hint="eastAsia"/>
          <w:color w:val="auto"/>
        </w:rPr>
        <w:t>7.1.3 光学变焦：≥30X；</w:t>
      </w:r>
    </w:p>
    <w:p w14:paraId="1D066FEC">
      <w:pPr>
        <w:pageBreakBefore w:val="0"/>
        <w:wordWrap w:val="0"/>
        <w:overflowPunct/>
        <w:bidi w:val="0"/>
        <w:rPr>
          <w:color w:val="auto"/>
        </w:rPr>
      </w:pPr>
      <w:r>
        <w:rPr>
          <w:rFonts w:hint="eastAsia"/>
          <w:color w:val="auto"/>
        </w:rPr>
        <w:t>7.1.4 数字变倍：≥12X；</w:t>
      </w:r>
    </w:p>
    <w:p w14:paraId="65056086">
      <w:pPr>
        <w:pageBreakBefore w:val="0"/>
        <w:wordWrap w:val="0"/>
        <w:overflowPunct/>
        <w:bidi w:val="0"/>
        <w:rPr>
          <w:color w:val="auto"/>
        </w:rPr>
      </w:pPr>
      <w:r>
        <w:rPr>
          <w:rFonts w:hint="eastAsia"/>
          <w:color w:val="auto"/>
        </w:rPr>
        <w:t>7.1.5 水平角度：水平±175°；</w:t>
      </w:r>
    </w:p>
    <w:p w14:paraId="023E41EF">
      <w:pPr>
        <w:pageBreakBefore w:val="0"/>
        <w:wordWrap w:val="0"/>
        <w:overflowPunct/>
        <w:bidi w:val="0"/>
        <w:rPr>
          <w:color w:val="auto"/>
        </w:rPr>
      </w:pPr>
      <w:r>
        <w:rPr>
          <w:rFonts w:hint="eastAsia"/>
          <w:color w:val="auto"/>
        </w:rPr>
        <w:t>7.1.6 垂直角度：垂直+90°～-30°；</w:t>
      </w:r>
    </w:p>
    <w:p w14:paraId="33669AED">
      <w:pPr>
        <w:pageBreakBefore w:val="0"/>
        <w:wordWrap w:val="0"/>
        <w:overflowPunct/>
        <w:bidi w:val="0"/>
        <w:rPr>
          <w:color w:val="auto"/>
        </w:rPr>
      </w:pPr>
      <w:r>
        <w:rPr>
          <w:rFonts w:hint="eastAsia"/>
          <w:color w:val="auto"/>
        </w:rPr>
        <w:t>7.1.7 预置位:≥128个（调用速度：150°/S）；</w:t>
      </w:r>
    </w:p>
    <w:p w14:paraId="5B4EE8ED">
      <w:pPr>
        <w:pageBreakBefore w:val="0"/>
        <w:wordWrap w:val="0"/>
        <w:overflowPunct/>
        <w:bidi w:val="0"/>
        <w:rPr>
          <w:color w:val="auto"/>
        </w:rPr>
      </w:pPr>
      <w:r>
        <w:rPr>
          <w:rFonts w:hint="eastAsia"/>
          <w:color w:val="auto"/>
        </w:rPr>
        <w:t>7.1.8 镜头:4.3～129mm；</w:t>
      </w:r>
    </w:p>
    <w:p w14:paraId="0078CA49">
      <w:pPr>
        <w:pageBreakBefore w:val="0"/>
        <w:wordWrap w:val="0"/>
        <w:overflowPunct/>
        <w:bidi w:val="0"/>
        <w:rPr>
          <w:color w:val="auto"/>
        </w:rPr>
      </w:pPr>
      <w:r>
        <w:rPr>
          <w:rFonts w:hint="eastAsia"/>
          <w:color w:val="auto"/>
        </w:rPr>
        <w:t>7.1.9 视场角:63.7°(W)～2.3°(T)；</w:t>
      </w:r>
    </w:p>
    <w:p w14:paraId="11B5190D">
      <w:pPr>
        <w:pageBreakBefore w:val="0"/>
        <w:wordWrap w:val="0"/>
        <w:overflowPunct/>
        <w:bidi w:val="0"/>
        <w:rPr>
          <w:color w:val="auto"/>
        </w:rPr>
      </w:pPr>
      <w:r>
        <w:rPr>
          <w:rFonts w:hint="eastAsia"/>
          <w:color w:val="auto"/>
        </w:rPr>
        <w:t>7.1.10 光圈:F1.6（W)～F4.7（T)；</w:t>
      </w:r>
    </w:p>
    <w:p w14:paraId="0BBBA46D">
      <w:pPr>
        <w:pageBreakBefore w:val="0"/>
        <w:wordWrap w:val="0"/>
        <w:overflowPunct/>
        <w:bidi w:val="0"/>
        <w:rPr>
          <w:color w:val="auto"/>
        </w:rPr>
      </w:pPr>
      <w:r>
        <w:rPr>
          <w:rFonts w:hint="eastAsia"/>
          <w:color w:val="auto"/>
        </w:rPr>
        <w:t>7.1.12 视频输出（HDMI）:1080P 60/59.94/50/30/29.97/25，1080i 60/59.94/50，720P 60/59.94/50/30/25；</w:t>
      </w:r>
    </w:p>
    <w:p w14:paraId="4D0FE4D1">
      <w:pPr>
        <w:pageBreakBefore w:val="0"/>
        <w:wordWrap w:val="0"/>
        <w:overflowPunct/>
        <w:bidi w:val="0"/>
        <w:rPr>
          <w:color w:val="auto"/>
        </w:rPr>
      </w:pPr>
      <w:r>
        <w:rPr>
          <w:rFonts w:hint="eastAsia"/>
          <w:color w:val="auto"/>
        </w:rPr>
        <w:t>7.1.13 输出接口:3G-SDI、HDMI；</w:t>
      </w:r>
    </w:p>
    <w:p w14:paraId="2B208C13">
      <w:pPr>
        <w:pageBreakBefore w:val="0"/>
        <w:wordWrap w:val="0"/>
        <w:overflowPunct/>
        <w:bidi w:val="0"/>
        <w:rPr>
          <w:color w:val="auto"/>
        </w:rPr>
      </w:pPr>
      <w:r>
        <w:rPr>
          <w:rFonts w:hint="eastAsia"/>
          <w:color w:val="auto"/>
        </w:rPr>
        <w:t>7.1.14 控制方式 :RS232、RS422/485，红外遥控；</w:t>
      </w:r>
    </w:p>
    <w:p w14:paraId="5880C0FE">
      <w:pPr>
        <w:pageBreakBefore w:val="0"/>
        <w:wordWrap w:val="0"/>
        <w:overflowPunct/>
        <w:bidi w:val="0"/>
        <w:rPr>
          <w:color w:val="auto"/>
        </w:rPr>
      </w:pPr>
      <w:r>
        <w:rPr>
          <w:rFonts w:hint="eastAsia"/>
          <w:color w:val="auto"/>
        </w:rPr>
        <w:t>7.1.15 控制协议 :VISCA、PELCO P/D。</w:t>
      </w:r>
    </w:p>
    <w:p w14:paraId="53672435">
      <w:pPr>
        <w:pageBreakBefore w:val="0"/>
        <w:wordWrap w:val="0"/>
        <w:overflowPunct/>
        <w:bidi w:val="0"/>
        <w:rPr>
          <w:color w:val="auto"/>
        </w:rPr>
      </w:pPr>
      <w:r>
        <w:rPr>
          <w:rFonts w:hint="eastAsia"/>
          <w:color w:val="auto"/>
        </w:rPr>
        <w:t>7.2 车顶高清T型云台摄像机/车头1套</w:t>
      </w:r>
    </w:p>
    <w:p w14:paraId="35794CD9">
      <w:pPr>
        <w:pageBreakBefore w:val="0"/>
        <w:wordWrap w:val="0"/>
        <w:overflowPunct/>
        <w:bidi w:val="0"/>
        <w:rPr>
          <w:color w:val="auto"/>
        </w:rPr>
      </w:pPr>
      <w:r>
        <w:rPr>
          <w:rFonts w:hint="eastAsia"/>
          <w:color w:val="auto"/>
        </w:rPr>
        <w:t>7.2.1 高清红外车载云台摄像机，360度无限位旋转、仰视180度无盲点；</w:t>
      </w:r>
    </w:p>
    <w:p w14:paraId="5EC89C41">
      <w:pPr>
        <w:pageBreakBefore w:val="0"/>
        <w:wordWrap w:val="0"/>
        <w:overflowPunct/>
        <w:bidi w:val="0"/>
        <w:rPr>
          <w:color w:val="auto"/>
        </w:rPr>
      </w:pPr>
      <w:r>
        <w:rPr>
          <w:rFonts w:hint="eastAsia"/>
          <w:color w:val="auto"/>
        </w:rPr>
        <w:t>7.2.2 激光夜视距离300米、白天距离500米，最快速度120°/s；</w:t>
      </w:r>
    </w:p>
    <w:p w14:paraId="1DACCF27">
      <w:pPr>
        <w:pageBreakBefore w:val="0"/>
        <w:wordWrap w:val="0"/>
        <w:overflowPunct/>
        <w:bidi w:val="0"/>
        <w:rPr>
          <w:color w:val="auto"/>
        </w:rPr>
      </w:pPr>
      <w:r>
        <w:rPr>
          <w:rFonts w:hint="eastAsia"/>
          <w:color w:val="auto"/>
        </w:rPr>
        <w:t>7.2.3 超强抗震特性，双层遮阳设计，带雨刷功能；</w:t>
      </w:r>
    </w:p>
    <w:p w14:paraId="691B0731">
      <w:pPr>
        <w:pageBreakBefore w:val="0"/>
        <w:wordWrap w:val="0"/>
        <w:overflowPunct/>
        <w:bidi w:val="0"/>
        <w:rPr>
          <w:color w:val="auto"/>
        </w:rPr>
      </w:pPr>
      <w:r>
        <w:rPr>
          <w:rFonts w:hint="eastAsia"/>
          <w:color w:val="auto"/>
        </w:rPr>
        <w:t>7.2.4 ≥128个预置位；</w:t>
      </w:r>
    </w:p>
    <w:p w14:paraId="053947ED">
      <w:pPr>
        <w:pageBreakBefore w:val="0"/>
        <w:wordWrap w:val="0"/>
        <w:overflowPunct/>
        <w:bidi w:val="0"/>
        <w:rPr>
          <w:color w:val="auto"/>
        </w:rPr>
      </w:pPr>
      <w:r>
        <w:rPr>
          <w:rFonts w:hint="eastAsia"/>
          <w:color w:val="auto"/>
        </w:rPr>
        <w:t>7.2.5 1/2.8 英寸CMOS；</w:t>
      </w:r>
    </w:p>
    <w:p w14:paraId="51C72D8B">
      <w:pPr>
        <w:pageBreakBefore w:val="0"/>
        <w:wordWrap w:val="0"/>
        <w:overflowPunct/>
        <w:bidi w:val="0"/>
        <w:rPr>
          <w:color w:val="auto"/>
        </w:rPr>
      </w:pPr>
      <w:r>
        <w:rPr>
          <w:rFonts w:hint="eastAsia"/>
          <w:color w:val="auto"/>
        </w:rPr>
        <w:t>7.2.6 内置4.7～124mm30倍光学变倍一体化摄象机；</w:t>
      </w:r>
    </w:p>
    <w:p w14:paraId="03CC3143">
      <w:pPr>
        <w:pageBreakBefore w:val="0"/>
        <w:wordWrap w:val="0"/>
        <w:overflowPunct/>
        <w:bidi w:val="0"/>
        <w:rPr>
          <w:color w:val="auto"/>
        </w:rPr>
      </w:pPr>
      <w:r>
        <w:rPr>
          <w:rFonts w:hint="eastAsia"/>
          <w:color w:val="auto"/>
        </w:rPr>
        <w:t>7.2.7 210万像素，强光抑制功能，彩色黑白自动转换，自动移动红外滤光片，1080P全实时高清；</w:t>
      </w:r>
    </w:p>
    <w:p w14:paraId="44CFF0C6">
      <w:pPr>
        <w:pageBreakBefore w:val="0"/>
        <w:wordWrap w:val="0"/>
        <w:overflowPunct/>
        <w:bidi w:val="0"/>
        <w:rPr>
          <w:color w:val="auto"/>
        </w:rPr>
      </w:pPr>
      <w:r>
        <w:rPr>
          <w:rFonts w:hint="eastAsia"/>
          <w:color w:val="auto"/>
        </w:rPr>
        <w:t>7.2.8 具有HDMI或SDI视频输出,具有网络视频输出。</w:t>
      </w:r>
    </w:p>
    <w:p w14:paraId="20B1EAEB">
      <w:pPr>
        <w:pageBreakBefore w:val="0"/>
        <w:wordWrap w:val="0"/>
        <w:overflowPunct/>
        <w:bidi w:val="0"/>
        <w:rPr>
          <w:color w:val="auto"/>
        </w:rPr>
      </w:pPr>
      <w:r>
        <w:rPr>
          <w:rFonts w:hint="eastAsia"/>
          <w:color w:val="auto"/>
        </w:rPr>
        <w:t>7.3 升降杆高倍红外枪机1套</w:t>
      </w:r>
    </w:p>
    <w:p w14:paraId="6ABE80FF">
      <w:pPr>
        <w:pageBreakBefore w:val="0"/>
        <w:wordWrap w:val="0"/>
        <w:overflowPunct/>
        <w:bidi w:val="0"/>
        <w:rPr>
          <w:color w:val="auto"/>
        </w:rPr>
      </w:pPr>
      <w:r>
        <w:rPr>
          <w:rFonts w:hint="eastAsia"/>
          <w:color w:val="auto"/>
        </w:rPr>
        <w:t>7.3.1 成像器件：1/2.8 CMOS传感器，不低于 200 万像素(16:9)；</w:t>
      </w:r>
    </w:p>
    <w:p w14:paraId="418877CF">
      <w:pPr>
        <w:pageBreakBefore w:val="0"/>
        <w:wordWrap w:val="0"/>
        <w:overflowPunct/>
        <w:bidi w:val="0"/>
        <w:rPr>
          <w:color w:val="auto"/>
        </w:rPr>
      </w:pPr>
      <w:r>
        <w:rPr>
          <w:rFonts w:hint="eastAsia"/>
          <w:color w:val="auto"/>
        </w:rPr>
        <w:t>7.3.2 镜头：≥30倍光学变焦，10倍数字变焦；</w:t>
      </w:r>
    </w:p>
    <w:p w14:paraId="24A89B62">
      <w:pPr>
        <w:pageBreakBefore w:val="0"/>
        <w:wordWrap w:val="0"/>
        <w:overflowPunct/>
        <w:bidi w:val="0"/>
        <w:rPr>
          <w:color w:val="auto"/>
        </w:rPr>
      </w:pPr>
      <w:r>
        <w:rPr>
          <w:rFonts w:hint="eastAsia"/>
          <w:color w:val="auto"/>
        </w:rPr>
        <w:t>7.3.3 视频输出：SDI、LAN、A-IN、RS485；</w:t>
      </w:r>
    </w:p>
    <w:p w14:paraId="04C78845">
      <w:pPr>
        <w:pageBreakBefore w:val="0"/>
        <w:wordWrap w:val="0"/>
        <w:overflowPunct/>
        <w:bidi w:val="0"/>
        <w:rPr>
          <w:color w:val="auto"/>
        </w:rPr>
      </w:pPr>
      <w:r>
        <w:rPr>
          <w:rFonts w:hint="eastAsia"/>
          <w:color w:val="auto"/>
        </w:rPr>
        <w:t>7.3.4 控制协议：VISCA/Pelco-D/Pelco-P；</w:t>
      </w:r>
    </w:p>
    <w:p w14:paraId="3E6E48FB">
      <w:pPr>
        <w:pageBreakBefore w:val="0"/>
        <w:wordWrap w:val="0"/>
        <w:overflowPunct/>
        <w:bidi w:val="0"/>
        <w:rPr>
          <w:color w:val="auto"/>
        </w:rPr>
      </w:pPr>
      <w:r>
        <w:rPr>
          <w:rFonts w:hint="eastAsia"/>
          <w:color w:val="auto"/>
        </w:rPr>
        <w:t>7.3.5 全主体：铝合金；</w:t>
      </w:r>
    </w:p>
    <w:p w14:paraId="388229AE">
      <w:pPr>
        <w:pageBreakBefore w:val="0"/>
        <w:wordWrap w:val="0"/>
        <w:overflowPunct/>
        <w:bidi w:val="0"/>
        <w:rPr>
          <w:color w:val="auto"/>
        </w:rPr>
      </w:pPr>
      <w:r>
        <w:rPr>
          <w:rFonts w:hint="eastAsia"/>
          <w:color w:val="auto"/>
        </w:rPr>
        <w:t>7.3.6 视窗：透明玻璃，可选光学玻璃；</w:t>
      </w:r>
    </w:p>
    <w:p w14:paraId="78C0481C">
      <w:pPr>
        <w:pageBreakBefore w:val="0"/>
        <w:wordWrap w:val="0"/>
        <w:overflowPunct/>
        <w:bidi w:val="0"/>
        <w:rPr>
          <w:color w:val="auto"/>
        </w:rPr>
      </w:pPr>
      <w:r>
        <w:rPr>
          <w:rFonts w:hint="eastAsia"/>
          <w:color w:val="auto"/>
        </w:rPr>
        <w:t>7.3.7 锁扣：不锈钢；</w:t>
      </w:r>
    </w:p>
    <w:p w14:paraId="7C73C226">
      <w:pPr>
        <w:pageBreakBefore w:val="0"/>
        <w:wordWrap w:val="0"/>
        <w:overflowPunct/>
        <w:bidi w:val="0"/>
        <w:rPr>
          <w:color w:val="auto"/>
        </w:rPr>
      </w:pPr>
      <w:r>
        <w:rPr>
          <w:rFonts w:hint="eastAsia"/>
          <w:color w:val="auto"/>
        </w:rPr>
        <w:t>7.3.8 配置加热器、风扇、遮阳罩、光学玻璃、雨刷器 ；</w:t>
      </w:r>
    </w:p>
    <w:p w14:paraId="39AA7611">
      <w:pPr>
        <w:pageBreakBefore w:val="0"/>
        <w:wordWrap w:val="0"/>
        <w:overflowPunct/>
        <w:bidi w:val="0"/>
        <w:rPr>
          <w:color w:val="auto"/>
        </w:rPr>
      </w:pPr>
      <w:r>
        <w:rPr>
          <w:rFonts w:hint="eastAsia"/>
          <w:color w:val="auto"/>
        </w:rPr>
        <w:t>7.3.9 防护等级：符合IP66标准。</w:t>
      </w:r>
    </w:p>
    <w:p w14:paraId="6EB07DE3">
      <w:pPr>
        <w:pageBreakBefore w:val="0"/>
        <w:wordWrap w:val="0"/>
        <w:overflowPunct/>
        <w:bidi w:val="0"/>
        <w:rPr>
          <w:color w:val="auto"/>
        </w:rPr>
      </w:pPr>
      <w:r>
        <w:rPr>
          <w:rFonts w:hint="eastAsia"/>
          <w:color w:val="auto"/>
        </w:rPr>
        <w:t>7.4 遥控键盘1套</w:t>
      </w:r>
    </w:p>
    <w:p w14:paraId="600344CE">
      <w:pPr>
        <w:pageBreakBefore w:val="0"/>
        <w:wordWrap w:val="0"/>
        <w:overflowPunct/>
        <w:bidi w:val="0"/>
        <w:rPr>
          <w:color w:val="auto"/>
        </w:rPr>
      </w:pPr>
      <w:r>
        <w:rPr>
          <w:rFonts w:hint="eastAsia"/>
          <w:color w:val="auto"/>
        </w:rPr>
        <w:t>7.4.1 带显示屏网络高清控制键盘；</w:t>
      </w:r>
    </w:p>
    <w:p w14:paraId="270D7CFC">
      <w:pPr>
        <w:pageBreakBefore w:val="0"/>
        <w:wordWrap w:val="0"/>
        <w:overflowPunct/>
        <w:bidi w:val="0"/>
        <w:rPr>
          <w:color w:val="auto"/>
        </w:rPr>
      </w:pPr>
      <w:r>
        <w:rPr>
          <w:rFonts w:hint="eastAsia"/>
          <w:color w:val="auto"/>
        </w:rPr>
        <w:t>7.4.2 提供1个网络高清视频输入接口；</w:t>
      </w:r>
    </w:p>
    <w:p w14:paraId="749D6064">
      <w:pPr>
        <w:pageBreakBefore w:val="0"/>
        <w:wordWrap w:val="0"/>
        <w:overflowPunct/>
        <w:bidi w:val="0"/>
        <w:rPr>
          <w:color w:val="auto"/>
        </w:rPr>
      </w:pPr>
      <w:r>
        <w:rPr>
          <w:rFonts w:hint="eastAsia"/>
          <w:color w:val="auto"/>
        </w:rPr>
        <w:t>7.4.3 支持多路网络高清摄像机接入；</w:t>
      </w:r>
    </w:p>
    <w:p w14:paraId="0C1B9648">
      <w:pPr>
        <w:pageBreakBefore w:val="0"/>
        <w:wordWrap w:val="0"/>
        <w:overflowPunct/>
        <w:bidi w:val="0"/>
        <w:rPr>
          <w:color w:val="auto"/>
        </w:rPr>
      </w:pPr>
      <w:r>
        <w:rPr>
          <w:rFonts w:hint="eastAsia"/>
          <w:color w:val="auto"/>
        </w:rPr>
        <w:t>7.4.4 单画面全屏显示；</w:t>
      </w:r>
    </w:p>
    <w:p w14:paraId="35C88426">
      <w:pPr>
        <w:pageBreakBefore w:val="0"/>
        <w:wordWrap w:val="0"/>
        <w:overflowPunct/>
        <w:bidi w:val="0"/>
        <w:rPr>
          <w:color w:val="auto"/>
        </w:rPr>
      </w:pPr>
      <w:r>
        <w:rPr>
          <w:rFonts w:hint="eastAsia"/>
          <w:color w:val="auto"/>
        </w:rPr>
        <w:t>7.4.5 支持多个摄像机图像切换；</w:t>
      </w:r>
    </w:p>
    <w:p w14:paraId="7A7E6FD0">
      <w:pPr>
        <w:pageBreakBefore w:val="0"/>
        <w:wordWrap w:val="0"/>
        <w:overflowPunct/>
        <w:bidi w:val="0"/>
        <w:rPr>
          <w:color w:val="auto"/>
        </w:rPr>
      </w:pPr>
      <w:r>
        <w:rPr>
          <w:rFonts w:hint="eastAsia"/>
          <w:color w:val="auto"/>
        </w:rPr>
        <w:t>7.4.6  5.0"LED高清液晶显示屏，支持ONVIF2.4，与网络摄像机无缝连接；</w:t>
      </w:r>
    </w:p>
    <w:p w14:paraId="03E48A9B">
      <w:pPr>
        <w:pageBreakBefore w:val="0"/>
        <w:wordWrap w:val="0"/>
        <w:overflowPunct/>
        <w:bidi w:val="0"/>
        <w:rPr>
          <w:color w:val="auto"/>
        </w:rPr>
      </w:pPr>
      <w:r>
        <w:rPr>
          <w:rFonts w:hint="eastAsia"/>
          <w:color w:val="auto"/>
        </w:rPr>
        <w:t>7.4.7 支持1路HDMI接口输出，可通过HDMI接入高清大屏，实现键盘与大屏画面的同步切换；</w:t>
      </w:r>
    </w:p>
    <w:p w14:paraId="134B3FBF">
      <w:pPr>
        <w:pageBreakBefore w:val="0"/>
        <w:wordWrap w:val="0"/>
        <w:overflowPunct/>
        <w:bidi w:val="0"/>
        <w:rPr>
          <w:color w:val="auto"/>
        </w:rPr>
      </w:pPr>
      <w:r>
        <w:rPr>
          <w:rFonts w:hint="eastAsia"/>
          <w:color w:val="auto"/>
        </w:rPr>
        <w:t>7.4.8  DC12V供电。</w:t>
      </w:r>
    </w:p>
    <w:p w14:paraId="69113ACE">
      <w:pPr>
        <w:pageBreakBefore w:val="0"/>
        <w:wordWrap w:val="0"/>
        <w:overflowPunct/>
        <w:bidi w:val="0"/>
        <w:rPr>
          <w:color w:val="auto"/>
        </w:rPr>
      </w:pPr>
      <w:r>
        <w:rPr>
          <w:rFonts w:hint="eastAsia"/>
          <w:color w:val="auto"/>
        </w:rPr>
        <w:t>7.5 主显示屏1台。</w:t>
      </w:r>
    </w:p>
    <w:p w14:paraId="6954D794">
      <w:pPr>
        <w:pageBreakBefore w:val="0"/>
        <w:wordWrap w:val="0"/>
        <w:overflowPunct/>
        <w:bidi w:val="0"/>
        <w:rPr>
          <w:color w:val="auto"/>
        </w:rPr>
      </w:pPr>
      <w:r>
        <w:rPr>
          <w:rFonts w:hint="eastAsia"/>
          <w:color w:val="auto"/>
        </w:rPr>
        <w:t>7.5.1 屏幕尺寸（英寸）：≥75"；</w:t>
      </w:r>
    </w:p>
    <w:p w14:paraId="2D1FE43F">
      <w:pPr>
        <w:pageBreakBefore w:val="0"/>
        <w:wordWrap w:val="0"/>
        <w:overflowPunct/>
        <w:bidi w:val="0"/>
        <w:rPr>
          <w:color w:val="auto"/>
        </w:rPr>
      </w:pPr>
      <w:r>
        <w:rPr>
          <w:rFonts w:hint="eastAsia"/>
          <w:color w:val="auto"/>
        </w:rPr>
        <w:t>7.5.2 背光类型：D-LED；</w:t>
      </w:r>
    </w:p>
    <w:p w14:paraId="6ABFEFD4">
      <w:pPr>
        <w:pageBreakBefore w:val="0"/>
        <w:wordWrap w:val="0"/>
        <w:overflowPunct/>
        <w:bidi w:val="0"/>
        <w:rPr>
          <w:color w:val="auto"/>
        </w:rPr>
      </w:pPr>
      <w:r>
        <w:rPr>
          <w:rFonts w:hint="eastAsia"/>
          <w:color w:val="auto"/>
        </w:rPr>
        <w:t>7.5.3 显示比例：16：9；</w:t>
      </w:r>
    </w:p>
    <w:p w14:paraId="6574947F">
      <w:pPr>
        <w:pageBreakBefore w:val="0"/>
        <w:wordWrap w:val="0"/>
        <w:overflowPunct/>
        <w:bidi w:val="0"/>
        <w:rPr>
          <w:color w:val="auto"/>
        </w:rPr>
      </w:pPr>
      <w:r>
        <w:rPr>
          <w:rFonts w:hint="eastAsia"/>
          <w:color w:val="auto"/>
        </w:rPr>
        <w:t>7.5.4 分辨率：≥3840*2160（真4K）；</w:t>
      </w:r>
    </w:p>
    <w:p w14:paraId="2137E764">
      <w:pPr>
        <w:pageBreakBefore w:val="0"/>
        <w:wordWrap w:val="0"/>
        <w:overflowPunct/>
        <w:bidi w:val="0"/>
        <w:rPr>
          <w:color w:val="auto"/>
        </w:rPr>
      </w:pPr>
      <w:r>
        <w:rPr>
          <w:rFonts w:hint="eastAsia"/>
          <w:color w:val="auto"/>
        </w:rPr>
        <w:t>7.5.5 对比度：≥1200：1；</w:t>
      </w:r>
    </w:p>
    <w:p w14:paraId="2AD8600E">
      <w:pPr>
        <w:pageBreakBefore w:val="0"/>
        <w:wordWrap w:val="0"/>
        <w:overflowPunct/>
        <w:bidi w:val="0"/>
        <w:rPr>
          <w:color w:val="auto"/>
        </w:rPr>
      </w:pPr>
      <w:r>
        <w:rPr>
          <w:rFonts w:hint="eastAsia"/>
          <w:color w:val="auto"/>
        </w:rPr>
        <w:t>7.5.6 UI界面：4KUI，高清晰度；</w:t>
      </w:r>
    </w:p>
    <w:p w14:paraId="1542F265">
      <w:pPr>
        <w:pageBreakBefore w:val="0"/>
        <w:wordWrap w:val="0"/>
        <w:overflowPunct/>
        <w:bidi w:val="0"/>
        <w:rPr>
          <w:color w:val="auto"/>
        </w:rPr>
      </w:pPr>
      <w:r>
        <w:rPr>
          <w:rFonts w:hint="eastAsia"/>
          <w:color w:val="auto"/>
        </w:rPr>
        <w:t>7.5.7 运行内存≥8GB；</w:t>
      </w:r>
    </w:p>
    <w:p w14:paraId="1E911062">
      <w:pPr>
        <w:pageBreakBefore w:val="0"/>
        <w:wordWrap w:val="0"/>
        <w:overflowPunct/>
        <w:bidi w:val="0"/>
        <w:rPr>
          <w:color w:val="auto"/>
        </w:rPr>
      </w:pPr>
      <w:r>
        <w:rPr>
          <w:rFonts w:hint="eastAsia"/>
          <w:color w:val="auto"/>
        </w:rPr>
        <w:t>7.5.8 书写精度：不低于±1mm；</w:t>
      </w:r>
    </w:p>
    <w:p w14:paraId="5E84EC2C">
      <w:pPr>
        <w:pageBreakBefore w:val="0"/>
        <w:wordWrap w:val="0"/>
        <w:overflowPunct/>
        <w:bidi w:val="0"/>
        <w:rPr>
          <w:color w:val="auto"/>
        </w:rPr>
      </w:pPr>
      <w:r>
        <w:rPr>
          <w:rFonts w:hint="eastAsia"/>
          <w:color w:val="auto"/>
        </w:rPr>
        <w:t>7.5.9  CPU核数≥四核，整体性能优于海思V811(双核A73+双核A53)；</w:t>
      </w:r>
    </w:p>
    <w:p w14:paraId="55AB6EF5">
      <w:pPr>
        <w:pageBreakBefore w:val="0"/>
        <w:wordWrap w:val="0"/>
        <w:overflowPunct/>
        <w:bidi w:val="0"/>
        <w:rPr>
          <w:color w:val="auto"/>
        </w:rPr>
      </w:pPr>
      <w:r>
        <w:rPr>
          <w:rFonts w:hint="eastAsia"/>
          <w:color w:val="auto"/>
        </w:rPr>
        <w:t>7.5.10 智能书写：支持中英文、11种图形识别；</w:t>
      </w:r>
    </w:p>
    <w:p w14:paraId="17E42FFD">
      <w:pPr>
        <w:pageBreakBefore w:val="0"/>
        <w:wordWrap w:val="0"/>
        <w:overflowPunct/>
        <w:bidi w:val="0"/>
        <w:rPr>
          <w:color w:val="auto"/>
        </w:rPr>
      </w:pPr>
      <w:r>
        <w:rPr>
          <w:rFonts w:hint="eastAsia"/>
          <w:color w:val="auto"/>
        </w:rPr>
        <w:t>7.5.11 功能：支持无线有线投屏、书写、会议。</w:t>
      </w:r>
    </w:p>
    <w:p w14:paraId="3FCBB912">
      <w:pPr>
        <w:pageBreakBefore w:val="0"/>
        <w:wordWrap w:val="0"/>
        <w:overflowPunct/>
        <w:bidi w:val="0"/>
        <w:rPr>
          <w:color w:val="auto"/>
        </w:rPr>
      </w:pPr>
      <w:r>
        <w:rPr>
          <w:rFonts w:hint="eastAsia"/>
          <w:color w:val="auto"/>
        </w:rPr>
        <w:t>7.6高清辅监视器2台</w:t>
      </w:r>
    </w:p>
    <w:p w14:paraId="113B13F9">
      <w:pPr>
        <w:pageBreakBefore w:val="0"/>
        <w:wordWrap w:val="0"/>
        <w:overflowPunct/>
        <w:bidi w:val="0"/>
        <w:rPr>
          <w:color w:val="auto"/>
        </w:rPr>
      </w:pPr>
      <w:r>
        <w:rPr>
          <w:rFonts w:hint="eastAsia"/>
          <w:color w:val="auto"/>
        </w:rPr>
        <w:t>7.6.1  屏幕尺寸：≥40英寸,厚度≤15mm，可嵌入厢体安装；</w:t>
      </w:r>
    </w:p>
    <w:p w14:paraId="497BC6DD">
      <w:pPr>
        <w:pageBreakBefore w:val="0"/>
        <w:wordWrap w:val="0"/>
        <w:overflowPunct/>
        <w:bidi w:val="0"/>
        <w:rPr>
          <w:color w:val="auto"/>
        </w:rPr>
      </w:pPr>
      <w:r>
        <w:rPr>
          <w:rFonts w:hint="eastAsia"/>
          <w:color w:val="auto"/>
        </w:rPr>
        <w:t>7.6.2 屏幕分辨率：≥4K；</w:t>
      </w:r>
    </w:p>
    <w:p w14:paraId="1970A902">
      <w:pPr>
        <w:pageBreakBefore w:val="0"/>
        <w:wordWrap w:val="0"/>
        <w:overflowPunct/>
        <w:bidi w:val="0"/>
        <w:rPr>
          <w:color w:val="auto"/>
        </w:rPr>
      </w:pPr>
      <w:r>
        <w:rPr>
          <w:rFonts w:hint="eastAsia"/>
          <w:color w:val="auto"/>
        </w:rPr>
        <w:t>7.6.3 屏幕比例：16：9；</w:t>
      </w:r>
    </w:p>
    <w:p w14:paraId="19F37FF2">
      <w:pPr>
        <w:pageBreakBefore w:val="0"/>
        <w:wordWrap w:val="0"/>
        <w:overflowPunct/>
        <w:bidi w:val="0"/>
        <w:rPr>
          <w:color w:val="auto"/>
        </w:rPr>
      </w:pPr>
      <w:r>
        <w:rPr>
          <w:rFonts w:hint="eastAsia"/>
          <w:color w:val="auto"/>
        </w:rPr>
        <w:t>7.6.4 刷屏率：60HZ；</w:t>
      </w:r>
    </w:p>
    <w:p w14:paraId="28E086EE">
      <w:pPr>
        <w:pageBreakBefore w:val="0"/>
        <w:wordWrap w:val="0"/>
        <w:overflowPunct/>
        <w:bidi w:val="0"/>
        <w:rPr>
          <w:color w:val="auto"/>
        </w:rPr>
      </w:pPr>
      <w:r>
        <w:rPr>
          <w:rFonts w:hint="eastAsia"/>
          <w:color w:val="auto"/>
        </w:rPr>
        <w:t>7.6.5 亮度：≥300尼特；</w:t>
      </w:r>
    </w:p>
    <w:p w14:paraId="0EA51BC2">
      <w:pPr>
        <w:pageBreakBefore w:val="0"/>
        <w:wordWrap w:val="0"/>
        <w:overflowPunct/>
        <w:bidi w:val="0"/>
        <w:rPr>
          <w:color w:val="auto"/>
        </w:rPr>
      </w:pPr>
      <w:r>
        <w:rPr>
          <w:rFonts w:hint="eastAsia"/>
          <w:color w:val="auto"/>
        </w:rPr>
        <w:t>7.6.6 运行内存≥1GB。</w:t>
      </w:r>
    </w:p>
    <w:p w14:paraId="6FB6E189">
      <w:pPr>
        <w:pageBreakBefore w:val="0"/>
        <w:wordWrap w:val="0"/>
        <w:overflowPunct/>
        <w:bidi w:val="0"/>
        <w:rPr>
          <w:color w:val="auto"/>
        </w:rPr>
      </w:pPr>
      <w:r>
        <w:rPr>
          <w:rFonts w:hint="eastAsia"/>
          <w:color w:val="auto"/>
        </w:rPr>
        <w:t>7.7  机柜监视器3台。</w:t>
      </w:r>
    </w:p>
    <w:p w14:paraId="7BCD6751">
      <w:pPr>
        <w:pageBreakBefore w:val="0"/>
        <w:wordWrap w:val="0"/>
        <w:overflowPunct/>
        <w:bidi w:val="0"/>
        <w:rPr>
          <w:color w:val="auto"/>
        </w:rPr>
      </w:pPr>
      <w:r>
        <w:rPr>
          <w:rFonts w:hint="eastAsia"/>
          <w:color w:val="auto"/>
        </w:rPr>
        <w:t>7.7.1  ≥17英寸；</w:t>
      </w:r>
    </w:p>
    <w:p w14:paraId="14D9695A">
      <w:pPr>
        <w:pageBreakBefore w:val="0"/>
        <w:wordWrap w:val="0"/>
        <w:overflowPunct/>
        <w:bidi w:val="0"/>
        <w:rPr>
          <w:color w:val="auto"/>
        </w:rPr>
      </w:pPr>
      <w:r>
        <w:rPr>
          <w:rFonts w:hint="eastAsia"/>
          <w:color w:val="auto"/>
        </w:rPr>
        <w:t>7.7.2 显示比例：16:9；</w:t>
      </w:r>
    </w:p>
    <w:p w14:paraId="224D2036">
      <w:pPr>
        <w:pageBreakBefore w:val="0"/>
        <w:wordWrap w:val="0"/>
        <w:overflowPunct/>
        <w:bidi w:val="0"/>
        <w:rPr>
          <w:color w:val="auto"/>
        </w:rPr>
      </w:pPr>
      <w:r>
        <w:rPr>
          <w:rFonts w:hint="eastAsia"/>
          <w:color w:val="auto"/>
        </w:rPr>
        <w:t>7.7.3 分辨率：≥1280*1024；</w:t>
      </w:r>
    </w:p>
    <w:p w14:paraId="677FC8FA">
      <w:pPr>
        <w:pageBreakBefore w:val="0"/>
        <w:wordWrap w:val="0"/>
        <w:overflowPunct/>
        <w:bidi w:val="0"/>
        <w:rPr>
          <w:color w:val="auto"/>
        </w:rPr>
      </w:pPr>
      <w:r>
        <w:rPr>
          <w:rFonts w:hint="eastAsia"/>
          <w:color w:val="auto"/>
        </w:rPr>
        <w:t>7.7.4 亮度：350cd/m；</w:t>
      </w:r>
    </w:p>
    <w:p w14:paraId="5A4F8E43">
      <w:pPr>
        <w:pageBreakBefore w:val="0"/>
        <w:wordWrap w:val="0"/>
        <w:overflowPunct/>
        <w:bidi w:val="0"/>
        <w:rPr>
          <w:color w:val="auto"/>
        </w:rPr>
      </w:pPr>
      <w:r>
        <w:rPr>
          <w:rFonts w:hint="eastAsia"/>
          <w:color w:val="auto"/>
        </w:rPr>
        <w:t>7.7.5 对比度400：1；</w:t>
      </w:r>
    </w:p>
    <w:p w14:paraId="7A53572D">
      <w:pPr>
        <w:pageBreakBefore w:val="0"/>
        <w:wordWrap w:val="0"/>
        <w:overflowPunct/>
        <w:bidi w:val="0"/>
        <w:rPr>
          <w:color w:val="auto"/>
        </w:rPr>
      </w:pPr>
      <w:r>
        <w:rPr>
          <w:rFonts w:hint="eastAsia"/>
          <w:color w:val="auto"/>
        </w:rPr>
        <w:t>7.8 车内音响6个</w:t>
      </w:r>
    </w:p>
    <w:p w14:paraId="2D9485A0">
      <w:pPr>
        <w:pageBreakBefore w:val="0"/>
        <w:wordWrap w:val="0"/>
        <w:overflowPunct/>
        <w:bidi w:val="0"/>
        <w:rPr>
          <w:color w:val="auto"/>
        </w:rPr>
      </w:pPr>
      <w:r>
        <w:rPr>
          <w:rFonts w:hint="eastAsia"/>
          <w:color w:val="auto"/>
        </w:rPr>
        <w:t>7.8.1  车内高保真视频会议音响，会议室内视频会议语音及轻音乐播放需效果良好，语言清晰、无失真、声压余量充分、声场分布均匀、无啸叫，声像定位正确；</w:t>
      </w:r>
    </w:p>
    <w:p w14:paraId="00BAAFB4">
      <w:pPr>
        <w:pageBreakBefore w:val="0"/>
        <w:wordWrap w:val="0"/>
        <w:overflowPunct/>
        <w:bidi w:val="0"/>
        <w:rPr>
          <w:color w:val="auto"/>
        </w:rPr>
      </w:pPr>
      <w:r>
        <w:rPr>
          <w:rFonts w:hint="eastAsia"/>
          <w:color w:val="auto"/>
        </w:rPr>
        <w:t>7.8.2  功率：≥6W；</w:t>
      </w:r>
    </w:p>
    <w:p w14:paraId="36C883C2">
      <w:pPr>
        <w:pageBreakBefore w:val="0"/>
        <w:wordWrap w:val="0"/>
        <w:overflowPunct/>
        <w:bidi w:val="0"/>
        <w:rPr>
          <w:color w:val="auto"/>
        </w:rPr>
      </w:pPr>
      <w:r>
        <w:rPr>
          <w:rFonts w:hint="eastAsia"/>
          <w:color w:val="auto"/>
        </w:rPr>
        <w:t>7.8.3  灵敏度不低于90dB；</w:t>
      </w:r>
    </w:p>
    <w:p w14:paraId="4AAB8E50">
      <w:pPr>
        <w:pageBreakBefore w:val="0"/>
        <w:wordWrap w:val="0"/>
        <w:overflowPunct/>
        <w:bidi w:val="0"/>
        <w:rPr>
          <w:color w:val="auto"/>
        </w:rPr>
      </w:pPr>
      <w:r>
        <w:rPr>
          <w:rFonts w:hint="eastAsia"/>
          <w:color w:val="auto"/>
        </w:rPr>
        <w:t>7.8.4  频率响应：不低于90～18KHz；</w:t>
      </w:r>
    </w:p>
    <w:p w14:paraId="59171FC1">
      <w:pPr>
        <w:pageBreakBefore w:val="0"/>
        <w:wordWrap w:val="0"/>
        <w:overflowPunct/>
        <w:bidi w:val="0"/>
        <w:rPr>
          <w:color w:val="auto"/>
        </w:rPr>
      </w:pPr>
      <w:r>
        <w:rPr>
          <w:rFonts w:hint="eastAsia"/>
          <w:color w:val="auto"/>
        </w:rPr>
        <w:t>7.8.5  单元阻抗：≥3.3KΩ（白）、1.7KΩ（红）；</w:t>
      </w:r>
    </w:p>
    <w:p w14:paraId="701B7DE4">
      <w:pPr>
        <w:pageBreakBefore w:val="0"/>
        <w:wordWrap w:val="0"/>
        <w:overflowPunct/>
        <w:bidi w:val="0"/>
        <w:rPr>
          <w:color w:val="auto"/>
        </w:rPr>
      </w:pPr>
      <w:r>
        <w:rPr>
          <w:rFonts w:hint="eastAsia"/>
          <w:color w:val="auto"/>
        </w:rPr>
        <w:t>7.8.6  监听级音质。</w:t>
      </w:r>
    </w:p>
    <w:p w14:paraId="64905030">
      <w:pPr>
        <w:pageBreakBefore w:val="0"/>
        <w:wordWrap w:val="0"/>
        <w:overflowPunct/>
        <w:bidi w:val="0"/>
        <w:rPr>
          <w:color w:val="auto"/>
        </w:rPr>
      </w:pPr>
      <w:r>
        <w:rPr>
          <w:rFonts w:hint="eastAsia"/>
          <w:color w:val="auto"/>
        </w:rPr>
        <w:t>7.9  无线话筒1套</w:t>
      </w:r>
    </w:p>
    <w:p w14:paraId="506EB4D1">
      <w:pPr>
        <w:pageBreakBefore w:val="0"/>
        <w:wordWrap w:val="0"/>
        <w:overflowPunct/>
        <w:bidi w:val="0"/>
        <w:rPr>
          <w:color w:val="auto"/>
        </w:rPr>
      </w:pPr>
      <w:r>
        <w:rPr>
          <w:rFonts w:hint="eastAsia"/>
          <w:color w:val="auto"/>
        </w:rPr>
        <w:t>7.9.1  频率范围至少支持UHF600MHz～700MHz；</w:t>
      </w:r>
    </w:p>
    <w:p w14:paraId="34BE96F5">
      <w:pPr>
        <w:pageBreakBefore w:val="0"/>
        <w:wordWrap w:val="0"/>
        <w:overflowPunct/>
        <w:bidi w:val="0"/>
        <w:rPr>
          <w:color w:val="auto"/>
        </w:rPr>
      </w:pPr>
      <w:r>
        <w:rPr>
          <w:rFonts w:hint="eastAsia"/>
          <w:color w:val="auto"/>
        </w:rPr>
        <w:t>7.9.2  频率稳定性≥10PPM；</w:t>
      </w:r>
    </w:p>
    <w:p w14:paraId="3CE05D43">
      <w:pPr>
        <w:pageBreakBefore w:val="0"/>
        <w:wordWrap w:val="0"/>
        <w:overflowPunct/>
        <w:bidi w:val="0"/>
        <w:rPr>
          <w:color w:val="auto"/>
        </w:rPr>
      </w:pPr>
      <w:r>
        <w:rPr>
          <w:rFonts w:hint="eastAsia"/>
          <w:color w:val="auto"/>
        </w:rPr>
        <w:t>7.9.3  频率响应：40Hz-18KHz；</w:t>
      </w:r>
    </w:p>
    <w:p w14:paraId="6857C257">
      <w:pPr>
        <w:pageBreakBefore w:val="0"/>
        <w:wordWrap w:val="0"/>
        <w:overflowPunct/>
        <w:bidi w:val="0"/>
        <w:rPr>
          <w:color w:val="auto"/>
        </w:rPr>
      </w:pPr>
      <w:r>
        <w:rPr>
          <w:rFonts w:hint="eastAsia"/>
          <w:color w:val="auto"/>
        </w:rPr>
        <w:t>7.9.4  本机噪声：≤25dB；</w:t>
      </w:r>
    </w:p>
    <w:p w14:paraId="5BB7B8CC">
      <w:pPr>
        <w:pageBreakBefore w:val="0"/>
        <w:wordWrap w:val="0"/>
        <w:overflowPunct/>
        <w:bidi w:val="0"/>
        <w:rPr>
          <w:color w:val="auto"/>
        </w:rPr>
      </w:pPr>
      <w:r>
        <w:rPr>
          <w:rFonts w:hint="eastAsia"/>
          <w:color w:val="auto"/>
        </w:rPr>
        <w:t>7.9.5  调制方式：DQPSK；</w:t>
      </w:r>
    </w:p>
    <w:p w14:paraId="004AF039">
      <w:pPr>
        <w:pageBreakBefore w:val="0"/>
        <w:wordWrap w:val="0"/>
        <w:overflowPunct/>
        <w:bidi w:val="0"/>
        <w:rPr>
          <w:color w:val="auto"/>
        </w:rPr>
      </w:pPr>
      <w:r>
        <w:rPr>
          <w:rFonts w:hint="eastAsia"/>
          <w:color w:val="auto"/>
        </w:rPr>
        <w:t>7.9.6  信噪比：≥105dB；</w:t>
      </w:r>
    </w:p>
    <w:p w14:paraId="2588E723">
      <w:pPr>
        <w:pageBreakBefore w:val="0"/>
        <w:wordWrap w:val="0"/>
        <w:overflowPunct/>
        <w:bidi w:val="0"/>
        <w:rPr>
          <w:color w:val="auto"/>
        </w:rPr>
      </w:pPr>
      <w:r>
        <w:rPr>
          <w:rFonts w:hint="eastAsia"/>
          <w:color w:val="auto"/>
        </w:rPr>
        <w:t>7.9.7  失真度：≤0.5%@1KHz；</w:t>
      </w:r>
    </w:p>
    <w:p w14:paraId="6D6F7DFD">
      <w:pPr>
        <w:pageBreakBefore w:val="0"/>
        <w:wordWrap w:val="0"/>
        <w:overflowPunct/>
        <w:bidi w:val="0"/>
        <w:rPr>
          <w:color w:val="auto"/>
        </w:rPr>
      </w:pPr>
      <w:r>
        <w:rPr>
          <w:rFonts w:hint="eastAsia"/>
          <w:color w:val="auto"/>
        </w:rPr>
        <w:t>7.9.8  接收灵敏度：≥105dBM；</w:t>
      </w:r>
    </w:p>
    <w:p w14:paraId="1D8DE4AB">
      <w:pPr>
        <w:pageBreakBefore w:val="0"/>
        <w:wordWrap w:val="0"/>
        <w:overflowPunct/>
        <w:bidi w:val="0"/>
        <w:rPr>
          <w:color w:val="auto"/>
        </w:rPr>
      </w:pPr>
      <w:r>
        <w:rPr>
          <w:rFonts w:hint="eastAsia"/>
          <w:color w:val="auto"/>
        </w:rPr>
        <w:t>7.9.9  含4支无线话筒终端。</w:t>
      </w:r>
    </w:p>
    <w:p w14:paraId="1AAC600D">
      <w:pPr>
        <w:pageBreakBefore w:val="0"/>
        <w:wordWrap w:val="0"/>
        <w:overflowPunct/>
        <w:bidi w:val="0"/>
        <w:rPr>
          <w:color w:val="auto"/>
        </w:rPr>
      </w:pPr>
      <w:r>
        <w:rPr>
          <w:rFonts w:hint="eastAsia"/>
          <w:color w:val="auto"/>
        </w:rPr>
        <w:t>7.10 高保真有线话筒5只</w:t>
      </w:r>
    </w:p>
    <w:p w14:paraId="5980577B">
      <w:pPr>
        <w:pageBreakBefore w:val="0"/>
        <w:wordWrap w:val="0"/>
        <w:overflowPunct/>
        <w:bidi w:val="0"/>
        <w:rPr>
          <w:color w:val="auto"/>
        </w:rPr>
      </w:pPr>
      <w:r>
        <w:rPr>
          <w:rFonts w:hint="eastAsia"/>
          <w:color w:val="auto"/>
        </w:rPr>
        <w:t>7.10.1  拾音距离≥1.8M；</w:t>
      </w:r>
    </w:p>
    <w:p w14:paraId="0FBAFC17">
      <w:pPr>
        <w:pageBreakBefore w:val="0"/>
        <w:wordWrap w:val="0"/>
        <w:overflowPunct/>
        <w:bidi w:val="0"/>
        <w:rPr>
          <w:color w:val="auto"/>
        </w:rPr>
      </w:pPr>
      <w:r>
        <w:rPr>
          <w:rFonts w:hint="eastAsia"/>
          <w:color w:val="auto"/>
        </w:rPr>
        <w:t>7.10.2  频率响应：20—20000Hz；</w:t>
      </w:r>
    </w:p>
    <w:p w14:paraId="54249213">
      <w:pPr>
        <w:pageBreakBefore w:val="0"/>
        <w:wordWrap w:val="0"/>
        <w:overflowPunct/>
        <w:bidi w:val="0"/>
        <w:rPr>
          <w:color w:val="auto"/>
        </w:rPr>
      </w:pPr>
      <w:r>
        <w:rPr>
          <w:rFonts w:hint="eastAsia"/>
          <w:color w:val="auto"/>
        </w:rPr>
        <w:t>7.10.3  信噪比：&gt;80dBA；</w:t>
      </w:r>
    </w:p>
    <w:p w14:paraId="4B33456E">
      <w:pPr>
        <w:pageBreakBefore w:val="0"/>
        <w:wordWrap w:val="0"/>
        <w:overflowPunct/>
        <w:bidi w:val="0"/>
        <w:rPr>
          <w:color w:val="auto"/>
        </w:rPr>
      </w:pPr>
      <w:r>
        <w:rPr>
          <w:rFonts w:hint="eastAsia"/>
          <w:color w:val="auto"/>
        </w:rPr>
        <w:t>7.10.4  通道串音：&gt;80dB；</w:t>
      </w:r>
    </w:p>
    <w:p w14:paraId="5FFB8594">
      <w:pPr>
        <w:pageBreakBefore w:val="0"/>
        <w:wordWrap w:val="0"/>
        <w:overflowPunct/>
        <w:bidi w:val="0"/>
        <w:rPr>
          <w:color w:val="auto"/>
        </w:rPr>
      </w:pPr>
      <w:r>
        <w:rPr>
          <w:rFonts w:hint="eastAsia"/>
          <w:color w:val="auto"/>
        </w:rPr>
        <w:t>7.10.5  动态范围：&gt;94dB；</w:t>
      </w:r>
    </w:p>
    <w:p w14:paraId="20BAE442">
      <w:pPr>
        <w:pageBreakBefore w:val="0"/>
        <w:wordWrap w:val="0"/>
        <w:overflowPunct/>
        <w:bidi w:val="0"/>
        <w:rPr>
          <w:color w:val="auto"/>
        </w:rPr>
      </w:pPr>
      <w:r>
        <w:rPr>
          <w:rFonts w:hint="eastAsia"/>
          <w:color w:val="auto"/>
        </w:rPr>
        <w:t>7.10.6  总谐波失真：&lt;0.05%；</w:t>
      </w:r>
    </w:p>
    <w:p w14:paraId="38F7A240">
      <w:pPr>
        <w:pageBreakBefore w:val="0"/>
        <w:wordWrap w:val="0"/>
        <w:overflowPunct/>
        <w:bidi w:val="0"/>
        <w:rPr>
          <w:color w:val="auto"/>
        </w:rPr>
      </w:pPr>
      <w:r>
        <w:rPr>
          <w:rFonts w:hint="eastAsia"/>
          <w:color w:val="auto"/>
        </w:rPr>
        <w:t>7.10.7  输出负载：=&gt;1kΩ。</w:t>
      </w:r>
    </w:p>
    <w:p w14:paraId="260B67EF">
      <w:pPr>
        <w:pageBreakBefore w:val="0"/>
        <w:wordWrap w:val="0"/>
        <w:overflowPunct/>
        <w:bidi w:val="0"/>
        <w:rPr>
          <w:color w:val="auto"/>
        </w:rPr>
      </w:pPr>
      <w:r>
        <w:rPr>
          <w:rFonts w:hint="eastAsia"/>
          <w:color w:val="auto"/>
        </w:rPr>
        <w:t>7.11  车外防水音柱4个</w:t>
      </w:r>
    </w:p>
    <w:p w14:paraId="197DA685">
      <w:pPr>
        <w:pageBreakBefore w:val="0"/>
        <w:wordWrap w:val="0"/>
        <w:overflowPunct/>
        <w:bidi w:val="0"/>
        <w:rPr>
          <w:color w:val="auto"/>
        </w:rPr>
      </w:pPr>
      <w:r>
        <w:rPr>
          <w:rFonts w:hint="eastAsia"/>
          <w:color w:val="auto"/>
        </w:rPr>
        <w:t>7.11.1  功率：≥100W；</w:t>
      </w:r>
    </w:p>
    <w:p w14:paraId="529394FE">
      <w:pPr>
        <w:pageBreakBefore w:val="0"/>
        <w:wordWrap w:val="0"/>
        <w:overflowPunct/>
        <w:bidi w:val="0"/>
        <w:rPr>
          <w:color w:val="auto"/>
        </w:rPr>
      </w:pPr>
      <w:r>
        <w:rPr>
          <w:rFonts w:hint="eastAsia"/>
          <w:color w:val="auto"/>
        </w:rPr>
        <w:t>7.11.2  额定阻抗：≥8Ω；</w:t>
      </w:r>
    </w:p>
    <w:p w14:paraId="448DBEE9">
      <w:pPr>
        <w:pageBreakBefore w:val="0"/>
        <w:wordWrap w:val="0"/>
        <w:overflowPunct/>
        <w:bidi w:val="0"/>
        <w:rPr>
          <w:color w:val="auto"/>
        </w:rPr>
      </w:pPr>
      <w:r>
        <w:rPr>
          <w:rFonts w:hint="eastAsia"/>
          <w:color w:val="auto"/>
        </w:rPr>
        <w:t>7.11.3  频响：≥200Hz～5KHz；</w:t>
      </w:r>
    </w:p>
    <w:p w14:paraId="209D260B">
      <w:pPr>
        <w:pageBreakBefore w:val="0"/>
        <w:wordWrap w:val="0"/>
        <w:overflowPunct/>
        <w:bidi w:val="0"/>
        <w:rPr>
          <w:color w:val="auto"/>
        </w:rPr>
      </w:pPr>
      <w:r>
        <w:rPr>
          <w:rFonts w:hint="eastAsia"/>
          <w:color w:val="auto"/>
        </w:rPr>
        <w:t>7.11.4  防水防尘，支持室外安装。</w:t>
      </w:r>
    </w:p>
    <w:p w14:paraId="6136A390">
      <w:pPr>
        <w:pageBreakBefore w:val="0"/>
        <w:wordWrap w:val="0"/>
        <w:overflowPunct/>
        <w:bidi w:val="0"/>
        <w:rPr>
          <w:color w:val="auto"/>
        </w:rPr>
      </w:pPr>
      <w:r>
        <w:rPr>
          <w:rFonts w:hint="eastAsia"/>
          <w:color w:val="auto"/>
        </w:rPr>
        <w:t>7.12  车外功放1台</w:t>
      </w:r>
    </w:p>
    <w:p w14:paraId="55F04D8A">
      <w:pPr>
        <w:pageBreakBefore w:val="0"/>
        <w:wordWrap w:val="0"/>
        <w:overflowPunct/>
        <w:bidi w:val="0"/>
        <w:rPr>
          <w:color w:val="auto"/>
        </w:rPr>
      </w:pPr>
      <w:r>
        <w:rPr>
          <w:rFonts w:hint="eastAsia"/>
          <w:color w:val="auto"/>
        </w:rPr>
        <w:t>7.12.1  19寸标准工业机箱设计，2路话筒输入、3路线路输入、1路辅助输出；</w:t>
      </w:r>
    </w:p>
    <w:p w14:paraId="761F0B10">
      <w:pPr>
        <w:pageBreakBefore w:val="0"/>
        <w:wordWrap w:val="0"/>
        <w:overflowPunct/>
        <w:bidi w:val="0"/>
        <w:rPr>
          <w:color w:val="auto"/>
        </w:rPr>
      </w:pPr>
      <w:r>
        <w:rPr>
          <w:rFonts w:hint="eastAsia"/>
          <w:color w:val="auto"/>
        </w:rPr>
        <w:t>7.12.2  各路信号输入有独立音量控制及总音量调节；</w:t>
      </w:r>
    </w:p>
    <w:p w14:paraId="4AC444F5">
      <w:pPr>
        <w:pageBreakBefore w:val="0"/>
        <w:wordWrap w:val="0"/>
        <w:overflowPunct/>
        <w:bidi w:val="0"/>
        <w:rPr>
          <w:color w:val="auto"/>
        </w:rPr>
      </w:pPr>
      <w:r>
        <w:rPr>
          <w:rFonts w:hint="eastAsia"/>
          <w:color w:val="auto"/>
        </w:rPr>
        <w:t>7.12.3  具有高低音调节功能；</w:t>
      </w:r>
    </w:p>
    <w:p w14:paraId="1DE0B5F8">
      <w:pPr>
        <w:pageBreakBefore w:val="0"/>
        <w:wordWrap w:val="0"/>
        <w:overflowPunct/>
        <w:bidi w:val="0"/>
        <w:rPr>
          <w:color w:val="auto"/>
        </w:rPr>
      </w:pPr>
      <w:r>
        <w:rPr>
          <w:rFonts w:hint="eastAsia"/>
          <w:color w:val="auto"/>
        </w:rPr>
        <w:t>7.12.4  额定功率：≥2×300W/8Ω，≥2×450W/4Ω；</w:t>
      </w:r>
    </w:p>
    <w:p w14:paraId="6413F99D">
      <w:pPr>
        <w:pageBreakBefore w:val="0"/>
        <w:wordWrap w:val="0"/>
        <w:overflowPunct/>
        <w:bidi w:val="0"/>
        <w:rPr>
          <w:color w:val="auto"/>
        </w:rPr>
      </w:pPr>
      <w:r>
        <w:rPr>
          <w:rFonts w:hint="eastAsia"/>
          <w:color w:val="auto"/>
        </w:rPr>
        <w:t>7.12.5  频率响应：20Hz～20KHz±1dB；</w:t>
      </w:r>
    </w:p>
    <w:p w14:paraId="06C45A77">
      <w:pPr>
        <w:pageBreakBefore w:val="0"/>
        <w:wordWrap w:val="0"/>
        <w:overflowPunct/>
        <w:bidi w:val="0"/>
        <w:rPr>
          <w:color w:val="auto"/>
        </w:rPr>
      </w:pPr>
      <w:r>
        <w:rPr>
          <w:rFonts w:hint="eastAsia"/>
          <w:color w:val="auto"/>
        </w:rPr>
        <w:t>7.12.6  输入灵敏度：0dB（775mv）；</w:t>
      </w:r>
    </w:p>
    <w:p w14:paraId="391D3467">
      <w:pPr>
        <w:pageBreakBefore w:val="0"/>
        <w:wordWrap w:val="0"/>
        <w:overflowPunct/>
        <w:bidi w:val="0"/>
        <w:rPr>
          <w:color w:val="auto"/>
        </w:rPr>
      </w:pPr>
      <w:r>
        <w:rPr>
          <w:rFonts w:hint="eastAsia"/>
          <w:color w:val="auto"/>
        </w:rPr>
        <w:t>7.12.7  输入阻抗：平衡20KΩ，不平衡10KΩ。</w:t>
      </w:r>
    </w:p>
    <w:p w14:paraId="72F54169">
      <w:pPr>
        <w:pageBreakBefore w:val="0"/>
        <w:wordWrap w:val="0"/>
        <w:overflowPunct/>
        <w:bidi w:val="0"/>
        <w:rPr>
          <w:color w:val="auto"/>
        </w:rPr>
      </w:pPr>
      <w:r>
        <w:rPr>
          <w:rFonts w:hint="eastAsia"/>
          <w:color w:val="auto"/>
        </w:rPr>
        <w:t>8  指挥作业系统</w:t>
      </w:r>
    </w:p>
    <w:p w14:paraId="65E223CA">
      <w:pPr>
        <w:pageBreakBefore w:val="0"/>
        <w:wordWrap w:val="0"/>
        <w:overflowPunct/>
        <w:bidi w:val="0"/>
        <w:rPr>
          <w:color w:val="auto"/>
        </w:rPr>
      </w:pPr>
      <w:r>
        <w:rPr>
          <w:rFonts w:hint="eastAsia"/>
          <w:color w:val="auto"/>
        </w:rPr>
        <w:t>8.1 车载加固工控机1台</w:t>
      </w:r>
    </w:p>
    <w:p w14:paraId="0F1BD1ED">
      <w:pPr>
        <w:pageBreakBefore w:val="0"/>
        <w:wordWrap w:val="0"/>
        <w:overflowPunct/>
        <w:bidi w:val="0"/>
        <w:rPr>
          <w:color w:val="auto"/>
        </w:rPr>
      </w:pPr>
      <w:r>
        <w:rPr>
          <w:rFonts w:hint="eastAsia"/>
          <w:color w:val="auto"/>
        </w:rPr>
        <w:t>8.1.1  标准机架安装，处理器≥12核心CPU，主频≥2.3GHz，不低于20线程；</w:t>
      </w:r>
    </w:p>
    <w:p w14:paraId="234F4188">
      <w:pPr>
        <w:pageBreakBefore w:val="0"/>
        <w:wordWrap w:val="0"/>
        <w:overflowPunct/>
        <w:bidi w:val="0"/>
        <w:rPr>
          <w:color w:val="auto"/>
        </w:rPr>
      </w:pPr>
      <w:r>
        <w:rPr>
          <w:rFonts w:hint="eastAsia"/>
          <w:color w:val="auto"/>
        </w:rPr>
        <w:t>8.1.2  三级缓存≥24MB；</w:t>
      </w:r>
    </w:p>
    <w:p w14:paraId="3A654F92">
      <w:pPr>
        <w:pageBreakBefore w:val="0"/>
        <w:wordWrap w:val="0"/>
        <w:overflowPunct/>
        <w:bidi w:val="0"/>
        <w:rPr>
          <w:color w:val="auto"/>
        </w:rPr>
      </w:pPr>
      <w:r>
        <w:rPr>
          <w:rFonts w:hint="eastAsia"/>
          <w:color w:val="auto"/>
        </w:rPr>
        <w:t>8.1.3  内存≥16G；</w:t>
      </w:r>
    </w:p>
    <w:p w14:paraId="3F7A0F7E">
      <w:pPr>
        <w:pageBreakBefore w:val="0"/>
        <w:wordWrap w:val="0"/>
        <w:overflowPunct/>
        <w:bidi w:val="0"/>
        <w:rPr>
          <w:color w:val="auto"/>
        </w:rPr>
      </w:pPr>
      <w:r>
        <w:rPr>
          <w:rFonts w:hint="eastAsia"/>
          <w:color w:val="auto"/>
        </w:rPr>
        <w:t>8.1.4  固态硬盘≥240G+机械硬盘2T；</w:t>
      </w:r>
    </w:p>
    <w:p w14:paraId="0CBCD646">
      <w:pPr>
        <w:pageBreakBefore w:val="0"/>
        <w:wordWrap w:val="0"/>
        <w:overflowPunct/>
        <w:bidi w:val="0"/>
        <w:rPr>
          <w:color w:val="auto"/>
        </w:rPr>
      </w:pPr>
      <w:r>
        <w:rPr>
          <w:rFonts w:hint="eastAsia"/>
          <w:color w:val="auto"/>
        </w:rPr>
        <w:t>8.1.5  显存≥4G；</w:t>
      </w:r>
    </w:p>
    <w:p w14:paraId="312E2173">
      <w:pPr>
        <w:pageBreakBefore w:val="0"/>
        <w:wordWrap w:val="0"/>
        <w:overflowPunct/>
        <w:bidi w:val="0"/>
        <w:rPr>
          <w:color w:val="auto"/>
        </w:rPr>
      </w:pPr>
      <w:r>
        <w:rPr>
          <w:rFonts w:hint="eastAsia"/>
          <w:color w:val="auto"/>
        </w:rPr>
        <w:t>8.1.6  支持双网口。</w:t>
      </w:r>
    </w:p>
    <w:p w14:paraId="0077BCA8">
      <w:pPr>
        <w:pageBreakBefore w:val="0"/>
        <w:wordWrap w:val="0"/>
        <w:overflowPunct/>
        <w:bidi w:val="0"/>
        <w:rPr>
          <w:color w:val="auto"/>
        </w:rPr>
      </w:pPr>
      <w:r>
        <w:rPr>
          <w:rFonts w:hint="eastAsia"/>
          <w:color w:val="auto"/>
        </w:rPr>
        <w:t>8.2无线键鼠2套</w:t>
      </w:r>
    </w:p>
    <w:p w14:paraId="1072B6CC">
      <w:pPr>
        <w:pageBreakBefore w:val="0"/>
        <w:wordWrap w:val="0"/>
        <w:overflowPunct/>
        <w:bidi w:val="0"/>
        <w:rPr>
          <w:color w:val="auto"/>
        </w:rPr>
      </w:pPr>
      <w:r>
        <w:rPr>
          <w:rFonts w:hint="eastAsia"/>
          <w:color w:val="auto"/>
        </w:rPr>
        <w:t>8.2.1 连接距离不小于8米，蓝牙连接，键盘防水。</w:t>
      </w:r>
    </w:p>
    <w:p w14:paraId="04E6C2D9">
      <w:pPr>
        <w:pageBreakBefore w:val="0"/>
        <w:wordWrap w:val="0"/>
        <w:overflowPunct/>
        <w:bidi w:val="0"/>
        <w:rPr>
          <w:color w:val="auto"/>
        </w:rPr>
      </w:pPr>
      <w:r>
        <w:rPr>
          <w:rFonts w:hint="eastAsia"/>
          <w:color w:val="auto"/>
        </w:rPr>
        <w:t>8.3  三层交换机2台</w:t>
      </w:r>
    </w:p>
    <w:p w14:paraId="7DDB33E7">
      <w:pPr>
        <w:pageBreakBefore w:val="0"/>
        <w:wordWrap w:val="0"/>
        <w:overflowPunct/>
        <w:bidi w:val="0"/>
        <w:rPr>
          <w:color w:val="auto"/>
        </w:rPr>
      </w:pPr>
      <w:r>
        <w:rPr>
          <w:rFonts w:hint="eastAsia"/>
          <w:color w:val="auto"/>
        </w:rPr>
        <w:t>8.3.1  交换容量≥370Gbps；包转发率≥102Mpps；</w:t>
      </w:r>
    </w:p>
    <w:p w14:paraId="22682456">
      <w:pPr>
        <w:pageBreakBefore w:val="0"/>
        <w:wordWrap w:val="0"/>
        <w:overflowPunct/>
        <w:bidi w:val="0"/>
        <w:rPr>
          <w:color w:val="auto"/>
        </w:rPr>
      </w:pPr>
      <w:r>
        <w:rPr>
          <w:rFonts w:hint="eastAsia"/>
          <w:color w:val="auto"/>
        </w:rPr>
        <w:t>8.3.2  10/100/1000Base-T电接口≥24个；</w:t>
      </w:r>
    </w:p>
    <w:p w14:paraId="3B79691D">
      <w:pPr>
        <w:pageBreakBefore w:val="0"/>
        <w:wordWrap w:val="0"/>
        <w:overflowPunct/>
        <w:bidi w:val="0"/>
        <w:rPr>
          <w:color w:val="auto"/>
        </w:rPr>
      </w:pPr>
      <w:r>
        <w:rPr>
          <w:rFonts w:hint="eastAsia"/>
          <w:color w:val="auto"/>
        </w:rPr>
        <w:t>8.3.3  MAC表容量：≥128K；</w:t>
      </w:r>
    </w:p>
    <w:p w14:paraId="68874B09">
      <w:pPr>
        <w:pageBreakBefore w:val="0"/>
        <w:wordWrap w:val="0"/>
        <w:overflowPunct/>
        <w:bidi w:val="0"/>
        <w:rPr>
          <w:color w:val="auto"/>
        </w:rPr>
      </w:pPr>
      <w:r>
        <w:rPr>
          <w:rFonts w:hint="eastAsia"/>
          <w:color w:val="auto"/>
        </w:rPr>
        <w:t>8.3.4  支持4K个VLAN，支持基于端口、MAC地址、IP子网、协议的VLAN；</w:t>
      </w:r>
    </w:p>
    <w:p w14:paraId="74E52199">
      <w:pPr>
        <w:pageBreakBefore w:val="0"/>
        <w:wordWrap w:val="0"/>
        <w:overflowPunct/>
        <w:bidi w:val="0"/>
        <w:rPr>
          <w:color w:val="auto"/>
        </w:rPr>
      </w:pPr>
      <w:r>
        <w:rPr>
          <w:rFonts w:hint="eastAsia"/>
          <w:color w:val="auto"/>
        </w:rPr>
        <w:t>8.3.5  支持Console口登录管理、Telnet（VTY）远程管理、WEB管理。</w:t>
      </w:r>
    </w:p>
    <w:p w14:paraId="54D7CCFD">
      <w:pPr>
        <w:pageBreakBefore w:val="0"/>
        <w:wordWrap w:val="0"/>
        <w:overflowPunct/>
        <w:bidi w:val="0"/>
        <w:rPr>
          <w:color w:val="auto"/>
        </w:rPr>
      </w:pPr>
      <w:r>
        <w:rPr>
          <w:rFonts w:hint="eastAsia"/>
          <w:color w:val="auto"/>
        </w:rPr>
        <w:t>8.4  图形移动工作站1台</w:t>
      </w:r>
    </w:p>
    <w:p w14:paraId="612AE92D">
      <w:pPr>
        <w:pageBreakBefore w:val="0"/>
        <w:wordWrap w:val="0"/>
        <w:overflowPunct/>
        <w:bidi w:val="0"/>
        <w:rPr>
          <w:color w:val="auto"/>
        </w:rPr>
      </w:pPr>
      <w:r>
        <w:rPr>
          <w:rFonts w:hint="eastAsia"/>
          <w:color w:val="auto"/>
        </w:rPr>
        <w:t>8.4.1  高性能图形工作站，不低于以下配置：16英寸4K显示屏/20核28线程处理器/内存32G/2T固态硬盘/显存位宽384bit/显存≥16G/中文操作系统，配专用背包、无线鼠标。</w:t>
      </w:r>
    </w:p>
    <w:p w14:paraId="1FA4EEB5">
      <w:pPr>
        <w:pageBreakBefore w:val="0"/>
        <w:wordWrap w:val="0"/>
        <w:overflowPunct/>
        <w:bidi w:val="0"/>
        <w:rPr>
          <w:color w:val="auto"/>
        </w:rPr>
      </w:pPr>
      <w:r>
        <w:rPr>
          <w:rFonts w:hint="eastAsia"/>
          <w:color w:val="auto"/>
        </w:rPr>
        <w:t>8.5  多功能一体机1台</w:t>
      </w:r>
    </w:p>
    <w:p w14:paraId="0F5CD211">
      <w:pPr>
        <w:pageBreakBefore w:val="0"/>
        <w:wordWrap w:val="0"/>
        <w:overflowPunct/>
        <w:bidi w:val="0"/>
        <w:rPr>
          <w:color w:val="auto"/>
        </w:rPr>
      </w:pPr>
      <w:r>
        <w:rPr>
          <w:rFonts w:hint="eastAsia"/>
          <w:color w:val="auto"/>
        </w:rPr>
        <w:t>8.5.1  打印/复印/扫描/传真多功能一体机，激光打印，彩色，≥A4幅面，支持无线+有线接入。彩色模式最佳打印分辨率：≥600*600dpi；黑白模式最佳打印分辨率：≥600*600dpi；支持有线/无线网络打印。</w:t>
      </w:r>
    </w:p>
    <w:p w14:paraId="6972201A">
      <w:pPr>
        <w:pageBreakBefore w:val="0"/>
        <w:wordWrap w:val="0"/>
        <w:overflowPunct/>
        <w:bidi w:val="0"/>
        <w:rPr>
          <w:color w:val="auto"/>
        </w:rPr>
      </w:pPr>
      <w:r>
        <w:rPr>
          <w:rFonts w:hint="eastAsia"/>
          <w:color w:val="auto"/>
        </w:rPr>
        <w:t>8.6 勤务有线对讲1套</w:t>
      </w:r>
    </w:p>
    <w:p w14:paraId="53E09F6B">
      <w:pPr>
        <w:pageBreakBefore w:val="0"/>
        <w:wordWrap w:val="0"/>
        <w:overflowPunct/>
        <w:bidi w:val="0"/>
        <w:rPr>
          <w:color w:val="auto"/>
        </w:rPr>
      </w:pPr>
      <w:r>
        <w:rPr>
          <w:rFonts w:hint="eastAsia"/>
          <w:color w:val="auto"/>
        </w:rPr>
        <w:t>8.6.1 支持电池供电，通话语音清晰，用于操作架与驾驶室的直接对讲通话。</w:t>
      </w:r>
    </w:p>
    <w:p w14:paraId="6905F911">
      <w:pPr>
        <w:pageBreakBefore w:val="0"/>
        <w:wordWrap w:val="0"/>
        <w:overflowPunct/>
        <w:bidi w:val="0"/>
        <w:rPr>
          <w:color w:val="auto"/>
        </w:rPr>
      </w:pPr>
      <w:r>
        <w:rPr>
          <w:rFonts w:hint="eastAsia"/>
          <w:color w:val="auto"/>
        </w:rPr>
        <w:t>8.7  大载重无人机1套</w:t>
      </w:r>
    </w:p>
    <w:p w14:paraId="1F99B12C">
      <w:pPr>
        <w:pageBreakBefore w:val="0"/>
        <w:wordWrap w:val="0"/>
        <w:overflowPunct/>
        <w:bidi w:val="0"/>
        <w:rPr>
          <w:color w:val="auto"/>
        </w:rPr>
      </w:pPr>
      <w:r>
        <w:rPr>
          <w:rFonts w:hint="eastAsia"/>
          <w:color w:val="auto"/>
        </w:rPr>
        <w:t>8.7.1  空机重量：≤43千克（不含电池）；</w:t>
      </w:r>
    </w:p>
    <w:p w14:paraId="1D69DEF9">
      <w:pPr>
        <w:pageBreakBefore w:val="0"/>
        <w:wordWrap w:val="0"/>
        <w:overflowPunct/>
        <w:bidi w:val="0"/>
        <w:rPr>
          <w:color w:val="auto"/>
        </w:rPr>
      </w:pPr>
      <w:r>
        <w:rPr>
          <w:rFonts w:hint="eastAsia"/>
          <w:color w:val="auto"/>
        </w:rPr>
        <w:t>8.7.2  最大起飞重量≥95 千克，最大轴距：≤2200 毫米，最大悬停时间（空载）：≥29 分钟，最大飞行时间（满载30千克）：≥18分钟；最大飞行距离（满载30千克）：15千米；最大上升速度≥5米/秒；最大下降速度≥3 米/秒；图像传输距离≥20 公里（FCC）；最大水平飞行速度≥20米/秒；最大飞行海拔高度≥4000米（空载）；最大抗风速度≥12米/秒；</w:t>
      </w:r>
    </w:p>
    <w:p w14:paraId="4C240CF6">
      <w:pPr>
        <w:pageBreakBefore w:val="0"/>
        <w:wordWrap w:val="0"/>
        <w:overflowPunct/>
        <w:bidi w:val="0"/>
        <w:rPr>
          <w:color w:val="auto"/>
        </w:rPr>
      </w:pPr>
      <w:r>
        <w:rPr>
          <w:rFonts w:hint="eastAsia"/>
          <w:color w:val="auto"/>
        </w:rPr>
        <w:t>8.7.3  悬停精度启用RTK定位：水平±10厘米，垂直±10厘米；未启用RTK定位：水平±60厘米，垂直±30厘米；</w:t>
      </w:r>
    </w:p>
    <w:p w14:paraId="413ACC61">
      <w:pPr>
        <w:pageBreakBefore w:val="0"/>
        <w:wordWrap w:val="0"/>
        <w:overflowPunct/>
        <w:bidi w:val="0"/>
        <w:rPr>
          <w:color w:val="auto"/>
        </w:rPr>
      </w:pPr>
      <w:r>
        <w:rPr>
          <w:rFonts w:hint="eastAsia"/>
          <w:color w:val="auto"/>
        </w:rPr>
        <w:t>8.7.4  防护等级≥IP55；具备安全降落伞：最大负载≤95千克；</w:t>
      </w:r>
    </w:p>
    <w:p w14:paraId="7A554EC5">
      <w:pPr>
        <w:pageBreakBefore w:val="0"/>
        <w:wordWrap w:val="0"/>
        <w:overflowPunct/>
        <w:bidi w:val="0"/>
        <w:rPr>
          <w:color w:val="auto"/>
        </w:rPr>
      </w:pPr>
      <w:r>
        <w:rPr>
          <w:rFonts w:hint="eastAsia"/>
          <w:color w:val="auto"/>
        </w:rPr>
        <w:t>8.7.5  避障：具备有源相控阵旋转雷达；定高范围：1.5至200米；可感知距离（多向）：1.5至50米；</w:t>
      </w:r>
    </w:p>
    <w:p w14:paraId="25BFFC0B">
      <w:pPr>
        <w:pageBreakBefore w:val="0"/>
        <w:wordWrap w:val="0"/>
        <w:overflowPunct/>
        <w:bidi w:val="0"/>
        <w:rPr>
          <w:color w:val="auto"/>
        </w:rPr>
      </w:pPr>
      <w:r>
        <w:rPr>
          <w:rFonts w:hint="eastAsia"/>
          <w:color w:val="auto"/>
        </w:rPr>
        <w:t>8.7.6  软件支持：三维倾斜摄影叠加功能；无人机远程控制；无人机视频实时回传；图层标注、测量工具、自定义统计、数据管理、人员管理、设备管理、设备列表、地图管理、坡度AI计算；可以根据权限等级实现三维倾斜摄影照片一键上传自动拼接；</w:t>
      </w:r>
    </w:p>
    <w:p w14:paraId="15466FD6">
      <w:pPr>
        <w:pageBreakBefore w:val="0"/>
        <w:wordWrap w:val="0"/>
        <w:overflowPunct/>
        <w:bidi w:val="0"/>
        <w:rPr>
          <w:color w:val="auto"/>
        </w:rPr>
      </w:pPr>
      <w:r>
        <w:rPr>
          <w:rFonts w:hint="eastAsia"/>
          <w:color w:val="auto"/>
        </w:rPr>
        <w:t>8.7.7  匹配大载重无人机空吊系统一套：绳索式空中吊运系统，含卷扬机组件、配重块、运输脚架和延长绳索等配件，可实现快速安装，轻松应对复杂作业；匹配高性能飞行电池3块；匹配充电管家一套。</w:t>
      </w:r>
    </w:p>
    <w:p w14:paraId="430D0144">
      <w:pPr>
        <w:pageBreakBefore w:val="0"/>
        <w:wordWrap w:val="0"/>
        <w:overflowPunct/>
        <w:bidi w:val="0"/>
        <w:rPr>
          <w:color w:val="auto"/>
        </w:rPr>
      </w:pPr>
      <w:r>
        <w:rPr>
          <w:rFonts w:hint="eastAsia"/>
          <w:color w:val="auto"/>
        </w:rPr>
        <w:t>8.8  文字处理终端1台</w:t>
      </w:r>
    </w:p>
    <w:p w14:paraId="47FE1900">
      <w:pPr>
        <w:pageBreakBefore w:val="0"/>
        <w:wordWrap w:val="0"/>
        <w:overflowPunct/>
        <w:bidi w:val="0"/>
        <w:rPr>
          <w:color w:val="auto"/>
        </w:rPr>
      </w:pPr>
      <w:r>
        <w:rPr>
          <w:rFonts w:hint="eastAsia"/>
          <w:color w:val="auto"/>
        </w:rPr>
        <w:t>8.8.1 轻薄笔记本电脑，不低于以下配置：14英寸2K显示屏/120Hz刷新率/亮度400尼特/14核20线程处理器/内存32G/1T固态硬盘/中文操作系统，配专用背包、无线鼠标。</w:t>
      </w:r>
    </w:p>
    <w:p w14:paraId="03AD99DA">
      <w:pPr>
        <w:pageBreakBefore w:val="0"/>
        <w:wordWrap w:val="0"/>
        <w:overflowPunct/>
        <w:bidi w:val="0"/>
        <w:rPr>
          <w:color w:val="auto"/>
        </w:rPr>
      </w:pPr>
      <w:r>
        <w:rPr>
          <w:rFonts w:hint="eastAsia"/>
          <w:color w:val="auto"/>
        </w:rPr>
        <w:t>9  供电系统</w:t>
      </w:r>
    </w:p>
    <w:p w14:paraId="450A73CE">
      <w:pPr>
        <w:pageBreakBefore w:val="0"/>
        <w:wordWrap w:val="0"/>
        <w:overflowPunct/>
        <w:bidi w:val="0"/>
        <w:rPr>
          <w:color w:val="auto"/>
        </w:rPr>
      </w:pPr>
      <w:r>
        <w:rPr>
          <w:rFonts w:hint="eastAsia"/>
          <w:color w:val="auto"/>
        </w:rPr>
        <w:t>9.1 柴油发电机1台</w:t>
      </w:r>
    </w:p>
    <w:p w14:paraId="46F39801">
      <w:pPr>
        <w:pageBreakBefore w:val="0"/>
        <w:wordWrap w:val="0"/>
        <w:overflowPunct/>
        <w:bidi w:val="0"/>
        <w:rPr>
          <w:color w:val="auto"/>
        </w:rPr>
      </w:pPr>
      <w:r>
        <w:rPr>
          <w:rFonts w:hint="eastAsia"/>
          <w:color w:val="auto"/>
        </w:rPr>
        <w:t>9.1.1  专业车载全水冷静音发电机组，水冷高压共轨四缸发动机、水冷发电机、水冷排气歧管、水冷消音器;单路水循环系统；</w:t>
      </w:r>
    </w:p>
    <w:p w14:paraId="16E6136B">
      <w:pPr>
        <w:pageBreakBefore w:val="0"/>
        <w:wordWrap w:val="0"/>
        <w:overflowPunct/>
        <w:bidi w:val="0"/>
        <w:rPr>
          <w:color w:val="auto"/>
        </w:rPr>
      </w:pPr>
      <w:r>
        <w:rPr>
          <w:rFonts w:hint="eastAsia"/>
          <w:color w:val="auto"/>
        </w:rPr>
        <w:t>9.1.2  发电机组输出功率（KW）≥20.5；</w:t>
      </w:r>
    </w:p>
    <w:p w14:paraId="292D76D6">
      <w:pPr>
        <w:pageBreakBefore w:val="0"/>
        <w:wordWrap w:val="0"/>
        <w:overflowPunct/>
        <w:bidi w:val="0"/>
        <w:rPr>
          <w:color w:val="auto"/>
        </w:rPr>
      </w:pPr>
      <w:r>
        <w:rPr>
          <w:rFonts w:hint="eastAsia"/>
          <w:color w:val="auto"/>
        </w:rPr>
        <w:t xml:space="preserve">9.1.3  主机尺寸（mm）≤1250×660×760，主机重量≤500kg; </w:t>
      </w:r>
    </w:p>
    <w:p w14:paraId="6C1087BE">
      <w:pPr>
        <w:pageBreakBefore w:val="0"/>
        <w:wordWrap w:val="0"/>
        <w:overflowPunct/>
        <w:bidi w:val="0"/>
        <w:rPr>
          <w:color w:val="auto"/>
        </w:rPr>
      </w:pPr>
      <w:r>
        <w:rPr>
          <w:rFonts w:hint="eastAsia"/>
          <w:color w:val="auto"/>
        </w:rPr>
        <w:t xml:space="preserve">9.1.4  使用高效散热系统，散热器尺寸（mm）≤708×700×322，散热器重量≤42kg; </w:t>
      </w:r>
    </w:p>
    <w:p w14:paraId="15771F99">
      <w:pPr>
        <w:pageBreakBefore w:val="0"/>
        <w:wordWrap w:val="0"/>
        <w:overflowPunct/>
        <w:bidi w:val="0"/>
        <w:rPr>
          <w:color w:val="auto"/>
        </w:rPr>
      </w:pPr>
      <w:r>
        <w:rPr>
          <w:rFonts w:hint="eastAsia"/>
          <w:color w:val="auto"/>
        </w:rPr>
        <w:t>9.1.5  噪音等级≤68/62/52dB(A) @ 1m/3m/7m；</w:t>
      </w:r>
    </w:p>
    <w:p w14:paraId="0061C3E7">
      <w:pPr>
        <w:pageBreakBefore w:val="0"/>
        <w:wordWrap w:val="0"/>
        <w:overflowPunct/>
        <w:bidi w:val="0"/>
        <w:rPr>
          <w:color w:val="auto"/>
        </w:rPr>
      </w:pPr>
      <w:r>
        <w:rPr>
          <w:rFonts w:hint="eastAsia"/>
          <w:color w:val="auto"/>
        </w:rPr>
        <w:t>9.1.6  频率波动率≤0.05%；</w:t>
      </w:r>
    </w:p>
    <w:p w14:paraId="1DB2708A">
      <w:pPr>
        <w:pageBreakBefore w:val="0"/>
        <w:wordWrap w:val="0"/>
        <w:overflowPunct/>
        <w:bidi w:val="0"/>
        <w:rPr>
          <w:color w:val="auto"/>
        </w:rPr>
      </w:pPr>
      <w:r>
        <w:rPr>
          <w:rFonts w:hint="eastAsia"/>
          <w:color w:val="auto"/>
        </w:rPr>
        <w:t>9.1.7  电压恢复时间（由额定负载突减至空载）≤0.25s；</w:t>
      </w:r>
    </w:p>
    <w:p w14:paraId="29DDC69F">
      <w:pPr>
        <w:pageBreakBefore w:val="0"/>
        <w:wordWrap w:val="0"/>
        <w:overflowPunct/>
        <w:bidi w:val="0"/>
        <w:rPr>
          <w:color w:val="auto"/>
        </w:rPr>
      </w:pPr>
      <w:r>
        <w:rPr>
          <w:rFonts w:hint="eastAsia"/>
          <w:color w:val="auto"/>
        </w:rPr>
        <w:t>9.1.8  水冷发电机使用大型卧式消声器；</w:t>
      </w:r>
    </w:p>
    <w:p w14:paraId="76EDC121">
      <w:pPr>
        <w:pageBreakBefore w:val="0"/>
        <w:wordWrap w:val="0"/>
        <w:overflowPunct/>
        <w:bidi w:val="0"/>
        <w:rPr>
          <w:color w:val="auto"/>
        </w:rPr>
      </w:pPr>
      <w:r>
        <w:rPr>
          <w:rFonts w:hint="eastAsia"/>
          <w:color w:val="auto"/>
        </w:rPr>
        <w:t>9.1.9  油箱：不锈钢油箱，≥50L，含油量指示、油表、加油口带过滤。</w:t>
      </w:r>
    </w:p>
    <w:p w14:paraId="24FF8C1E">
      <w:pPr>
        <w:pageBreakBefore w:val="0"/>
        <w:wordWrap w:val="0"/>
        <w:overflowPunct/>
        <w:bidi w:val="0"/>
        <w:rPr>
          <w:color w:val="auto"/>
        </w:rPr>
      </w:pPr>
      <w:r>
        <w:rPr>
          <w:rFonts w:hint="eastAsia"/>
          <w:color w:val="auto"/>
        </w:rPr>
        <w:t>9.2  发电机舱减震降噪处理1套</w:t>
      </w:r>
    </w:p>
    <w:p w14:paraId="54785210">
      <w:pPr>
        <w:pageBreakBefore w:val="0"/>
        <w:wordWrap w:val="0"/>
        <w:overflowPunct/>
        <w:bidi w:val="0"/>
        <w:rPr>
          <w:color w:val="auto"/>
        </w:rPr>
      </w:pPr>
      <w:r>
        <w:rPr>
          <w:rFonts w:hint="eastAsia"/>
          <w:color w:val="auto"/>
        </w:rPr>
        <w:t>9.2.1 发电机舱舱体内应敷设冲孔隔音隔热材料，舱体内表面为冲孔铝板，以达到吸音降噪的要求，有效降低降低/隔绝发电机舱噪音及油机气味对操作间及会议室的影响。</w:t>
      </w:r>
    </w:p>
    <w:p w14:paraId="42DC3A7E">
      <w:pPr>
        <w:pageBreakBefore w:val="0"/>
        <w:wordWrap w:val="0"/>
        <w:overflowPunct/>
        <w:bidi w:val="0"/>
        <w:rPr>
          <w:color w:val="auto"/>
        </w:rPr>
      </w:pPr>
      <w:r>
        <w:rPr>
          <w:rFonts w:hint="eastAsia"/>
          <w:color w:val="auto"/>
        </w:rPr>
        <w:t>9.3  UPS电源1台</w:t>
      </w:r>
    </w:p>
    <w:p w14:paraId="42097701">
      <w:pPr>
        <w:pageBreakBefore w:val="0"/>
        <w:wordWrap w:val="0"/>
        <w:overflowPunct/>
        <w:bidi w:val="0"/>
        <w:rPr>
          <w:color w:val="auto"/>
        </w:rPr>
      </w:pPr>
      <w:r>
        <w:rPr>
          <w:rFonts w:hint="eastAsia"/>
          <w:color w:val="auto"/>
        </w:rPr>
        <w:t>9.3.1  额定输出容量：6000VA/5400W；</w:t>
      </w:r>
    </w:p>
    <w:p w14:paraId="1CA9EB22">
      <w:pPr>
        <w:pageBreakBefore w:val="0"/>
        <w:wordWrap w:val="0"/>
        <w:overflowPunct/>
        <w:bidi w:val="0"/>
        <w:rPr>
          <w:color w:val="auto"/>
        </w:rPr>
      </w:pPr>
      <w:r>
        <w:rPr>
          <w:rFonts w:hint="eastAsia"/>
          <w:color w:val="auto"/>
        </w:rPr>
        <w:t>9.3.2  额定电压：208/220/230/240VAC；</w:t>
      </w:r>
    </w:p>
    <w:p w14:paraId="49CA5505">
      <w:pPr>
        <w:pageBreakBefore w:val="0"/>
        <w:wordWrap w:val="0"/>
        <w:overflowPunct/>
        <w:bidi w:val="0"/>
        <w:rPr>
          <w:color w:val="auto"/>
        </w:rPr>
      </w:pPr>
      <w:r>
        <w:rPr>
          <w:rFonts w:hint="eastAsia"/>
          <w:color w:val="auto"/>
        </w:rPr>
        <w:t>9.3.3  输入电压范围：110VAC～276VAC；</w:t>
      </w:r>
    </w:p>
    <w:p w14:paraId="77C9E66E">
      <w:pPr>
        <w:pageBreakBefore w:val="0"/>
        <w:wordWrap w:val="0"/>
        <w:overflowPunct/>
        <w:bidi w:val="0"/>
        <w:rPr>
          <w:color w:val="auto"/>
        </w:rPr>
      </w:pPr>
      <w:r>
        <w:rPr>
          <w:rFonts w:hint="eastAsia"/>
          <w:color w:val="auto"/>
        </w:rPr>
        <w:t>9.3.4  输入频率范围：40～70Hz；</w:t>
      </w:r>
    </w:p>
    <w:p w14:paraId="5A6A906A">
      <w:pPr>
        <w:pageBreakBefore w:val="0"/>
        <w:wordWrap w:val="0"/>
        <w:overflowPunct/>
        <w:bidi w:val="0"/>
        <w:rPr>
          <w:color w:val="auto"/>
        </w:rPr>
      </w:pPr>
      <w:r>
        <w:rPr>
          <w:rFonts w:hint="eastAsia"/>
          <w:color w:val="auto"/>
        </w:rPr>
        <w:t>9.3.5  输入功因数：≥0.99；</w:t>
      </w:r>
    </w:p>
    <w:p w14:paraId="47B9FC37">
      <w:pPr>
        <w:pageBreakBefore w:val="0"/>
        <w:wordWrap w:val="0"/>
        <w:overflowPunct/>
        <w:bidi w:val="0"/>
        <w:rPr>
          <w:color w:val="auto"/>
        </w:rPr>
      </w:pPr>
      <w:r>
        <w:rPr>
          <w:rFonts w:hint="eastAsia"/>
          <w:color w:val="auto"/>
        </w:rPr>
        <w:t>9.3.6  输入连接：单相三线（火线/零线/地线）；</w:t>
      </w:r>
    </w:p>
    <w:p w14:paraId="52DED92B">
      <w:pPr>
        <w:pageBreakBefore w:val="0"/>
        <w:wordWrap w:val="0"/>
        <w:overflowPunct/>
        <w:bidi w:val="0"/>
        <w:rPr>
          <w:color w:val="auto"/>
        </w:rPr>
      </w:pPr>
      <w:r>
        <w:rPr>
          <w:rFonts w:hint="eastAsia"/>
          <w:color w:val="auto"/>
        </w:rPr>
        <w:t>9.3.7  含电池包，工作时长≥15分钟。</w:t>
      </w:r>
    </w:p>
    <w:p w14:paraId="24E7258F">
      <w:pPr>
        <w:pageBreakBefore w:val="0"/>
        <w:wordWrap w:val="0"/>
        <w:overflowPunct/>
        <w:bidi w:val="0"/>
        <w:rPr>
          <w:color w:val="auto"/>
        </w:rPr>
      </w:pPr>
      <w:r>
        <w:rPr>
          <w:rFonts w:hint="eastAsia"/>
          <w:color w:val="auto"/>
        </w:rPr>
        <w:t>9.4 辅助蓄电池2块</w:t>
      </w:r>
    </w:p>
    <w:p w14:paraId="53391B48">
      <w:pPr>
        <w:pageBreakBefore w:val="0"/>
        <w:wordWrap w:val="0"/>
        <w:overflowPunct/>
        <w:bidi w:val="0"/>
        <w:rPr>
          <w:color w:val="auto"/>
        </w:rPr>
      </w:pPr>
      <w:r>
        <w:rPr>
          <w:rFonts w:hint="eastAsia"/>
          <w:color w:val="auto"/>
        </w:rPr>
        <w:t>9.4.1单块：12VDC, ≥100AH。</w:t>
      </w:r>
    </w:p>
    <w:p w14:paraId="4A034026">
      <w:pPr>
        <w:pageBreakBefore w:val="0"/>
        <w:wordWrap w:val="0"/>
        <w:overflowPunct/>
        <w:bidi w:val="0"/>
        <w:rPr>
          <w:color w:val="auto"/>
        </w:rPr>
      </w:pPr>
      <w:r>
        <w:rPr>
          <w:rFonts w:hint="eastAsia"/>
          <w:color w:val="auto"/>
        </w:rPr>
        <w:t>9.5充电机1台</w:t>
      </w:r>
      <w:r>
        <w:rPr>
          <w:rFonts w:hint="eastAsia"/>
          <w:color w:val="auto"/>
        </w:rPr>
        <w:tab/>
      </w:r>
    </w:p>
    <w:p w14:paraId="139C30CD">
      <w:pPr>
        <w:pageBreakBefore w:val="0"/>
        <w:wordWrap w:val="0"/>
        <w:overflowPunct/>
        <w:bidi w:val="0"/>
        <w:rPr>
          <w:color w:val="auto"/>
        </w:rPr>
      </w:pPr>
      <w:r>
        <w:rPr>
          <w:rFonts w:hint="eastAsia"/>
          <w:color w:val="auto"/>
        </w:rPr>
        <w:t>9.5.1输入电压：220V，充电程式：恒流-均充减流-涡流浮充。</w:t>
      </w:r>
    </w:p>
    <w:p w14:paraId="1B70BF45">
      <w:pPr>
        <w:pageBreakBefore w:val="0"/>
        <w:wordWrap w:val="0"/>
        <w:overflowPunct/>
        <w:bidi w:val="0"/>
        <w:rPr>
          <w:color w:val="auto"/>
        </w:rPr>
      </w:pPr>
      <w:r>
        <w:rPr>
          <w:rFonts w:hint="eastAsia"/>
          <w:color w:val="auto"/>
        </w:rPr>
        <w:t>9.6  配电控制器1台</w:t>
      </w:r>
    </w:p>
    <w:p w14:paraId="7FED7FB3">
      <w:pPr>
        <w:pageBreakBefore w:val="0"/>
        <w:wordWrap w:val="0"/>
        <w:overflowPunct/>
        <w:bidi w:val="0"/>
        <w:rPr>
          <w:color w:val="auto"/>
        </w:rPr>
      </w:pPr>
      <w:r>
        <w:rPr>
          <w:rFonts w:hint="eastAsia"/>
          <w:color w:val="auto"/>
        </w:rPr>
        <w:t>9.6.1  支持市电输入、发电机输入、UPS输入切换功能；</w:t>
      </w:r>
    </w:p>
    <w:p w14:paraId="4983C69E">
      <w:pPr>
        <w:pageBreakBefore w:val="0"/>
        <w:wordWrap w:val="0"/>
        <w:overflowPunct/>
        <w:bidi w:val="0"/>
        <w:rPr>
          <w:color w:val="auto"/>
        </w:rPr>
      </w:pPr>
      <w:r>
        <w:rPr>
          <w:rFonts w:hint="eastAsia"/>
          <w:color w:val="auto"/>
        </w:rPr>
        <w:t>9.6.2  具有漏电、过载、欠压保护功能，可实现用电设备分路加电控制；</w:t>
      </w:r>
    </w:p>
    <w:p w14:paraId="2E684749">
      <w:pPr>
        <w:pageBreakBefore w:val="0"/>
        <w:wordWrap w:val="0"/>
        <w:overflowPunct/>
        <w:bidi w:val="0"/>
        <w:rPr>
          <w:color w:val="auto"/>
        </w:rPr>
      </w:pPr>
      <w:r>
        <w:rPr>
          <w:rFonts w:hint="eastAsia"/>
          <w:color w:val="auto"/>
        </w:rPr>
        <w:t>9.6.3  按照市电优先的原则切换三相市电、单相市电及柴油发电机；</w:t>
      </w:r>
    </w:p>
    <w:p w14:paraId="3972690B">
      <w:pPr>
        <w:pageBreakBefore w:val="0"/>
        <w:wordWrap w:val="0"/>
        <w:overflowPunct/>
        <w:bidi w:val="0"/>
        <w:rPr>
          <w:color w:val="auto"/>
        </w:rPr>
      </w:pPr>
      <w:r>
        <w:rPr>
          <w:rFonts w:hint="eastAsia"/>
          <w:color w:val="auto"/>
        </w:rPr>
        <w:t>9.6.4  具有自动切换（ATS）并方便手动切换功能；</w:t>
      </w:r>
    </w:p>
    <w:p w14:paraId="78808E35">
      <w:pPr>
        <w:pageBreakBefore w:val="0"/>
        <w:wordWrap w:val="0"/>
        <w:overflowPunct/>
        <w:bidi w:val="0"/>
        <w:rPr>
          <w:color w:val="auto"/>
        </w:rPr>
      </w:pPr>
      <w:r>
        <w:rPr>
          <w:rFonts w:hint="eastAsia"/>
          <w:color w:val="auto"/>
        </w:rPr>
        <w:t>9.6.5  输入输出接口全部为航空接插件；</w:t>
      </w:r>
    </w:p>
    <w:p w14:paraId="035E43BD">
      <w:pPr>
        <w:pageBreakBefore w:val="0"/>
        <w:wordWrap w:val="0"/>
        <w:overflowPunct/>
        <w:bidi w:val="0"/>
        <w:rPr>
          <w:color w:val="auto"/>
        </w:rPr>
      </w:pPr>
      <w:r>
        <w:rPr>
          <w:rFonts w:hint="eastAsia"/>
          <w:color w:val="auto"/>
        </w:rPr>
        <w:t>9.6.6  LCD液晶屏实时显示电流、电压数据及报警信息。</w:t>
      </w:r>
    </w:p>
    <w:p w14:paraId="09034FEA">
      <w:pPr>
        <w:pageBreakBefore w:val="0"/>
        <w:wordWrap w:val="0"/>
        <w:overflowPunct/>
        <w:bidi w:val="0"/>
        <w:rPr>
          <w:color w:val="auto"/>
        </w:rPr>
      </w:pPr>
      <w:r>
        <w:rPr>
          <w:rFonts w:hint="eastAsia"/>
          <w:color w:val="auto"/>
        </w:rPr>
        <w:t>9.7  避雷设施1套</w:t>
      </w:r>
    </w:p>
    <w:p w14:paraId="3E074247">
      <w:pPr>
        <w:pageBreakBefore w:val="0"/>
        <w:wordWrap w:val="0"/>
        <w:overflowPunct/>
        <w:bidi w:val="0"/>
        <w:rPr>
          <w:color w:val="auto"/>
        </w:rPr>
      </w:pPr>
      <w:r>
        <w:rPr>
          <w:rFonts w:hint="eastAsia"/>
          <w:color w:val="auto"/>
        </w:rPr>
        <w:t>9.7.1电源防雷器、数据接口防雷器、天馈接口避雷。</w:t>
      </w:r>
    </w:p>
    <w:p w14:paraId="10EB49F6">
      <w:pPr>
        <w:pageBreakBefore w:val="0"/>
        <w:wordWrap w:val="0"/>
        <w:overflowPunct/>
        <w:bidi w:val="0"/>
        <w:rPr>
          <w:color w:val="auto"/>
        </w:rPr>
      </w:pPr>
      <w:r>
        <w:rPr>
          <w:rFonts w:hint="eastAsia"/>
          <w:color w:val="auto"/>
        </w:rPr>
        <w:t>9.8  接地设施1套</w:t>
      </w:r>
    </w:p>
    <w:p w14:paraId="2A753A30">
      <w:pPr>
        <w:pageBreakBefore w:val="0"/>
        <w:wordWrap w:val="0"/>
        <w:overflowPunct/>
        <w:bidi w:val="0"/>
        <w:rPr>
          <w:color w:val="auto"/>
        </w:rPr>
      </w:pPr>
      <w:r>
        <w:rPr>
          <w:rFonts w:hint="eastAsia"/>
          <w:color w:val="auto"/>
        </w:rPr>
        <w:t>9.8.1蛇皮扁平接地线30m，1.5米铜质接地棒。</w:t>
      </w:r>
    </w:p>
    <w:p w14:paraId="4A5068CE">
      <w:pPr>
        <w:pageBreakBefore w:val="0"/>
        <w:wordWrap w:val="0"/>
        <w:overflowPunct/>
        <w:bidi w:val="0"/>
        <w:rPr>
          <w:color w:val="auto"/>
        </w:rPr>
      </w:pPr>
      <w:r>
        <w:rPr>
          <w:rFonts w:hint="eastAsia"/>
          <w:color w:val="auto"/>
        </w:rPr>
        <w:t>9.9  等电位连接器1套</w:t>
      </w:r>
    </w:p>
    <w:p w14:paraId="1E630D13">
      <w:pPr>
        <w:pageBreakBefore w:val="0"/>
        <w:wordWrap w:val="0"/>
        <w:overflowPunct/>
        <w:bidi w:val="0"/>
        <w:rPr>
          <w:color w:val="auto"/>
        </w:rPr>
      </w:pPr>
      <w:r>
        <w:rPr>
          <w:rFonts w:hint="eastAsia"/>
          <w:color w:val="auto"/>
        </w:rPr>
        <w:t>9.9.1 机柜之间等电位连接。</w:t>
      </w:r>
    </w:p>
    <w:p w14:paraId="7EF73984">
      <w:pPr>
        <w:pageBreakBefore w:val="0"/>
        <w:wordWrap w:val="0"/>
        <w:overflowPunct/>
        <w:bidi w:val="0"/>
        <w:rPr>
          <w:color w:val="auto"/>
        </w:rPr>
      </w:pPr>
      <w:r>
        <w:rPr>
          <w:rFonts w:hint="eastAsia"/>
          <w:color w:val="auto"/>
        </w:rPr>
        <w:t>10 环境控制系统</w:t>
      </w:r>
    </w:p>
    <w:p w14:paraId="70325511">
      <w:pPr>
        <w:pageBreakBefore w:val="0"/>
        <w:wordWrap w:val="0"/>
        <w:overflowPunct/>
        <w:bidi w:val="0"/>
        <w:rPr>
          <w:color w:val="auto"/>
        </w:rPr>
      </w:pPr>
      <w:r>
        <w:rPr>
          <w:rFonts w:hint="eastAsia"/>
          <w:color w:val="auto"/>
        </w:rPr>
        <w:t>10.1 操作间空调1台</w:t>
      </w:r>
    </w:p>
    <w:p w14:paraId="6F9E9D15">
      <w:pPr>
        <w:pageBreakBefore w:val="0"/>
        <w:wordWrap w:val="0"/>
        <w:overflowPunct/>
        <w:bidi w:val="0"/>
        <w:rPr>
          <w:color w:val="auto"/>
        </w:rPr>
      </w:pPr>
      <w:r>
        <w:rPr>
          <w:rFonts w:hint="eastAsia"/>
          <w:color w:val="auto"/>
        </w:rPr>
        <w:t>10.1.1  制冷量: ≥3500W；</w:t>
      </w:r>
    </w:p>
    <w:p w14:paraId="50AFFD05">
      <w:pPr>
        <w:pageBreakBefore w:val="0"/>
        <w:wordWrap w:val="0"/>
        <w:overflowPunct/>
        <w:bidi w:val="0"/>
        <w:rPr>
          <w:color w:val="auto"/>
        </w:rPr>
      </w:pPr>
      <w:r>
        <w:rPr>
          <w:rFonts w:hint="eastAsia"/>
          <w:color w:val="auto"/>
        </w:rPr>
        <w:t>10.1.2  制热量：≥4100W；</w:t>
      </w:r>
    </w:p>
    <w:p w14:paraId="5D5DB6ED">
      <w:pPr>
        <w:pageBreakBefore w:val="0"/>
        <w:wordWrap w:val="0"/>
        <w:overflowPunct/>
        <w:bidi w:val="0"/>
        <w:rPr>
          <w:color w:val="auto"/>
        </w:rPr>
      </w:pPr>
      <w:r>
        <w:rPr>
          <w:rFonts w:hint="eastAsia"/>
          <w:color w:val="auto"/>
        </w:rPr>
        <w:t>10.1.3  使用环境温度：-25℃～55℃；</w:t>
      </w:r>
    </w:p>
    <w:p w14:paraId="0BBDF6DB">
      <w:pPr>
        <w:pageBreakBefore w:val="0"/>
        <w:wordWrap w:val="0"/>
        <w:overflowPunct/>
        <w:bidi w:val="0"/>
        <w:rPr>
          <w:color w:val="auto"/>
        </w:rPr>
      </w:pPr>
      <w:r>
        <w:rPr>
          <w:rFonts w:hint="eastAsia"/>
          <w:color w:val="auto"/>
        </w:rPr>
        <w:t>10.1.4  电源：220V/50Hz。</w:t>
      </w:r>
    </w:p>
    <w:p w14:paraId="3FF81D71">
      <w:pPr>
        <w:pageBreakBefore w:val="0"/>
        <w:wordWrap w:val="0"/>
        <w:overflowPunct/>
        <w:bidi w:val="0"/>
        <w:rPr>
          <w:color w:val="auto"/>
        </w:rPr>
      </w:pPr>
      <w:r>
        <w:rPr>
          <w:rFonts w:hint="eastAsia"/>
          <w:color w:val="auto"/>
        </w:rPr>
        <w:t>10.2  会议间空调1台</w:t>
      </w:r>
    </w:p>
    <w:p w14:paraId="3BB3010F">
      <w:pPr>
        <w:pageBreakBefore w:val="0"/>
        <w:wordWrap w:val="0"/>
        <w:overflowPunct/>
        <w:bidi w:val="0"/>
        <w:rPr>
          <w:color w:val="auto"/>
        </w:rPr>
      </w:pPr>
      <w:r>
        <w:rPr>
          <w:rFonts w:hint="eastAsia"/>
          <w:color w:val="auto"/>
        </w:rPr>
        <w:t>10.2.1  制冷量（W）：≥10000；</w:t>
      </w:r>
    </w:p>
    <w:p w14:paraId="3F147CA5">
      <w:pPr>
        <w:pageBreakBefore w:val="0"/>
        <w:wordWrap w:val="0"/>
        <w:overflowPunct/>
        <w:bidi w:val="0"/>
        <w:rPr>
          <w:color w:val="auto"/>
        </w:rPr>
      </w:pPr>
      <w:r>
        <w:rPr>
          <w:rFonts w:hint="eastAsia"/>
          <w:color w:val="auto"/>
        </w:rPr>
        <w:t>10.2.2  制热量（W）：≥12000；</w:t>
      </w:r>
    </w:p>
    <w:p w14:paraId="4A6EAC75">
      <w:pPr>
        <w:pageBreakBefore w:val="0"/>
        <w:wordWrap w:val="0"/>
        <w:overflowPunct/>
        <w:bidi w:val="0"/>
        <w:rPr>
          <w:color w:val="auto"/>
        </w:rPr>
      </w:pPr>
      <w:r>
        <w:rPr>
          <w:rFonts w:hint="eastAsia"/>
          <w:color w:val="auto"/>
        </w:rPr>
        <w:t>10.2.3  制冷消耗功率(W)：≤2500 ；</w:t>
      </w:r>
    </w:p>
    <w:p w14:paraId="6B936277">
      <w:pPr>
        <w:pageBreakBefore w:val="0"/>
        <w:wordWrap w:val="0"/>
        <w:overflowPunct/>
        <w:bidi w:val="0"/>
        <w:rPr>
          <w:color w:val="auto"/>
        </w:rPr>
      </w:pPr>
      <w:r>
        <w:rPr>
          <w:rFonts w:hint="eastAsia"/>
          <w:color w:val="auto"/>
        </w:rPr>
        <w:t xml:space="preserve">10.2.4  使用环境温度：-20℃～55℃； </w:t>
      </w:r>
    </w:p>
    <w:p w14:paraId="3CDDEC21">
      <w:pPr>
        <w:pageBreakBefore w:val="0"/>
        <w:wordWrap w:val="0"/>
        <w:overflowPunct/>
        <w:bidi w:val="0"/>
        <w:rPr>
          <w:color w:val="auto"/>
        </w:rPr>
      </w:pPr>
      <w:r>
        <w:rPr>
          <w:rFonts w:hint="eastAsia"/>
          <w:color w:val="auto"/>
        </w:rPr>
        <w:t>10.2.5  电源：220 V /50 Hz；</w:t>
      </w:r>
    </w:p>
    <w:p w14:paraId="2BAA28D2">
      <w:pPr>
        <w:pageBreakBefore w:val="0"/>
        <w:wordWrap w:val="0"/>
        <w:overflowPunct/>
        <w:bidi w:val="0"/>
        <w:rPr>
          <w:color w:val="auto"/>
        </w:rPr>
      </w:pPr>
      <w:r>
        <w:rPr>
          <w:rFonts w:hint="eastAsia"/>
          <w:color w:val="auto"/>
        </w:rPr>
        <w:t>10.2.6  室内机：≥2台，制冷量（W）≥4500，制热量（W）≥5500。</w:t>
      </w:r>
    </w:p>
    <w:p w14:paraId="048E20FA">
      <w:pPr>
        <w:pageBreakBefore w:val="0"/>
        <w:wordWrap w:val="0"/>
        <w:overflowPunct/>
        <w:bidi w:val="0"/>
        <w:rPr>
          <w:color w:val="auto"/>
        </w:rPr>
      </w:pPr>
      <w:r>
        <w:rPr>
          <w:rFonts w:hint="eastAsia"/>
          <w:color w:val="auto"/>
        </w:rPr>
        <w:t>10.3车载饮水机1台</w:t>
      </w:r>
    </w:p>
    <w:p w14:paraId="13DFDFFE">
      <w:pPr>
        <w:pageBreakBefore w:val="0"/>
        <w:wordWrap w:val="0"/>
        <w:overflowPunct/>
        <w:bidi w:val="0"/>
        <w:rPr>
          <w:color w:val="auto"/>
        </w:rPr>
      </w:pPr>
      <w:r>
        <w:rPr>
          <w:rFonts w:hint="eastAsia"/>
          <w:color w:val="auto"/>
        </w:rPr>
        <w:t>10.3.1车载型，净水桶底部放置。</w:t>
      </w:r>
    </w:p>
    <w:p w14:paraId="59E8134A">
      <w:pPr>
        <w:pageBreakBefore w:val="0"/>
        <w:wordWrap w:val="0"/>
        <w:overflowPunct/>
        <w:bidi w:val="0"/>
        <w:rPr>
          <w:color w:val="auto"/>
        </w:rPr>
      </w:pPr>
      <w:r>
        <w:rPr>
          <w:rFonts w:hint="eastAsia"/>
          <w:color w:val="auto"/>
        </w:rPr>
        <w:t>10.4 电动幕布背景墙1套</w:t>
      </w:r>
    </w:p>
    <w:p w14:paraId="22896DD6">
      <w:pPr>
        <w:pageBreakBefore w:val="0"/>
        <w:wordWrap w:val="0"/>
        <w:overflowPunct/>
        <w:bidi w:val="0"/>
        <w:rPr>
          <w:color w:val="auto"/>
        </w:rPr>
      </w:pPr>
      <w:r>
        <w:rPr>
          <w:rFonts w:hint="eastAsia"/>
          <w:color w:val="auto"/>
        </w:rPr>
        <w:t>10.4.1 电动幕布背景墙，可作为会议时背景使用，≥四个背景设置，长≥2米，深度≥1.5米，支持集中控制系统控制。</w:t>
      </w:r>
    </w:p>
    <w:p w14:paraId="14AE5C00">
      <w:pPr>
        <w:pageBreakBefore w:val="0"/>
        <w:wordWrap w:val="0"/>
        <w:overflowPunct/>
        <w:bidi w:val="0"/>
        <w:rPr>
          <w:color w:val="auto"/>
        </w:rPr>
      </w:pPr>
      <w:r>
        <w:rPr>
          <w:rFonts w:hint="eastAsia"/>
          <w:color w:val="auto"/>
        </w:rPr>
        <w:t>11  照明系统</w:t>
      </w:r>
    </w:p>
    <w:p w14:paraId="76D71C08">
      <w:pPr>
        <w:pageBreakBefore w:val="0"/>
        <w:wordWrap w:val="0"/>
        <w:overflowPunct/>
        <w:bidi w:val="0"/>
        <w:rPr>
          <w:color w:val="auto"/>
        </w:rPr>
      </w:pPr>
      <w:r>
        <w:rPr>
          <w:rFonts w:hint="eastAsia"/>
          <w:color w:val="auto"/>
        </w:rPr>
        <w:t>11.1 场地照明1套</w:t>
      </w:r>
    </w:p>
    <w:p w14:paraId="63E65FF9">
      <w:pPr>
        <w:pageBreakBefore w:val="0"/>
        <w:wordWrap w:val="0"/>
        <w:overflowPunct/>
        <w:bidi w:val="0"/>
        <w:rPr>
          <w:color w:val="auto"/>
        </w:rPr>
      </w:pPr>
      <w:r>
        <w:rPr>
          <w:rFonts w:hint="eastAsia"/>
          <w:color w:val="auto"/>
        </w:rPr>
        <w:t>11.1.1  用于车身周边照明，便于人员夜间工作；</w:t>
      </w:r>
    </w:p>
    <w:p w14:paraId="1AE3B12A">
      <w:pPr>
        <w:pageBreakBefore w:val="0"/>
        <w:wordWrap w:val="0"/>
        <w:overflowPunct/>
        <w:bidi w:val="0"/>
        <w:rPr>
          <w:color w:val="auto"/>
        </w:rPr>
      </w:pPr>
      <w:r>
        <w:rPr>
          <w:rFonts w:hint="eastAsia"/>
          <w:color w:val="auto"/>
        </w:rPr>
        <w:t>11.1.2 LED照明灯，功率≥30W，数量≥4只，防水、防尘，安装在车两侧，实现夜间场地照明；</w:t>
      </w:r>
    </w:p>
    <w:p w14:paraId="6693946F">
      <w:pPr>
        <w:pageBreakBefore w:val="0"/>
        <w:wordWrap w:val="0"/>
        <w:overflowPunct/>
        <w:bidi w:val="0"/>
        <w:rPr>
          <w:color w:val="auto"/>
        </w:rPr>
      </w:pPr>
      <w:r>
        <w:rPr>
          <w:rFonts w:hint="eastAsia"/>
          <w:color w:val="auto"/>
        </w:rPr>
        <w:t>11.1.3 工作电压220V；</w:t>
      </w:r>
    </w:p>
    <w:p w14:paraId="632F4614">
      <w:pPr>
        <w:pageBreakBefore w:val="0"/>
        <w:wordWrap w:val="0"/>
        <w:overflowPunct/>
        <w:bidi w:val="0"/>
        <w:rPr>
          <w:color w:val="auto"/>
        </w:rPr>
      </w:pPr>
      <w:r>
        <w:rPr>
          <w:rFonts w:hint="eastAsia"/>
          <w:color w:val="auto"/>
        </w:rPr>
        <w:t>11.1.4 照明度≥200lux。</w:t>
      </w:r>
    </w:p>
    <w:p w14:paraId="5115A9D5">
      <w:pPr>
        <w:pageBreakBefore w:val="0"/>
        <w:wordWrap w:val="0"/>
        <w:overflowPunct/>
        <w:bidi w:val="0"/>
        <w:rPr>
          <w:color w:val="auto"/>
        </w:rPr>
      </w:pPr>
      <w:r>
        <w:rPr>
          <w:rFonts w:hint="eastAsia"/>
          <w:color w:val="auto"/>
        </w:rPr>
        <w:t>11.2  车外升降照明灯1套</w:t>
      </w:r>
    </w:p>
    <w:p w14:paraId="4F1F8BE9">
      <w:pPr>
        <w:pageBreakBefore w:val="0"/>
        <w:wordWrap w:val="0"/>
        <w:overflowPunct/>
        <w:bidi w:val="0"/>
        <w:rPr>
          <w:color w:val="auto"/>
        </w:rPr>
      </w:pPr>
      <w:r>
        <w:rPr>
          <w:rFonts w:hint="eastAsia"/>
          <w:color w:val="auto"/>
        </w:rPr>
        <w:t>11.2.1  电动升降杆；</w:t>
      </w:r>
    </w:p>
    <w:p w14:paraId="6A47F3E5">
      <w:pPr>
        <w:pageBreakBefore w:val="0"/>
        <w:wordWrap w:val="0"/>
        <w:overflowPunct/>
        <w:bidi w:val="0"/>
        <w:rPr>
          <w:color w:val="auto"/>
        </w:rPr>
      </w:pPr>
      <w:r>
        <w:rPr>
          <w:rFonts w:hint="eastAsia"/>
          <w:color w:val="auto"/>
        </w:rPr>
        <w:t>11.2.2  展开高度：≥8000 mm；</w:t>
      </w:r>
    </w:p>
    <w:p w14:paraId="5025E614">
      <w:pPr>
        <w:pageBreakBefore w:val="0"/>
        <w:wordWrap w:val="0"/>
        <w:overflowPunct/>
        <w:bidi w:val="0"/>
        <w:rPr>
          <w:color w:val="auto"/>
        </w:rPr>
      </w:pPr>
      <w:r>
        <w:rPr>
          <w:rFonts w:hint="eastAsia"/>
          <w:color w:val="auto"/>
        </w:rPr>
        <w:t>11.2.3  闭合高度：≥1970 mm；</w:t>
      </w:r>
    </w:p>
    <w:p w14:paraId="042F017C">
      <w:pPr>
        <w:pageBreakBefore w:val="0"/>
        <w:wordWrap w:val="0"/>
        <w:overflowPunct/>
        <w:bidi w:val="0"/>
        <w:rPr>
          <w:color w:val="auto"/>
        </w:rPr>
      </w:pPr>
      <w:r>
        <w:rPr>
          <w:rFonts w:hint="eastAsia"/>
          <w:color w:val="auto"/>
        </w:rPr>
        <w:t>11.2.4  节数：≥6；</w:t>
      </w:r>
    </w:p>
    <w:p w14:paraId="795C0BA2">
      <w:pPr>
        <w:pageBreakBefore w:val="0"/>
        <w:wordWrap w:val="0"/>
        <w:overflowPunct/>
        <w:bidi w:val="0"/>
        <w:rPr>
          <w:color w:val="auto"/>
        </w:rPr>
      </w:pPr>
      <w:r>
        <w:rPr>
          <w:rFonts w:hint="eastAsia"/>
          <w:color w:val="auto"/>
        </w:rPr>
        <w:t>11.2.5  最大外管径：≤Φ170 mm；</w:t>
      </w:r>
    </w:p>
    <w:p w14:paraId="18E261CC">
      <w:pPr>
        <w:pageBreakBefore w:val="0"/>
        <w:wordWrap w:val="0"/>
        <w:overflowPunct/>
        <w:bidi w:val="0"/>
        <w:rPr>
          <w:color w:val="auto"/>
        </w:rPr>
      </w:pPr>
      <w:r>
        <w:rPr>
          <w:rFonts w:hint="eastAsia"/>
          <w:color w:val="auto"/>
        </w:rPr>
        <w:t>11.2.6  自重：≤110Kg；</w:t>
      </w:r>
    </w:p>
    <w:p w14:paraId="23FBD152">
      <w:pPr>
        <w:pageBreakBefore w:val="0"/>
        <w:wordWrap w:val="0"/>
        <w:overflowPunct/>
        <w:bidi w:val="0"/>
        <w:rPr>
          <w:color w:val="auto"/>
        </w:rPr>
      </w:pPr>
      <w:r>
        <w:rPr>
          <w:rFonts w:hint="eastAsia"/>
          <w:color w:val="auto"/>
        </w:rPr>
        <w:t>11.2.7  转角精度：≤±2°；</w:t>
      </w:r>
    </w:p>
    <w:p w14:paraId="08CDD370">
      <w:pPr>
        <w:pageBreakBefore w:val="0"/>
        <w:wordWrap w:val="0"/>
        <w:overflowPunct/>
        <w:bidi w:val="0"/>
        <w:rPr>
          <w:color w:val="auto"/>
        </w:rPr>
      </w:pPr>
      <w:r>
        <w:rPr>
          <w:rFonts w:hint="eastAsia"/>
          <w:color w:val="auto"/>
        </w:rPr>
        <w:t>11.2.8  升降速度：≥3.0 m/min；</w:t>
      </w:r>
    </w:p>
    <w:p w14:paraId="27AF3101">
      <w:pPr>
        <w:pageBreakBefore w:val="0"/>
        <w:wordWrap w:val="0"/>
        <w:overflowPunct/>
        <w:bidi w:val="0"/>
        <w:rPr>
          <w:color w:val="auto"/>
        </w:rPr>
      </w:pPr>
      <w:r>
        <w:rPr>
          <w:rFonts w:hint="eastAsia"/>
          <w:color w:val="auto"/>
        </w:rPr>
        <w:t>11.2.9  承载能力：≥65Kg；</w:t>
      </w:r>
    </w:p>
    <w:p w14:paraId="76783DEB">
      <w:pPr>
        <w:pageBreakBefore w:val="0"/>
        <w:wordWrap w:val="0"/>
        <w:overflowPunct/>
        <w:bidi w:val="0"/>
        <w:rPr>
          <w:color w:val="auto"/>
        </w:rPr>
      </w:pPr>
      <w:r>
        <w:rPr>
          <w:rFonts w:hint="eastAsia"/>
          <w:color w:val="auto"/>
        </w:rPr>
        <w:t>11.2.10  供电方式：220V，50Hz；</w:t>
      </w:r>
    </w:p>
    <w:p w14:paraId="1342BD40">
      <w:pPr>
        <w:pageBreakBefore w:val="0"/>
        <w:wordWrap w:val="0"/>
        <w:overflowPunct/>
        <w:bidi w:val="0"/>
        <w:rPr>
          <w:color w:val="auto"/>
        </w:rPr>
      </w:pPr>
      <w:r>
        <w:rPr>
          <w:rFonts w:hint="eastAsia"/>
          <w:color w:val="auto"/>
        </w:rPr>
        <w:t>11.2.11  灯具工作电压：12V；</w:t>
      </w:r>
    </w:p>
    <w:p w14:paraId="3D20F1B9">
      <w:pPr>
        <w:pageBreakBefore w:val="0"/>
        <w:wordWrap w:val="0"/>
        <w:overflowPunct/>
        <w:bidi w:val="0"/>
        <w:rPr>
          <w:color w:val="auto"/>
        </w:rPr>
      </w:pPr>
      <w:r>
        <w:rPr>
          <w:rFonts w:hint="eastAsia"/>
          <w:color w:val="auto"/>
        </w:rPr>
        <w:t>11.2.12  灯具功率：≥500W*2；</w:t>
      </w:r>
    </w:p>
    <w:p w14:paraId="27F50547">
      <w:pPr>
        <w:pageBreakBefore w:val="0"/>
        <w:wordWrap w:val="0"/>
        <w:overflowPunct/>
        <w:bidi w:val="0"/>
        <w:rPr>
          <w:color w:val="auto"/>
        </w:rPr>
      </w:pPr>
      <w:r>
        <w:rPr>
          <w:rFonts w:hint="eastAsia"/>
          <w:color w:val="auto"/>
        </w:rPr>
        <w:t>11.2.13  灯具工作电流：≤25A；</w:t>
      </w:r>
    </w:p>
    <w:p w14:paraId="5CEDC2FB">
      <w:pPr>
        <w:pageBreakBefore w:val="0"/>
        <w:wordWrap w:val="0"/>
        <w:overflowPunct/>
        <w:bidi w:val="0"/>
        <w:rPr>
          <w:color w:val="auto"/>
        </w:rPr>
      </w:pPr>
      <w:r>
        <w:rPr>
          <w:rFonts w:hint="eastAsia"/>
          <w:color w:val="auto"/>
        </w:rPr>
        <w:t>11.2.14  旋转工作电流：≤2A（max）；</w:t>
      </w:r>
    </w:p>
    <w:p w14:paraId="637052B2">
      <w:pPr>
        <w:pageBreakBefore w:val="0"/>
        <w:wordWrap w:val="0"/>
        <w:overflowPunct/>
        <w:bidi w:val="0"/>
        <w:rPr>
          <w:color w:val="auto"/>
        </w:rPr>
      </w:pPr>
      <w:r>
        <w:rPr>
          <w:rFonts w:hint="eastAsia"/>
          <w:color w:val="auto"/>
        </w:rPr>
        <w:t>11.2.15  水平旋转角度：380°；</w:t>
      </w:r>
    </w:p>
    <w:p w14:paraId="33E74F96">
      <w:pPr>
        <w:pageBreakBefore w:val="0"/>
        <w:wordWrap w:val="0"/>
        <w:overflowPunct/>
        <w:bidi w:val="0"/>
        <w:rPr>
          <w:color w:val="auto"/>
        </w:rPr>
      </w:pPr>
      <w:r>
        <w:rPr>
          <w:rFonts w:hint="eastAsia"/>
          <w:color w:val="auto"/>
        </w:rPr>
        <w:t>11.2.16  垂直旋转角度：330°；</w:t>
      </w:r>
    </w:p>
    <w:p w14:paraId="683AE024">
      <w:pPr>
        <w:pageBreakBefore w:val="0"/>
        <w:wordWrap w:val="0"/>
        <w:overflowPunct/>
        <w:bidi w:val="0"/>
        <w:rPr>
          <w:color w:val="auto"/>
        </w:rPr>
      </w:pPr>
      <w:r>
        <w:rPr>
          <w:rFonts w:hint="eastAsia"/>
          <w:color w:val="auto"/>
        </w:rPr>
        <w:t>11.2.17  水平、垂直旋转速度：4r/min；</w:t>
      </w:r>
    </w:p>
    <w:p w14:paraId="55A9B6B5">
      <w:pPr>
        <w:pageBreakBefore w:val="0"/>
        <w:wordWrap w:val="0"/>
        <w:overflowPunct/>
        <w:bidi w:val="0"/>
        <w:rPr>
          <w:color w:val="auto"/>
        </w:rPr>
      </w:pPr>
      <w:r>
        <w:rPr>
          <w:rFonts w:hint="eastAsia"/>
          <w:color w:val="auto"/>
        </w:rPr>
        <w:t>11.2.18  光通量：≥22600lm；</w:t>
      </w:r>
    </w:p>
    <w:p w14:paraId="00434BB5">
      <w:pPr>
        <w:pageBreakBefore w:val="0"/>
        <w:wordWrap w:val="0"/>
        <w:overflowPunct/>
        <w:bidi w:val="0"/>
        <w:rPr>
          <w:color w:val="auto"/>
        </w:rPr>
      </w:pPr>
      <w:r>
        <w:rPr>
          <w:rFonts w:hint="eastAsia"/>
          <w:color w:val="auto"/>
        </w:rPr>
        <w:t>11.2.19  工作环境温度：≥-30°～55°；</w:t>
      </w:r>
    </w:p>
    <w:p w14:paraId="243ED188">
      <w:pPr>
        <w:pageBreakBefore w:val="0"/>
        <w:wordWrap w:val="0"/>
        <w:overflowPunct/>
        <w:bidi w:val="0"/>
        <w:rPr>
          <w:color w:val="auto"/>
        </w:rPr>
      </w:pPr>
      <w:r>
        <w:rPr>
          <w:rFonts w:hint="eastAsia"/>
          <w:color w:val="auto"/>
        </w:rPr>
        <w:t>11.2.20  灯具防护等级：IP67；</w:t>
      </w:r>
    </w:p>
    <w:p w14:paraId="2AC9741E">
      <w:pPr>
        <w:pageBreakBefore w:val="0"/>
        <w:wordWrap w:val="0"/>
        <w:overflowPunct/>
        <w:bidi w:val="0"/>
        <w:rPr>
          <w:color w:val="auto"/>
        </w:rPr>
      </w:pPr>
      <w:r>
        <w:rPr>
          <w:rFonts w:hint="eastAsia"/>
          <w:color w:val="auto"/>
        </w:rPr>
        <w:t>11.2.21  灯具开关方式：两只灯具分别控制；</w:t>
      </w:r>
    </w:p>
    <w:p w14:paraId="7BBB7517">
      <w:pPr>
        <w:pageBreakBefore w:val="0"/>
        <w:wordWrap w:val="0"/>
        <w:overflowPunct/>
        <w:bidi w:val="0"/>
        <w:rPr>
          <w:color w:val="auto"/>
        </w:rPr>
      </w:pPr>
      <w:r>
        <w:rPr>
          <w:rFonts w:hint="eastAsia"/>
          <w:color w:val="auto"/>
        </w:rPr>
        <w:t>11.2.22  灯具灯光形式：聚光；</w:t>
      </w:r>
    </w:p>
    <w:p w14:paraId="6A9CFB36">
      <w:pPr>
        <w:pageBreakBefore w:val="0"/>
        <w:wordWrap w:val="0"/>
        <w:overflowPunct/>
        <w:bidi w:val="0"/>
        <w:rPr>
          <w:color w:val="auto"/>
        </w:rPr>
      </w:pPr>
      <w:r>
        <w:rPr>
          <w:rFonts w:hint="eastAsia"/>
          <w:color w:val="auto"/>
        </w:rPr>
        <w:t>11.2.23  灯具光源类型：LED；</w:t>
      </w:r>
    </w:p>
    <w:p w14:paraId="7393DA59">
      <w:pPr>
        <w:pageBreakBefore w:val="0"/>
        <w:wordWrap w:val="0"/>
        <w:overflowPunct/>
        <w:bidi w:val="0"/>
        <w:rPr>
          <w:color w:val="auto"/>
        </w:rPr>
      </w:pPr>
      <w:r>
        <w:rPr>
          <w:rFonts w:hint="eastAsia"/>
          <w:color w:val="auto"/>
        </w:rPr>
        <w:t>11.2.24  控制方式：有线和无线控制；</w:t>
      </w:r>
    </w:p>
    <w:p w14:paraId="01BC428A">
      <w:pPr>
        <w:pageBreakBefore w:val="0"/>
        <w:wordWrap w:val="0"/>
        <w:overflowPunct/>
        <w:bidi w:val="0"/>
        <w:rPr>
          <w:color w:val="auto"/>
        </w:rPr>
      </w:pPr>
      <w:r>
        <w:rPr>
          <w:rFonts w:hint="eastAsia"/>
          <w:color w:val="auto"/>
        </w:rPr>
        <w:t>11.3  车内照明1套</w:t>
      </w:r>
    </w:p>
    <w:p w14:paraId="4F816864">
      <w:pPr>
        <w:pageBreakBefore w:val="0"/>
        <w:wordWrap w:val="0"/>
        <w:overflowPunct/>
        <w:bidi w:val="0"/>
        <w:rPr>
          <w:color w:val="auto"/>
        </w:rPr>
      </w:pPr>
      <w:r>
        <w:rPr>
          <w:rFonts w:hint="eastAsia"/>
          <w:color w:val="auto"/>
        </w:rPr>
        <w:t>11.3.1  车内照明系统分为交流照明、直流照明，二者互为补充；</w:t>
      </w:r>
    </w:p>
    <w:p w14:paraId="43441B7B">
      <w:pPr>
        <w:pageBreakBefore w:val="0"/>
        <w:wordWrap w:val="0"/>
        <w:overflowPunct/>
        <w:bidi w:val="0"/>
        <w:rPr>
          <w:color w:val="auto"/>
        </w:rPr>
      </w:pPr>
      <w:r>
        <w:rPr>
          <w:rFonts w:hint="eastAsia"/>
          <w:color w:val="auto"/>
        </w:rPr>
        <w:t>11.3.2  车内照明包括车内LED灯源（发电机舱照明、裙箱照明、机柜照明、设备间照明、会议室照明）、触控屏、控制软件；</w:t>
      </w:r>
    </w:p>
    <w:p w14:paraId="2F96B483">
      <w:pPr>
        <w:pageBreakBefore w:val="0"/>
        <w:wordWrap w:val="0"/>
        <w:overflowPunct/>
        <w:bidi w:val="0"/>
        <w:rPr>
          <w:color w:val="auto"/>
        </w:rPr>
      </w:pPr>
      <w:r>
        <w:rPr>
          <w:rFonts w:hint="eastAsia"/>
          <w:color w:val="auto"/>
        </w:rPr>
        <w:t>11.3.3  LED灯源具备调色与调光功能，触控屏位置设置合理；</w:t>
      </w:r>
    </w:p>
    <w:p w14:paraId="2F8B0409">
      <w:pPr>
        <w:pageBreakBefore w:val="0"/>
        <w:wordWrap w:val="0"/>
        <w:overflowPunct/>
        <w:bidi w:val="0"/>
        <w:rPr>
          <w:color w:val="auto"/>
        </w:rPr>
      </w:pPr>
      <w:r>
        <w:rPr>
          <w:rFonts w:hint="eastAsia"/>
          <w:color w:val="auto"/>
        </w:rPr>
        <w:t>11.3.4  会议室照明设计应充分考虑视频会议及工作照明的要求，具备分组控制功能；</w:t>
      </w:r>
    </w:p>
    <w:p w14:paraId="4EF38C95">
      <w:pPr>
        <w:pageBreakBefore w:val="0"/>
        <w:wordWrap w:val="0"/>
        <w:overflowPunct/>
        <w:bidi w:val="0"/>
        <w:rPr>
          <w:color w:val="auto"/>
        </w:rPr>
      </w:pPr>
      <w:r>
        <w:rPr>
          <w:rFonts w:hint="eastAsia"/>
          <w:color w:val="auto"/>
        </w:rPr>
        <w:t>11.3.5  照度≥200lux。</w:t>
      </w:r>
    </w:p>
    <w:p w14:paraId="69256A21">
      <w:pPr>
        <w:pageBreakBefore w:val="0"/>
        <w:wordWrap w:val="0"/>
        <w:overflowPunct/>
        <w:bidi w:val="0"/>
        <w:rPr>
          <w:color w:val="auto"/>
        </w:rPr>
      </w:pPr>
      <w:r>
        <w:rPr>
          <w:rFonts w:hint="eastAsia"/>
          <w:color w:val="auto"/>
        </w:rPr>
        <w:t>11.4 应急照明1套</w:t>
      </w:r>
    </w:p>
    <w:p w14:paraId="3B3E2314">
      <w:pPr>
        <w:pageBreakBefore w:val="0"/>
        <w:wordWrap w:val="0"/>
        <w:overflowPunct/>
        <w:bidi w:val="0"/>
        <w:rPr>
          <w:color w:val="auto"/>
        </w:rPr>
      </w:pPr>
      <w:r>
        <w:rPr>
          <w:rFonts w:hint="eastAsia"/>
          <w:color w:val="auto"/>
        </w:rPr>
        <w:t>11.4.1 车内应急照明灯。</w:t>
      </w:r>
    </w:p>
    <w:p w14:paraId="6DB68BEC">
      <w:pPr>
        <w:pageBreakBefore w:val="0"/>
        <w:wordWrap w:val="0"/>
        <w:overflowPunct/>
        <w:bidi w:val="0"/>
        <w:rPr>
          <w:color w:val="auto"/>
        </w:rPr>
      </w:pPr>
      <w:r>
        <w:rPr>
          <w:rFonts w:hint="eastAsia"/>
          <w:color w:val="auto"/>
        </w:rPr>
        <w:t>12  配套设施</w:t>
      </w:r>
    </w:p>
    <w:p w14:paraId="01AE44FD">
      <w:pPr>
        <w:pageBreakBefore w:val="0"/>
        <w:wordWrap w:val="0"/>
        <w:overflowPunct/>
        <w:bidi w:val="0"/>
        <w:rPr>
          <w:color w:val="auto"/>
        </w:rPr>
      </w:pPr>
      <w:r>
        <w:rPr>
          <w:rFonts w:hint="eastAsia"/>
          <w:color w:val="auto"/>
        </w:rPr>
        <w:t>12.1.  光缆盘1个</w:t>
      </w:r>
    </w:p>
    <w:p w14:paraId="59987A29">
      <w:pPr>
        <w:pageBreakBefore w:val="0"/>
        <w:wordWrap w:val="0"/>
        <w:overflowPunct/>
        <w:bidi w:val="0"/>
        <w:rPr>
          <w:color w:val="auto"/>
        </w:rPr>
      </w:pPr>
      <w:r>
        <w:rPr>
          <w:rFonts w:hint="eastAsia"/>
          <w:color w:val="auto"/>
        </w:rPr>
        <w:t>12.1.1  野战2芯，单模光纤，≥1000m，含绕线盘及接头；</w:t>
      </w:r>
    </w:p>
    <w:p w14:paraId="325FE8C5">
      <w:pPr>
        <w:pageBreakBefore w:val="0"/>
        <w:wordWrap w:val="0"/>
        <w:overflowPunct/>
        <w:bidi w:val="0"/>
        <w:rPr>
          <w:color w:val="auto"/>
        </w:rPr>
      </w:pPr>
      <w:r>
        <w:rPr>
          <w:rFonts w:hint="eastAsia"/>
          <w:color w:val="auto"/>
        </w:rPr>
        <w:t>12.1.2  光纤类型：G657A2；</w:t>
      </w:r>
    </w:p>
    <w:p w14:paraId="2BFD400E">
      <w:pPr>
        <w:pageBreakBefore w:val="0"/>
        <w:wordWrap w:val="0"/>
        <w:overflowPunct/>
        <w:bidi w:val="0"/>
        <w:rPr>
          <w:color w:val="auto"/>
        </w:rPr>
      </w:pPr>
      <w:r>
        <w:rPr>
          <w:rFonts w:hint="eastAsia"/>
          <w:color w:val="auto"/>
        </w:rPr>
        <w:t>12.1.3  紧套外径：0.6mm；</w:t>
      </w:r>
    </w:p>
    <w:p w14:paraId="4D2474C7">
      <w:pPr>
        <w:pageBreakBefore w:val="0"/>
        <w:wordWrap w:val="0"/>
        <w:overflowPunct/>
        <w:bidi w:val="0"/>
        <w:rPr>
          <w:color w:val="auto"/>
        </w:rPr>
      </w:pPr>
      <w:r>
        <w:rPr>
          <w:rFonts w:hint="eastAsia"/>
          <w:color w:val="auto"/>
        </w:rPr>
        <w:t>12.1.4  光纤颜色：2色（蓝/橙）；</w:t>
      </w:r>
    </w:p>
    <w:p w14:paraId="3E776E13">
      <w:pPr>
        <w:pageBreakBefore w:val="0"/>
        <w:wordWrap w:val="0"/>
        <w:overflowPunct/>
        <w:bidi w:val="0"/>
        <w:rPr>
          <w:color w:val="auto"/>
        </w:rPr>
      </w:pPr>
      <w:r>
        <w:rPr>
          <w:rFonts w:hint="eastAsia"/>
          <w:color w:val="auto"/>
        </w:rPr>
        <w:t>12.1.5  标称速率：2048Kbit/s，容差±50ppm；</w:t>
      </w:r>
    </w:p>
    <w:p w14:paraId="5A4CD52C">
      <w:pPr>
        <w:pageBreakBefore w:val="0"/>
        <w:wordWrap w:val="0"/>
        <w:overflowPunct/>
        <w:bidi w:val="0"/>
        <w:rPr>
          <w:color w:val="auto"/>
        </w:rPr>
      </w:pPr>
      <w:r>
        <w:rPr>
          <w:rFonts w:hint="eastAsia"/>
          <w:color w:val="auto"/>
        </w:rPr>
        <w:t>12.1.6  抗拉原件：凯夫拉；</w:t>
      </w:r>
    </w:p>
    <w:p w14:paraId="09C9C2CE">
      <w:pPr>
        <w:pageBreakBefore w:val="0"/>
        <w:wordWrap w:val="0"/>
        <w:overflowPunct/>
        <w:bidi w:val="0"/>
        <w:rPr>
          <w:color w:val="auto"/>
        </w:rPr>
      </w:pPr>
      <w:r>
        <w:rPr>
          <w:rFonts w:hint="eastAsia"/>
          <w:color w:val="auto"/>
        </w:rPr>
        <w:t>12.1.7  不锈钢软管：SUS200CU；</w:t>
      </w:r>
    </w:p>
    <w:p w14:paraId="4DB9F1D6">
      <w:pPr>
        <w:pageBreakBefore w:val="0"/>
        <w:wordWrap w:val="0"/>
        <w:overflowPunct/>
        <w:bidi w:val="0"/>
        <w:rPr>
          <w:color w:val="auto"/>
        </w:rPr>
      </w:pPr>
      <w:r>
        <w:rPr>
          <w:rFonts w:hint="eastAsia"/>
          <w:color w:val="auto"/>
        </w:rPr>
        <w:t>12.1.8  外护套：TPU护套黑色；</w:t>
      </w:r>
    </w:p>
    <w:p w14:paraId="5C6B3452">
      <w:pPr>
        <w:pageBreakBefore w:val="0"/>
        <w:wordWrap w:val="0"/>
        <w:overflowPunct/>
        <w:bidi w:val="0"/>
        <w:rPr>
          <w:color w:val="auto"/>
        </w:rPr>
      </w:pPr>
      <w:r>
        <w:rPr>
          <w:rFonts w:hint="eastAsia"/>
          <w:color w:val="auto"/>
        </w:rPr>
        <w:t>12.1.9  工作温度：≥-40~﹢85℃。</w:t>
      </w:r>
    </w:p>
    <w:p w14:paraId="3C45FE86">
      <w:pPr>
        <w:pageBreakBefore w:val="0"/>
        <w:wordWrap w:val="0"/>
        <w:overflowPunct/>
        <w:bidi w:val="0"/>
        <w:rPr>
          <w:color w:val="auto"/>
        </w:rPr>
      </w:pPr>
      <w:r>
        <w:rPr>
          <w:rFonts w:hint="eastAsia"/>
          <w:color w:val="auto"/>
        </w:rPr>
        <w:t>12.2  电动线缆盘1套</w:t>
      </w:r>
    </w:p>
    <w:p w14:paraId="38B6F412">
      <w:pPr>
        <w:pageBreakBefore w:val="0"/>
        <w:wordWrap w:val="0"/>
        <w:overflowPunct/>
        <w:bidi w:val="0"/>
        <w:rPr>
          <w:color w:val="auto"/>
        </w:rPr>
      </w:pPr>
      <w:r>
        <w:rPr>
          <w:rFonts w:hint="eastAsia"/>
          <w:color w:val="auto"/>
        </w:rPr>
        <w:t>12.2.1 电动绕线盘，滑环类型碳刷铜环型，卷盘结构为双侧支撑型，防触电，耐拔插。配备≥50米线缆。</w:t>
      </w:r>
    </w:p>
    <w:p w14:paraId="037A7046">
      <w:pPr>
        <w:pageBreakBefore w:val="0"/>
        <w:wordWrap w:val="0"/>
        <w:overflowPunct/>
        <w:bidi w:val="0"/>
        <w:rPr>
          <w:color w:val="auto"/>
        </w:rPr>
      </w:pPr>
      <w:r>
        <w:rPr>
          <w:rFonts w:hint="eastAsia"/>
          <w:color w:val="auto"/>
        </w:rPr>
        <w:t>12.3  手动线缆盘1套</w:t>
      </w:r>
    </w:p>
    <w:p w14:paraId="7EF18E83">
      <w:pPr>
        <w:pageBreakBefore w:val="0"/>
        <w:wordWrap w:val="0"/>
        <w:overflowPunct/>
        <w:bidi w:val="0"/>
        <w:rPr>
          <w:color w:val="auto"/>
        </w:rPr>
      </w:pPr>
      <w:r>
        <w:rPr>
          <w:rFonts w:hint="eastAsia"/>
          <w:color w:val="auto"/>
        </w:rPr>
        <w:t>12.3.1 手动线缆盘，过热保护，4位10A五孔，接线规格30m/3*1.0mm2，完全退卷负载1750W。</w:t>
      </w:r>
    </w:p>
    <w:p w14:paraId="55FDB77F">
      <w:pPr>
        <w:pageBreakBefore w:val="0"/>
        <w:wordWrap w:val="0"/>
        <w:overflowPunct/>
        <w:bidi w:val="0"/>
        <w:rPr>
          <w:color w:val="auto"/>
        </w:rPr>
      </w:pPr>
      <w:r>
        <w:rPr>
          <w:rFonts w:hint="eastAsia"/>
          <w:color w:val="auto"/>
        </w:rPr>
        <w:t>12.4 外接线缆1套</w:t>
      </w:r>
    </w:p>
    <w:p w14:paraId="234CFB60">
      <w:pPr>
        <w:pageBreakBefore w:val="0"/>
        <w:wordWrap w:val="0"/>
        <w:overflowPunct/>
        <w:bidi w:val="0"/>
        <w:rPr>
          <w:color w:val="auto"/>
        </w:rPr>
      </w:pPr>
      <w:r>
        <w:rPr>
          <w:rFonts w:hint="eastAsia"/>
          <w:color w:val="auto"/>
        </w:rPr>
        <w:t>12.4.1  ≥50米音视频线（含绕线盘）、电源线：≥30米（含绕线盘）。</w:t>
      </w:r>
    </w:p>
    <w:p w14:paraId="10FA5AF6">
      <w:pPr>
        <w:pageBreakBefore w:val="0"/>
        <w:wordWrap w:val="0"/>
        <w:overflowPunct/>
        <w:bidi w:val="0"/>
        <w:rPr>
          <w:color w:val="auto"/>
        </w:rPr>
      </w:pPr>
      <w:r>
        <w:rPr>
          <w:rFonts w:hint="eastAsia"/>
          <w:color w:val="auto"/>
        </w:rPr>
        <w:t>12.5 医疗急救箱1个</w:t>
      </w:r>
    </w:p>
    <w:p w14:paraId="33CE8DC8">
      <w:pPr>
        <w:pageBreakBefore w:val="0"/>
        <w:wordWrap w:val="0"/>
        <w:overflowPunct/>
        <w:bidi w:val="0"/>
        <w:rPr>
          <w:color w:val="auto"/>
        </w:rPr>
      </w:pPr>
      <w:r>
        <w:rPr>
          <w:rFonts w:hint="eastAsia"/>
          <w:color w:val="auto"/>
        </w:rPr>
        <w:t>12.5.1 铝合金便携式医疗急救箱 ，长宽高：≥405/220/230mm。</w:t>
      </w:r>
    </w:p>
    <w:p w14:paraId="70F156FB">
      <w:pPr>
        <w:pageBreakBefore w:val="0"/>
        <w:wordWrap w:val="0"/>
        <w:overflowPunct/>
        <w:bidi w:val="0"/>
        <w:rPr>
          <w:color w:val="auto"/>
        </w:rPr>
      </w:pPr>
      <w:r>
        <w:rPr>
          <w:rFonts w:hint="eastAsia"/>
          <w:color w:val="auto"/>
        </w:rPr>
        <w:t>12.6 土木工具1套</w:t>
      </w:r>
    </w:p>
    <w:p w14:paraId="3C300E35">
      <w:pPr>
        <w:pageBreakBefore w:val="0"/>
        <w:wordWrap w:val="0"/>
        <w:overflowPunct/>
        <w:bidi w:val="0"/>
        <w:rPr>
          <w:color w:val="auto"/>
        </w:rPr>
      </w:pPr>
      <w:r>
        <w:rPr>
          <w:rFonts w:hint="eastAsia"/>
          <w:color w:val="auto"/>
        </w:rPr>
        <w:t>12.6.1 含铁镐、铁锹、铁锤、多用斧头等。</w:t>
      </w:r>
    </w:p>
    <w:p w14:paraId="21C60FA3">
      <w:pPr>
        <w:pageBreakBefore w:val="0"/>
        <w:wordWrap w:val="0"/>
        <w:overflowPunct/>
        <w:bidi w:val="0"/>
        <w:rPr>
          <w:color w:val="auto"/>
        </w:rPr>
      </w:pPr>
      <w:r>
        <w:rPr>
          <w:rFonts w:hint="eastAsia"/>
          <w:color w:val="auto"/>
        </w:rPr>
        <w:t>12.7维护工具1套</w:t>
      </w:r>
    </w:p>
    <w:p w14:paraId="5B0D499C">
      <w:pPr>
        <w:pageBreakBefore w:val="0"/>
        <w:wordWrap w:val="0"/>
        <w:overflowPunct/>
        <w:bidi w:val="0"/>
        <w:rPr>
          <w:color w:val="auto"/>
        </w:rPr>
      </w:pPr>
      <w:r>
        <w:rPr>
          <w:rFonts w:hint="eastAsia"/>
          <w:color w:val="auto"/>
        </w:rPr>
        <w:t>12.7.1 包含万用表、电烙铁、电工胶布1卷、美工刀1把、内六角扳手5 把、6X100螺丝刀2把、尖嘴钳1把、3米卷尺1把、羊角锤1把，方便携带。</w:t>
      </w:r>
    </w:p>
    <w:p w14:paraId="5F815FB8">
      <w:pPr>
        <w:pageBreakBefore w:val="0"/>
        <w:wordWrap w:val="0"/>
        <w:overflowPunct/>
        <w:bidi w:val="0"/>
        <w:rPr>
          <w:color w:val="auto"/>
        </w:rPr>
      </w:pPr>
      <w:r>
        <w:rPr>
          <w:rFonts w:hint="eastAsia"/>
          <w:color w:val="auto"/>
        </w:rPr>
        <w:t>13  车辆接口</w:t>
      </w:r>
    </w:p>
    <w:p w14:paraId="69DBB967">
      <w:pPr>
        <w:pageBreakBefore w:val="0"/>
        <w:wordWrap w:val="0"/>
        <w:overflowPunct/>
        <w:bidi w:val="0"/>
        <w:rPr>
          <w:color w:val="auto"/>
        </w:rPr>
      </w:pPr>
      <w:r>
        <w:rPr>
          <w:rFonts w:hint="eastAsia"/>
          <w:color w:val="auto"/>
        </w:rPr>
        <w:t>13.1  电源接口窗1个</w:t>
      </w:r>
    </w:p>
    <w:p w14:paraId="17EED65B">
      <w:pPr>
        <w:pageBreakBefore w:val="0"/>
        <w:wordWrap w:val="0"/>
        <w:overflowPunct/>
        <w:bidi w:val="0"/>
        <w:rPr>
          <w:color w:val="auto"/>
        </w:rPr>
      </w:pPr>
      <w:r>
        <w:rPr>
          <w:rFonts w:hint="eastAsia"/>
          <w:color w:val="auto"/>
        </w:rPr>
        <w:t>13.1.1 配380V电源输入接口≥1个；</w:t>
      </w:r>
    </w:p>
    <w:p w14:paraId="7CC15B17">
      <w:pPr>
        <w:pageBreakBefore w:val="0"/>
        <w:wordWrap w:val="0"/>
        <w:overflowPunct/>
        <w:bidi w:val="0"/>
        <w:rPr>
          <w:color w:val="auto"/>
        </w:rPr>
      </w:pPr>
      <w:r>
        <w:rPr>
          <w:rFonts w:hint="eastAsia"/>
          <w:color w:val="auto"/>
        </w:rPr>
        <w:t>13.1.2  220V电源输入接口≥1个；</w:t>
      </w:r>
    </w:p>
    <w:p w14:paraId="0881A85D">
      <w:pPr>
        <w:pageBreakBefore w:val="0"/>
        <w:wordWrap w:val="0"/>
        <w:overflowPunct/>
        <w:bidi w:val="0"/>
        <w:rPr>
          <w:color w:val="auto"/>
        </w:rPr>
      </w:pPr>
      <w:r>
        <w:rPr>
          <w:rFonts w:hint="eastAsia"/>
          <w:color w:val="auto"/>
        </w:rPr>
        <w:t>13.1.3  220V输出接口≥2个；</w:t>
      </w:r>
    </w:p>
    <w:p w14:paraId="38FB25BA">
      <w:pPr>
        <w:pageBreakBefore w:val="0"/>
        <w:wordWrap w:val="0"/>
        <w:overflowPunct/>
        <w:bidi w:val="0"/>
        <w:rPr>
          <w:color w:val="auto"/>
        </w:rPr>
      </w:pPr>
      <w:r>
        <w:rPr>
          <w:rFonts w:hint="eastAsia"/>
          <w:color w:val="auto"/>
        </w:rPr>
        <w:t>13.1.4  电源总开关≥1个；</w:t>
      </w:r>
    </w:p>
    <w:p w14:paraId="532C6ACB">
      <w:pPr>
        <w:pageBreakBefore w:val="0"/>
        <w:wordWrap w:val="0"/>
        <w:overflowPunct/>
        <w:bidi w:val="0"/>
        <w:rPr>
          <w:color w:val="auto"/>
        </w:rPr>
      </w:pPr>
      <w:r>
        <w:rPr>
          <w:rFonts w:hint="eastAsia"/>
          <w:color w:val="auto"/>
        </w:rPr>
        <w:t>13.1.5  220V漏电保护模块≥1个；</w:t>
      </w:r>
    </w:p>
    <w:p w14:paraId="2D3DF735">
      <w:pPr>
        <w:pageBreakBefore w:val="0"/>
        <w:wordWrap w:val="0"/>
        <w:overflowPunct/>
        <w:bidi w:val="0"/>
        <w:rPr>
          <w:color w:val="auto"/>
        </w:rPr>
      </w:pPr>
      <w:r>
        <w:rPr>
          <w:rFonts w:hint="eastAsia"/>
          <w:color w:val="auto"/>
        </w:rPr>
        <w:t>13.1.6  220V 防雷模块≥1个；</w:t>
      </w:r>
    </w:p>
    <w:p w14:paraId="0613FDAB">
      <w:pPr>
        <w:pageBreakBefore w:val="0"/>
        <w:wordWrap w:val="0"/>
        <w:overflowPunct/>
        <w:bidi w:val="0"/>
        <w:rPr>
          <w:color w:val="auto"/>
        </w:rPr>
      </w:pPr>
      <w:r>
        <w:rPr>
          <w:rFonts w:hint="eastAsia"/>
          <w:color w:val="auto"/>
        </w:rPr>
        <w:t>13.1.7  符合国家相关标准。</w:t>
      </w:r>
    </w:p>
    <w:p w14:paraId="2F689753">
      <w:pPr>
        <w:pageBreakBefore w:val="0"/>
        <w:wordWrap w:val="0"/>
        <w:overflowPunct/>
        <w:bidi w:val="0"/>
        <w:rPr>
          <w:color w:val="auto"/>
        </w:rPr>
      </w:pPr>
      <w:r>
        <w:rPr>
          <w:rFonts w:hint="eastAsia"/>
          <w:color w:val="auto"/>
        </w:rPr>
        <w:t>13.2 信息接口窗1个</w:t>
      </w:r>
    </w:p>
    <w:p w14:paraId="2EBC2511">
      <w:pPr>
        <w:pageBreakBefore w:val="0"/>
        <w:wordWrap w:val="0"/>
        <w:overflowPunct/>
        <w:bidi w:val="0"/>
        <w:rPr>
          <w:color w:val="auto"/>
        </w:rPr>
      </w:pPr>
      <w:r>
        <w:rPr>
          <w:rFonts w:hint="eastAsia"/>
          <w:color w:val="auto"/>
        </w:rPr>
        <w:t>13.2.1  ≥2个网络接口、≥4组电话接口、≥2组音频输入输出接口、≥2组HDSDI视频输入输出接口、≥2组HDMI输入接口、≥2组光纤接口。符合国家相关接口。</w:t>
      </w:r>
    </w:p>
    <w:p w14:paraId="365123BB">
      <w:pPr>
        <w:pageBreakBefore w:val="0"/>
        <w:wordWrap w:val="0"/>
        <w:overflowPunct/>
        <w:bidi w:val="0"/>
        <w:rPr>
          <w:color w:val="auto"/>
        </w:rPr>
      </w:pPr>
      <w:r>
        <w:rPr>
          <w:rFonts w:hint="eastAsia"/>
          <w:color w:val="auto"/>
        </w:rPr>
        <w:t>13.3 桌面接口窗2个</w:t>
      </w:r>
    </w:p>
    <w:p w14:paraId="79AC623E">
      <w:pPr>
        <w:pageBreakBefore w:val="0"/>
        <w:wordWrap w:val="0"/>
        <w:overflowPunct/>
        <w:bidi w:val="0"/>
        <w:rPr>
          <w:color w:val="auto"/>
        </w:rPr>
      </w:pPr>
      <w:r>
        <w:rPr>
          <w:rFonts w:hint="eastAsia"/>
          <w:color w:val="auto"/>
        </w:rPr>
        <w:t>13.3.1 模块化设计，配置接口≥2个网络接口、≥1个电话接口、≥1个5孔电源插座、≥2个音频输入接口、≥1个HDMI输入接口，符合国家相关接口。</w:t>
      </w:r>
    </w:p>
    <w:p w14:paraId="2865E574">
      <w:pPr>
        <w:pageBreakBefore w:val="0"/>
        <w:wordWrap w:val="0"/>
        <w:overflowPunct/>
        <w:bidi w:val="0"/>
        <w:rPr>
          <w:color w:val="auto"/>
        </w:rPr>
      </w:pPr>
      <w:r>
        <w:rPr>
          <w:rFonts w:hint="eastAsia"/>
          <w:color w:val="auto"/>
        </w:rPr>
        <w:t>13.4 车内各开关、插座1套</w:t>
      </w:r>
    </w:p>
    <w:p w14:paraId="2907A06B">
      <w:pPr>
        <w:pageBreakBefore w:val="0"/>
        <w:wordWrap w:val="0"/>
        <w:overflowPunct/>
        <w:bidi w:val="0"/>
        <w:rPr>
          <w:color w:val="auto"/>
        </w:rPr>
      </w:pPr>
      <w:r>
        <w:rPr>
          <w:rFonts w:hint="eastAsia"/>
          <w:color w:val="auto"/>
        </w:rPr>
        <w:t>13.4.1 定制车内开关、插座、辅材等。</w:t>
      </w:r>
    </w:p>
    <w:p w14:paraId="5403B853">
      <w:pPr>
        <w:pageBreakBefore w:val="0"/>
        <w:wordWrap w:val="0"/>
        <w:overflowPunct/>
        <w:bidi w:val="0"/>
        <w:rPr>
          <w:color w:val="auto"/>
        </w:rPr>
      </w:pPr>
      <w:r>
        <w:rPr>
          <w:rFonts w:hint="eastAsia"/>
          <w:color w:val="auto"/>
        </w:rPr>
        <w:t>13.5 线材接插件1套</w:t>
      </w:r>
    </w:p>
    <w:p w14:paraId="3FBECE04">
      <w:pPr>
        <w:pageBreakBefore w:val="0"/>
        <w:wordWrap w:val="0"/>
        <w:overflowPunct/>
        <w:bidi w:val="0"/>
        <w:rPr>
          <w:color w:val="auto"/>
        </w:rPr>
      </w:pPr>
      <w:r>
        <w:rPr>
          <w:rFonts w:hint="eastAsia"/>
          <w:color w:val="auto"/>
        </w:rPr>
        <w:t>13.5.1 线缆选用符合国家3C要求的正规厂家产品，线缆选用应根据设备最大功耗选用合适的线径。</w:t>
      </w:r>
    </w:p>
    <w:p w14:paraId="6464DD87">
      <w:pPr>
        <w:pageBreakBefore w:val="0"/>
        <w:wordWrap w:val="0"/>
        <w:overflowPunct/>
        <w:bidi w:val="0"/>
        <w:rPr>
          <w:color w:val="auto"/>
        </w:rPr>
      </w:pPr>
      <w:r>
        <w:rPr>
          <w:rFonts w:hint="eastAsia"/>
          <w:color w:val="auto"/>
        </w:rPr>
        <w:t>14  扩展方舱及改装</w:t>
      </w:r>
    </w:p>
    <w:p w14:paraId="24022395">
      <w:pPr>
        <w:pageBreakBefore w:val="0"/>
        <w:wordWrap w:val="0"/>
        <w:overflowPunct/>
        <w:bidi w:val="0"/>
        <w:rPr>
          <w:color w:val="auto"/>
        </w:rPr>
      </w:pPr>
      <w:r>
        <w:rPr>
          <w:rFonts w:hint="eastAsia"/>
          <w:color w:val="auto"/>
        </w:rPr>
        <w:t>14.1底盘改制加固</w:t>
      </w:r>
    </w:p>
    <w:p w14:paraId="3CE83269">
      <w:pPr>
        <w:pageBreakBefore w:val="0"/>
        <w:wordWrap w:val="0"/>
        <w:overflowPunct/>
        <w:bidi w:val="0"/>
        <w:rPr>
          <w:color w:val="auto"/>
        </w:rPr>
      </w:pPr>
      <w:r>
        <w:rPr>
          <w:rFonts w:hint="eastAsia"/>
          <w:color w:val="auto"/>
        </w:rPr>
        <w:t>14.1.1 底盘附件根据需要进行移位，支撑腿、车厢副梁等连接处进行加强。</w:t>
      </w:r>
    </w:p>
    <w:p w14:paraId="1BA6D6DD">
      <w:pPr>
        <w:pageBreakBefore w:val="0"/>
        <w:wordWrap w:val="0"/>
        <w:overflowPunct/>
        <w:bidi w:val="0"/>
        <w:rPr>
          <w:color w:val="auto"/>
        </w:rPr>
      </w:pPr>
      <w:r>
        <w:rPr>
          <w:rFonts w:hint="eastAsia"/>
          <w:color w:val="auto"/>
        </w:rPr>
        <w:t>14.2 底盘副车架1个</w:t>
      </w:r>
    </w:p>
    <w:p w14:paraId="417E52D0">
      <w:pPr>
        <w:pageBreakBefore w:val="0"/>
        <w:wordWrap w:val="0"/>
        <w:overflowPunct/>
        <w:bidi w:val="0"/>
        <w:rPr>
          <w:color w:val="auto"/>
        </w:rPr>
      </w:pPr>
      <w:r>
        <w:rPr>
          <w:rFonts w:hint="eastAsia"/>
          <w:color w:val="auto"/>
        </w:rPr>
        <w:t>14.2.1 采用厚钢板、矩形钢管、槽钢等组焊加工，开口封堵，焊后整体防锈喷涂处理。</w:t>
      </w:r>
    </w:p>
    <w:p w14:paraId="08F5F54F">
      <w:pPr>
        <w:pageBreakBefore w:val="0"/>
        <w:wordWrap w:val="0"/>
        <w:overflowPunct/>
        <w:bidi w:val="0"/>
        <w:rPr>
          <w:color w:val="auto"/>
        </w:rPr>
      </w:pPr>
      <w:r>
        <w:rPr>
          <w:rFonts w:hint="eastAsia"/>
          <w:color w:val="auto"/>
        </w:rPr>
        <w:t>14.3 主车舱制作1个</w:t>
      </w:r>
    </w:p>
    <w:p w14:paraId="2287EA90">
      <w:pPr>
        <w:pageBreakBefore w:val="0"/>
        <w:wordWrap w:val="0"/>
        <w:overflowPunct/>
        <w:bidi w:val="0"/>
        <w:rPr>
          <w:color w:val="auto"/>
        </w:rPr>
      </w:pPr>
      <w:r>
        <w:rPr>
          <w:rFonts w:hint="eastAsia"/>
          <w:color w:val="auto"/>
        </w:rPr>
        <w:t>14.3.1 钢骨架，车厢外蒙板采用铝合金蒙皮，箱体板片采用复合大板制作技术，骨架由Q235方形钢管；板片骨架由钢制方管和铝型材切削加工制作，侧壁、底板、隔道、前后壁、顶壁均采用不低于δ1.5*40*40mm的钢制方管，板片蒙皮严格按专用工艺进行操作。厢体骨架电泳处理，厢体尺寸:8800mm≥长≥8650mm；2500≥宽≥2400mm；3400mm≥高≥3200mm，尾部设置后保险杠。</w:t>
      </w:r>
    </w:p>
    <w:p w14:paraId="7983F815">
      <w:pPr>
        <w:pageBreakBefore w:val="0"/>
        <w:wordWrap w:val="0"/>
        <w:overflowPunct/>
        <w:bidi w:val="0"/>
        <w:rPr>
          <w:color w:val="auto"/>
        </w:rPr>
      </w:pPr>
      <w:r>
        <w:rPr>
          <w:rFonts w:hint="eastAsia"/>
          <w:color w:val="auto"/>
        </w:rPr>
        <w:t>14.4 侧拉舱体制作2个</w:t>
      </w:r>
    </w:p>
    <w:p w14:paraId="0A1605B2">
      <w:pPr>
        <w:pageBreakBefore w:val="0"/>
        <w:wordWrap w:val="0"/>
        <w:overflowPunct/>
        <w:bidi w:val="0"/>
        <w:rPr>
          <w:color w:val="auto"/>
        </w:rPr>
      </w:pPr>
      <w:r>
        <w:rPr>
          <w:rFonts w:hint="eastAsia"/>
          <w:color w:val="auto"/>
        </w:rPr>
        <w:t>14.4.1 钢骨架，车厢外蒙板采用铝合金蒙皮，箱体板片采用复合大板制作技术，骨架由Q235方形钢管；板片骨架由钢制方管和铝型材切削加工制作，侧壁、底板、隔道、前后壁、顶壁均采用不低于δ1.5*40*40mm的钢制方管，板片蒙皮严格按专用工艺进行操作。厢体骨架电泳处理，左右各1套，4500mm≥长≥4230mm；1100mm≥宽≥1000mm；1950mm≥内高≥1850mm。</w:t>
      </w:r>
    </w:p>
    <w:p w14:paraId="18A2952A">
      <w:pPr>
        <w:pageBreakBefore w:val="0"/>
        <w:wordWrap w:val="0"/>
        <w:overflowPunct/>
        <w:bidi w:val="0"/>
        <w:rPr>
          <w:color w:val="auto"/>
        </w:rPr>
      </w:pPr>
      <w:r>
        <w:rPr>
          <w:rFonts w:hint="eastAsia"/>
          <w:color w:val="auto"/>
        </w:rPr>
        <w:t>14.5 裙边箱及舱体附件1套</w:t>
      </w:r>
    </w:p>
    <w:p w14:paraId="38FAB8CC">
      <w:pPr>
        <w:pageBreakBefore w:val="0"/>
        <w:wordWrap w:val="0"/>
        <w:overflowPunct/>
        <w:bidi w:val="0"/>
        <w:rPr>
          <w:color w:val="auto"/>
        </w:rPr>
      </w:pPr>
      <w:r>
        <w:rPr>
          <w:rFonts w:hint="eastAsia"/>
          <w:color w:val="auto"/>
        </w:rPr>
        <w:t>14.5.1  包括整车裙边箱、锁具及车顶不锈钢护栏、后爬梯等。</w:t>
      </w:r>
    </w:p>
    <w:p w14:paraId="45687FAE">
      <w:pPr>
        <w:pageBreakBefore w:val="0"/>
        <w:wordWrap w:val="0"/>
        <w:overflowPunct/>
        <w:bidi w:val="0"/>
        <w:rPr>
          <w:color w:val="auto"/>
        </w:rPr>
      </w:pPr>
      <w:r>
        <w:rPr>
          <w:rFonts w:hint="eastAsia"/>
          <w:color w:val="auto"/>
        </w:rPr>
        <w:t>14.6各类门体1套</w:t>
      </w:r>
    </w:p>
    <w:p w14:paraId="48A9CDCD">
      <w:pPr>
        <w:pageBreakBefore w:val="0"/>
        <w:wordWrap w:val="0"/>
        <w:overflowPunct/>
        <w:bidi w:val="0"/>
        <w:rPr>
          <w:color w:val="auto"/>
        </w:rPr>
      </w:pPr>
      <w:r>
        <w:rPr>
          <w:rFonts w:hint="eastAsia"/>
          <w:color w:val="auto"/>
        </w:rPr>
        <w:t>14.6.1  包括右侧登舱门1件，机柜检修门4件，发电机舱门左右各1件。</w:t>
      </w:r>
    </w:p>
    <w:p w14:paraId="00DE61E1">
      <w:pPr>
        <w:pageBreakBefore w:val="0"/>
        <w:wordWrap w:val="0"/>
        <w:overflowPunct/>
        <w:bidi w:val="0"/>
        <w:rPr>
          <w:color w:val="auto"/>
        </w:rPr>
      </w:pPr>
      <w:r>
        <w:rPr>
          <w:rFonts w:hint="eastAsia"/>
          <w:color w:val="auto"/>
        </w:rPr>
        <w:t>14.7 采光窗1套</w:t>
      </w:r>
    </w:p>
    <w:p w14:paraId="141EA633">
      <w:pPr>
        <w:pageBreakBefore w:val="0"/>
        <w:wordWrap w:val="0"/>
        <w:overflowPunct/>
        <w:bidi w:val="0"/>
        <w:rPr>
          <w:color w:val="auto"/>
        </w:rPr>
      </w:pPr>
      <w:r>
        <w:rPr>
          <w:rFonts w:hint="eastAsia"/>
          <w:color w:val="auto"/>
        </w:rPr>
        <w:t>14.7.1  汽车用钢化玻璃，推拉窗4件（826*576mm≥长*高≥700*450mm）。</w:t>
      </w:r>
    </w:p>
    <w:p w14:paraId="3360B931">
      <w:pPr>
        <w:pageBreakBefore w:val="0"/>
        <w:wordWrap w:val="0"/>
        <w:overflowPunct/>
        <w:bidi w:val="0"/>
        <w:rPr>
          <w:color w:val="auto"/>
        </w:rPr>
      </w:pPr>
      <w:r>
        <w:rPr>
          <w:rFonts w:hint="eastAsia"/>
          <w:color w:val="auto"/>
        </w:rPr>
        <w:t>14.8 舱体密封1套</w:t>
      </w:r>
    </w:p>
    <w:p w14:paraId="5D227E2C">
      <w:pPr>
        <w:pageBreakBefore w:val="0"/>
        <w:wordWrap w:val="0"/>
        <w:overflowPunct/>
        <w:bidi w:val="0"/>
        <w:rPr>
          <w:color w:val="auto"/>
        </w:rPr>
      </w:pPr>
      <w:r>
        <w:rPr>
          <w:rFonts w:hint="eastAsia"/>
          <w:color w:val="auto"/>
        </w:rPr>
        <w:t>14.8.1  舱体进行密封打胶处理，进行淋雨测试等。</w:t>
      </w:r>
    </w:p>
    <w:p w14:paraId="209138C5">
      <w:pPr>
        <w:pageBreakBefore w:val="0"/>
        <w:wordWrap w:val="0"/>
        <w:overflowPunct/>
        <w:bidi w:val="0"/>
        <w:rPr>
          <w:color w:val="auto"/>
        </w:rPr>
      </w:pPr>
      <w:r>
        <w:rPr>
          <w:rFonts w:hint="eastAsia"/>
          <w:color w:val="auto"/>
        </w:rPr>
        <w:t>14.9扩展机构1套</w:t>
      </w:r>
    </w:p>
    <w:p w14:paraId="45B7C57E">
      <w:pPr>
        <w:pageBreakBefore w:val="0"/>
        <w:wordWrap w:val="0"/>
        <w:overflowPunct/>
        <w:bidi w:val="0"/>
        <w:rPr>
          <w:color w:val="auto"/>
        </w:rPr>
      </w:pPr>
      <w:r>
        <w:rPr>
          <w:rFonts w:hint="eastAsia"/>
          <w:color w:val="auto"/>
        </w:rPr>
        <w:t>14.9.1  可扩展厢体尺寸：4230mm≤长≤4400mm，1000mm≤宽≤1100mm，双侧扩展，会议区侧拉厢传动机构、侧拉厢升降地板机构、侧拉厢控制系统，电动控制。</w:t>
      </w:r>
    </w:p>
    <w:p w14:paraId="66ABE05A">
      <w:pPr>
        <w:pageBreakBefore w:val="0"/>
        <w:wordWrap w:val="0"/>
        <w:overflowPunct/>
        <w:bidi w:val="0"/>
        <w:rPr>
          <w:color w:val="auto"/>
        </w:rPr>
      </w:pPr>
      <w:r>
        <w:rPr>
          <w:rFonts w:hint="eastAsia"/>
          <w:color w:val="auto"/>
        </w:rPr>
        <w:t>15  舱内设施</w:t>
      </w:r>
    </w:p>
    <w:p w14:paraId="01301015">
      <w:pPr>
        <w:pageBreakBefore w:val="0"/>
        <w:wordWrap w:val="0"/>
        <w:overflowPunct/>
        <w:bidi w:val="0"/>
        <w:rPr>
          <w:color w:val="auto"/>
        </w:rPr>
      </w:pPr>
      <w:r>
        <w:rPr>
          <w:rFonts w:hint="eastAsia"/>
          <w:color w:val="auto"/>
        </w:rPr>
        <w:t>15.1  基础内饰1套。采用平板对厢体内部进行平整处理，舱顶进行木质造型吊顶，两侧加工空调风道，后侧加装设备区隔断，所有墙体表面贴米黄色皮料。</w:t>
      </w:r>
    </w:p>
    <w:p w14:paraId="3B76F434">
      <w:pPr>
        <w:pageBreakBefore w:val="0"/>
        <w:wordWrap w:val="0"/>
        <w:overflowPunct/>
        <w:bidi w:val="0"/>
        <w:rPr>
          <w:color w:val="auto"/>
        </w:rPr>
      </w:pPr>
      <w:r>
        <w:rPr>
          <w:rFonts w:hint="eastAsia"/>
          <w:color w:val="auto"/>
        </w:rPr>
        <w:t>15. 2 舱体地板1套。竹地板打底，会议区和操作区表面铺设仿木纹地板革，发电机区铺设花纹铝板。</w:t>
      </w:r>
    </w:p>
    <w:p w14:paraId="064DC62A">
      <w:pPr>
        <w:pageBreakBefore w:val="0"/>
        <w:wordWrap w:val="0"/>
        <w:overflowPunct/>
        <w:bidi w:val="0"/>
        <w:rPr>
          <w:color w:val="auto"/>
        </w:rPr>
      </w:pPr>
      <w:r>
        <w:rPr>
          <w:rFonts w:hint="eastAsia"/>
          <w:color w:val="auto"/>
        </w:rPr>
        <w:t>15.3  显示墙1个。采用钢骨架+铝板机构。钢管焊接骨架，铝板打底，铺设高档皮革软包造型，皮革与车辆内饰色彩协调，根据显示屏尺寸预留安装位，电视墙各显示屏采用内嵌式一体平面安装，显示屏带减震措施。软包尺寸：1100mm≤高≤1200mm；2200mm≤宽≤2500mm。</w:t>
      </w:r>
    </w:p>
    <w:p w14:paraId="7EDC4D5E">
      <w:pPr>
        <w:pageBreakBefore w:val="0"/>
        <w:wordWrap w:val="0"/>
        <w:overflowPunct/>
        <w:bidi w:val="0"/>
        <w:rPr>
          <w:color w:val="auto"/>
        </w:rPr>
      </w:pPr>
      <w:r>
        <w:rPr>
          <w:rFonts w:hint="eastAsia"/>
          <w:color w:val="auto"/>
        </w:rPr>
        <w:t>15.4  长条会议桌1个。木质长条会议桌，表面光亮烤漆（3050*750*700≥长宽高尺寸≥3000*700*700mm）。</w:t>
      </w:r>
    </w:p>
    <w:p w14:paraId="57AEB6DE">
      <w:pPr>
        <w:pageBreakBefore w:val="0"/>
        <w:wordWrap w:val="0"/>
        <w:overflowPunct/>
        <w:bidi w:val="0"/>
        <w:rPr>
          <w:color w:val="auto"/>
        </w:rPr>
      </w:pPr>
      <w:r>
        <w:rPr>
          <w:rFonts w:hint="eastAsia"/>
          <w:color w:val="auto"/>
        </w:rPr>
        <w:t>15.5  会议座椅9个。定制，可旋转、前后调节，靠背和扶手可调，真皮面料（570*560≥长宽尺寸≥560*550mm）。</w:t>
      </w:r>
    </w:p>
    <w:p w14:paraId="3E5894A9">
      <w:pPr>
        <w:pageBreakBefore w:val="0"/>
        <w:wordWrap w:val="0"/>
        <w:overflowPunct/>
        <w:bidi w:val="0"/>
        <w:rPr>
          <w:color w:val="auto"/>
        </w:rPr>
      </w:pPr>
      <w:r>
        <w:rPr>
          <w:rFonts w:hint="eastAsia"/>
          <w:color w:val="auto"/>
        </w:rPr>
        <w:t>15.6  折叠沙发椅4个。真皮面料，壁挂式安装沙发。长≥1800mm,宽≥450mm，采用金属骨架，内嵌高回弹海绵，外蒙优质高级皮质面料；沙发采用外高内低设计；沙发骨架可靠安装于扩展舱厢壁，支持约0-90°翻折，带锁紧装置防止意外展开，展开后带软包靠背。沙发颜色与内饰协调。沙发旁配AC220V和USB输出接口。</w:t>
      </w:r>
    </w:p>
    <w:p w14:paraId="1A12334F">
      <w:pPr>
        <w:pageBreakBefore w:val="0"/>
        <w:wordWrap w:val="0"/>
        <w:overflowPunct/>
        <w:bidi w:val="0"/>
        <w:rPr>
          <w:color w:val="auto"/>
        </w:rPr>
      </w:pPr>
      <w:r>
        <w:rPr>
          <w:rFonts w:hint="eastAsia"/>
          <w:color w:val="auto"/>
        </w:rPr>
        <w:t>15.7  折叠工作台，2套。实木，支持约0-90°翻折，承重≥20kg。</w:t>
      </w:r>
    </w:p>
    <w:p w14:paraId="39C1F4F5">
      <w:pPr>
        <w:pageBreakBefore w:val="0"/>
        <w:wordWrap w:val="0"/>
        <w:overflowPunct/>
        <w:bidi w:val="0"/>
        <w:rPr>
          <w:color w:val="auto"/>
        </w:rPr>
      </w:pPr>
      <w:r>
        <w:rPr>
          <w:rFonts w:hint="eastAsia"/>
          <w:color w:val="auto"/>
        </w:rPr>
        <w:t>15.8  生活柜1个。木质生活柜，柜体免漆板，台面光亮烤漆（620*280*700≥长宽高尺寸≥600*250*700mm）。</w:t>
      </w:r>
    </w:p>
    <w:p w14:paraId="4C352291">
      <w:pPr>
        <w:pageBreakBefore w:val="0"/>
        <w:wordWrap w:val="0"/>
        <w:overflowPunct/>
        <w:bidi w:val="0"/>
        <w:rPr>
          <w:color w:val="auto"/>
        </w:rPr>
      </w:pPr>
      <w:r>
        <w:rPr>
          <w:rFonts w:hint="eastAsia"/>
          <w:color w:val="auto"/>
        </w:rPr>
        <w:t>15.9  标准设备机柜3组。19英寸标准机柜、整体式框架机构，机柜配置减震系统，需保证设备安装、维护、检修方便及散热问题；机柜空间满足全车设备安装并预留≥10U机柜空间以备后期功能升级。配置钢质导轨、阻尼器、导向套等附件。</w:t>
      </w:r>
    </w:p>
    <w:p w14:paraId="3D4BD887">
      <w:pPr>
        <w:pageBreakBefore w:val="0"/>
        <w:wordWrap w:val="0"/>
        <w:overflowPunct/>
        <w:bidi w:val="0"/>
        <w:rPr>
          <w:color w:val="auto"/>
        </w:rPr>
      </w:pPr>
      <w:r>
        <w:rPr>
          <w:rFonts w:hint="eastAsia"/>
          <w:color w:val="auto"/>
        </w:rPr>
        <w:t>15.10  操作员座椅2个。可前后滑动，真皮面料（460*450≥长宽尺寸≥400*400mm）。</w:t>
      </w:r>
    </w:p>
    <w:p w14:paraId="46A994AB">
      <w:pPr>
        <w:pageBreakBefore w:val="0"/>
        <w:wordWrap w:val="0"/>
        <w:overflowPunct/>
        <w:bidi w:val="0"/>
        <w:rPr>
          <w:color w:val="auto"/>
        </w:rPr>
      </w:pPr>
      <w:r>
        <w:rPr>
          <w:rFonts w:hint="eastAsia"/>
          <w:color w:val="auto"/>
        </w:rPr>
        <w:t>15.11  工作台1套。木质工作台，表面光亮烤漆（1850*310≥长宽尺寸≥1800*300mm）。</w:t>
      </w:r>
    </w:p>
    <w:p w14:paraId="59314330">
      <w:pPr>
        <w:pageBreakBefore w:val="0"/>
        <w:wordWrap w:val="0"/>
        <w:overflowPunct/>
        <w:bidi w:val="0"/>
        <w:rPr>
          <w:color w:val="auto"/>
        </w:rPr>
      </w:pPr>
      <w:r>
        <w:rPr>
          <w:rFonts w:hint="eastAsia"/>
          <w:color w:val="auto"/>
        </w:rPr>
        <w:t>15.12  窗帘1套。下拉式窗帘。</w:t>
      </w:r>
    </w:p>
    <w:p w14:paraId="76E360EF">
      <w:pPr>
        <w:pageBreakBefore w:val="0"/>
        <w:wordWrap w:val="0"/>
        <w:overflowPunct/>
        <w:bidi w:val="0"/>
        <w:rPr>
          <w:color w:val="auto"/>
        </w:rPr>
      </w:pPr>
      <w:r>
        <w:rPr>
          <w:rFonts w:hint="eastAsia"/>
          <w:color w:val="auto"/>
        </w:rPr>
        <w:t>15.13  太阳膜1套。除前风挡及司机观察窗，其余侧窗玻璃贴深色太阳膜。</w:t>
      </w:r>
    </w:p>
    <w:p w14:paraId="57739FBD">
      <w:pPr>
        <w:pageBreakBefore w:val="0"/>
        <w:wordWrap w:val="0"/>
        <w:overflowPunct/>
        <w:bidi w:val="0"/>
        <w:rPr>
          <w:color w:val="auto"/>
        </w:rPr>
      </w:pPr>
      <w:r>
        <w:rPr>
          <w:rFonts w:hint="eastAsia"/>
          <w:color w:val="auto"/>
        </w:rPr>
        <w:t>16  舱外设施</w:t>
      </w:r>
    </w:p>
    <w:p w14:paraId="6E44467E">
      <w:pPr>
        <w:pageBreakBefore w:val="0"/>
        <w:wordWrap w:val="0"/>
        <w:overflowPunct/>
        <w:bidi w:val="0"/>
        <w:rPr>
          <w:color w:val="auto"/>
        </w:rPr>
      </w:pPr>
      <w:r>
        <w:rPr>
          <w:rFonts w:hint="eastAsia"/>
          <w:color w:val="auto"/>
        </w:rPr>
        <w:t>16.1  舱顶平台1套。平台内部安装预埋，表面粘贴整张无缝花纹铝板（850*2500mm≥长宽尺寸≥8500*2300mm）。</w:t>
      </w:r>
    </w:p>
    <w:p w14:paraId="01E6A382">
      <w:pPr>
        <w:pageBreakBefore w:val="0"/>
        <w:wordWrap w:val="0"/>
        <w:overflowPunct/>
        <w:bidi w:val="0"/>
        <w:rPr>
          <w:color w:val="auto"/>
        </w:rPr>
      </w:pPr>
      <w:r>
        <w:rPr>
          <w:rFonts w:hint="eastAsia"/>
          <w:color w:val="auto"/>
        </w:rPr>
        <w:t>16.2 护栏1套。无缝不锈钢管焊接（8700mm*Ф30尺寸≥8600mm*Ф30）。</w:t>
      </w:r>
    </w:p>
    <w:p w14:paraId="2494CB92">
      <w:pPr>
        <w:pageBreakBefore w:val="0"/>
        <w:wordWrap w:val="0"/>
        <w:overflowPunct/>
        <w:bidi w:val="0"/>
        <w:rPr>
          <w:color w:val="auto"/>
        </w:rPr>
      </w:pPr>
      <w:r>
        <w:rPr>
          <w:rFonts w:hint="eastAsia"/>
          <w:color w:val="auto"/>
        </w:rPr>
        <w:t>16.3 登顶梯1套。无缝不锈钢管焊接，踏板做翻边冲孔防滑处理（2700*320mm≥长宽尺寸≥2670*310）。</w:t>
      </w:r>
    </w:p>
    <w:p w14:paraId="55CE0898">
      <w:pPr>
        <w:pageBreakBefore w:val="0"/>
        <w:wordWrap w:val="0"/>
        <w:overflowPunct/>
        <w:bidi w:val="0"/>
        <w:rPr>
          <w:color w:val="auto"/>
        </w:rPr>
      </w:pPr>
      <w:r>
        <w:rPr>
          <w:rFonts w:hint="eastAsia"/>
          <w:color w:val="auto"/>
        </w:rPr>
        <w:t>16.4 频闪灯10只。透明外壳，红色LED光源。</w:t>
      </w:r>
    </w:p>
    <w:p w14:paraId="667699FB">
      <w:pPr>
        <w:pageBreakBefore w:val="0"/>
        <w:wordWrap w:val="0"/>
        <w:overflowPunct/>
        <w:bidi w:val="0"/>
        <w:rPr>
          <w:color w:val="auto"/>
        </w:rPr>
      </w:pPr>
      <w:r>
        <w:rPr>
          <w:rFonts w:hint="eastAsia"/>
          <w:color w:val="auto"/>
        </w:rPr>
        <w:t>16.5 电动支撑腿1套</w:t>
      </w:r>
    </w:p>
    <w:p w14:paraId="63B91F19">
      <w:pPr>
        <w:pageBreakBefore w:val="0"/>
        <w:wordWrap w:val="0"/>
        <w:overflowPunct/>
        <w:bidi w:val="0"/>
        <w:rPr>
          <w:color w:val="auto"/>
        </w:rPr>
      </w:pPr>
      <w:r>
        <w:rPr>
          <w:rFonts w:hint="eastAsia"/>
          <w:color w:val="auto"/>
        </w:rPr>
        <w:t>16.5.1  单腿支撑重量≥总重量的1/2；</w:t>
      </w:r>
    </w:p>
    <w:p w14:paraId="0216D564">
      <w:pPr>
        <w:pageBreakBefore w:val="0"/>
        <w:wordWrap w:val="0"/>
        <w:overflowPunct/>
        <w:bidi w:val="0"/>
        <w:rPr>
          <w:color w:val="auto"/>
        </w:rPr>
      </w:pPr>
      <w:r>
        <w:rPr>
          <w:rFonts w:hint="eastAsia"/>
          <w:color w:val="auto"/>
        </w:rPr>
        <w:t>16.5.2  支撑范围：4点；</w:t>
      </w:r>
    </w:p>
    <w:p w14:paraId="20FB6E7F">
      <w:pPr>
        <w:pageBreakBefore w:val="0"/>
        <w:wordWrap w:val="0"/>
        <w:overflowPunct/>
        <w:bidi w:val="0"/>
        <w:rPr>
          <w:color w:val="auto"/>
        </w:rPr>
      </w:pPr>
      <w:r>
        <w:rPr>
          <w:rFonts w:hint="eastAsia"/>
          <w:color w:val="auto"/>
        </w:rPr>
        <w:t>16.5.3  控制方式：配置水平传感器，全自动调平；</w:t>
      </w:r>
    </w:p>
    <w:p w14:paraId="24036547">
      <w:pPr>
        <w:pageBreakBefore w:val="0"/>
        <w:wordWrap w:val="0"/>
        <w:overflowPunct/>
        <w:bidi w:val="0"/>
        <w:rPr>
          <w:color w:val="auto"/>
        </w:rPr>
      </w:pPr>
      <w:r>
        <w:rPr>
          <w:rFonts w:hint="eastAsia"/>
          <w:color w:val="auto"/>
        </w:rPr>
        <w:t>16.5.4  支腿收起后离地高度不影响整车通过性；</w:t>
      </w:r>
    </w:p>
    <w:p w14:paraId="09AE1747">
      <w:pPr>
        <w:pageBreakBefore w:val="0"/>
        <w:wordWrap w:val="0"/>
        <w:overflowPunct/>
        <w:bidi w:val="0"/>
        <w:rPr>
          <w:color w:val="auto"/>
        </w:rPr>
      </w:pPr>
      <w:r>
        <w:rPr>
          <w:rFonts w:hint="eastAsia"/>
          <w:color w:val="auto"/>
        </w:rPr>
        <w:t>16.5.5  支撑腿支撑车辆时，车辆车轮可完全离地。</w:t>
      </w:r>
    </w:p>
    <w:p w14:paraId="6C207009">
      <w:pPr>
        <w:pageBreakBefore w:val="0"/>
        <w:wordWrap w:val="0"/>
        <w:overflowPunct/>
        <w:bidi w:val="0"/>
        <w:rPr>
          <w:color w:val="auto"/>
        </w:rPr>
      </w:pPr>
      <w:r>
        <w:rPr>
          <w:rFonts w:hint="eastAsia"/>
          <w:color w:val="auto"/>
        </w:rPr>
        <w:t>16.6 抽拉平台2套。含登舱平台和不锈钢抽拉梯。</w:t>
      </w:r>
    </w:p>
    <w:p w14:paraId="1BCD593B">
      <w:pPr>
        <w:pageBreakBefore w:val="0"/>
        <w:wordWrap w:val="0"/>
        <w:overflowPunct/>
        <w:bidi w:val="0"/>
        <w:rPr>
          <w:color w:val="auto"/>
        </w:rPr>
      </w:pPr>
      <w:r>
        <w:rPr>
          <w:rFonts w:hint="eastAsia"/>
          <w:color w:val="auto"/>
        </w:rPr>
        <w:t>16.7 电动遮阳帘1套。防水铝合金电动。</w:t>
      </w:r>
    </w:p>
    <w:p w14:paraId="2332B90E">
      <w:pPr>
        <w:pageBreakBefore w:val="0"/>
        <w:wordWrap w:val="0"/>
        <w:overflowPunct/>
        <w:bidi w:val="0"/>
        <w:rPr>
          <w:color w:val="auto"/>
        </w:rPr>
      </w:pPr>
      <w:r>
        <w:rPr>
          <w:rFonts w:hint="eastAsia"/>
          <w:color w:val="auto"/>
        </w:rPr>
        <w:t>16.8 行车安全灯具1套。示廓灯、侧标志灯、反光标识等，示廓灯前白后红，侧标志灯黄色，反光标识红白相间。</w:t>
      </w:r>
    </w:p>
    <w:p w14:paraId="1EBA57B9">
      <w:pPr>
        <w:pageBreakBefore w:val="0"/>
        <w:wordWrap w:val="0"/>
        <w:overflowPunct/>
        <w:bidi w:val="0"/>
        <w:rPr>
          <w:color w:val="auto"/>
        </w:rPr>
      </w:pPr>
      <w:r>
        <w:rPr>
          <w:rFonts w:hint="eastAsia"/>
          <w:color w:val="auto"/>
        </w:rPr>
        <w:t>16.9 灭火器3个。3kg干粉灭火器。</w:t>
      </w:r>
    </w:p>
    <w:p w14:paraId="41846D8D">
      <w:pPr>
        <w:pageBreakBefore w:val="0"/>
        <w:wordWrap w:val="0"/>
        <w:overflowPunct/>
        <w:bidi w:val="0"/>
        <w:rPr>
          <w:color w:val="auto"/>
        </w:rPr>
      </w:pPr>
      <w:r>
        <w:rPr>
          <w:rFonts w:hint="eastAsia"/>
          <w:color w:val="auto"/>
        </w:rPr>
        <w:t>17 整车集成</w:t>
      </w:r>
    </w:p>
    <w:p w14:paraId="2616F590">
      <w:pPr>
        <w:pageBreakBefore w:val="0"/>
        <w:wordWrap w:val="0"/>
        <w:overflowPunct/>
        <w:bidi w:val="0"/>
        <w:rPr>
          <w:color w:val="auto"/>
        </w:rPr>
      </w:pPr>
      <w:r>
        <w:rPr>
          <w:rFonts w:hint="eastAsia"/>
          <w:color w:val="auto"/>
        </w:rPr>
        <w:t>17.1 综合布线</w:t>
      </w:r>
    </w:p>
    <w:p w14:paraId="5FEB55BD">
      <w:pPr>
        <w:pageBreakBefore w:val="0"/>
        <w:wordWrap w:val="0"/>
        <w:overflowPunct/>
        <w:bidi w:val="0"/>
        <w:rPr>
          <w:color w:val="auto"/>
        </w:rPr>
      </w:pPr>
      <w:r>
        <w:rPr>
          <w:rFonts w:hint="eastAsia"/>
          <w:color w:val="auto"/>
        </w:rPr>
        <w:t>17.1.1  全车线缆无明线，走线规范，整齐带标识，预埋线缆需穿管带保护；</w:t>
      </w:r>
    </w:p>
    <w:p w14:paraId="17FF004F">
      <w:pPr>
        <w:pageBreakBefore w:val="0"/>
        <w:wordWrap w:val="0"/>
        <w:overflowPunct/>
        <w:bidi w:val="0"/>
        <w:rPr>
          <w:color w:val="auto"/>
        </w:rPr>
      </w:pPr>
      <w:r>
        <w:rPr>
          <w:rFonts w:hint="eastAsia"/>
          <w:color w:val="auto"/>
        </w:rPr>
        <w:t>17.1.2  含整车高清视频线、高频馈线、网线、电源线、音频线等；</w:t>
      </w:r>
    </w:p>
    <w:p w14:paraId="498EDD84">
      <w:pPr>
        <w:pageBreakBefore w:val="0"/>
        <w:wordWrap w:val="0"/>
        <w:overflowPunct/>
        <w:bidi w:val="0"/>
        <w:rPr>
          <w:color w:val="auto"/>
        </w:rPr>
      </w:pPr>
      <w:r>
        <w:rPr>
          <w:rFonts w:hint="eastAsia"/>
          <w:color w:val="auto"/>
        </w:rPr>
        <w:t>17.1.3  强弱电分离布线。</w:t>
      </w:r>
    </w:p>
    <w:p w14:paraId="54CF5807">
      <w:pPr>
        <w:pageBreakBefore w:val="0"/>
        <w:wordWrap w:val="0"/>
        <w:overflowPunct/>
        <w:bidi w:val="0"/>
        <w:rPr>
          <w:color w:val="auto"/>
        </w:rPr>
      </w:pPr>
      <w:r>
        <w:rPr>
          <w:rFonts w:hint="eastAsia"/>
          <w:color w:val="auto"/>
        </w:rPr>
        <w:t>17.1.4  适当作冗余处理。</w:t>
      </w:r>
    </w:p>
    <w:p w14:paraId="675219BD">
      <w:pPr>
        <w:pageBreakBefore w:val="0"/>
        <w:wordWrap w:val="0"/>
        <w:overflowPunct/>
        <w:bidi w:val="0"/>
        <w:rPr>
          <w:color w:val="auto"/>
        </w:rPr>
      </w:pPr>
      <w:r>
        <w:rPr>
          <w:rFonts w:hint="eastAsia"/>
          <w:color w:val="auto"/>
        </w:rPr>
        <w:t>17.2 系统集成</w:t>
      </w:r>
    </w:p>
    <w:p w14:paraId="4C73E412">
      <w:pPr>
        <w:pageBreakBefore w:val="0"/>
        <w:wordWrap w:val="0"/>
        <w:overflowPunct/>
        <w:bidi w:val="0"/>
        <w:rPr>
          <w:color w:val="auto"/>
        </w:rPr>
      </w:pPr>
      <w:r>
        <w:rPr>
          <w:rFonts w:hint="eastAsia"/>
          <w:color w:val="auto"/>
        </w:rPr>
        <w:t>17.2.1  包括卫星系统、专网通信系统、多链路聚合通信系统、可视化指挥调度系统、供电系统、安全防护、照明、接地与防雷系统等各个子系统的综合设计与集成。</w:t>
      </w:r>
    </w:p>
    <w:p w14:paraId="0624764C">
      <w:pPr>
        <w:pageBreakBefore w:val="0"/>
        <w:wordWrap w:val="0"/>
        <w:overflowPunct/>
        <w:bidi w:val="0"/>
        <w:rPr>
          <w:color w:val="auto"/>
        </w:rPr>
      </w:pPr>
      <w:r>
        <w:rPr>
          <w:rFonts w:hint="eastAsia"/>
          <w:color w:val="auto"/>
        </w:rPr>
        <w:t>17.2.2  含指挥车的音视频数据通信、管理、视频会议、控制、调度等集成工作。指挥车须具备音视频数据信息的通信管理控制功能，可实现任务现场指挥调度、控制管理、各类音视频信息接入（如5G单兵、自组网终端、无人机、布控球等）、专网接入和公网接入等功能。</w:t>
      </w:r>
    </w:p>
    <w:p w14:paraId="3035D57F">
      <w:pPr>
        <w:pageBreakBefore w:val="0"/>
        <w:wordWrap w:val="0"/>
        <w:overflowPunct/>
        <w:bidi w:val="0"/>
        <w:rPr>
          <w:color w:val="auto"/>
        </w:rPr>
      </w:pPr>
      <w:r>
        <w:rPr>
          <w:rFonts w:hint="eastAsia"/>
          <w:color w:val="auto"/>
        </w:rPr>
        <w:t>17.2.3  可与各级指挥中心之间实现图像、数据和话音的互联互通。具有音视频综合调度和管理功能。具有各类车载摄像头、无人机、其他外接输入等音视频源的多合一传输功能，可选择2×2、3×3等拼接方式。</w:t>
      </w:r>
    </w:p>
    <w:p w14:paraId="5A25D7E0">
      <w:pPr>
        <w:pageBreakBefore w:val="0"/>
        <w:wordWrap w:val="0"/>
        <w:overflowPunct/>
        <w:bidi w:val="0"/>
        <w:rPr>
          <w:color w:val="auto"/>
        </w:rPr>
      </w:pPr>
      <w:r>
        <w:rPr>
          <w:rFonts w:hint="eastAsia"/>
          <w:color w:val="auto"/>
        </w:rPr>
        <w:t>17.2.4  支持定位信息上传，可在各级指挥中心的电子地图展示所处位置。具有短语音、文本信息的通信功能；</w:t>
      </w:r>
    </w:p>
    <w:p w14:paraId="7B0E6250">
      <w:pPr>
        <w:pageBreakBefore w:val="0"/>
        <w:wordWrap w:val="0"/>
        <w:overflowPunct/>
        <w:bidi w:val="0"/>
        <w:rPr>
          <w:color w:val="auto"/>
        </w:rPr>
      </w:pPr>
      <w:r>
        <w:rPr>
          <w:rFonts w:hint="eastAsia"/>
          <w:color w:val="auto"/>
        </w:rPr>
        <w:t>18 随车资料（均为中文材料）。附底盘使用手册2份；底盘维护手册2份；上装使用维护手册2份；车辆零件目录2份；安全操作光盘2张；底盘电气原理图1套；随车工具、备胎等常用随车器材（明确随车工具的名称、数量）；发动机号和底盘号拓印件2套；底盘保修卡1份；底盘合格证1份、车辆一致性证书1份、通信设备说明书各1份等。</w:t>
      </w:r>
      <w:r>
        <w:rPr>
          <w:rFonts w:hint="eastAsia"/>
          <w:color w:val="auto"/>
        </w:rPr>
        <w:br w:type="page"/>
      </w:r>
    </w:p>
    <w:p w14:paraId="7A798E76">
      <w:pPr>
        <w:pageBreakBefore w:val="0"/>
        <w:wordWrap w:val="0"/>
        <w:overflowPunct/>
        <w:bidi w:val="0"/>
        <w:ind w:firstLine="482"/>
        <w:rPr>
          <w:b/>
          <w:bCs/>
          <w:color w:val="auto"/>
          <w:sz w:val="24"/>
          <w:szCs w:val="24"/>
        </w:rPr>
      </w:pPr>
      <w:r>
        <w:rPr>
          <w:rFonts w:hint="eastAsia"/>
          <w:b/>
          <w:bCs/>
          <w:color w:val="auto"/>
          <w:sz w:val="24"/>
          <w:szCs w:val="24"/>
        </w:rPr>
        <w:t>11标包，3辆前突模块B皮卡车，预算价：90.09万元</w:t>
      </w:r>
    </w:p>
    <w:p w14:paraId="688F415E">
      <w:pPr>
        <w:pageBreakBefore w:val="0"/>
        <w:wordWrap w:val="0"/>
        <w:overflowPunct/>
        <w:bidi w:val="0"/>
        <w:rPr>
          <w:color w:val="auto"/>
        </w:rPr>
      </w:pPr>
      <w:r>
        <w:rPr>
          <w:rFonts w:hint="eastAsia"/>
          <w:color w:val="auto"/>
        </w:rPr>
        <w:t>1.基本要求</w:t>
      </w:r>
    </w:p>
    <w:p w14:paraId="0BE90386">
      <w:pPr>
        <w:pageBreakBefore w:val="0"/>
        <w:wordWrap w:val="0"/>
        <w:overflowPunct/>
        <w:bidi w:val="0"/>
        <w:rPr>
          <w:color w:val="auto"/>
        </w:rPr>
      </w:pPr>
      <w:r>
        <w:rPr>
          <w:rFonts w:hint="eastAsia"/>
          <w:color w:val="auto"/>
        </w:rPr>
        <w:t>1.1执行标准：《消防车 第1部分：通用技术标准》（GB 7956.1-2014），应答标车辆需取得工信部公告。</w:t>
      </w:r>
    </w:p>
    <w:p w14:paraId="2E0DD111">
      <w:pPr>
        <w:pageBreakBefore w:val="0"/>
        <w:wordWrap w:val="0"/>
        <w:overflowPunct/>
        <w:bidi w:val="0"/>
        <w:rPr>
          <w:color w:val="auto"/>
        </w:rPr>
      </w:pPr>
      <w:r>
        <w:rPr>
          <w:rFonts w:hint="eastAsia"/>
          <w:color w:val="auto"/>
        </w:rPr>
        <w:t>1.2额定载人数：≥5人。</w:t>
      </w:r>
    </w:p>
    <w:p w14:paraId="454525A5">
      <w:pPr>
        <w:pageBreakBefore w:val="0"/>
        <w:wordWrap w:val="0"/>
        <w:overflowPunct/>
        <w:bidi w:val="0"/>
        <w:rPr>
          <w:color w:val="auto"/>
        </w:rPr>
      </w:pPr>
      <w:r>
        <w:rPr>
          <w:rFonts w:hint="eastAsia"/>
          <w:color w:val="auto"/>
        </w:rPr>
        <w:t>1.3最高车速：≥130Km/h。</w:t>
      </w:r>
    </w:p>
    <w:p w14:paraId="100585F1">
      <w:pPr>
        <w:pageBreakBefore w:val="0"/>
        <w:wordWrap w:val="0"/>
        <w:overflowPunct/>
        <w:bidi w:val="0"/>
        <w:rPr>
          <w:color w:val="auto"/>
        </w:rPr>
      </w:pPr>
      <w:r>
        <w:rPr>
          <w:rFonts w:hint="eastAsia"/>
          <w:color w:val="auto"/>
        </w:rPr>
        <w:t>1.4车型：双排加长货厢高底皮卡车。</w:t>
      </w:r>
    </w:p>
    <w:p w14:paraId="3E5C4D0F">
      <w:pPr>
        <w:pageBreakBefore w:val="0"/>
        <w:wordWrap w:val="0"/>
        <w:overflowPunct/>
        <w:bidi w:val="0"/>
        <w:rPr>
          <w:color w:val="auto"/>
        </w:rPr>
      </w:pPr>
      <w:r>
        <w:rPr>
          <w:rFonts w:hint="eastAsia"/>
          <w:color w:val="auto"/>
        </w:rPr>
        <w:t>1.5车辆资质：取得国家级检测机构出具的整车检验合格报告。</w:t>
      </w:r>
    </w:p>
    <w:p w14:paraId="036CD6A4">
      <w:pPr>
        <w:pageBreakBefore w:val="0"/>
        <w:wordWrap w:val="0"/>
        <w:overflowPunct/>
        <w:bidi w:val="0"/>
        <w:rPr>
          <w:color w:val="auto"/>
        </w:rPr>
      </w:pPr>
      <w:r>
        <w:rPr>
          <w:rFonts w:hint="eastAsia"/>
          <w:color w:val="auto"/>
        </w:rPr>
        <w:t>2.底盘要求</w:t>
      </w:r>
    </w:p>
    <w:p w14:paraId="2FF65414">
      <w:pPr>
        <w:pageBreakBefore w:val="0"/>
        <w:wordWrap w:val="0"/>
        <w:overflowPunct/>
        <w:bidi w:val="0"/>
        <w:rPr>
          <w:color w:val="auto"/>
        </w:rPr>
      </w:pPr>
      <w:r>
        <w:rPr>
          <w:rFonts w:hint="eastAsia"/>
          <w:color w:val="auto"/>
        </w:rPr>
        <w:t>★2.1发动机最大功率：≥120KW。</w:t>
      </w:r>
    </w:p>
    <w:p w14:paraId="59DDAA7C">
      <w:pPr>
        <w:pageBreakBefore w:val="0"/>
        <w:wordWrap w:val="0"/>
        <w:overflowPunct/>
        <w:bidi w:val="0"/>
        <w:rPr>
          <w:color w:val="auto"/>
        </w:rPr>
      </w:pPr>
      <w:r>
        <w:rPr>
          <w:rFonts w:hint="eastAsia"/>
          <w:color w:val="auto"/>
        </w:rPr>
        <w:t>★2.2发动机形式：涡轮增压柴油发动机，排量≥2.0L。</w:t>
      </w:r>
    </w:p>
    <w:p w14:paraId="0ED81010">
      <w:pPr>
        <w:pageBreakBefore w:val="0"/>
        <w:wordWrap w:val="0"/>
        <w:overflowPunct/>
        <w:bidi w:val="0"/>
        <w:rPr>
          <w:color w:val="auto"/>
        </w:rPr>
      </w:pPr>
      <w:r>
        <w:rPr>
          <w:rFonts w:hint="eastAsia"/>
          <w:color w:val="auto"/>
        </w:rPr>
        <w:t>★2.3驱动模式：4×4（电控分时四驱，后桥差速锁）。</w:t>
      </w:r>
    </w:p>
    <w:p w14:paraId="21A34FD4">
      <w:pPr>
        <w:pageBreakBefore w:val="0"/>
        <w:wordWrap w:val="0"/>
        <w:overflowPunct/>
        <w:bidi w:val="0"/>
        <w:rPr>
          <w:color w:val="auto"/>
        </w:rPr>
      </w:pPr>
      <w:r>
        <w:rPr>
          <w:rFonts w:hint="eastAsia"/>
          <w:color w:val="auto"/>
        </w:rPr>
        <w:t>2.4制动：前/后制动器为通风盘式，配备ABS防抱死、制动力分配、刹车辅助、牵引力控制等。</w:t>
      </w:r>
    </w:p>
    <w:p w14:paraId="75A2F030">
      <w:pPr>
        <w:pageBreakBefore w:val="0"/>
        <w:wordWrap w:val="0"/>
        <w:overflowPunct/>
        <w:bidi w:val="0"/>
        <w:rPr>
          <w:color w:val="auto"/>
        </w:rPr>
      </w:pPr>
      <w:r>
        <w:rPr>
          <w:rFonts w:hint="eastAsia"/>
          <w:color w:val="auto"/>
        </w:rPr>
        <w:t>2.5悬挂形式：前悬架为双叉臂独立悬架、后悬架为全渐变钢板弹簧非独立悬架或优于此两种形式。</w:t>
      </w:r>
    </w:p>
    <w:p w14:paraId="7B8FE3C6">
      <w:pPr>
        <w:pageBreakBefore w:val="0"/>
        <w:wordWrap w:val="0"/>
        <w:overflowPunct/>
        <w:bidi w:val="0"/>
        <w:rPr>
          <w:color w:val="auto"/>
        </w:rPr>
      </w:pPr>
      <w:r>
        <w:rPr>
          <w:rFonts w:hint="eastAsia"/>
          <w:color w:val="auto"/>
        </w:rPr>
        <w:t>2.6排放：符合中国国家机动车现行排放标准。</w:t>
      </w:r>
    </w:p>
    <w:p w14:paraId="58B8A938">
      <w:pPr>
        <w:pageBreakBefore w:val="0"/>
        <w:wordWrap w:val="0"/>
        <w:overflowPunct/>
        <w:bidi w:val="0"/>
        <w:rPr>
          <w:color w:val="auto"/>
        </w:rPr>
      </w:pPr>
      <w:r>
        <w:rPr>
          <w:rFonts w:hint="eastAsia"/>
          <w:color w:val="auto"/>
        </w:rPr>
        <w:t>2.7车辆尺寸（长*宽*高）：≥5300mm×1800mm×1800mm。</w:t>
      </w:r>
    </w:p>
    <w:p w14:paraId="26D37DB9">
      <w:pPr>
        <w:pageBreakBefore w:val="0"/>
        <w:wordWrap w:val="0"/>
        <w:overflowPunct/>
        <w:bidi w:val="0"/>
        <w:rPr>
          <w:color w:val="auto"/>
        </w:rPr>
      </w:pPr>
      <w:r>
        <w:rPr>
          <w:rFonts w:hint="eastAsia"/>
          <w:color w:val="auto"/>
        </w:rPr>
        <w:t>2.8轮胎：越野AT轮胎（含备胎）。</w:t>
      </w:r>
    </w:p>
    <w:p w14:paraId="28711036">
      <w:pPr>
        <w:pageBreakBefore w:val="0"/>
        <w:wordWrap w:val="0"/>
        <w:overflowPunct/>
        <w:bidi w:val="0"/>
        <w:rPr>
          <w:color w:val="auto"/>
        </w:rPr>
      </w:pPr>
      <w:r>
        <w:rPr>
          <w:rFonts w:hint="eastAsia"/>
          <w:color w:val="auto"/>
        </w:rPr>
        <w:t>2.9近远光灯：LED</w:t>
      </w:r>
    </w:p>
    <w:p w14:paraId="7A7DED92">
      <w:pPr>
        <w:pageBreakBefore w:val="0"/>
        <w:wordWrap w:val="0"/>
        <w:overflowPunct/>
        <w:bidi w:val="0"/>
        <w:rPr>
          <w:color w:val="auto"/>
        </w:rPr>
      </w:pPr>
      <w:r>
        <w:rPr>
          <w:rFonts w:hint="eastAsia"/>
          <w:color w:val="auto"/>
        </w:rPr>
        <w:t>3.配置要求</w:t>
      </w:r>
    </w:p>
    <w:p w14:paraId="1B450323">
      <w:pPr>
        <w:pageBreakBefore w:val="0"/>
        <w:wordWrap w:val="0"/>
        <w:overflowPunct/>
        <w:bidi w:val="0"/>
        <w:rPr>
          <w:color w:val="auto"/>
        </w:rPr>
      </w:pPr>
      <w:r>
        <w:rPr>
          <w:rFonts w:hint="eastAsia"/>
          <w:color w:val="auto"/>
        </w:rPr>
        <w:t>★3.1安全装备：主/副驾驶座安全气囊、胎压监测装置、安全带未系提示。</w:t>
      </w:r>
    </w:p>
    <w:p w14:paraId="42BC6789">
      <w:pPr>
        <w:pageBreakBefore w:val="0"/>
        <w:wordWrap w:val="0"/>
        <w:overflowPunct/>
        <w:bidi w:val="0"/>
        <w:rPr>
          <w:color w:val="auto"/>
        </w:rPr>
      </w:pPr>
      <w:r>
        <w:rPr>
          <w:rFonts w:hint="eastAsia"/>
          <w:color w:val="auto"/>
        </w:rPr>
        <w:t>3.2操控配置：安装360度全景影像，含前后可视行车记录仪，含倒车雷达，存储卡≥128G、高清显示屏≥9英寸、定速巡航、上坡辅助、陡坡缓降等。</w:t>
      </w:r>
    </w:p>
    <w:p w14:paraId="1FE5295C">
      <w:pPr>
        <w:pageBreakBefore w:val="0"/>
        <w:wordWrap w:val="0"/>
        <w:overflowPunct/>
        <w:bidi w:val="0"/>
        <w:rPr>
          <w:color w:val="auto"/>
        </w:rPr>
      </w:pPr>
      <w:r>
        <w:rPr>
          <w:rFonts w:hint="eastAsia"/>
          <w:color w:val="auto"/>
        </w:rPr>
        <w:t>3.3内部配置：车内中控锁、遥控钥匙、织物座椅、多功能皮质方向盘、行车电脑显示屏、座椅高低调节、前后电动车窗、后视镜电动调节等，所有座位均配备安全带。</w:t>
      </w:r>
    </w:p>
    <w:p w14:paraId="7F13DC93">
      <w:pPr>
        <w:pageBreakBefore w:val="0"/>
        <w:wordWrap w:val="0"/>
        <w:overflowPunct/>
        <w:bidi w:val="0"/>
        <w:rPr>
          <w:color w:val="auto"/>
        </w:rPr>
      </w:pPr>
      <w:r>
        <w:rPr>
          <w:rFonts w:hint="eastAsia"/>
          <w:color w:val="auto"/>
        </w:rPr>
        <w:t>3.4其他配置：加装副电瓶，具有前雾灯、大灯照射角度可调等功能。</w:t>
      </w:r>
    </w:p>
    <w:p w14:paraId="5001133E">
      <w:pPr>
        <w:pageBreakBefore w:val="0"/>
        <w:wordWrap w:val="0"/>
        <w:overflowPunct/>
        <w:bidi w:val="0"/>
        <w:rPr>
          <w:color w:val="auto"/>
        </w:rPr>
      </w:pPr>
      <w:r>
        <w:rPr>
          <w:rFonts w:hint="eastAsia"/>
          <w:color w:val="auto"/>
        </w:rPr>
        <w:t>3.5保险杠：前后均为金属材质越野型。</w:t>
      </w:r>
    </w:p>
    <w:p w14:paraId="1F348BCC">
      <w:pPr>
        <w:pageBreakBefore w:val="0"/>
        <w:wordWrap w:val="0"/>
        <w:overflowPunct/>
        <w:bidi w:val="0"/>
        <w:rPr>
          <w:color w:val="auto"/>
        </w:rPr>
      </w:pPr>
      <w:r>
        <w:rPr>
          <w:rFonts w:hint="eastAsia"/>
          <w:color w:val="auto"/>
        </w:rPr>
        <w:t>3.6后拖杠：出厂具备牵引资质，集成拖车方口，牵引重量≥2T。</w:t>
      </w:r>
    </w:p>
    <w:p w14:paraId="1BCB5C0F">
      <w:pPr>
        <w:pageBreakBefore w:val="0"/>
        <w:wordWrap w:val="0"/>
        <w:overflowPunct/>
        <w:bidi w:val="0"/>
        <w:rPr>
          <w:color w:val="auto"/>
        </w:rPr>
      </w:pPr>
      <w:r>
        <w:rPr>
          <w:rFonts w:hint="eastAsia"/>
          <w:color w:val="auto"/>
        </w:rPr>
        <w:t>4.加装要求</w:t>
      </w:r>
    </w:p>
    <w:p w14:paraId="0F4143B8">
      <w:pPr>
        <w:pageBreakBefore w:val="0"/>
        <w:wordWrap w:val="0"/>
        <w:overflowPunct/>
        <w:bidi w:val="0"/>
        <w:rPr>
          <w:color w:val="auto"/>
        </w:rPr>
      </w:pPr>
      <w:r>
        <w:rPr>
          <w:rFonts w:hint="eastAsia"/>
          <w:color w:val="auto"/>
        </w:rPr>
        <w:t>★4.1绞盘：车辆前方加装电动绞盘，具备快速释放功能，防水防尘等级≥IP65，配备有线绞盘控制手柄，钢绳长度≥20m，末端带吊钩，拉力≥2.8T，且不能小于车辆最大总质量。</w:t>
      </w:r>
    </w:p>
    <w:p w14:paraId="20671FBA">
      <w:pPr>
        <w:pageBreakBefore w:val="0"/>
        <w:wordWrap w:val="0"/>
        <w:overflowPunct/>
        <w:bidi w:val="0"/>
        <w:rPr>
          <w:color w:val="auto"/>
        </w:rPr>
      </w:pPr>
      <w:r>
        <w:rPr>
          <w:rFonts w:hint="eastAsia"/>
          <w:color w:val="auto"/>
        </w:rPr>
        <w:t>4.2货厢：金属材质，全封闭后开口式，高度与车顶警灯平齐，具有防水功能，后方设置上掀门，货厢内部根据需求方要求设置旋转、推拉、滑轨、抽屉等形式器材架，器材架样式需与需求方达成一致。</w:t>
      </w:r>
    </w:p>
    <w:p w14:paraId="47D0CA9D">
      <w:pPr>
        <w:pageBreakBefore w:val="0"/>
        <w:wordWrap w:val="0"/>
        <w:overflowPunct/>
        <w:bidi w:val="0"/>
        <w:rPr>
          <w:color w:val="auto"/>
        </w:rPr>
      </w:pPr>
      <w:r>
        <w:rPr>
          <w:rFonts w:hint="eastAsia"/>
          <w:color w:val="auto"/>
        </w:rPr>
        <w:t>4.3车顶行李架：金属材质，延伸至货厢，承重≥400KG。</w:t>
      </w:r>
    </w:p>
    <w:p w14:paraId="25A822E8">
      <w:pPr>
        <w:pageBreakBefore w:val="0"/>
        <w:wordWrap w:val="0"/>
        <w:overflowPunct/>
        <w:bidi w:val="0"/>
        <w:rPr>
          <w:color w:val="auto"/>
        </w:rPr>
      </w:pPr>
      <w:r>
        <w:rPr>
          <w:rFonts w:hint="eastAsia"/>
          <w:color w:val="auto"/>
        </w:rPr>
        <w:t>★4.4探照灯：安装于车顶前方，LED,数量≥4个，总功率≥400W，独立电源。</w:t>
      </w:r>
    </w:p>
    <w:p w14:paraId="630B4A3F">
      <w:pPr>
        <w:pageBreakBefore w:val="0"/>
        <w:wordWrap w:val="0"/>
        <w:overflowPunct/>
        <w:bidi w:val="0"/>
        <w:rPr>
          <w:color w:val="auto"/>
        </w:rPr>
      </w:pPr>
      <w:r>
        <w:rPr>
          <w:rFonts w:hint="eastAsia"/>
          <w:color w:val="auto"/>
        </w:rPr>
        <w:t>4.5整车标识：按消防救援车辆外观制式涂装要求进行涂装。车辆涂装符合《国家综合性消防救援车辆外观制式涂装规范》。</w:t>
      </w:r>
    </w:p>
    <w:p w14:paraId="05C985F7">
      <w:pPr>
        <w:pageBreakBefore w:val="0"/>
        <w:wordWrap w:val="0"/>
        <w:overflowPunct/>
        <w:bidi w:val="0"/>
        <w:rPr>
          <w:color w:val="auto"/>
        </w:rPr>
      </w:pPr>
      <w:r>
        <w:rPr>
          <w:rFonts w:hint="eastAsia"/>
          <w:color w:val="auto"/>
        </w:rPr>
        <w:t>4.6警灯：符合应急管理部相关标准。</w:t>
      </w:r>
    </w:p>
    <w:p w14:paraId="350B720D">
      <w:pPr>
        <w:pageBreakBefore w:val="0"/>
        <w:wordWrap w:val="0"/>
        <w:overflowPunct/>
        <w:bidi w:val="0"/>
        <w:rPr>
          <w:color w:val="auto"/>
        </w:rPr>
      </w:pPr>
      <w:r>
        <w:rPr>
          <w:rFonts w:hint="eastAsia"/>
          <w:color w:val="auto"/>
        </w:rPr>
        <w:t>5.其他要求：配有随车工具、备胎等常用随车器材、随车资料附说明书、车架号和底盘号拓印件、底盘保修卡、车辆配置设备说明书、车辆一致性证书1份、底盘合格证1份。</w:t>
      </w:r>
    </w:p>
    <w:p w14:paraId="3B5C09ED">
      <w:pPr>
        <w:pageBreakBefore w:val="0"/>
        <w:wordWrap w:val="0"/>
        <w:overflowPunct/>
        <w:bidi w:val="0"/>
        <w:rPr>
          <w:color w:val="auto"/>
        </w:rPr>
      </w:pPr>
      <w:r>
        <w:rPr>
          <w:rFonts w:hint="eastAsia"/>
          <w:color w:val="auto"/>
        </w:rPr>
        <w:t>★6.随车器材包含手抬机动泵≥1台、救生圈≥2个，干式水域救援服≥2件、湿式水域救援服≥3件。</w:t>
      </w:r>
    </w:p>
    <w:p w14:paraId="658179E0">
      <w:pPr>
        <w:pageBreakBefore w:val="0"/>
        <w:wordWrap w:val="0"/>
        <w:overflowPunct/>
        <w:bidi w:val="0"/>
        <w:rPr>
          <w:color w:val="auto"/>
        </w:rPr>
      </w:pPr>
      <w:r>
        <w:rPr>
          <w:rFonts w:hint="eastAsia"/>
          <w:color w:val="auto"/>
        </w:rPr>
        <w:t>6.1.手抬机动泵</w:t>
      </w:r>
    </w:p>
    <w:p w14:paraId="37883666">
      <w:pPr>
        <w:pageBreakBefore w:val="0"/>
        <w:wordWrap w:val="0"/>
        <w:overflowPunct/>
        <w:bidi w:val="0"/>
        <w:rPr>
          <w:color w:val="auto"/>
        </w:rPr>
      </w:pPr>
      <w:r>
        <w:rPr>
          <w:rFonts w:hint="eastAsia"/>
          <w:color w:val="auto"/>
        </w:rPr>
        <w:t>★6.1.1.国家或行业标准：符合《消防泵》（GB 6245-2006）的要求，提供国家消防装备质量监督检验中心出具的检测报告及消防产品认证证书；</w:t>
      </w:r>
    </w:p>
    <w:p w14:paraId="1CECAFFE">
      <w:pPr>
        <w:pageBreakBefore w:val="0"/>
        <w:wordWrap w:val="0"/>
        <w:overflowPunct/>
        <w:bidi w:val="0"/>
        <w:rPr>
          <w:color w:val="auto"/>
        </w:rPr>
      </w:pPr>
      <w:r>
        <w:rPr>
          <w:rFonts w:hint="eastAsia"/>
          <w:color w:val="auto"/>
        </w:rPr>
        <w:t>★6.1.2.额定压力≥0.5MPa，0.5MPa时流量≥25L/S；</w:t>
      </w:r>
    </w:p>
    <w:p w14:paraId="49F925A9">
      <w:pPr>
        <w:pageBreakBefore w:val="0"/>
        <w:wordWrap w:val="0"/>
        <w:overflowPunct/>
        <w:bidi w:val="0"/>
        <w:rPr>
          <w:color w:val="auto"/>
        </w:rPr>
      </w:pPr>
      <w:r>
        <w:rPr>
          <w:rFonts w:hint="eastAsia"/>
          <w:color w:val="auto"/>
        </w:rPr>
        <w:t>6.1.3.发动机：卧式双缸，电动，水冷，冷却水还流式，具备手动和电启动功能；功率≥25kW；</w:t>
      </w:r>
    </w:p>
    <w:p w14:paraId="35B5CD60">
      <w:pPr>
        <w:pageBreakBefore w:val="0"/>
        <w:wordWrap w:val="0"/>
        <w:overflowPunct/>
        <w:bidi w:val="0"/>
        <w:rPr>
          <w:color w:val="auto"/>
        </w:rPr>
      </w:pPr>
      <w:r>
        <w:rPr>
          <w:rFonts w:hint="eastAsia"/>
          <w:color w:val="auto"/>
        </w:rPr>
        <w:t>6.1.4.润滑供应：自动混合比率供应；</w:t>
      </w:r>
    </w:p>
    <w:p w14:paraId="093BD1E4">
      <w:pPr>
        <w:pageBreakBefore w:val="0"/>
        <w:wordWrap w:val="0"/>
        <w:overflowPunct/>
        <w:bidi w:val="0"/>
        <w:rPr>
          <w:color w:val="auto"/>
        </w:rPr>
      </w:pPr>
      <w:r>
        <w:rPr>
          <w:rFonts w:hint="eastAsia"/>
          <w:color w:val="auto"/>
        </w:rPr>
        <w:t>6.1.5.真空泵：碳纤维活片无油式；</w:t>
      </w:r>
    </w:p>
    <w:p w14:paraId="1D660E65">
      <w:pPr>
        <w:pageBreakBefore w:val="0"/>
        <w:wordWrap w:val="0"/>
        <w:overflowPunct/>
        <w:bidi w:val="0"/>
        <w:rPr>
          <w:color w:val="auto"/>
        </w:rPr>
      </w:pPr>
      <w:r>
        <w:rPr>
          <w:rFonts w:hint="eastAsia"/>
          <w:color w:val="auto"/>
        </w:rPr>
        <w:t>6.1.6.吸水口：Φ80mm，出水口Φ65 mm（可转动180度）；</w:t>
      </w:r>
    </w:p>
    <w:p w14:paraId="0E4AF251">
      <w:pPr>
        <w:pageBreakBefore w:val="0"/>
        <w:wordWrap w:val="0"/>
        <w:overflowPunct/>
        <w:bidi w:val="0"/>
        <w:rPr>
          <w:color w:val="auto"/>
        </w:rPr>
      </w:pPr>
      <w:r>
        <w:rPr>
          <w:rFonts w:hint="eastAsia"/>
          <w:color w:val="auto"/>
        </w:rPr>
        <w:t>6.1.7.其他要求：配备吸水管及滤水器。</w:t>
      </w:r>
    </w:p>
    <w:p w14:paraId="2BD38182">
      <w:pPr>
        <w:pageBreakBefore w:val="0"/>
        <w:wordWrap w:val="0"/>
        <w:overflowPunct/>
        <w:bidi w:val="0"/>
        <w:rPr>
          <w:color w:val="auto"/>
        </w:rPr>
      </w:pPr>
      <w:r>
        <w:rPr>
          <w:rFonts w:hint="eastAsia"/>
          <w:color w:val="auto"/>
        </w:rPr>
        <w:t>6.2.救生圈</w:t>
      </w:r>
    </w:p>
    <w:p w14:paraId="036A345A">
      <w:pPr>
        <w:pageBreakBefore w:val="0"/>
        <w:wordWrap w:val="0"/>
        <w:overflowPunct/>
        <w:bidi w:val="0"/>
        <w:rPr>
          <w:color w:val="auto"/>
        </w:rPr>
      </w:pPr>
      <w:r>
        <w:rPr>
          <w:rFonts w:hint="eastAsia"/>
          <w:color w:val="auto"/>
        </w:rPr>
        <w:t>★6.2.1.符合GB/T 4302-2008《救生圈》标准、CCS船检证书等标准。需提供国家专业机构出具的报告；</w:t>
      </w:r>
    </w:p>
    <w:p w14:paraId="405BAC75">
      <w:pPr>
        <w:pageBreakBefore w:val="0"/>
        <w:wordWrap w:val="0"/>
        <w:overflowPunct/>
        <w:bidi w:val="0"/>
        <w:rPr>
          <w:color w:val="auto"/>
        </w:rPr>
      </w:pPr>
      <w:r>
        <w:rPr>
          <w:rFonts w:hint="eastAsia"/>
          <w:color w:val="auto"/>
        </w:rPr>
        <w:t>6.2.2.采用高密度聚乙烯为売体，内充高密度聚氨酯闭孔泡沫。</w:t>
      </w:r>
    </w:p>
    <w:p w14:paraId="506FC8B5">
      <w:pPr>
        <w:pageBreakBefore w:val="0"/>
        <w:wordWrap w:val="0"/>
        <w:overflowPunct/>
        <w:bidi w:val="0"/>
        <w:rPr>
          <w:color w:val="auto"/>
        </w:rPr>
      </w:pPr>
      <w:r>
        <w:rPr>
          <w:rFonts w:hint="eastAsia"/>
          <w:color w:val="auto"/>
        </w:rPr>
        <w:t>★6.2.3.外径≥70cm ，内径≥40CM。</w:t>
      </w:r>
    </w:p>
    <w:p w14:paraId="2A8DADF4">
      <w:pPr>
        <w:pageBreakBefore w:val="0"/>
        <w:wordWrap w:val="0"/>
        <w:overflowPunct/>
        <w:bidi w:val="0"/>
        <w:rPr>
          <w:color w:val="auto"/>
        </w:rPr>
      </w:pPr>
      <w:r>
        <w:rPr>
          <w:rFonts w:hint="eastAsia"/>
          <w:color w:val="auto"/>
        </w:rPr>
        <w:t>6.2.4.救生圈外围应装有直径≥9mm、长度≥救生圈外径4倍可浮把手锁。此索应紧固在圈体周边四个等距离位置上，并形成四个等长的索环；</w:t>
      </w:r>
    </w:p>
    <w:p w14:paraId="703E932B">
      <w:pPr>
        <w:pageBreakBefore w:val="0"/>
        <w:wordWrap w:val="0"/>
        <w:overflowPunct/>
        <w:bidi w:val="0"/>
        <w:rPr>
          <w:color w:val="auto"/>
        </w:rPr>
      </w:pPr>
      <w:r>
        <w:rPr>
          <w:rFonts w:hint="eastAsia"/>
          <w:color w:val="auto"/>
        </w:rPr>
        <w:t>6.2.5.浮力≥15KG，最大承重≥220KG；</w:t>
      </w:r>
    </w:p>
    <w:p w14:paraId="69129EB8">
      <w:pPr>
        <w:pageBreakBefore w:val="0"/>
        <w:wordWrap w:val="0"/>
        <w:overflowPunct/>
        <w:bidi w:val="0"/>
        <w:rPr>
          <w:color w:val="auto"/>
        </w:rPr>
      </w:pPr>
      <w:r>
        <w:rPr>
          <w:rFonts w:hint="eastAsia"/>
          <w:color w:val="auto"/>
        </w:rPr>
        <w:t>6.2.6.环绕贴≥50mm宽度的逆向反光带。</w:t>
      </w:r>
    </w:p>
    <w:p w14:paraId="67D69626">
      <w:pPr>
        <w:pageBreakBefore w:val="0"/>
        <w:wordWrap w:val="0"/>
        <w:overflowPunct/>
        <w:bidi w:val="0"/>
        <w:rPr>
          <w:color w:val="auto"/>
        </w:rPr>
      </w:pPr>
      <w:r>
        <w:rPr>
          <w:rFonts w:hint="eastAsia"/>
          <w:color w:val="auto"/>
        </w:rPr>
        <w:t>6.3.干式水域救援服</w:t>
      </w:r>
    </w:p>
    <w:p w14:paraId="5DA41464">
      <w:pPr>
        <w:pageBreakBefore w:val="0"/>
        <w:wordWrap w:val="0"/>
        <w:overflowPunct/>
        <w:bidi w:val="0"/>
        <w:rPr>
          <w:color w:val="auto"/>
        </w:rPr>
      </w:pPr>
      <w:r>
        <w:rPr>
          <w:rFonts w:hint="eastAsia"/>
          <w:color w:val="auto"/>
        </w:rPr>
        <w:t>★6.3.1.总体性能符合市场准入标准要求，提供国家专业机构检测报告。</w:t>
      </w:r>
    </w:p>
    <w:p w14:paraId="2E66C919">
      <w:pPr>
        <w:pageBreakBefore w:val="0"/>
        <w:wordWrap w:val="0"/>
        <w:overflowPunct/>
        <w:bidi w:val="0"/>
        <w:rPr>
          <w:color w:val="auto"/>
        </w:rPr>
      </w:pPr>
      <w:r>
        <w:rPr>
          <w:rFonts w:hint="eastAsia"/>
          <w:color w:val="auto"/>
        </w:rPr>
        <w:t>★6.3.2.采用三层复合材质，内部高聚酯材料防水涂层，防水鞋套一体式连接。</w:t>
      </w:r>
    </w:p>
    <w:p w14:paraId="0B37BB6B">
      <w:pPr>
        <w:pageBreakBefore w:val="0"/>
        <w:wordWrap w:val="0"/>
        <w:overflowPunct/>
        <w:bidi w:val="0"/>
        <w:rPr>
          <w:color w:val="auto"/>
        </w:rPr>
      </w:pPr>
      <w:r>
        <w:rPr>
          <w:rFonts w:hint="eastAsia"/>
          <w:color w:val="auto"/>
        </w:rPr>
        <w:t>6.3.3.主体颜色为红色，采用高强反光荧光带。</w:t>
      </w:r>
    </w:p>
    <w:p w14:paraId="51B8079C">
      <w:pPr>
        <w:pageBreakBefore w:val="0"/>
        <w:wordWrap w:val="0"/>
        <w:overflowPunct/>
        <w:bidi w:val="0"/>
        <w:rPr>
          <w:color w:val="auto"/>
        </w:rPr>
      </w:pPr>
      <w:r>
        <w:rPr>
          <w:rFonts w:hint="eastAsia"/>
          <w:color w:val="auto"/>
        </w:rPr>
        <w:t>6.3.4.上衣肩部拉链设保护盖，胸部为斜拉链，臀、肘和膝盖以及脚踝以下均采用凯夫拉材质加强并设有缓冲层。</w:t>
      </w:r>
    </w:p>
    <w:p w14:paraId="5F469DD5">
      <w:pPr>
        <w:pageBreakBefore w:val="0"/>
        <w:wordWrap w:val="0"/>
        <w:overflowPunct/>
        <w:bidi w:val="0"/>
        <w:rPr>
          <w:color w:val="auto"/>
        </w:rPr>
      </w:pPr>
      <w:r>
        <w:rPr>
          <w:rFonts w:hint="eastAsia"/>
          <w:color w:val="auto"/>
        </w:rPr>
        <w:t>6.3.5.裆部应设有拉链，且配有保护盖，大腿两侧各设置1个储物包，封口拉链式设计。</w:t>
      </w:r>
    </w:p>
    <w:p w14:paraId="0BE7F838">
      <w:pPr>
        <w:pageBreakBefore w:val="0"/>
        <w:wordWrap w:val="0"/>
        <w:overflowPunct/>
        <w:bidi w:val="0"/>
        <w:rPr>
          <w:color w:val="auto"/>
        </w:rPr>
      </w:pPr>
      <w:r>
        <w:rPr>
          <w:rFonts w:hint="eastAsia"/>
          <w:color w:val="auto"/>
        </w:rPr>
        <w:t>6.3.6.腰部有收紧设计。</w:t>
      </w:r>
    </w:p>
    <w:p w14:paraId="445B91B3">
      <w:pPr>
        <w:pageBreakBefore w:val="0"/>
        <w:wordWrap w:val="0"/>
        <w:overflowPunct/>
        <w:bidi w:val="0"/>
        <w:rPr>
          <w:color w:val="auto"/>
        </w:rPr>
      </w:pPr>
      <w:r>
        <w:rPr>
          <w:rFonts w:hint="eastAsia"/>
          <w:color w:val="auto"/>
        </w:rPr>
        <w:t>6.3.7.袖、领硅胶材质，收紧设计。</w:t>
      </w:r>
    </w:p>
    <w:p w14:paraId="2DCA6AE0">
      <w:pPr>
        <w:pageBreakBefore w:val="0"/>
        <w:wordWrap w:val="0"/>
        <w:overflowPunct/>
        <w:bidi w:val="0"/>
        <w:rPr>
          <w:color w:val="auto"/>
        </w:rPr>
      </w:pPr>
      <w:r>
        <w:rPr>
          <w:rFonts w:hint="eastAsia"/>
          <w:color w:val="auto"/>
        </w:rPr>
        <w:t>6.3.8.干式服面料洗涤 5 次后，沾水等级≥ 4 级。</w:t>
      </w:r>
    </w:p>
    <w:p w14:paraId="00B566E0">
      <w:pPr>
        <w:pageBreakBefore w:val="0"/>
        <w:wordWrap w:val="0"/>
        <w:overflowPunct/>
        <w:bidi w:val="0"/>
        <w:rPr>
          <w:color w:val="auto"/>
        </w:rPr>
      </w:pPr>
      <w:r>
        <w:rPr>
          <w:rFonts w:hint="eastAsia"/>
          <w:color w:val="auto"/>
        </w:rPr>
        <w:t>★6.3.9.干式水域救援服面料的透湿率≥5000 g/（m2*24 h）。</w:t>
      </w:r>
    </w:p>
    <w:p w14:paraId="75B90697">
      <w:pPr>
        <w:pageBreakBefore w:val="0"/>
        <w:wordWrap w:val="0"/>
        <w:overflowPunct/>
        <w:bidi w:val="0"/>
        <w:rPr>
          <w:color w:val="auto"/>
        </w:rPr>
      </w:pPr>
      <w:r>
        <w:rPr>
          <w:rFonts w:hint="eastAsia"/>
          <w:color w:val="auto"/>
        </w:rPr>
        <w:t>6.3.10.干式服所有结构上的连接部位应具备水密性，人员身着救援服在静水中漂浮1h后进水量≤0.2 kg。</w:t>
      </w:r>
    </w:p>
    <w:p w14:paraId="3817BBF7">
      <w:pPr>
        <w:pageBreakBefore w:val="0"/>
        <w:wordWrap w:val="0"/>
        <w:overflowPunct/>
        <w:bidi w:val="0"/>
        <w:rPr>
          <w:color w:val="auto"/>
        </w:rPr>
      </w:pPr>
      <w:r>
        <w:rPr>
          <w:rFonts w:hint="eastAsia"/>
          <w:color w:val="auto"/>
        </w:rPr>
        <w:t>6.3.11.穿着救援服的受试者经保温性能试验1h后，体温下降≤2℃。</w:t>
      </w:r>
    </w:p>
    <w:p w14:paraId="48523450">
      <w:pPr>
        <w:pageBreakBefore w:val="0"/>
        <w:wordWrap w:val="0"/>
        <w:overflowPunct/>
        <w:bidi w:val="0"/>
        <w:rPr>
          <w:color w:val="auto"/>
        </w:rPr>
      </w:pPr>
      <w:r>
        <w:rPr>
          <w:rFonts w:hint="eastAsia"/>
          <w:color w:val="auto"/>
        </w:rPr>
        <w:t>6.3.12.尺寸及外观：满足甲方需求。</w:t>
      </w:r>
    </w:p>
    <w:p w14:paraId="3FC8B7E4">
      <w:pPr>
        <w:pageBreakBefore w:val="0"/>
        <w:wordWrap w:val="0"/>
        <w:overflowPunct/>
        <w:bidi w:val="0"/>
        <w:rPr>
          <w:color w:val="auto"/>
        </w:rPr>
      </w:pPr>
      <w:r>
        <w:rPr>
          <w:rFonts w:hint="eastAsia"/>
          <w:color w:val="auto"/>
        </w:rPr>
        <w:t>6.3.13.配备保暖服1套。</w:t>
      </w:r>
    </w:p>
    <w:p w14:paraId="4D80B59E">
      <w:pPr>
        <w:pageBreakBefore w:val="0"/>
        <w:wordWrap w:val="0"/>
        <w:overflowPunct/>
        <w:bidi w:val="0"/>
        <w:rPr>
          <w:color w:val="auto"/>
        </w:rPr>
      </w:pPr>
      <w:r>
        <w:rPr>
          <w:rFonts w:hint="eastAsia"/>
          <w:color w:val="auto"/>
        </w:rPr>
        <w:t>6.4.湿式水域救援服</w:t>
      </w:r>
    </w:p>
    <w:p w14:paraId="2F23A7DA">
      <w:pPr>
        <w:pageBreakBefore w:val="0"/>
        <w:wordWrap w:val="0"/>
        <w:overflowPunct/>
        <w:bidi w:val="0"/>
        <w:rPr>
          <w:color w:val="auto"/>
        </w:rPr>
      </w:pPr>
      <w:r>
        <w:rPr>
          <w:rFonts w:hint="eastAsia"/>
          <w:color w:val="auto"/>
        </w:rPr>
        <w:t>★6.4.1.上衣和中腰裤两件套救援服（按需求方要求提供连体或分体），≥3mm带有钛涂层的氯丁橡胶材质。</w:t>
      </w:r>
    </w:p>
    <w:p w14:paraId="3607144B">
      <w:pPr>
        <w:pageBreakBefore w:val="0"/>
        <w:wordWrap w:val="0"/>
        <w:overflowPunct/>
        <w:bidi w:val="0"/>
        <w:rPr>
          <w:color w:val="auto"/>
        </w:rPr>
      </w:pPr>
      <w:r>
        <w:rPr>
          <w:rFonts w:hint="eastAsia"/>
          <w:color w:val="auto"/>
        </w:rPr>
        <w:t>6.4.2.所有的缝线处用暗针缝制，做加固压胶处理；</w:t>
      </w:r>
    </w:p>
    <w:p w14:paraId="510492F2">
      <w:pPr>
        <w:pageBreakBefore w:val="0"/>
        <w:wordWrap w:val="0"/>
        <w:overflowPunct/>
        <w:bidi w:val="0"/>
        <w:rPr>
          <w:color w:val="auto"/>
        </w:rPr>
      </w:pPr>
      <w:r>
        <w:rPr>
          <w:rFonts w:hint="eastAsia"/>
          <w:color w:val="auto"/>
        </w:rPr>
        <w:t>★6.4.3.在膝盖和小腿、臀部处有凯夫拉材质补强设计，补强部位厚度≥5.0mm；</w:t>
      </w:r>
    </w:p>
    <w:p w14:paraId="412DDA53">
      <w:pPr>
        <w:pageBreakBefore w:val="0"/>
        <w:wordWrap w:val="0"/>
        <w:overflowPunct/>
        <w:bidi w:val="0"/>
        <w:rPr>
          <w:color w:val="auto"/>
        </w:rPr>
      </w:pPr>
      <w:r>
        <w:rPr>
          <w:rFonts w:hint="eastAsia"/>
          <w:color w:val="auto"/>
        </w:rPr>
        <w:t>6.4.4.手臂和腿部有荧光反射区；</w:t>
      </w:r>
    </w:p>
    <w:p w14:paraId="2439DAB0">
      <w:pPr>
        <w:pageBreakBefore w:val="0"/>
        <w:wordWrap w:val="0"/>
        <w:overflowPunct/>
        <w:bidi w:val="0"/>
        <w:rPr>
          <w:color w:val="auto"/>
        </w:rPr>
      </w:pPr>
      <w:r>
        <w:rPr>
          <w:rFonts w:hint="eastAsia"/>
          <w:color w:val="auto"/>
        </w:rPr>
        <w:t>6.4.5.腿部两侧各设置1个口袋，封口拉链式设计。</w:t>
      </w:r>
    </w:p>
    <w:p w14:paraId="272EFCAF">
      <w:pPr>
        <w:pageBreakBefore w:val="0"/>
        <w:wordWrap w:val="0"/>
        <w:overflowPunct/>
        <w:bidi w:val="0"/>
        <w:rPr>
          <w:color w:val="auto"/>
        </w:rPr>
      </w:pPr>
      <w:r>
        <w:rPr>
          <w:rFonts w:hint="eastAsia"/>
          <w:color w:val="auto"/>
        </w:rPr>
        <w:t>6.4.6.袖口和裤口侧面收紧式拉链设计。</w:t>
      </w:r>
    </w:p>
    <w:p w14:paraId="579F633D">
      <w:pPr>
        <w:pageBreakBefore w:val="0"/>
        <w:wordWrap w:val="0"/>
        <w:overflowPunct/>
        <w:bidi w:val="0"/>
        <w:rPr>
          <w:color w:val="auto"/>
        </w:rPr>
      </w:pPr>
      <w:r>
        <w:rPr>
          <w:rFonts w:hint="eastAsia"/>
          <w:color w:val="auto"/>
        </w:rPr>
        <w:t>6.4.7.尺寸及外观：满足甲方需求。</w:t>
      </w:r>
      <w:r>
        <w:rPr>
          <w:rFonts w:hint="eastAsia"/>
          <w:color w:val="auto"/>
        </w:rPr>
        <w:br w:type="page"/>
      </w:r>
    </w:p>
    <w:p w14:paraId="6701AF00">
      <w:pPr>
        <w:pageBreakBefore w:val="0"/>
        <w:wordWrap w:val="0"/>
        <w:overflowPunct/>
        <w:bidi w:val="0"/>
        <w:ind w:firstLine="482"/>
        <w:rPr>
          <w:b/>
          <w:bCs/>
          <w:color w:val="auto"/>
          <w:sz w:val="24"/>
          <w:szCs w:val="24"/>
        </w:rPr>
      </w:pPr>
      <w:r>
        <w:rPr>
          <w:rFonts w:hint="eastAsia"/>
          <w:b/>
          <w:bCs/>
          <w:color w:val="auto"/>
          <w:sz w:val="24"/>
          <w:szCs w:val="24"/>
        </w:rPr>
        <w:t>13标包，2辆前突模块D皮卡车，预算价：48.28万元</w:t>
      </w:r>
    </w:p>
    <w:p w14:paraId="56F8CC1D">
      <w:pPr>
        <w:pageBreakBefore w:val="0"/>
        <w:wordWrap w:val="0"/>
        <w:overflowPunct/>
        <w:bidi w:val="0"/>
        <w:rPr>
          <w:color w:val="auto"/>
        </w:rPr>
      </w:pPr>
      <w:r>
        <w:rPr>
          <w:rFonts w:hint="eastAsia"/>
          <w:color w:val="auto"/>
        </w:rPr>
        <w:t>1.基本要求</w:t>
      </w:r>
    </w:p>
    <w:p w14:paraId="0E4C4BE7">
      <w:pPr>
        <w:pageBreakBefore w:val="0"/>
        <w:wordWrap w:val="0"/>
        <w:overflowPunct/>
        <w:bidi w:val="0"/>
        <w:rPr>
          <w:color w:val="auto"/>
        </w:rPr>
      </w:pPr>
      <w:r>
        <w:rPr>
          <w:rFonts w:hint="eastAsia"/>
          <w:color w:val="auto"/>
        </w:rPr>
        <w:t>1.1执行标准：《消防车 第1部分：通用技术标准》（GB 7956.1-2014），应答标车辆需取得工信部公告。</w:t>
      </w:r>
    </w:p>
    <w:p w14:paraId="06E4B692">
      <w:pPr>
        <w:pageBreakBefore w:val="0"/>
        <w:wordWrap w:val="0"/>
        <w:overflowPunct/>
        <w:bidi w:val="0"/>
        <w:rPr>
          <w:color w:val="auto"/>
        </w:rPr>
      </w:pPr>
      <w:r>
        <w:rPr>
          <w:rFonts w:hint="eastAsia"/>
          <w:color w:val="auto"/>
        </w:rPr>
        <w:t>1.2额定载人数：≥5人。</w:t>
      </w:r>
    </w:p>
    <w:p w14:paraId="0B737979">
      <w:pPr>
        <w:pageBreakBefore w:val="0"/>
        <w:wordWrap w:val="0"/>
        <w:overflowPunct/>
        <w:bidi w:val="0"/>
        <w:rPr>
          <w:color w:val="auto"/>
        </w:rPr>
      </w:pPr>
      <w:r>
        <w:rPr>
          <w:rFonts w:hint="eastAsia"/>
          <w:color w:val="auto"/>
        </w:rPr>
        <w:t>1.3最高车速：≥130Km/h。</w:t>
      </w:r>
    </w:p>
    <w:p w14:paraId="2A18E6A6">
      <w:pPr>
        <w:pageBreakBefore w:val="0"/>
        <w:wordWrap w:val="0"/>
        <w:overflowPunct/>
        <w:bidi w:val="0"/>
        <w:rPr>
          <w:color w:val="auto"/>
        </w:rPr>
      </w:pPr>
      <w:r>
        <w:rPr>
          <w:rFonts w:hint="eastAsia"/>
          <w:color w:val="auto"/>
        </w:rPr>
        <w:t>1.4车型：双排加长货厢高底皮卡车。</w:t>
      </w:r>
    </w:p>
    <w:p w14:paraId="59EB1BBD">
      <w:pPr>
        <w:pageBreakBefore w:val="0"/>
        <w:wordWrap w:val="0"/>
        <w:overflowPunct/>
        <w:bidi w:val="0"/>
        <w:rPr>
          <w:color w:val="auto"/>
        </w:rPr>
      </w:pPr>
      <w:r>
        <w:rPr>
          <w:rFonts w:hint="eastAsia"/>
          <w:color w:val="auto"/>
        </w:rPr>
        <w:t>1.5车辆资质：取得国家级检测机构出具的整车检验合格报告。</w:t>
      </w:r>
    </w:p>
    <w:p w14:paraId="3963E490">
      <w:pPr>
        <w:pageBreakBefore w:val="0"/>
        <w:wordWrap w:val="0"/>
        <w:overflowPunct/>
        <w:bidi w:val="0"/>
        <w:rPr>
          <w:color w:val="auto"/>
        </w:rPr>
      </w:pPr>
      <w:r>
        <w:rPr>
          <w:rFonts w:hint="eastAsia"/>
          <w:color w:val="auto"/>
        </w:rPr>
        <w:t>2.底盘要求</w:t>
      </w:r>
    </w:p>
    <w:p w14:paraId="13EF2F77">
      <w:pPr>
        <w:pageBreakBefore w:val="0"/>
        <w:wordWrap w:val="0"/>
        <w:overflowPunct/>
        <w:bidi w:val="0"/>
        <w:rPr>
          <w:color w:val="auto"/>
        </w:rPr>
      </w:pPr>
      <w:r>
        <w:rPr>
          <w:rFonts w:hint="eastAsia"/>
          <w:color w:val="auto"/>
        </w:rPr>
        <w:t>★2.1发动机最大功率：≥120KW。</w:t>
      </w:r>
    </w:p>
    <w:p w14:paraId="159CA854">
      <w:pPr>
        <w:pageBreakBefore w:val="0"/>
        <w:wordWrap w:val="0"/>
        <w:overflowPunct/>
        <w:bidi w:val="0"/>
        <w:rPr>
          <w:color w:val="auto"/>
        </w:rPr>
      </w:pPr>
      <w:r>
        <w:rPr>
          <w:rFonts w:hint="eastAsia"/>
          <w:color w:val="auto"/>
        </w:rPr>
        <w:t>★2.2发动机形式：涡轮增压柴油发动机，排量≥2.0L。</w:t>
      </w:r>
    </w:p>
    <w:p w14:paraId="23B53C30">
      <w:pPr>
        <w:pageBreakBefore w:val="0"/>
        <w:wordWrap w:val="0"/>
        <w:overflowPunct/>
        <w:bidi w:val="0"/>
        <w:rPr>
          <w:color w:val="auto"/>
        </w:rPr>
      </w:pPr>
      <w:r>
        <w:rPr>
          <w:rFonts w:hint="eastAsia"/>
          <w:color w:val="auto"/>
        </w:rPr>
        <w:t>★2.3驱动模式：4×4（电控分时四驱，后桥差速锁）。</w:t>
      </w:r>
    </w:p>
    <w:p w14:paraId="396C78B6">
      <w:pPr>
        <w:pageBreakBefore w:val="0"/>
        <w:wordWrap w:val="0"/>
        <w:overflowPunct/>
        <w:bidi w:val="0"/>
        <w:rPr>
          <w:color w:val="auto"/>
        </w:rPr>
      </w:pPr>
      <w:r>
        <w:rPr>
          <w:rFonts w:hint="eastAsia"/>
          <w:color w:val="auto"/>
        </w:rPr>
        <w:t>2.4制动：前/后制动器为通风盘式，配备ABS防抱死、制动力分配、刹车辅助、牵引力控制等。</w:t>
      </w:r>
    </w:p>
    <w:p w14:paraId="64F4D0C6">
      <w:pPr>
        <w:pageBreakBefore w:val="0"/>
        <w:wordWrap w:val="0"/>
        <w:overflowPunct/>
        <w:bidi w:val="0"/>
        <w:rPr>
          <w:color w:val="auto"/>
        </w:rPr>
      </w:pPr>
      <w:r>
        <w:rPr>
          <w:rFonts w:hint="eastAsia"/>
          <w:color w:val="auto"/>
        </w:rPr>
        <w:t>2.5悬挂形式：前悬架为双叉臂独立悬架、后悬架为全渐变钢板弹簧非独立悬架或优于此两种形式。</w:t>
      </w:r>
    </w:p>
    <w:p w14:paraId="38DDCD71">
      <w:pPr>
        <w:pageBreakBefore w:val="0"/>
        <w:wordWrap w:val="0"/>
        <w:overflowPunct/>
        <w:bidi w:val="0"/>
        <w:rPr>
          <w:color w:val="auto"/>
        </w:rPr>
      </w:pPr>
      <w:r>
        <w:rPr>
          <w:rFonts w:hint="eastAsia"/>
          <w:color w:val="auto"/>
        </w:rPr>
        <w:t>2.6排放：符合中国国家机动车现行排放标准。</w:t>
      </w:r>
    </w:p>
    <w:p w14:paraId="5B55BECE">
      <w:pPr>
        <w:pageBreakBefore w:val="0"/>
        <w:wordWrap w:val="0"/>
        <w:overflowPunct/>
        <w:bidi w:val="0"/>
        <w:rPr>
          <w:color w:val="auto"/>
        </w:rPr>
      </w:pPr>
      <w:r>
        <w:rPr>
          <w:rFonts w:hint="eastAsia"/>
          <w:color w:val="auto"/>
        </w:rPr>
        <w:t>2.7车辆尺寸（长*宽*高）：≥5300mm×1800mm×1800mm。</w:t>
      </w:r>
    </w:p>
    <w:p w14:paraId="4F4BB1DA">
      <w:pPr>
        <w:pageBreakBefore w:val="0"/>
        <w:wordWrap w:val="0"/>
        <w:overflowPunct/>
        <w:bidi w:val="0"/>
        <w:rPr>
          <w:color w:val="auto"/>
        </w:rPr>
      </w:pPr>
      <w:r>
        <w:rPr>
          <w:rFonts w:hint="eastAsia"/>
          <w:color w:val="auto"/>
        </w:rPr>
        <w:t>2.8轮胎：越野AT轮胎（含备胎）。</w:t>
      </w:r>
    </w:p>
    <w:p w14:paraId="07656C9F">
      <w:pPr>
        <w:pageBreakBefore w:val="0"/>
        <w:wordWrap w:val="0"/>
        <w:overflowPunct/>
        <w:bidi w:val="0"/>
        <w:rPr>
          <w:color w:val="auto"/>
        </w:rPr>
      </w:pPr>
      <w:r>
        <w:rPr>
          <w:rFonts w:hint="eastAsia"/>
          <w:color w:val="auto"/>
        </w:rPr>
        <w:t>2.9近远光灯：LED</w:t>
      </w:r>
    </w:p>
    <w:p w14:paraId="1054173A">
      <w:pPr>
        <w:pageBreakBefore w:val="0"/>
        <w:wordWrap w:val="0"/>
        <w:overflowPunct/>
        <w:bidi w:val="0"/>
        <w:rPr>
          <w:color w:val="auto"/>
        </w:rPr>
      </w:pPr>
      <w:r>
        <w:rPr>
          <w:rFonts w:hint="eastAsia"/>
          <w:color w:val="auto"/>
        </w:rPr>
        <w:t>3.配置要求</w:t>
      </w:r>
    </w:p>
    <w:p w14:paraId="082A38E0">
      <w:pPr>
        <w:pageBreakBefore w:val="0"/>
        <w:wordWrap w:val="0"/>
        <w:overflowPunct/>
        <w:bidi w:val="0"/>
        <w:rPr>
          <w:color w:val="auto"/>
        </w:rPr>
      </w:pPr>
      <w:r>
        <w:rPr>
          <w:rFonts w:hint="eastAsia"/>
          <w:color w:val="auto"/>
        </w:rPr>
        <w:t>★3.1安全装备：主/副驾驶座安全气囊、胎压监测装置、安全带未系提示。</w:t>
      </w:r>
    </w:p>
    <w:p w14:paraId="7BE44FC8">
      <w:pPr>
        <w:pageBreakBefore w:val="0"/>
        <w:wordWrap w:val="0"/>
        <w:overflowPunct/>
        <w:bidi w:val="0"/>
        <w:rPr>
          <w:color w:val="auto"/>
        </w:rPr>
      </w:pPr>
      <w:r>
        <w:rPr>
          <w:rFonts w:hint="eastAsia"/>
          <w:color w:val="auto"/>
        </w:rPr>
        <w:t>3.2操控配置：安装360度全景影像，含前后可视行车记录仪，含倒车雷达，存储卡≥128G、高清显示屏≥9英寸、定速巡航、上坡辅助、陡坡缓降等。</w:t>
      </w:r>
    </w:p>
    <w:p w14:paraId="7A1FB2EC">
      <w:pPr>
        <w:pageBreakBefore w:val="0"/>
        <w:wordWrap w:val="0"/>
        <w:overflowPunct/>
        <w:bidi w:val="0"/>
        <w:rPr>
          <w:color w:val="auto"/>
        </w:rPr>
      </w:pPr>
      <w:r>
        <w:rPr>
          <w:rFonts w:hint="eastAsia"/>
          <w:color w:val="auto"/>
        </w:rPr>
        <w:t>3.3内部配置：车内中控锁、遥控钥匙、织物座椅、多功能皮质方向盘、行车电脑显示屏、座椅高低调节、前后电动车窗、后视镜电动调节等，所有座位均配备安全带。</w:t>
      </w:r>
    </w:p>
    <w:p w14:paraId="2049A007">
      <w:pPr>
        <w:pageBreakBefore w:val="0"/>
        <w:wordWrap w:val="0"/>
        <w:overflowPunct/>
        <w:bidi w:val="0"/>
        <w:rPr>
          <w:color w:val="auto"/>
        </w:rPr>
      </w:pPr>
      <w:r>
        <w:rPr>
          <w:rFonts w:hint="eastAsia"/>
          <w:color w:val="auto"/>
        </w:rPr>
        <w:t>3.4其他配置：加装副电瓶，具有前雾灯、大灯照射角度可调等功能。</w:t>
      </w:r>
    </w:p>
    <w:p w14:paraId="51AC96C2">
      <w:pPr>
        <w:pageBreakBefore w:val="0"/>
        <w:wordWrap w:val="0"/>
        <w:overflowPunct/>
        <w:bidi w:val="0"/>
        <w:rPr>
          <w:color w:val="auto"/>
        </w:rPr>
      </w:pPr>
      <w:r>
        <w:rPr>
          <w:rFonts w:hint="eastAsia"/>
          <w:color w:val="auto"/>
        </w:rPr>
        <w:t>3.5保险杠：前后均为金属材质越野型。</w:t>
      </w:r>
    </w:p>
    <w:p w14:paraId="170F2C21">
      <w:pPr>
        <w:pageBreakBefore w:val="0"/>
        <w:wordWrap w:val="0"/>
        <w:overflowPunct/>
        <w:bidi w:val="0"/>
        <w:rPr>
          <w:color w:val="auto"/>
        </w:rPr>
      </w:pPr>
      <w:r>
        <w:rPr>
          <w:rFonts w:hint="eastAsia"/>
          <w:color w:val="auto"/>
        </w:rPr>
        <w:t>3.6后拖杠：出厂具备牵引资质，集成拖车方口，牵引重量≥2T。</w:t>
      </w:r>
    </w:p>
    <w:p w14:paraId="10F1DA3A">
      <w:pPr>
        <w:pageBreakBefore w:val="0"/>
        <w:wordWrap w:val="0"/>
        <w:overflowPunct/>
        <w:bidi w:val="0"/>
        <w:rPr>
          <w:color w:val="auto"/>
        </w:rPr>
      </w:pPr>
      <w:r>
        <w:rPr>
          <w:rFonts w:hint="eastAsia"/>
          <w:color w:val="auto"/>
        </w:rPr>
        <w:t>4.加装要求</w:t>
      </w:r>
    </w:p>
    <w:p w14:paraId="160E3CE8">
      <w:pPr>
        <w:pageBreakBefore w:val="0"/>
        <w:wordWrap w:val="0"/>
        <w:overflowPunct/>
        <w:bidi w:val="0"/>
        <w:rPr>
          <w:color w:val="auto"/>
        </w:rPr>
      </w:pPr>
      <w:r>
        <w:rPr>
          <w:rFonts w:hint="eastAsia"/>
          <w:color w:val="auto"/>
        </w:rPr>
        <w:t>★4.1绞盘：车辆前方加装电动绞盘，具备快速释放功能，防水防尘等级≥IP65，配备有线绞盘控制手柄，钢绳长度≥20m，末端带吊钩，拉力≥2.8T，且不能小于车辆最大总质量。</w:t>
      </w:r>
    </w:p>
    <w:p w14:paraId="204712FF">
      <w:pPr>
        <w:pageBreakBefore w:val="0"/>
        <w:wordWrap w:val="0"/>
        <w:overflowPunct/>
        <w:bidi w:val="0"/>
        <w:rPr>
          <w:color w:val="auto"/>
        </w:rPr>
      </w:pPr>
      <w:r>
        <w:rPr>
          <w:rFonts w:hint="eastAsia"/>
          <w:color w:val="auto"/>
        </w:rPr>
        <w:t>4.2货厢：金属材质，全封闭后开口式，高度与车顶警灯平齐，具有防水功能，后方设置上掀门，货厢内部根据需求方要求设置旋转、推拉、滑轨、抽屉等形式器材架，器材架样式需与需求方达成一致。</w:t>
      </w:r>
    </w:p>
    <w:p w14:paraId="5CB31148">
      <w:pPr>
        <w:pageBreakBefore w:val="0"/>
        <w:wordWrap w:val="0"/>
        <w:overflowPunct/>
        <w:bidi w:val="0"/>
        <w:rPr>
          <w:color w:val="auto"/>
        </w:rPr>
      </w:pPr>
      <w:r>
        <w:rPr>
          <w:rFonts w:hint="eastAsia"/>
          <w:color w:val="auto"/>
        </w:rPr>
        <w:t>4.3车顶行李架：金属材质，延伸至货厢，承重≥400KG。</w:t>
      </w:r>
    </w:p>
    <w:p w14:paraId="684B00B7">
      <w:pPr>
        <w:pageBreakBefore w:val="0"/>
        <w:wordWrap w:val="0"/>
        <w:overflowPunct/>
        <w:bidi w:val="0"/>
        <w:rPr>
          <w:color w:val="auto"/>
        </w:rPr>
      </w:pPr>
      <w:r>
        <w:rPr>
          <w:rFonts w:hint="eastAsia"/>
          <w:color w:val="auto"/>
        </w:rPr>
        <w:t>★4.4探照灯：安装于车顶前方，LED,数量≥4个，总功率≥400W，独立电源。</w:t>
      </w:r>
    </w:p>
    <w:p w14:paraId="31337609">
      <w:pPr>
        <w:pageBreakBefore w:val="0"/>
        <w:wordWrap w:val="0"/>
        <w:overflowPunct/>
        <w:bidi w:val="0"/>
        <w:rPr>
          <w:color w:val="auto"/>
        </w:rPr>
      </w:pPr>
      <w:r>
        <w:rPr>
          <w:rFonts w:hint="eastAsia"/>
          <w:color w:val="auto"/>
        </w:rPr>
        <w:t>4.5整车标识：按消防救援车辆外观制式涂装要求进行涂装。车辆涂装符合《国家综合性消防救援车辆外观制式涂装规范》。</w:t>
      </w:r>
    </w:p>
    <w:p w14:paraId="067F2A4C">
      <w:pPr>
        <w:pageBreakBefore w:val="0"/>
        <w:wordWrap w:val="0"/>
        <w:overflowPunct/>
        <w:bidi w:val="0"/>
        <w:rPr>
          <w:color w:val="auto"/>
        </w:rPr>
      </w:pPr>
      <w:r>
        <w:rPr>
          <w:rFonts w:hint="eastAsia"/>
          <w:color w:val="auto"/>
        </w:rPr>
        <w:t>4.6警灯：符合应急管理部相关标准。</w:t>
      </w:r>
    </w:p>
    <w:p w14:paraId="1DA44737">
      <w:pPr>
        <w:pageBreakBefore w:val="0"/>
        <w:wordWrap w:val="0"/>
        <w:overflowPunct/>
        <w:bidi w:val="0"/>
        <w:rPr>
          <w:color w:val="auto"/>
        </w:rPr>
      </w:pPr>
      <w:r>
        <w:rPr>
          <w:rFonts w:hint="eastAsia"/>
          <w:color w:val="auto"/>
        </w:rPr>
        <w:t>5.其他要求：配有随车工具、备胎等常用随车器材、随车资料附说明书、车架号和底盘号拓印件、底盘保修卡、车辆配置设备说明书、车辆一致性证书1份、底盘合格证1份。</w:t>
      </w:r>
    </w:p>
    <w:p w14:paraId="257384E8">
      <w:pPr>
        <w:pageBreakBefore w:val="0"/>
        <w:wordWrap w:val="0"/>
        <w:overflowPunct/>
        <w:bidi w:val="0"/>
        <w:rPr>
          <w:color w:val="auto"/>
        </w:rPr>
      </w:pPr>
      <w:r>
        <w:rPr>
          <w:rFonts w:hint="eastAsia"/>
          <w:color w:val="auto"/>
        </w:rPr>
        <w:t>★6.随车器材包含救生圈≥2个，移动发电机≥1台、干式水域救援服≥2件、湿式水域救援服≥3件</w:t>
      </w:r>
    </w:p>
    <w:p w14:paraId="1C20AE0D">
      <w:pPr>
        <w:pageBreakBefore w:val="0"/>
        <w:wordWrap w:val="0"/>
        <w:overflowPunct/>
        <w:bidi w:val="0"/>
        <w:rPr>
          <w:color w:val="auto"/>
        </w:rPr>
      </w:pPr>
      <w:r>
        <w:rPr>
          <w:rFonts w:hint="eastAsia"/>
          <w:color w:val="auto"/>
        </w:rPr>
        <w:t>6.1.移动发电机</w:t>
      </w:r>
    </w:p>
    <w:p w14:paraId="335569B7">
      <w:pPr>
        <w:pageBreakBefore w:val="0"/>
        <w:wordWrap w:val="0"/>
        <w:overflowPunct/>
        <w:bidi w:val="0"/>
        <w:rPr>
          <w:color w:val="auto"/>
        </w:rPr>
      </w:pPr>
      <w:r>
        <w:rPr>
          <w:rFonts w:hint="eastAsia"/>
          <w:color w:val="auto"/>
        </w:rPr>
        <w:t>6.1.1.便携式发电机，体积小、重量轻，配备与发电机匹配的万向轮底座 。</w:t>
      </w:r>
    </w:p>
    <w:p w14:paraId="4032B41B">
      <w:pPr>
        <w:pageBreakBefore w:val="0"/>
        <w:wordWrap w:val="0"/>
        <w:overflowPunct/>
        <w:bidi w:val="0"/>
        <w:rPr>
          <w:color w:val="auto"/>
        </w:rPr>
      </w:pPr>
      <w:r>
        <w:rPr>
          <w:rFonts w:hint="eastAsia"/>
          <w:color w:val="auto"/>
        </w:rPr>
        <w:t>6.1.2.连续工作时间≥7 小时；</w:t>
      </w:r>
    </w:p>
    <w:p w14:paraId="49DAB2FF">
      <w:pPr>
        <w:pageBreakBefore w:val="0"/>
        <w:wordWrap w:val="0"/>
        <w:overflowPunct/>
        <w:bidi w:val="0"/>
        <w:rPr>
          <w:color w:val="auto"/>
        </w:rPr>
      </w:pPr>
      <w:r>
        <w:rPr>
          <w:rFonts w:hint="eastAsia"/>
          <w:color w:val="auto"/>
        </w:rPr>
        <w:t xml:space="preserve">6.1.3.启动方式：具备回弹式绳索启动和电子启动； </w:t>
      </w:r>
    </w:p>
    <w:p w14:paraId="30287E78">
      <w:pPr>
        <w:pageBreakBefore w:val="0"/>
        <w:wordWrap w:val="0"/>
        <w:overflowPunct/>
        <w:bidi w:val="0"/>
        <w:rPr>
          <w:color w:val="auto"/>
        </w:rPr>
      </w:pPr>
      <w:r>
        <w:rPr>
          <w:rFonts w:hint="eastAsia"/>
          <w:color w:val="auto"/>
        </w:rPr>
        <w:t>★6.1.4.最大输出功率≥5.0kw， 额定功率≥2kw，额定频率：50HZ；</w:t>
      </w:r>
    </w:p>
    <w:p w14:paraId="0CB2C5AA">
      <w:pPr>
        <w:pageBreakBefore w:val="0"/>
        <w:wordWrap w:val="0"/>
        <w:overflowPunct/>
        <w:bidi w:val="0"/>
        <w:rPr>
          <w:color w:val="auto"/>
        </w:rPr>
      </w:pPr>
      <w:r>
        <w:rPr>
          <w:rFonts w:hint="eastAsia"/>
          <w:color w:val="auto"/>
        </w:rPr>
        <w:t>6.1.5.额定电压：220V；</w:t>
      </w:r>
    </w:p>
    <w:p w14:paraId="2FBD127D">
      <w:pPr>
        <w:pageBreakBefore w:val="0"/>
        <w:wordWrap w:val="0"/>
        <w:overflowPunct/>
        <w:bidi w:val="0"/>
        <w:rPr>
          <w:color w:val="auto"/>
        </w:rPr>
      </w:pPr>
      <w:r>
        <w:rPr>
          <w:rFonts w:hint="eastAsia"/>
          <w:color w:val="auto"/>
        </w:rPr>
        <w:t>6.1.6.输出电压：220V/380V；采用国内通用电源接口。</w:t>
      </w:r>
    </w:p>
    <w:p w14:paraId="76193A14">
      <w:pPr>
        <w:pageBreakBefore w:val="0"/>
        <w:wordWrap w:val="0"/>
        <w:overflowPunct/>
        <w:bidi w:val="0"/>
        <w:rPr>
          <w:color w:val="auto"/>
        </w:rPr>
      </w:pPr>
      <w:r>
        <w:rPr>
          <w:rFonts w:hint="eastAsia"/>
          <w:color w:val="auto"/>
        </w:rPr>
        <w:t>6.1.7.燃油箱容量≥14L。</w:t>
      </w:r>
    </w:p>
    <w:p w14:paraId="7B638089">
      <w:pPr>
        <w:pageBreakBefore w:val="0"/>
        <w:wordWrap w:val="0"/>
        <w:overflowPunct/>
        <w:bidi w:val="0"/>
        <w:rPr>
          <w:color w:val="auto"/>
        </w:rPr>
      </w:pPr>
      <w:r>
        <w:rPr>
          <w:rFonts w:hint="eastAsia"/>
          <w:color w:val="auto"/>
        </w:rPr>
        <w:t>6.1.</w:t>
      </w:r>
      <w:r>
        <w:rPr>
          <w:rFonts w:hint="eastAsia"/>
          <w:color w:val="auto"/>
          <w:lang w:val="en-US" w:eastAsia="zh-CN"/>
        </w:rPr>
        <w:t>8</w:t>
      </w:r>
      <w:r>
        <w:rPr>
          <w:rFonts w:hint="eastAsia"/>
          <w:color w:val="auto"/>
        </w:rPr>
        <w:t>.配备接地线1根，30米线盘1个。</w:t>
      </w:r>
    </w:p>
    <w:p w14:paraId="6BC4CEA2">
      <w:pPr>
        <w:pageBreakBefore w:val="0"/>
        <w:wordWrap w:val="0"/>
        <w:overflowPunct/>
        <w:bidi w:val="0"/>
        <w:rPr>
          <w:color w:val="auto"/>
        </w:rPr>
      </w:pPr>
      <w:r>
        <w:rPr>
          <w:rFonts w:hint="eastAsia"/>
          <w:color w:val="auto"/>
        </w:rPr>
        <w:t>6.2.救生圈</w:t>
      </w:r>
    </w:p>
    <w:p w14:paraId="7A0ECBB3">
      <w:pPr>
        <w:pageBreakBefore w:val="0"/>
        <w:wordWrap w:val="0"/>
        <w:overflowPunct/>
        <w:bidi w:val="0"/>
        <w:rPr>
          <w:color w:val="auto"/>
        </w:rPr>
      </w:pPr>
      <w:r>
        <w:rPr>
          <w:rFonts w:hint="eastAsia"/>
          <w:color w:val="auto"/>
        </w:rPr>
        <w:t>★6.2.1.符合GB/T 4302-2008《救生圈》标准、CCS船检证书等标准。需提供国家专业机构出具的报告；</w:t>
      </w:r>
    </w:p>
    <w:p w14:paraId="5A4369A2">
      <w:pPr>
        <w:pageBreakBefore w:val="0"/>
        <w:wordWrap w:val="0"/>
        <w:overflowPunct/>
        <w:bidi w:val="0"/>
        <w:rPr>
          <w:color w:val="auto"/>
        </w:rPr>
      </w:pPr>
      <w:r>
        <w:rPr>
          <w:rFonts w:hint="eastAsia"/>
          <w:color w:val="auto"/>
        </w:rPr>
        <w:t>6.2.2.采用高密度聚乙烯为売体，内充高密度聚氨酯闭孔泡沫。</w:t>
      </w:r>
    </w:p>
    <w:p w14:paraId="570181C1">
      <w:pPr>
        <w:pageBreakBefore w:val="0"/>
        <w:wordWrap w:val="0"/>
        <w:overflowPunct/>
        <w:bidi w:val="0"/>
        <w:rPr>
          <w:color w:val="auto"/>
        </w:rPr>
      </w:pPr>
      <w:r>
        <w:rPr>
          <w:rFonts w:hint="eastAsia"/>
          <w:color w:val="auto"/>
        </w:rPr>
        <w:t>★6.2.3.外径≥70cm ，内径≥40CM。</w:t>
      </w:r>
    </w:p>
    <w:p w14:paraId="04FF34B3">
      <w:pPr>
        <w:pageBreakBefore w:val="0"/>
        <w:wordWrap w:val="0"/>
        <w:overflowPunct/>
        <w:bidi w:val="0"/>
        <w:rPr>
          <w:color w:val="auto"/>
        </w:rPr>
      </w:pPr>
      <w:r>
        <w:rPr>
          <w:rFonts w:hint="eastAsia"/>
          <w:color w:val="auto"/>
        </w:rPr>
        <w:t>6.2.4.救生圈外围应装有直径≥9mm、长度≥救生圈外径4倍可浮把手锁。此索应紧固在圈体周边四个等距离位置上，并形成四个等长的索环；</w:t>
      </w:r>
    </w:p>
    <w:p w14:paraId="5D5D4282">
      <w:pPr>
        <w:pageBreakBefore w:val="0"/>
        <w:wordWrap w:val="0"/>
        <w:overflowPunct/>
        <w:bidi w:val="0"/>
        <w:rPr>
          <w:color w:val="auto"/>
        </w:rPr>
      </w:pPr>
      <w:r>
        <w:rPr>
          <w:rFonts w:hint="eastAsia"/>
          <w:color w:val="auto"/>
        </w:rPr>
        <w:t>6.2.5.浮力≥15KG，最大承重≥220KG；</w:t>
      </w:r>
    </w:p>
    <w:p w14:paraId="6AACE5C0">
      <w:pPr>
        <w:pageBreakBefore w:val="0"/>
        <w:wordWrap w:val="0"/>
        <w:overflowPunct/>
        <w:bidi w:val="0"/>
        <w:rPr>
          <w:color w:val="auto"/>
        </w:rPr>
      </w:pPr>
      <w:r>
        <w:rPr>
          <w:rFonts w:hint="eastAsia"/>
          <w:color w:val="auto"/>
        </w:rPr>
        <w:t>6.2.6.环绕贴≥50mm宽度的逆向反光带。</w:t>
      </w:r>
    </w:p>
    <w:p w14:paraId="0110761B">
      <w:pPr>
        <w:pageBreakBefore w:val="0"/>
        <w:wordWrap w:val="0"/>
        <w:overflowPunct/>
        <w:bidi w:val="0"/>
        <w:rPr>
          <w:color w:val="auto"/>
        </w:rPr>
      </w:pPr>
      <w:r>
        <w:rPr>
          <w:rFonts w:hint="eastAsia"/>
          <w:color w:val="auto"/>
        </w:rPr>
        <w:t>6.3.干式水域救援服</w:t>
      </w:r>
    </w:p>
    <w:p w14:paraId="7FB36E70">
      <w:pPr>
        <w:pageBreakBefore w:val="0"/>
        <w:wordWrap w:val="0"/>
        <w:overflowPunct/>
        <w:bidi w:val="0"/>
        <w:rPr>
          <w:color w:val="auto"/>
        </w:rPr>
      </w:pPr>
      <w:r>
        <w:rPr>
          <w:rFonts w:hint="eastAsia"/>
          <w:color w:val="auto"/>
        </w:rPr>
        <w:t>★6.3.1.总体性能符合市场准入标准要求，提供国家专业机构检测报告。</w:t>
      </w:r>
    </w:p>
    <w:p w14:paraId="10A82287">
      <w:pPr>
        <w:pageBreakBefore w:val="0"/>
        <w:wordWrap w:val="0"/>
        <w:overflowPunct/>
        <w:bidi w:val="0"/>
        <w:rPr>
          <w:color w:val="auto"/>
        </w:rPr>
      </w:pPr>
      <w:r>
        <w:rPr>
          <w:rFonts w:hint="eastAsia"/>
          <w:color w:val="auto"/>
        </w:rPr>
        <w:t>★6.3.2.采用三层复合材质，内部高聚酯材料防水涂层，防水鞋套一体式连接。</w:t>
      </w:r>
    </w:p>
    <w:p w14:paraId="5EDC0990">
      <w:pPr>
        <w:pageBreakBefore w:val="0"/>
        <w:wordWrap w:val="0"/>
        <w:overflowPunct/>
        <w:bidi w:val="0"/>
        <w:rPr>
          <w:color w:val="auto"/>
        </w:rPr>
      </w:pPr>
      <w:r>
        <w:rPr>
          <w:rFonts w:hint="eastAsia"/>
          <w:color w:val="auto"/>
        </w:rPr>
        <w:t>6.3.3.主体颜色为红色，采用高强反光荧光带。</w:t>
      </w:r>
    </w:p>
    <w:p w14:paraId="5217636F">
      <w:pPr>
        <w:pageBreakBefore w:val="0"/>
        <w:wordWrap w:val="0"/>
        <w:overflowPunct/>
        <w:bidi w:val="0"/>
        <w:rPr>
          <w:color w:val="auto"/>
        </w:rPr>
      </w:pPr>
      <w:r>
        <w:rPr>
          <w:rFonts w:hint="eastAsia"/>
          <w:color w:val="auto"/>
        </w:rPr>
        <w:t>6.3.4.上衣肩部拉链设保护盖，胸部为斜拉链，臀、肘和膝盖以及脚踝以下均采用凯夫拉材质加强并设有缓冲层。</w:t>
      </w:r>
    </w:p>
    <w:p w14:paraId="0D402521">
      <w:pPr>
        <w:pageBreakBefore w:val="0"/>
        <w:wordWrap w:val="0"/>
        <w:overflowPunct/>
        <w:bidi w:val="0"/>
        <w:rPr>
          <w:color w:val="auto"/>
        </w:rPr>
      </w:pPr>
      <w:r>
        <w:rPr>
          <w:rFonts w:hint="eastAsia"/>
          <w:color w:val="auto"/>
        </w:rPr>
        <w:t>6.3.5.裆部应设有拉链，且配有保护盖，大腿两侧各设置1个储物包，封口拉链式设计。</w:t>
      </w:r>
    </w:p>
    <w:p w14:paraId="3BB35E47">
      <w:pPr>
        <w:pageBreakBefore w:val="0"/>
        <w:wordWrap w:val="0"/>
        <w:overflowPunct/>
        <w:bidi w:val="0"/>
        <w:rPr>
          <w:color w:val="auto"/>
        </w:rPr>
      </w:pPr>
      <w:r>
        <w:rPr>
          <w:rFonts w:hint="eastAsia"/>
          <w:color w:val="auto"/>
        </w:rPr>
        <w:t>6.3.6.腰部有收紧设计。</w:t>
      </w:r>
    </w:p>
    <w:p w14:paraId="116400FE">
      <w:pPr>
        <w:pageBreakBefore w:val="0"/>
        <w:wordWrap w:val="0"/>
        <w:overflowPunct/>
        <w:bidi w:val="0"/>
        <w:rPr>
          <w:color w:val="auto"/>
        </w:rPr>
      </w:pPr>
      <w:r>
        <w:rPr>
          <w:rFonts w:hint="eastAsia"/>
          <w:color w:val="auto"/>
        </w:rPr>
        <w:t>6.3.7.袖、领硅胶材质，收紧设计。</w:t>
      </w:r>
    </w:p>
    <w:p w14:paraId="587D8901">
      <w:pPr>
        <w:pageBreakBefore w:val="0"/>
        <w:wordWrap w:val="0"/>
        <w:overflowPunct/>
        <w:bidi w:val="0"/>
        <w:rPr>
          <w:color w:val="auto"/>
        </w:rPr>
      </w:pPr>
      <w:r>
        <w:rPr>
          <w:rFonts w:hint="eastAsia"/>
          <w:color w:val="auto"/>
        </w:rPr>
        <w:t>6.3.8.干式服面料洗涤 5 次后，沾水等级≥ 4 级。</w:t>
      </w:r>
    </w:p>
    <w:p w14:paraId="6F2352E9">
      <w:pPr>
        <w:pageBreakBefore w:val="0"/>
        <w:wordWrap w:val="0"/>
        <w:overflowPunct/>
        <w:bidi w:val="0"/>
        <w:rPr>
          <w:color w:val="auto"/>
        </w:rPr>
      </w:pPr>
      <w:r>
        <w:rPr>
          <w:rFonts w:hint="eastAsia"/>
          <w:color w:val="auto"/>
        </w:rPr>
        <w:t>★6.3.9.干式水域救援服面料的透湿率≥5000 g/（m2*24 h）。</w:t>
      </w:r>
    </w:p>
    <w:p w14:paraId="0A09D036">
      <w:pPr>
        <w:pageBreakBefore w:val="0"/>
        <w:wordWrap w:val="0"/>
        <w:overflowPunct/>
        <w:bidi w:val="0"/>
        <w:rPr>
          <w:color w:val="auto"/>
        </w:rPr>
      </w:pPr>
      <w:r>
        <w:rPr>
          <w:rFonts w:hint="eastAsia"/>
          <w:color w:val="auto"/>
        </w:rPr>
        <w:t>6.3.10.干式服所有结构上的连接部位应具备水密性，人员身着救援服在静水中漂浮1h后进水量≤0.2 kg。</w:t>
      </w:r>
    </w:p>
    <w:p w14:paraId="70F6C9FE">
      <w:pPr>
        <w:pageBreakBefore w:val="0"/>
        <w:wordWrap w:val="0"/>
        <w:overflowPunct/>
        <w:bidi w:val="0"/>
        <w:rPr>
          <w:color w:val="auto"/>
        </w:rPr>
      </w:pPr>
      <w:r>
        <w:rPr>
          <w:rFonts w:hint="eastAsia"/>
          <w:color w:val="auto"/>
        </w:rPr>
        <w:t>6.3.11.穿着救援服的受试者经保温性能试验1h后，体温下降≤2℃。</w:t>
      </w:r>
    </w:p>
    <w:p w14:paraId="5EC1D460">
      <w:pPr>
        <w:pageBreakBefore w:val="0"/>
        <w:wordWrap w:val="0"/>
        <w:overflowPunct/>
        <w:bidi w:val="0"/>
        <w:rPr>
          <w:color w:val="auto"/>
        </w:rPr>
      </w:pPr>
      <w:r>
        <w:rPr>
          <w:rFonts w:hint="eastAsia"/>
          <w:color w:val="auto"/>
        </w:rPr>
        <w:t>6.3.12.尺寸及外观：满足甲方需求。</w:t>
      </w:r>
    </w:p>
    <w:p w14:paraId="29CA3DBB">
      <w:pPr>
        <w:pageBreakBefore w:val="0"/>
        <w:wordWrap w:val="0"/>
        <w:overflowPunct/>
        <w:bidi w:val="0"/>
        <w:rPr>
          <w:color w:val="auto"/>
        </w:rPr>
      </w:pPr>
      <w:r>
        <w:rPr>
          <w:rFonts w:hint="eastAsia"/>
          <w:color w:val="auto"/>
        </w:rPr>
        <w:t>6.3.13.配备保暖服1套。</w:t>
      </w:r>
    </w:p>
    <w:p w14:paraId="0C27B07F">
      <w:pPr>
        <w:pageBreakBefore w:val="0"/>
        <w:wordWrap w:val="0"/>
        <w:overflowPunct/>
        <w:bidi w:val="0"/>
        <w:rPr>
          <w:color w:val="auto"/>
        </w:rPr>
      </w:pPr>
      <w:r>
        <w:rPr>
          <w:rFonts w:hint="eastAsia"/>
          <w:color w:val="auto"/>
        </w:rPr>
        <w:t>6.4.湿式水域救援服</w:t>
      </w:r>
    </w:p>
    <w:p w14:paraId="3547EE7A">
      <w:pPr>
        <w:pageBreakBefore w:val="0"/>
        <w:wordWrap w:val="0"/>
        <w:overflowPunct/>
        <w:bidi w:val="0"/>
        <w:rPr>
          <w:color w:val="auto"/>
        </w:rPr>
      </w:pPr>
      <w:r>
        <w:rPr>
          <w:rFonts w:hint="eastAsia"/>
          <w:color w:val="auto"/>
        </w:rPr>
        <w:t>★6.4.1.上衣和中腰裤两件套救援服（按需求方要求提供连体或分体），≥3mm带有钛涂层的氯丁橡胶材质。</w:t>
      </w:r>
    </w:p>
    <w:p w14:paraId="6190EFB0">
      <w:pPr>
        <w:pageBreakBefore w:val="0"/>
        <w:wordWrap w:val="0"/>
        <w:overflowPunct/>
        <w:bidi w:val="0"/>
        <w:rPr>
          <w:color w:val="auto"/>
        </w:rPr>
      </w:pPr>
      <w:r>
        <w:rPr>
          <w:rFonts w:hint="eastAsia"/>
          <w:color w:val="auto"/>
        </w:rPr>
        <w:t>6.4.2.所有的缝线处用暗针缝制，做加固压胶处理；</w:t>
      </w:r>
    </w:p>
    <w:p w14:paraId="1A91B999">
      <w:pPr>
        <w:pageBreakBefore w:val="0"/>
        <w:wordWrap w:val="0"/>
        <w:overflowPunct/>
        <w:bidi w:val="0"/>
        <w:rPr>
          <w:color w:val="auto"/>
        </w:rPr>
      </w:pPr>
      <w:r>
        <w:rPr>
          <w:rFonts w:hint="eastAsia"/>
          <w:color w:val="auto"/>
        </w:rPr>
        <w:t>★6.4.3.在膝盖和小腿、臀部处有凯夫拉材质补强设计，补强部位厚度≥5.0mm；</w:t>
      </w:r>
    </w:p>
    <w:p w14:paraId="5392E26C">
      <w:pPr>
        <w:pageBreakBefore w:val="0"/>
        <w:wordWrap w:val="0"/>
        <w:overflowPunct/>
        <w:bidi w:val="0"/>
        <w:rPr>
          <w:color w:val="auto"/>
        </w:rPr>
      </w:pPr>
      <w:r>
        <w:rPr>
          <w:rFonts w:hint="eastAsia"/>
          <w:color w:val="auto"/>
        </w:rPr>
        <w:t>6.4.4.手臂和腿部有荧光反射区；</w:t>
      </w:r>
    </w:p>
    <w:p w14:paraId="54DDDDDA">
      <w:pPr>
        <w:pageBreakBefore w:val="0"/>
        <w:wordWrap w:val="0"/>
        <w:overflowPunct/>
        <w:bidi w:val="0"/>
        <w:rPr>
          <w:color w:val="auto"/>
        </w:rPr>
      </w:pPr>
      <w:r>
        <w:rPr>
          <w:rFonts w:hint="eastAsia"/>
          <w:color w:val="auto"/>
        </w:rPr>
        <w:t>6.4.5.腿部两侧各设置1个口袋，封口拉链式设计。</w:t>
      </w:r>
    </w:p>
    <w:p w14:paraId="397BCA4A">
      <w:pPr>
        <w:pageBreakBefore w:val="0"/>
        <w:wordWrap w:val="0"/>
        <w:overflowPunct/>
        <w:bidi w:val="0"/>
        <w:rPr>
          <w:color w:val="auto"/>
        </w:rPr>
      </w:pPr>
      <w:r>
        <w:rPr>
          <w:rFonts w:hint="eastAsia"/>
          <w:color w:val="auto"/>
        </w:rPr>
        <w:t>6.4.6.袖口和裤口侧面收紧式拉链设计。</w:t>
      </w:r>
    </w:p>
    <w:p w14:paraId="0439B5C3">
      <w:pPr>
        <w:pageBreakBefore w:val="0"/>
        <w:wordWrap w:val="0"/>
        <w:overflowPunct/>
        <w:bidi w:val="0"/>
        <w:rPr>
          <w:color w:val="auto"/>
        </w:rPr>
      </w:pPr>
      <w:r>
        <w:rPr>
          <w:rFonts w:hint="eastAsia"/>
          <w:color w:val="auto"/>
        </w:rPr>
        <w:t>6.4.7.尺寸及外观：满足甲方需求。</w:t>
      </w:r>
      <w:r>
        <w:rPr>
          <w:rFonts w:hint="eastAsia"/>
          <w:color w:val="auto"/>
        </w:rPr>
        <w:br w:type="page"/>
      </w:r>
    </w:p>
    <w:p w14:paraId="2F864BFD">
      <w:pPr>
        <w:pageBreakBefore w:val="0"/>
        <w:wordWrap w:val="0"/>
        <w:overflowPunct/>
        <w:bidi w:val="0"/>
        <w:ind w:firstLine="482"/>
        <w:rPr>
          <w:b/>
          <w:bCs/>
          <w:color w:val="auto"/>
          <w:sz w:val="24"/>
          <w:szCs w:val="24"/>
        </w:rPr>
      </w:pPr>
      <w:r>
        <w:rPr>
          <w:rFonts w:hint="eastAsia"/>
          <w:b/>
          <w:bCs/>
          <w:color w:val="auto"/>
          <w:sz w:val="24"/>
          <w:szCs w:val="24"/>
        </w:rPr>
        <w:t>14标包，3辆前突模块E皮卡车，预算价：76.62万元</w:t>
      </w:r>
    </w:p>
    <w:p w14:paraId="0D5C10E5">
      <w:pPr>
        <w:pageBreakBefore w:val="0"/>
        <w:wordWrap w:val="0"/>
        <w:overflowPunct/>
        <w:bidi w:val="0"/>
        <w:rPr>
          <w:color w:val="auto"/>
        </w:rPr>
      </w:pPr>
      <w:r>
        <w:rPr>
          <w:rFonts w:hint="eastAsia"/>
          <w:color w:val="auto"/>
        </w:rPr>
        <w:t>1.基本要求</w:t>
      </w:r>
    </w:p>
    <w:p w14:paraId="5682F0EB">
      <w:pPr>
        <w:pageBreakBefore w:val="0"/>
        <w:wordWrap w:val="0"/>
        <w:overflowPunct/>
        <w:bidi w:val="0"/>
        <w:rPr>
          <w:color w:val="auto"/>
        </w:rPr>
      </w:pPr>
      <w:r>
        <w:rPr>
          <w:rFonts w:hint="eastAsia"/>
          <w:color w:val="auto"/>
        </w:rPr>
        <w:t>1.1执行标准：《消防车 第1部分：通用技术标准》（GB 7956.1-2014），应答标车辆需取得工信部公告。</w:t>
      </w:r>
    </w:p>
    <w:p w14:paraId="50B285C3">
      <w:pPr>
        <w:pageBreakBefore w:val="0"/>
        <w:wordWrap w:val="0"/>
        <w:overflowPunct/>
        <w:bidi w:val="0"/>
        <w:rPr>
          <w:color w:val="auto"/>
        </w:rPr>
      </w:pPr>
      <w:r>
        <w:rPr>
          <w:rFonts w:hint="eastAsia"/>
          <w:color w:val="auto"/>
        </w:rPr>
        <w:t>1.2额定载人数：≥5人。</w:t>
      </w:r>
    </w:p>
    <w:p w14:paraId="34AF9C85">
      <w:pPr>
        <w:pageBreakBefore w:val="0"/>
        <w:wordWrap w:val="0"/>
        <w:overflowPunct/>
        <w:bidi w:val="0"/>
        <w:rPr>
          <w:color w:val="auto"/>
        </w:rPr>
      </w:pPr>
      <w:r>
        <w:rPr>
          <w:rFonts w:hint="eastAsia"/>
          <w:color w:val="auto"/>
        </w:rPr>
        <w:t>1.3最高车速：≥130Km/h。</w:t>
      </w:r>
    </w:p>
    <w:p w14:paraId="74FCF34C">
      <w:pPr>
        <w:pageBreakBefore w:val="0"/>
        <w:wordWrap w:val="0"/>
        <w:overflowPunct/>
        <w:bidi w:val="0"/>
        <w:rPr>
          <w:color w:val="auto"/>
        </w:rPr>
      </w:pPr>
      <w:r>
        <w:rPr>
          <w:rFonts w:hint="eastAsia"/>
          <w:color w:val="auto"/>
        </w:rPr>
        <w:t>1.4车型：双排加长货厢高底皮卡车。</w:t>
      </w:r>
    </w:p>
    <w:p w14:paraId="36138848">
      <w:pPr>
        <w:pageBreakBefore w:val="0"/>
        <w:wordWrap w:val="0"/>
        <w:overflowPunct/>
        <w:bidi w:val="0"/>
        <w:rPr>
          <w:color w:val="auto"/>
        </w:rPr>
      </w:pPr>
      <w:r>
        <w:rPr>
          <w:rFonts w:hint="eastAsia"/>
          <w:color w:val="auto"/>
        </w:rPr>
        <w:t>1.5车辆资质：取得国家级检测机构出具的整车检验合格报告。</w:t>
      </w:r>
    </w:p>
    <w:p w14:paraId="4928F8DC">
      <w:pPr>
        <w:pageBreakBefore w:val="0"/>
        <w:wordWrap w:val="0"/>
        <w:overflowPunct/>
        <w:bidi w:val="0"/>
        <w:rPr>
          <w:color w:val="auto"/>
        </w:rPr>
      </w:pPr>
      <w:r>
        <w:rPr>
          <w:rFonts w:hint="eastAsia"/>
          <w:color w:val="auto"/>
        </w:rPr>
        <w:t>2.底盘要求</w:t>
      </w:r>
    </w:p>
    <w:p w14:paraId="2E6B426B">
      <w:pPr>
        <w:pageBreakBefore w:val="0"/>
        <w:wordWrap w:val="0"/>
        <w:overflowPunct/>
        <w:bidi w:val="0"/>
        <w:rPr>
          <w:color w:val="auto"/>
        </w:rPr>
      </w:pPr>
      <w:r>
        <w:rPr>
          <w:rFonts w:hint="eastAsia"/>
          <w:color w:val="auto"/>
        </w:rPr>
        <w:t>★2.1发动机最大功率：≥120KW。</w:t>
      </w:r>
    </w:p>
    <w:p w14:paraId="5AF6A6BB">
      <w:pPr>
        <w:pageBreakBefore w:val="0"/>
        <w:wordWrap w:val="0"/>
        <w:overflowPunct/>
        <w:bidi w:val="0"/>
        <w:rPr>
          <w:color w:val="auto"/>
        </w:rPr>
      </w:pPr>
      <w:r>
        <w:rPr>
          <w:rFonts w:hint="eastAsia"/>
          <w:color w:val="auto"/>
        </w:rPr>
        <w:t>★2.2发动机形式：涡轮增压柴油发动机，排量≥2.0L。</w:t>
      </w:r>
    </w:p>
    <w:p w14:paraId="2EAC4F92">
      <w:pPr>
        <w:pageBreakBefore w:val="0"/>
        <w:wordWrap w:val="0"/>
        <w:overflowPunct/>
        <w:bidi w:val="0"/>
        <w:rPr>
          <w:color w:val="auto"/>
        </w:rPr>
      </w:pPr>
      <w:r>
        <w:rPr>
          <w:rFonts w:hint="eastAsia"/>
          <w:color w:val="auto"/>
        </w:rPr>
        <w:t>★2.3驱动模式：4×4（电控分时四驱，后桥差速锁）。</w:t>
      </w:r>
    </w:p>
    <w:p w14:paraId="6C4E3510">
      <w:pPr>
        <w:pageBreakBefore w:val="0"/>
        <w:wordWrap w:val="0"/>
        <w:overflowPunct/>
        <w:bidi w:val="0"/>
        <w:rPr>
          <w:color w:val="auto"/>
        </w:rPr>
      </w:pPr>
      <w:r>
        <w:rPr>
          <w:rFonts w:hint="eastAsia"/>
          <w:color w:val="auto"/>
        </w:rPr>
        <w:t>2.4制动：前/后制动器为通风盘式，配备ABS防抱死、制动力分配、刹车辅助、牵引力控制等。</w:t>
      </w:r>
    </w:p>
    <w:p w14:paraId="63AEDADD">
      <w:pPr>
        <w:pageBreakBefore w:val="0"/>
        <w:wordWrap w:val="0"/>
        <w:overflowPunct/>
        <w:bidi w:val="0"/>
        <w:rPr>
          <w:color w:val="auto"/>
        </w:rPr>
      </w:pPr>
      <w:r>
        <w:rPr>
          <w:rFonts w:hint="eastAsia"/>
          <w:color w:val="auto"/>
        </w:rPr>
        <w:t>2.5悬挂形式：前悬架为双叉臂独立悬架、后悬架为全渐变钢板弹簧非独立悬架或优于此两种形式。</w:t>
      </w:r>
    </w:p>
    <w:p w14:paraId="58F74BA5">
      <w:pPr>
        <w:pageBreakBefore w:val="0"/>
        <w:wordWrap w:val="0"/>
        <w:overflowPunct/>
        <w:bidi w:val="0"/>
        <w:rPr>
          <w:color w:val="auto"/>
        </w:rPr>
      </w:pPr>
      <w:r>
        <w:rPr>
          <w:rFonts w:hint="eastAsia"/>
          <w:color w:val="auto"/>
        </w:rPr>
        <w:t>2.6排放：符合中国国家机动车现行排放标准。</w:t>
      </w:r>
    </w:p>
    <w:p w14:paraId="67CF91A8">
      <w:pPr>
        <w:pageBreakBefore w:val="0"/>
        <w:wordWrap w:val="0"/>
        <w:overflowPunct/>
        <w:bidi w:val="0"/>
        <w:rPr>
          <w:color w:val="auto"/>
        </w:rPr>
      </w:pPr>
      <w:r>
        <w:rPr>
          <w:rFonts w:hint="eastAsia"/>
          <w:color w:val="auto"/>
        </w:rPr>
        <w:t>2.7车辆尺寸（长*宽*高）：≥5300mm×1800mm×1800mm。</w:t>
      </w:r>
    </w:p>
    <w:p w14:paraId="06A6D537">
      <w:pPr>
        <w:pageBreakBefore w:val="0"/>
        <w:wordWrap w:val="0"/>
        <w:overflowPunct/>
        <w:bidi w:val="0"/>
        <w:rPr>
          <w:color w:val="auto"/>
        </w:rPr>
      </w:pPr>
      <w:r>
        <w:rPr>
          <w:rFonts w:hint="eastAsia"/>
          <w:color w:val="auto"/>
        </w:rPr>
        <w:t>2.8轮胎：越野AT轮胎（含备胎）。</w:t>
      </w:r>
    </w:p>
    <w:p w14:paraId="0F3F4513">
      <w:pPr>
        <w:pageBreakBefore w:val="0"/>
        <w:wordWrap w:val="0"/>
        <w:overflowPunct/>
        <w:bidi w:val="0"/>
        <w:rPr>
          <w:color w:val="auto"/>
        </w:rPr>
      </w:pPr>
      <w:r>
        <w:rPr>
          <w:rFonts w:hint="eastAsia"/>
          <w:color w:val="auto"/>
        </w:rPr>
        <w:t>2.9近远光灯：LED</w:t>
      </w:r>
    </w:p>
    <w:p w14:paraId="5F3BA01C">
      <w:pPr>
        <w:pageBreakBefore w:val="0"/>
        <w:wordWrap w:val="0"/>
        <w:overflowPunct/>
        <w:bidi w:val="0"/>
        <w:rPr>
          <w:color w:val="auto"/>
        </w:rPr>
      </w:pPr>
      <w:r>
        <w:rPr>
          <w:rFonts w:hint="eastAsia"/>
          <w:color w:val="auto"/>
        </w:rPr>
        <w:t>3.配置要求</w:t>
      </w:r>
    </w:p>
    <w:p w14:paraId="009F3D30">
      <w:pPr>
        <w:pageBreakBefore w:val="0"/>
        <w:wordWrap w:val="0"/>
        <w:overflowPunct/>
        <w:bidi w:val="0"/>
        <w:rPr>
          <w:color w:val="auto"/>
        </w:rPr>
      </w:pPr>
      <w:r>
        <w:rPr>
          <w:rFonts w:hint="eastAsia"/>
          <w:color w:val="auto"/>
        </w:rPr>
        <w:t>★3.1安全装备：主/副驾驶座安全气囊、胎压监测装置、安全带未系提示。</w:t>
      </w:r>
    </w:p>
    <w:p w14:paraId="25B93D16">
      <w:pPr>
        <w:pageBreakBefore w:val="0"/>
        <w:wordWrap w:val="0"/>
        <w:overflowPunct/>
        <w:bidi w:val="0"/>
        <w:rPr>
          <w:color w:val="auto"/>
        </w:rPr>
      </w:pPr>
      <w:r>
        <w:rPr>
          <w:rFonts w:hint="eastAsia"/>
          <w:color w:val="auto"/>
        </w:rPr>
        <w:t>3.2操控配置：安装360度全景影像，含前后可视行车记录仪，含倒车雷达，存储卡≥128G、高清显示屏≥9英寸、定速巡航、上坡辅助、陡坡缓降等。</w:t>
      </w:r>
    </w:p>
    <w:p w14:paraId="3F5B0FFF">
      <w:pPr>
        <w:pageBreakBefore w:val="0"/>
        <w:wordWrap w:val="0"/>
        <w:overflowPunct/>
        <w:bidi w:val="0"/>
        <w:rPr>
          <w:color w:val="auto"/>
        </w:rPr>
      </w:pPr>
      <w:r>
        <w:rPr>
          <w:rFonts w:hint="eastAsia"/>
          <w:color w:val="auto"/>
        </w:rPr>
        <w:t>3.3内部配置：车内中控锁、遥控钥匙、织物座椅、多功能皮质方向盘、行车电脑显示屏、座椅高低调节、前后电动车窗、后视镜电动调节等，所有座位均配备安全带。</w:t>
      </w:r>
    </w:p>
    <w:p w14:paraId="533738F2">
      <w:pPr>
        <w:pageBreakBefore w:val="0"/>
        <w:wordWrap w:val="0"/>
        <w:overflowPunct/>
        <w:bidi w:val="0"/>
        <w:rPr>
          <w:color w:val="auto"/>
        </w:rPr>
      </w:pPr>
      <w:r>
        <w:rPr>
          <w:rFonts w:hint="eastAsia"/>
          <w:color w:val="auto"/>
        </w:rPr>
        <w:t>3.4其他配置：加装副电瓶，具有前雾灯、大灯照射角度可调等功能。</w:t>
      </w:r>
    </w:p>
    <w:p w14:paraId="74E561BB">
      <w:pPr>
        <w:pageBreakBefore w:val="0"/>
        <w:wordWrap w:val="0"/>
        <w:overflowPunct/>
        <w:bidi w:val="0"/>
        <w:rPr>
          <w:color w:val="auto"/>
        </w:rPr>
      </w:pPr>
      <w:r>
        <w:rPr>
          <w:rFonts w:hint="eastAsia"/>
          <w:color w:val="auto"/>
        </w:rPr>
        <w:t>3.5保险杠：前后均为金属材质越野型。</w:t>
      </w:r>
    </w:p>
    <w:p w14:paraId="3EA83FCD">
      <w:pPr>
        <w:pageBreakBefore w:val="0"/>
        <w:wordWrap w:val="0"/>
        <w:overflowPunct/>
        <w:bidi w:val="0"/>
        <w:rPr>
          <w:color w:val="auto"/>
        </w:rPr>
      </w:pPr>
      <w:r>
        <w:rPr>
          <w:rFonts w:hint="eastAsia"/>
          <w:color w:val="auto"/>
        </w:rPr>
        <w:t>3.6后拖杠：出厂具备牵引资质，集成拖车方口，牵引重量≥2T。</w:t>
      </w:r>
    </w:p>
    <w:p w14:paraId="773B85A1">
      <w:pPr>
        <w:pageBreakBefore w:val="0"/>
        <w:wordWrap w:val="0"/>
        <w:overflowPunct/>
        <w:bidi w:val="0"/>
        <w:rPr>
          <w:color w:val="auto"/>
        </w:rPr>
      </w:pPr>
      <w:r>
        <w:rPr>
          <w:rFonts w:hint="eastAsia"/>
          <w:color w:val="auto"/>
        </w:rPr>
        <w:t>4.加装要求</w:t>
      </w:r>
    </w:p>
    <w:p w14:paraId="199D0AB1">
      <w:pPr>
        <w:pageBreakBefore w:val="0"/>
        <w:wordWrap w:val="0"/>
        <w:overflowPunct/>
        <w:bidi w:val="0"/>
        <w:rPr>
          <w:color w:val="auto"/>
        </w:rPr>
      </w:pPr>
      <w:r>
        <w:rPr>
          <w:rFonts w:hint="eastAsia"/>
          <w:color w:val="auto"/>
        </w:rPr>
        <w:t>★4.1绞盘：车辆前方加装电动绞盘，具备快速释放功能，防水防尘等级≥IP65，配备有线绞盘控制手柄，钢绳长度≥20m，末端带吊钩，拉力≥2.8T，且不能小于车辆最大总质量。</w:t>
      </w:r>
    </w:p>
    <w:p w14:paraId="6A4D2500">
      <w:pPr>
        <w:pageBreakBefore w:val="0"/>
        <w:wordWrap w:val="0"/>
        <w:overflowPunct/>
        <w:bidi w:val="0"/>
        <w:rPr>
          <w:color w:val="auto"/>
        </w:rPr>
      </w:pPr>
      <w:r>
        <w:rPr>
          <w:rFonts w:hint="eastAsia"/>
          <w:color w:val="auto"/>
        </w:rPr>
        <w:t>4.2货厢：金属材质，全封闭后开口式，高度与车顶警灯平齐，具有防水功能，后方设置上掀门，货厢内部根据需求方要求设置旋转、推拉、滑轨、抽屉等形式器材架，器材架样式需与需求方达成一致。</w:t>
      </w:r>
    </w:p>
    <w:p w14:paraId="4E76C8CA">
      <w:pPr>
        <w:pageBreakBefore w:val="0"/>
        <w:wordWrap w:val="0"/>
        <w:overflowPunct/>
        <w:bidi w:val="0"/>
        <w:rPr>
          <w:color w:val="auto"/>
        </w:rPr>
      </w:pPr>
      <w:r>
        <w:rPr>
          <w:rFonts w:hint="eastAsia"/>
          <w:color w:val="auto"/>
        </w:rPr>
        <w:t>4.3车顶行李架：金属材质，延伸至货厢，承重≥400KG。</w:t>
      </w:r>
    </w:p>
    <w:p w14:paraId="7B8F2415">
      <w:pPr>
        <w:pageBreakBefore w:val="0"/>
        <w:wordWrap w:val="0"/>
        <w:overflowPunct/>
        <w:bidi w:val="0"/>
        <w:rPr>
          <w:color w:val="auto"/>
        </w:rPr>
      </w:pPr>
      <w:r>
        <w:rPr>
          <w:rFonts w:hint="eastAsia"/>
          <w:color w:val="auto"/>
        </w:rPr>
        <w:t>★4.4探照灯：安装于车顶前方，LED,数量≥4个，总功率≥400W，独立电源。</w:t>
      </w:r>
    </w:p>
    <w:p w14:paraId="1D8BB991">
      <w:pPr>
        <w:pageBreakBefore w:val="0"/>
        <w:wordWrap w:val="0"/>
        <w:overflowPunct/>
        <w:bidi w:val="0"/>
        <w:rPr>
          <w:color w:val="auto"/>
        </w:rPr>
      </w:pPr>
      <w:r>
        <w:rPr>
          <w:rFonts w:hint="eastAsia"/>
          <w:color w:val="auto"/>
        </w:rPr>
        <w:t>4.5整车标识：按消防救援车辆外观制式涂装要求进行涂装。车辆涂装符合《国家综合性消防救援车辆外观制式涂装规范》。</w:t>
      </w:r>
    </w:p>
    <w:p w14:paraId="016863D1">
      <w:pPr>
        <w:pageBreakBefore w:val="0"/>
        <w:wordWrap w:val="0"/>
        <w:overflowPunct/>
        <w:bidi w:val="0"/>
        <w:rPr>
          <w:color w:val="auto"/>
        </w:rPr>
      </w:pPr>
      <w:r>
        <w:rPr>
          <w:rFonts w:hint="eastAsia"/>
          <w:color w:val="auto"/>
        </w:rPr>
        <w:t>4.6警灯：符合应急管理部相关标准。</w:t>
      </w:r>
    </w:p>
    <w:p w14:paraId="494B7B1A">
      <w:pPr>
        <w:pageBreakBefore w:val="0"/>
        <w:wordWrap w:val="0"/>
        <w:overflowPunct/>
        <w:bidi w:val="0"/>
        <w:rPr>
          <w:color w:val="auto"/>
        </w:rPr>
      </w:pPr>
      <w:r>
        <w:rPr>
          <w:rFonts w:hint="eastAsia"/>
          <w:color w:val="auto"/>
        </w:rPr>
        <w:t>5.其他要求：配有随车工具、备胎等常用随车器材、随车资料附说明书、车架号和底盘号拓印件、底盘保修卡、车辆配置设备说明书、车辆一致性证书1份、底盘合格证1份。</w:t>
      </w:r>
    </w:p>
    <w:p w14:paraId="2AD20A64">
      <w:pPr>
        <w:pageBreakBefore w:val="0"/>
        <w:wordWrap w:val="0"/>
        <w:overflowPunct/>
        <w:bidi w:val="0"/>
        <w:rPr>
          <w:color w:val="auto"/>
        </w:rPr>
      </w:pPr>
      <w:r>
        <w:rPr>
          <w:rFonts w:hint="eastAsia"/>
          <w:color w:val="auto"/>
        </w:rPr>
        <w:t>★6.随车器材包含激流救生衣套装≥6件、救生圈≥2个，移动发电机≥1台、手提式强光照明灯≥5个、机动链锯≥1台、湿式水域救援服≥5件。</w:t>
      </w:r>
    </w:p>
    <w:p w14:paraId="6DF258B2">
      <w:pPr>
        <w:pageBreakBefore w:val="0"/>
        <w:wordWrap w:val="0"/>
        <w:overflowPunct/>
        <w:bidi w:val="0"/>
        <w:rPr>
          <w:color w:val="auto"/>
        </w:rPr>
      </w:pPr>
      <w:r>
        <w:rPr>
          <w:rFonts w:hint="eastAsia"/>
          <w:color w:val="auto"/>
        </w:rPr>
        <w:t>6.1.激流救生衣套装</w:t>
      </w:r>
    </w:p>
    <w:p w14:paraId="609D11C0">
      <w:pPr>
        <w:pageBreakBefore w:val="0"/>
        <w:wordWrap w:val="0"/>
        <w:overflowPunct/>
        <w:bidi w:val="0"/>
        <w:rPr>
          <w:color w:val="auto"/>
        </w:rPr>
      </w:pPr>
      <w:r>
        <w:rPr>
          <w:rFonts w:hint="eastAsia"/>
          <w:color w:val="auto"/>
        </w:rPr>
        <w:t>★6.1.1材质：采用或优于尼龙布，不吸水，保温性能强；</w:t>
      </w:r>
    </w:p>
    <w:p w14:paraId="7A0327C7">
      <w:pPr>
        <w:pageBreakBefore w:val="0"/>
        <w:wordWrap w:val="0"/>
        <w:overflowPunct/>
        <w:bidi w:val="0"/>
        <w:rPr>
          <w:color w:val="auto"/>
        </w:rPr>
      </w:pPr>
      <w:r>
        <w:rPr>
          <w:rFonts w:hint="eastAsia"/>
          <w:color w:val="auto"/>
        </w:rPr>
        <w:t>★6.1.1.2救生衣固有浮力为 ≥150N，≤ 180N，救生衣在淡水中浸泡 24h 后，其浮力损失≤ 2%；</w:t>
      </w:r>
    </w:p>
    <w:p w14:paraId="19C58418">
      <w:pPr>
        <w:pageBreakBefore w:val="0"/>
        <w:wordWrap w:val="0"/>
        <w:overflowPunct/>
        <w:bidi w:val="0"/>
        <w:rPr>
          <w:color w:val="auto"/>
        </w:rPr>
      </w:pPr>
      <w:r>
        <w:rPr>
          <w:rFonts w:hint="eastAsia"/>
          <w:color w:val="auto"/>
        </w:rPr>
        <w:t>★6.1.1.3快脱带在系紧状态下能承受≤2500N 的拉力而不发生误开启；</w:t>
      </w:r>
    </w:p>
    <w:p w14:paraId="79A712ED">
      <w:pPr>
        <w:pageBreakBefore w:val="0"/>
        <w:wordWrap w:val="0"/>
        <w:overflowPunct/>
        <w:bidi w:val="0"/>
        <w:rPr>
          <w:color w:val="auto"/>
        </w:rPr>
      </w:pPr>
      <w:r>
        <w:rPr>
          <w:rFonts w:hint="eastAsia"/>
          <w:color w:val="auto"/>
        </w:rPr>
        <w:t>6.1.1.4人员穿着救生衣以任意方式下水，救生衣能在≤5s 内使人体处于直立姿态。</w:t>
      </w:r>
    </w:p>
    <w:p w14:paraId="29879164">
      <w:pPr>
        <w:pageBreakBefore w:val="0"/>
        <w:wordWrap w:val="0"/>
        <w:overflowPunct/>
        <w:bidi w:val="0"/>
        <w:rPr>
          <w:color w:val="auto"/>
        </w:rPr>
      </w:pPr>
      <w:r>
        <w:rPr>
          <w:rFonts w:hint="eastAsia"/>
          <w:color w:val="auto"/>
        </w:rPr>
        <w:t>★6.1.1.5救生衣衣身能承受≥3200N 的作用力 30min 而不损坏；</w:t>
      </w:r>
    </w:p>
    <w:p w14:paraId="047A36A9">
      <w:pPr>
        <w:pageBreakBefore w:val="0"/>
        <w:wordWrap w:val="0"/>
        <w:overflowPunct/>
        <w:bidi w:val="0"/>
        <w:rPr>
          <w:color w:val="auto"/>
        </w:rPr>
      </w:pPr>
      <w:r>
        <w:rPr>
          <w:rFonts w:hint="eastAsia"/>
          <w:color w:val="auto"/>
        </w:rPr>
        <w:t>6.1.1.6颜色：红色；</w:t>
      </w:r>
    </w:p>
    <w:p w14:paraId="695B8DC4">
      <w:pPr>
        <w:pageBreakBefore w:val="0"/>
        <w:wordWrap w:val="0"/>
        <w:overflowPunct/>
        <w:bidi w:val="0"/>
        <w:rPr>
          <w:color w:val="auto"/>
        </w:rPr>
      </w:pPr>
      <w:r>
        <w:rPr>
          <w:rFonts w:hint="eastAsia"/>
          <w:color w:val="auto"/>
        </w:rPr>
        <w:t>6.1.1.7救生衣重量≤3kg；</w:t>
      </w:r>
    </w:p>
    <w:p w14:paraId="0ABA5B40">
      <w:pPr>
        <w:pageBreakBefore w:val="0"/>
        <w:wordWrap w:val="0"/>
        <w:overflowPunct/>
        <w:bidi w:val="0"/>
        <w:rPr>
          <w:color w:val="auto"/>
        </w:rPr>
      </w:pPr>
      <w:r>
        <w:rPr>
          <w:rFonts w:hint="eastAsia"/>
          <w:color w:val="auto"/>
        </w:rPr>
        <w:t>6.1.1.8浮力马甲胸襟使用双插扣及拉链加强。</w:t>
      </w:r>
    </w:p>
    <w:p w14:paraId="2560588E">
      <w:pPr>
        <w:pageBreakBefore w:val="0"/>
        <w:wordWrap w:val="0"/>
        <w:overflowPunct/>
        <w:bidi w:val="0"/>
        <w:rPr>
          <w:color w:val="auto"/>
        </w:rPr>
      </w:pPr>
      <w:r>
        <w:rPr>
          <w:rFonts w:hint="eastAsia"/>
          <w:color w:val="auto"/>
        </w:rPr>
        <w:t>★6.1.1.9浮力马甲≥4 点调节，浮力马甲前后≥10 个救援战术拓展外挂点（≥6 个 D 型挂点、≥4 个织带挂点），挂载口哨、荧光棒、定位灯等多种配件、预留手台挂载配件；</w:t>
      </w:r>
    </w:p>
    <w:p w14:paraId="65682DDB">
      <w:pPr>
        <w:pageBreakBefore w:val="0"/>
        <w:wordWrap w:val="0"/>
        <w:overflowPunct/>
        <w:bidi w:val="0"/>
        <w:rPr>
          <w:color w:val="auto"/>
        </w:rPr>
      </w:pPr>
      <w:r>
        <w:rPr>
          <w:rFonts w:hint="eastAsia"/>
          <w:color w:val="auto"/>
        </w:rPr>
        <w:t>6.1.1.10救生衣背面应设置松紧带式荧光棒插槽，领后应配有轻型可拖拽把手；救生衣胸前设计魔术贴，可贴队标、姓名贴；胸襟两侧及背后应有≥5 条标准反光带，便于夜间救援；</w:t>
      </w:r>
    </w:p>
    <w:p w14:paraId="5FB9207B">
      <w:pPr>
        <w:pageBreakBefore w:val="0"/>
        <w:wordWrap w:val="0"/>
        <w:overflowPunct/>
        <w:bidi w:val="0"/>
        <w:rPr>
          <w:color w:val="auto"/>
        </w:rPr>
      </w:pPr>
      <w:r>
        <w:rPr>
          <w:rFonts w:hint="eastAsia"/>
          <w:color w:val="auto"/>
        </w:rPr>
        <w:t>6.1.1.11自带逃离装置：环绕胸部的快速释放救生带附带不锈钢O 型环；</w:t>
      </w:r>
    </w:p>
    <w:p w14:paraId="7C3AE193">
      <w:pPr>
        <w:pageBreakBefore w:val="0"/>
        <w:wordWrap w:val="0"/>
        <w:overflowPunct/>
        <w:bidi w:val="0"/>
        <w:rPr>
          <w:color w:val="auto"/>
        </w:rPr>
      </w:pPr>
      <w:r>
        <w:rPr>
          <w:rFonts w:hint="eastAsia"/>
          <w:color w:val="auto"/>
        </w:rPr>
        <w:t>6.1.1.12前端设置两个耐磨材料排水口袋；</w:t>
      </w:r>
    </w:p>
    <w:p w14:paraId="764E7DC0">
      <w:pPr>
        <w:pageBreakBefore w:val="0"/>
        <w:wordWrap w:val="0"/>
        <w:overflowPunct/>
        <w:bidi w:val="0"/>
        <w:rPr>
          <w:color w:val="auto"/>
        </w:rPr>
      </w:pPr>
      <w:r>
        <w:rPr>
          <w:rFonts w:hint="eastAsia"/>
          <w:color w:val="auto"/>
        </w:rPr>
        <w:t>6.1.1.13环绕腰部的抛绳包应配有快速释放带，可挂载专用抛绳包；</w:t>
      </w:r>
    </w:p>
    <w:p w14:paraId="36DFED75">
      <w:pPr>
        <w:pageBreakBefore w:val="0"/>
        <w:wordWrap w:val="0"/>
        <w:overflowPunct/>
        <w:bidi w:val="0"/>
        <w:rPr>
          <w:color w:val="auto"/>
        </w:rPr>
      </w:pPr>
      <w:r>
        <w:rPr>
          <w:rFonts w:hint="eastAsia"/>
          <w:color w:val="auto"/>
        </w:rPr>
        <w:t>★6.1.1.14救生衣配件：牛尾绳：缝合终端，静态长度≥70cm，伸展后≥100 cm。</w:t>
      </w:r>
    </w:p>
    <w:p w14:paraId="2CE5F00A">
      <w:pPr>
        <w:pageBreakBefore w:val="0"/>
        <w:wordWrap w:val="0"/>
        <w:overflowPunct/>
        <w:bidi w:val="0"/>
        <w:rPr>
          <w:color w:val="auto"/>
        </w:rPr>
      </w:pPr>
      <w:r>
        <w:rPr>
          <w:rFonts w:hint="eastAsia"/>
          <w:color w:val="auto"/>
        </w:rPr>
        <w:t>6.1.1.15配备高音哨、频闪灯、可调节裆带。</w:t>
      </w:r>
    </w:p>
    <w:p w14:paraId="08B1A3AA">
      <w:pPr>
        <w:pageBreakBefore w:val="0"/>
        <w:wordWrap w:val="0"/>
        <w:overflowPunct/>
        <w:bidi w:val="0"/>
        <w:rPr>
          <w:color w:val="auto"/>
        </w:rPr>
      </w:pPr>
      <w:r>
        <w:rPr>
          <w:rFonts w:hint="eastAsia"/>
          <w:color w:val="auto"/>
        </w:rPr>
        <w:t>6.1.1.16供货时尺码需与需求方达成一致。</w:t>
      </w:r>
    </w:p>
    <w:p w14:paraId="18FC734E">
      <w:pPr>
        <w:pageBreakBefore w:val="0"/>
        <w:wordWrap w:val="0"/>
        <w:overflowPunct/>
        <w:bidi w:val="0"/>
        <w:rPr>
          <w:color w:val="auto"/>
        </w:rPr>
      </w:pPr>
      <w:r>
        <w:rPr>
          <w:rFonts w:hint="eastAsia"/>
          <w:color w:val="auto"/>
        </w:rPr>
        <w:t>6.1.2.抛绳包</w:t>
      </w:r>
    </w:p>
    <w:p w14:paraId="5152B583">
      <w:pPr>
        <w:pageBreakBefore w:val="0"/>
        <w:wordWrap w:val="0"/>
        <w:overflowPunct/>
        <w:bidi w:val="0"/>
        <w:rPr>
          <w:color w:val="auto"/>
        </w:rPr>
      </w:pPr>
      <w:r>
        <w:rPr>
          <w:rFonts w:hint="eastAsia"/>
          <w:color w:val="auto"/>
        </w:rPr>
        <w:t>6.1.2.1绳包为腰包式设计，表面带有网布，显著位置标有内置绳索长度，腰包两侧具备快速释放功能。</w:t>
      </w:r>
    </w:p>
    <w:p w14:paraId="0BD65633">
      <w:pPr>
        <w:pageBreakBefore w:val="0"/>
        <w:wordWrap w:val="0"/>
        <w:overflowPunct/>
        <w:bidi w:val="0"/>
        <w:rPr>
          <w:color w:val="auto"/>
        </w:rPr>
      </w:pPr>
      <w:r>
        <w:rPr>
          <w:rFonts w:hint="eastAsia"/>
          <w:color w:val="auto"/>
        </w:rPr>
        <w:t>★6.1.2.2包内绳索长度≥20m、直径7 mm~9.5 mm。</w:t>
      </w:r>
    </w:p>
    <w:p w14:paraId="30388EA1">
      <w:pPr>
        <w:pageBreakBefore w:val="0"/>
        <w:wordWrap w:val="0"/>
        <w:overflowPunct/>
        <w:bidi w:val="0"/>
        <w:rPr>
          <w:color w:val="auto"/>
        </w:rPr>
      </w:pPr>
      <w:r>
        <w:rPr>
          <w:rFonts w:hint="eastAsia"/>
          <w:color w:val="auto"/>
        </w:rPr>
        <w:t>6.1.2.3包内绳索破断强度≥13kn，漂浮时间≥48 h。</w:t>
      </w:r>
    </w:p>
    <w:p w14:paraId="328540F5">
      <w:pPr>
        <w:pageBreakBefore w:val="0"/>
        <w:wordWrap w:val="0"/>
        <w:overflowPunct/>
        <w:bidi w:val="0"/>
        <w:rPr>
          <w:color w:val="auto"/>
        </w:rPr>
      </w:pPr>
      <w:r>
        <w:rPr>
          <w:rFonts w:hint="eastAsia"/>
          <w:color w:val="auto"/>
        </w:rPr>
        <w:t>6.1.2.4绳索应为包芯绳结构，主承重部分应由连续纤维制成。</w:t>
      </w:r>
    </w:p>
    <w:p w14:paraId="7A672554">
      <w:pPr>
        <w:pageBreakBefore w:val="0"/>
        <w:wordWrap w:val="0"/>
        <w:overflowPunct/>
        <w:bidi w:val="0"/>
        <w:rPr>
          <w:color w:val="auto"/>
        </w:rPr>
      </w:pPr>
      <w:r>
        <w:rPr>
          <w:rFonts w:hint="eastAsia"/>
          <w:color w:val="auto"/>
        </w:rPr>
        <w:t>6.1.2.5绳包应设有反光标志带，增加夜间可视性。</w:t>
      </w:r>
    </w:p>
    <w:p w14:paraId="5B6A8423">
      <w:pPr>
        <w:pageBreakBefore w:val="0"/>
        <w:wordWrap w:val="0"/>
        <w:overflowPunct/>
        <w:bidi w:val="0"/>
        <w:rPr>
          <w:color w:val="auto"/>
        </w:rPr>
      </w:pPr>
      <w:r>
        <w:rPr>
          <w:rFonts w:hint="eastAsia"/>
          <w:color w:val="auto"/>
        </w:rPr>
        <w:t>6.1.3.割绳刀</w:t>
      </w:r>
    </w:p>
    <w:p w14:paraId="07E6E07D">
      <w:pPr>
        <w:pageBreakBefore w:val="0"/>
        <w:wordWrap w:val="0"/>
        <w:overflowPunct/>
        <w:bidi w:val="0"/>
        <w:rPr>
          <w:color w:val="auto"/>
        </w:rPr>
      </w:pPr>
      <w:r>
        <w:rPr>
          <w:rFonts w:hint="eastAsia"/>
          <w:color w:val="auto"/>
        </w:rPr>
        <w:t>6.1.3.1刀片为钛合金材质（不会氧化生锈）；</w:t>
      </w:r>
    </w:p>
    <w:p w14:paraId="40497BD2">
      <w:pPr>
        <w:pageBreakBefore w:val="0"/>
        <w:wordWrap w:val="0"/>
        <w:overflowPunct/>
        <w:bidi w:val="0"/>
        <w:rPr>
          <w:color w:val="auto"/>
        </w:rPr>
      </w:pPr>
      <w:r>
        <w:rPr>
          <w:rFonts w:hint="eastAsia"/>
          <w:color w:val="auto"/>
        </w:rPr>
        <w:t>6.1.3.2带有平刃和齿刃，还有一个绳索切割钩；</w:t>
      </w:r>
    </w:p>
    <w:p w14:paraId="7965DEC2">
      <w:pPr>
        <w:pageBreakBefore w:val="0"/>
        <w:wordWrap w:val="0"/>
        <w:overflowPunct/>
        <w:bidi w:val="0"/>
        <w:rPr>
          <w:color w:val="auto"/>
        </w:rPr>
      </w:pPr>
      <w:r>
        <w:rPr>
          <w:rFonts w:hint="eastAsia"/>
          <w:color w:val="auto"/>
        </w:rPr>
        <w:t>6.1.3.3采用平头设计。</w:t>
      </w:r>
    </w:p>
    <w:p w14:paraId="29F76C49">
      <w:pPr>
        <w:pageBreakBefore w:val="0"/>
        <w:wordWrap w:val="0"/>
        <w:overflowPunct/>
        <w:bidi w:val="0"/>
        <w:rPr>
          <w:color w:val="auto"/>
        </w:rPr>
      </w:pPr>
      <w:r>
        <w:rPr>
          <w:rFonts w:hint="eastAsia"/>
          <w:color w:val="auto"/>
        </w:rPr>
        <w:t>6.1.3.4 波浪形手柄，尾部设置防丢绳；</w:t>
      </w:r>
    </w:p>
    <w:p w14:paraId="457D9C2C">
      <w:pPr>
        <w:pageBreakBefore w:val="0"/>
        <w:wordWrap w:val="0"/>
        <w:overflowPunct/>
        <w:bidi w:val="0"/>
        <w:rPr>
          <w:color w:val="auto"/>
        </w:rPr>
      </w:pPr>
      <w:r>
        <w:rPr>
          <w:rFonts w:hint="eastAsia"/>
          <w:color w:val="auto"/>
        </w:rPr>
        <w:t>6.1.3.5刀鞘的卡子可以固定在PFD上面；</w:t>
      </w:r>
    </w:p>
    <w:p w14:paraId="2D578289">
      <w:pPr>
        <w:pageBreakBefore w:val="0"/>
        <w:wordWrap w:val="0"/>
        <w:overflowPunct/>
        <w:bidi w:val="0"/>
        <w:rPr>
          <w:color w:val="auto"/>
        </w:rPr>
      </w:pPr>
      <w:r>
        <w:rPr>
          <w:rFonts w:hint="eastAsia"/>
          <w:color w:val="auto"/>
        </w:rPr>
        <w:t>6.1.3.6刀柄为透明材质，且刀柄内填充了蓄光发光材料，即使在黑暗的情况下也可以有效的看清；</w:t>
      </w:r>
    </w:p>
    <w:p w14:paraId="500F5D30">
      <w:pPr>
        <w:pageBreakBefore w:val="0"/>
        <w:wordWrap w:val="0"/>
        <w:overflowPunct/>
        <w:bidi w:val="0"/>
        <w:rPr>
          <w:color w:val="auto"/>
        </w:rPr>
      </w:pPr>
      <w:r>
        <w:rPr>
          <w:rFonts w:hint="eastAsia"/>
          <w:color w:val="auto"/>
        </w:rPr>
        <w:t>★6.1.3.7刀长≤190mm，硬度≥51HRC；</w:t>
      </w:r>
    </w:p>
    <w:p w14:paraId="64B69CF9">
      <w:pPr>
        <w:pageBreakBefore w:val="0"/>
        <w:wordWrap w:val="0"/>
        <w:overflowPunct/>
        <w:bidi w:val="0"/>
        <w:rPr>
          <w:color w:val="auto"/>
        </w:rPr>
      </w:pPr>
      <w:r>
        <w:rPr>
          <w:rFonts w:hint="eastAsia"/>
          <w:color w:val="auto"/>
        </w:rPr>
        <w:t>★6.1.3.8切割性能：按规定的要求进行切割性能试验，切断直径9.5mm-16mm的尼龙制消防安全绳时间≤10s；</w:t>
      </w:r>
    </w:p>
    <w:p w14:paraId="5356A3C7">
      <w:pPr>
        <w:pageBreakBefore w:val="0"/>
        <w:wordWrap w:val="0"/>
        <w:overflowPunct/>
        <w:bidi w:val="0"/>
        <w:rPr>
          <w:color w:val="auto"/>
        </w:rPr>
      </w:pPr>
      <w:r>
        <w:rPr>
          <w:rFonts w:hint="eastAsia"/>
          <w:color w:val="auto"/>
        </w:rPr>
        <w:t>6.1.3.9耐腐蚀性能：水域救援刀经48h的中性盐雾试验后，无明显腐蚀现象。</w:t>
      </w:r>
    </w:p>
    <w:p w14:paraId="06B2E59A">
      <w:pPr>
        <w:pageBreakBefore w:val="0"/>
        <w:wordWrap w:val="0"/>
        <w:overflowPunct/>
        <w:bidi w:val="0"/>
        <w:rPr>
          <w:color w:val="auto"/>
        </w:rPr>
      </w:pPr>
      <w:r>
        <w:rPr>
          <w:rFonts w:hint="eastAsia"/>
          <w:color w:val="auto"/>
        </w:rPr>
        <w:t>6.1.4.潜水手电</w:t>
      </w:r>
    </w:p>
    <w:p w14:paraId="5524CD4A">
      <w:pPr>
        <w:pageBreakBefore w:val="0"/>
        <w:wordWrap w:val="0"/>
        <w:overflowPunct/>
        <w:bidi w:val="0"/>
        <w:rPr>
          <w:color w:val="auto"/>
        </w:rPr>
      </w:pPr>
      <w:r>
        <w:rPr>
          <w:rFonts w:hint="eastAsia"/>
          <w:color w:val="auto"/>
        </w:rPr>
        <w:t>6.1.4.1重量：≤900g</w:t>
      </w:r>
    </w:p>
    <w:p w14:paraId="40F795B5">
      <w:pPr>
        <w:pageBreakBefore w:val="0"/>
        <w:wordWrap w:val="0"/>
        <w:overflowPunct/>
        <w:bidi w:val="0"/>
        <w:rPr>
          <w:color w:val="auto"/>
        </w:rPr>
      </w:pPr>
      <w:r>
        <w:rPr>
          <w:rFonts w:hint="eastAsia"/>
          <w:color w:val="auto"/>
        </w:rPr>
        <w:t>6.1.4.2开关方式：机械开关</w:t>
      </w:r>
    </w:p>
    <w:p w14:paraId="24F3EE14">
      <w:pPr>
        <w:pageBreakBefore w:val="0"/>
        <w:wordWrap w:val="0"/>
        <w:overflowPunct/>
        <w:bidi w:val="0"/>
        <w:rPr>
          <w:color w:val="auto"/>
        </w:rPr>
      </w:pPr>
      <w:r>
        <w:rPr>
          <w:rFonts w:hint="eastAsia"/>
          <w:color w:val="auto"/>
        </w:rPr>
        <w:t>★6.1.4.3LED寿命：100000小时</w:t>
      </w:r>
    </w:p>
    <w:p w14:paraId="1F89A69E">
      <w:pPr>
        <w:pageBreakBefore w:val="0"/>
        <w:wordWrap w:val="0"/>
        <w:overflowPunct/>
        <w:bidi w:val="0"/>
        <w:rPr>
          <w:color w:val="auto"/>
        </w:rPr>
      </w:pPr>
      <w:r>
        <w:rPr>
          <w:rFonts w:hint="eastAsia"/>
          <w:color w:val="auto"/>
        </w:rPr>
        <w:t>6.1.4.4档位：三组7档+点射功能</w:t>
      </w:r>
    </w:p>
    <w:p w14:paraId="49F4A1A5">
      <w:pPr>
        <w:pageBreakBefore w:val="0"/>
        <w:wordWrap w:val="0"/>
        <w:overflowPunct/>
        <w:bidi w:val="0"/>
        <w:rPr>
          <w:color w:val="auto"/>
        </w:rPr>
      </w:pPr>
      <w:r>
        <w:rPr>
          <w:rFonts w:hint="eastAsia"/>
          <w:color w:val="auto"/>
        </w:rPr>
        <w:t>6.1.4.5镜片：钢化玻璃镜片</w:t>
      </w:r>
    </w:p>
    <w:p w14:paraId="18F5F195">
      <w:pPr>
        <w:pageBreakBefore w:val="0"/>
        <w:wordWrap w:val="0"/>
        <w:overflowPunct/>
        <w:bidi w:val="0"/>
        <w:rPr>
          <w:color w:val="auto"/>
        </w:rPr>
      </w:pPr>
      <w:r>
        <w:rPr>
          <w:rFonts w:hint="eastAsia"/>
          <w:color w:val="auto"/>
        </w:rPr>
        <w:t>★6.1.4.6防水等级：IP68。</w:t>
      </w:r>
    </w:p>
    <w:p w14:paraId="4B02F3F8">
      <w:pPr>
        <w:pageBreakBefore w:val="0"/>
        <w:wordWrap w:val="0"/>
        <w:overflowPunct/>
        <w:bidi w:val="0"/>
        <w:rPr>
          <w:color w:val="auto"/>
        </w:rPr>
      </w:pPr>
      <w:r>
        <w:rPr>
          <w:rFonts w:hint="eastAsia"/>
          <w:color w:val="auto"/>
        </w:rPr>
        <w:t>6.1.4.7.配备防丢绳1根。</w:t>
      </w:r>
    </w:p>
    <w:p w14:paraId="399948C1">
      <w:pPr>
        <w:pageBreakBefore w:val="0"/>
        <w:wordWrap w:val="0"/>
        <w:overflowPunct/>
        <w:bidi w:val="0"/>
        <w:rPr>
          <w:color w:val="auto"/>
        </w:rPr>
      </w:pPr>
      <w:r>
        <w:rPr>
          <w:rFonts w:hint="eastAsia"/>
          <w:color w:val="auto"/>
        </w:rPr>
        <w:t>6.1.4.8.强光额定工作时间≥4h，弱光额定工作时间≥6h。</w:t>
      </w:r>
    </w:p>
    <w:p w14:paraId="3F2E3DDD">
      <w:pPr>
        <w:pageBreakBefore w:val="0"/>
        <w:wordWrap w:val="0"/>
        <w:overflowPunct/>
        <w:bidi w:val="0"/>
        <w:rPr>
          <w:color w:val="auto"/>
        </w:rPr>
      </w:pPr>
      <w:r>
        <w:rPr>
          <w:rFonts w:hint="eastAsia"/>
          <w:color w:val="auto"/>
        </w:rPr>
        <w:t>6.1.5.牛尾绳</w:t>
      </w:r>
    </w:p>
    <w:p w14:paraId="1E34C286">
      <w:pPr>
        <w:pageBreakBefore w:val="0"/>
        <w:wordWrap w:val="0"/>
        <w:overflowPunct/>
        <w:bidi w:val="0"/>
        <w:rPr>
          <w:color w:val="auto"/>
        </w:rPr>
      </w:pPr>
      <w:r>
        <w:rPr>
          <w:rFonts w:hint="eastAsia"/>
          <w:color w:val="auto"/>
        </w:rPr>
        <w:t>6.1.5.1带有不锈钢O型环1个和快挂1个。</w:t>
      </w:r>
    </w:p>
    <w:p w14:paraId="08FDFF1A">
      <w:pPr>
        <w:pageBreakBefore w:val="0"/>
        <w:wordWrap w:val="0"/>
        <w:overflowPunct/>
        <w:bidi w:val="0"/>
        <w:rPr>
          <w:color w:val="auto"/>
        </w:rPr>
      </w:pPr>
      <w:r>
        <w:rPr>
          <w:rFonts w:hint="eastAsia"/>
          <w:color w:val="auto"/>
        </w:rPr>
        <w:t>6.1.5.2牵引绳两端加厚塑胶塑封，牢固且耐摩擦。</w:t>
      </w:r>
    </w:p>
    <w:p w14:paraId="64405718">
      <w:pPr>
        <w:pageBreakBefore w:val="0"/>
        <w:wordWrap w:val="0"/>
        <w:overflowPunct/>
        <w:bidi w:val="0"/>
        <w:rPr>
          <w:color w:val="auto"/>
        </w:rPr>
      </w:pPr>
      <w:r>
        <w:rPr>
          <w:rFonts w:hint="eastAsia"/>
          <w:color w:val="auto"/>
        </w:rPr>
        <w:t>6.1.5.3设计规格：静态长度≥70cm、伸展长度≥100cm。</w:t>
      </w:r>
    </w:p>
    <w:p w14:paraId="73AAF683">
      <w:pPr>
        <w:pageBreakBefore w:val="0"/>
        <w:wordWrap w:val="0"/>
        <w:overflowPunct/>
        <w:bidi w:val="0"/>
        <w:rPr>
          <w:color w:val="auto"/>
        </w:rPr>
      </w:pPr>
      <w:r>
        <w:rPr>
          <w:rFonts w:hint="eastAsia"/>
          <w:color w:val="auto"/>
        </w:rPr>
        <w:t>6.1.5.4管状尼龙织带宽度：≥30mm。</w:t>
      </w:r>
    </w:p>
    <w:p w14:paraId="77113FB3">
      <w:pPr>
        <w:pageBreakBefore w:val="0"/>
        <w:wordWrap w:val="0"/>
        <w:overflowPunct/>
        <w:bidi w:val="0"/>
        <w:rPr>
          <w:color w:val="auto"/>
        </w:rPr>
      </w:pPr>
      <w:r>
        <w:rPr>
          <w:rFonts w:hint="eastAsia"/>
          <w:color w:val="auto"/>
        </w:rPr>
        <w:t>6.1.5.5两端缝合：Z形线迹并加固缝合。</w:t>
      </w:r>
    </w:p>
    <w:p w14:paraId="4578C313">
      <w:pPr>
        <w:pageBreakBefore w:val="0"/>
        <w:wordWrap w:val="0"/>
        <w:overflowPunct/>
        <w:bidi w:val="0"/>
        <w:rPr>
          <w:color w:val="auto"/>
        </w:rPr>
      </w:pPr>
      <w:r>
        <w:rPr>
          <w:rFonts w:hint="eastAsia"/>
          <w:color w:val="auto"/>
        </w:rPr>
        <w:t>6.2.救生圈</w:t>
      </w:r>
    </w:p>
    <w:p w14:paraId="6DE2B46B">
      <w:pPr>
        <w:pageBreakBefore w:val="0"/>
        <w:wordWrap w:val="0"/>
        <w:overflowPunct/>
        <w:bidi w:val="0"/>
        <w:rPr>
          <w:color w:val="auto"/>
        </w:rPr>
      </w:pPr>
      <w:r>
        <w:rPr>
          <w:rFonts w:hint="eastAsia"/>
          <w:color w:val="auto"/>
        </w:rPr>
        <w:t>★6.2.1.符合GB/T 4302-2008《救生圈》标准、CCS船检证书等标准。需提供国家专业机构出具的报告；</w:t>
      </w:r>
    </w:p>
    <w:p w14:paraId="721CCF4F">
      <w:pPr>
        <w:pageBreakBefore w:val="0"/>
        <w:wordWrap w:val="0"/>
        <w:overflowPunct/>
        <w:bidi w:val="0"/>
        <w:rPr>
          <w:color w:val="auto"/>
        </w:rPr>
      </w:pPr>
      <w:r>
        <w:rPr>
          <w:rFonts w:hint="eastAsia"/>
          <w:color w:val="auto"/>
        </w:rPr>
        <w:t>6.2.2.采用高密度聚乙烯为売体，内充高密度聚氨酯闭孔泡沫。</w:t>
      </w:r>
    </w:p>
    <w:p w14:paraId="713A70A5">
      <w:pPr>
        <w:pageBreakBefore w:val="0"/>
        <w:wordWrap w:val="0"/>
        <w:overflowPunct/>
        <w:bidi w:val="0"/>
        <w:rPr>
          <w:color w:val="auto"/>
        </w:rPr>
      </w:pPr>
      <w:r>
        <w:rPr>
          <w:rFonts w:hint="eastAsia"/>
          <w:color w:val="auto"/>
        </w:rPr>
        <w:t>★6.2.3.外径≥70cm ，内径≥40CM。</w:t>
      </w:r>
    </w:p>
    <w:p w14:paraId="0CE6C97C">
      <w:pPr>
        <w:pageBreakBefore w:val="0"/>
        <w:wordWrap w:val="0"/>
        <w:overflowPunct/>
        <w:bidi w:val="0"/>
        <w:rPr>
          <w:color w:val="auto"/>
        </w:rPr>
      </w:pPr>
      <w:r>
        <w:rPr>
          <w:rFonts w:hint="eastAsia"/>
          <w:color w:val="auto"/>
        </w:rPr>
        <w:t>6.2.4.救生圈外围应装有直径≥9mm、长度≥救生圈外径4倍可浮把手锁。此索应紧固在圈体周边四个等距离位置上，并形成四个等长的索环；</w:t>
      </w:r>
    </w:p>
    <w:p w14:paraId="20302C29">
      <w:pPr>
        <w:pageBreakBefore w:val="0"/>
        <w:wordWrap w:val="0"/>
        <w:overflowPunct/>
        <w:bidi w:val="0"/>
        <w:rPr>
          <w:color w:val="auto"/>
        </w:rPr>
      </w:pPr>
      <w:r>
        <w:rPr>
          <w:rFonts w:hint="eastAsia"/>
          <w:color w:val="auto"/>
        </w:rPr>
        <w:t>6.2.5.浮力≥15KG，最大承重≥220KG；</w:t>
      </w:r>
    </w:p>
    <w:p w14:paraId="44A64236">
      <w:pPr>
        <w:pageBreakBefore w:val="0"/>
        <w:wordWrap w:val="0"/>
        <w:overflowPunct/>
        <w:bidi w:val="0"/>
        <w:rPr>
          <w:color w:val="auto"/>
        </w:rPr>
      </w:pPr>
      <w:r>
        <w:rPr>
          <w:rFonts w:hint="eastAsia"/>
          <w:color w:val="auto"/>
        </w:rPr>
        <w:t>6.2.6.环绕贴≥50mm宽度的逆向反光带。</w:t>
      </w:r>
    </w:p>
    <w:p w14:paraId="2590CA01">
      <w:pPr>
        <w:pageBreakBefore w:val="0"/>
        <w:wordWrap w:val="0"/>
        <w:overflowPunct/>
        <w:bidi w:val="0"/>
        <w:rPr>
          <w:color w:val="auto"/>
        </w:rPr>
      </w:pPr>
      <w:r>
        <w:rPr>
          <w:rFonts w:hint="eastAsia"/>
          <w:color w:val="auto"/>
        </w:rPr>
        <w:t>6.3.移动发电机</w:t>
      </w:r>
    </w:p>
    <w:p w14:paraId="191C9CCB">
      <w:pPr>
        <w:pageBreakBefore w:val="0"/>
        <w:wordWrap w:val="0"/>
        <w:overflowPunct/>
        <w:bidi w:val="0"/>
        <w:rPr>
          <w:color w:val="auto"/>
        </w:rPr>
      </w:pPr>
      <w:r>
        <w:rPr>
          <w:rFonts w:hint="eastAsia"/>
          <w:color w:val="auto"/>
        </w:rPr>
        <w:t>6.3.1.便携式发电机，体积小、重量轻，配备与发电机匹配的万向轮底座 。</w:t>
      </w:r>
    </w:p>
    <w:p w14:paraId="2CB72D16">
      <w:pPr>
        <w:pageBreakBefore w:val="0"/>
        <w:wordWrap w:val="0"/>
        <w:overflowPunct/>
        <w:bidi w:val="0"/>
        <w:rPr>
          <w:color w:val="auto"/>
        </w:rPr>
      </w:pPr>
      <w:r>
        <w:rPr>
          <w:rFonts w:hint="eastAsia"/>
          <w:color w:val="auto"/>
        </w:rPr>
        <w:t>6.3.2.连续工作时间≥7 小时；</w:t>
      </w:r>
    </w:p>
    <w:p w14:paraId="4CC1E77D">
      <w:pPr>
        <w:pageBreakBefore w:val="0"/>
        <w:wordWrap w:val="0"/>
        <w:overflowPunct/>
        <w:bidi w:val="0"/>
        <w:rPr>
          <w:color w:val="auto"/>
        </w:rPr>
      </w:pPr>
      <w:r>
        <w:rPr>
          <w:rFonts w:hint="eastAsia"/>
          <w:color w:val="auto"/>
        </w:rPr>
        <w:t xml:space="preserve">6.3.3.启动方式：具备回弹式绳索启动和电子启动； </w:t>
      </w:r>
    </w:p>
    <w:p w14:paraId="142F85ED">
      <w:pPr>
        <w:pageBreakBefore w:val="0"/>
        <w:wordWrap w:val="0"/>
        <w:overflowPunct/>
        <w:bidi w:val="0"/>
        <w:rPr>
          <w:color w:val="auto"/>
        </w:rPr>
      </w:pPr>
      <w:r>
        <w:rPr>
          <w:rFonts w:hint="eastAsia"/>
          <w:color w:val="auto"/>
        </w:rPr>
        <w:t>★6.3.4.最大输出功率≥5.0kw， 额定功率≥2kw，额定频率：50HZ；</w:t>
      </w:r>
    </w:p>
    <w:p w14:paraId="34F3C946">
      <w:pPr>
        <w:pageBreakBefore w:val="0"/>
        <w:wordWrap w:val="0"/>
        <w:overflowPunct/>
        <w:bidi w:val="0"/>
        <w:rPr>
          <w:color w:val="auto"/>
        </w:rPr>
      </w:pPr>
      <w:r>
        <w:rPr>
          <w:rFonts w:hint="eastAsia"/>
          <w:color w:val="auto"/>
        </w:rPr>
        <w:t>6.3.5.额定电压：220V；</w:t>
      </w:r>
    </w:p>
    <w:p w14:paraId="01AEEB1A">
      <w:pPr>
        <w:pageBreakBefore w:val="0"/>
        <w:wordWrap w:val="0"/>
        <w:overflowPunct/>
        <w:bidi w:val="0"/>
        <w:rPr>
          <w:color w:val="auto"/>
        </w:rPr>
      </w:pPr>
      <w:r>
        <w:rPr>
          <w:rFonts w:hint="eastAsia"/>
          <w:color w:val="auto"/>
        </w:rPr>
        <w:t>6.3.6.输出电压：220V/380V；采用国内通用电源接口。</w:t>
      </w:r>
    </w:p>
    <w:p w14:paraId="4892600E">
      <w:pPr>
        <w:pageBreakBefore w:val="0"/>
        <w:wordWrap w:val="0"/>
        <w:overflowPunct/>
        <w:bidi w:val="0"/>
        <w:rPr>
          <w:color w:val="auto"/>
        </w:rPr>
      </w:pPr>
      <w:r>
        <w:rPr>
          <w:rFonts w:hint="eastAsia"/>
          <w:color w:val="auto"/>
        </w:rPr>
        <w:t>6.3.7.燃油箱容量≥14L。</w:t>
      </w:r>
    </w:p>
    <w:p w14:paraId="2E95F5BB">
      <w:pPr>
        <w:pageBreakBefore w:val="0"/>
        <w:wordWrap w:val="0"/>
        <w:overflowPunct/>
        <w:bidi w:val="0"/>
        <w:rPr>
          <w:color w:val="auto"/>
        </w:rPr>
      </w:pPr>
      <w:r>
        <w:rPr>
          <w:rFonts w:hint="eastAsia"/>
          <w:color w:val="auto"/>
        </w:rPr>
        <w:t>6.3.</w:t>
      </w:r>
      <w:r>
        <w:rPr>
          <w:rFonts w:hint="eastAsia"/>
          <w:color w:val="auto"/>
          <w:lang w:val="en-US" w:eastAsia="zh-CN"/>
        </w:rPr>
        <w:t>8</w:t>
      </w:r>
      <w:r>
        <w:rPr>
          <w:rFonts w:hint="eastAsia"/>
          <w:color w:val="auto"/>
        </w:rPr>
        <w:t>.配备接地线1根，30米线盘1个。</w:t>
      </w:r>
    </w:p>
    <w:p w14:paraId="36175FD2">
      <w:pPr>
        <w:pageBreakBefore w:val="0"/>
        <w:wordWrap w:val="0"/>
        <w:overflowPunct/>
        <w:bidi w:val="0"/>
        <w:rPr>
          <w:color w:val="auto"/>
        </w:rPr>
      </w:pPr>
      <w:r>
        <w:rPr>
          <w:rFonts w:hint="eastAsia"/>
          <w:color w:val="auto"/>
        </w:rPr>
        <w:t>6.4.手提式强光照明灯</w:t>
      </w:r>
    </w:p>
    <w:p w14:paraId="6508DC58">
      <w:pPr>
        <w:pageBreakBefore w:val="0"/>
        <w:wordWrap w:val="0"/>
        <w:overflowPunct/>
        <w:bidi w:val="0"/>
        <w:rPr>
          <w:color w:val="auto"/>
        </w:rPr>
      </w:pPr>
      <w:r>
        <w:rPr>
          <w:rFonts w:hint="eastAsia"/>
          <w:color w:val="auto"/>
        </w:rPr>
        <w:t>★6.4.1.总体性能符合《GB30734-2014消防员照明灯标准》的要求；</w:t>
      </w:r>
    </w:p>
    <w:p w14:paraId="397D5786">
      <w:pPr>
        <w:pageBreakBefore w:val="0"/>
        <w:wordWrap w:val="0"/>
        <w:overflowPunct/>
        <w:bidi w:val="0"/>
        <w:rPr>
          <w:color w:val="auto"/>
        </w:rPr>
      </w:pPr>
      <w:r>
        <w:rPr>
          <w:rFonts w:hint="eastAsia"/>
          <w:color w:val="auto"/>
        </w:rPr>
        <w:t>6.4.2.灯具在低温-25±2℃或者高温55±2℃持续2小时试验后，灯具应能正常进行开、关和强、弱光切换；</w:t>
      </w:r>
    </w:p>
    <w:p w14:paraId="66A8ADB9">
      <w:pPr>
        <w:pageBreakBefore w:val="0"/>
        <w:wordWrap w:val="0"/>
        <w:overflowPunct/>
        <w:bidi w:val="0"/>
        <w:rPr>
          <w:color w:val="auto"/>
        </w:rPr>
      </w:pPr>
      <w:r>
        <w:rPr>
          <w:rFonts w:hint="eastAsia"/>
          <w:color w:val="auto"/>
        </w:rPr>
        <w:t>★6.4.3.常温环境下，灯具带电端子与外壳间的绝缘电阻应≥20MΩ,交变湿热后应≥5MΩ（消防检测报告中有体现）；</w:t>
      </w:r>
    </w:p>
    <w:p w14:paraId="5D1BDB03">
      <w:pPr>
        <w:pageBreakBefore w:val="0"/>
        <w:wordWrap w:val="0"/>
        <w:overflowPunct/>
        <w:bidi w:val="0"/>
        <w:rPr>
          <w:color w:val="auto"/>
        </w:rPr>
      </w:pPr>
      <w:r>
        <w:rPr>
          <w:rFonts w:hint="eastAsia"/>
          <w:color w:val="auto"/>
        </w:rPr>
        <w:t>6.4.4.灯具应能耐受频率为50 Hz±0.5 Hz，交流电压为500 V±50 V，历时60 s±5 s的耐电压试验。</w:t>
      </w:r>
    </w:p>
    <w:p w14:paraId="73C14624">
      <w:pPr>
        <w:pageBreakBefore w:val="0"/>
        <w:wordWrap w:val="0"/>
        <w:overflowPunct/>
        <w:bidi w:val="0"/>
        <w:rPr>
          <w:color w:val="auto"/>
        </w:rPr>
      </w:pPr>
      <w:r>
        <w:rPr>
          <w:rFonts w:hint="eastAsia"/>
          <w:color w:val="auto"/>
        </w:rPr>
        <w:t>6.4.5.防爆执行标准符合GB3836.1-2010.GB3836.4-2010.GB12476.1-2013.GB12476.4-2010国家标准，防爆等级：Ex ib IIC T4 Gb/Ex ibD 21 T130℃（提供防爆检测报告）；</w:t>
      </w:r>
    </w:p>
    <w:p w14:paraId="671AFB5F">
      <w:pPr>
        <w:pageBreakBefore w:val="0"/>
        <w:wordWrap w:val="0"/>
        <w:overflowPunct/>
        <w:bidi w:val="0"/>
        <w:rPr>
          <w:color w:val="auto"/>
        </w:rPr>
      </w:pPr>
      <w:r>
        <w:rPr>
          <w:rFonts w:hint="eastAsia"/>
          <w:color w:val="auto"/>
        </w:rPr>
        <w:t>6.4.6.灯具外壳防护等级应满足GB4208-2008规定的≥IP68的要求；</w:t>
      </w:r>
    </w:p>
    <w:p w14:paraId="063D8447">
      <w:pPr>
        <w:pageBreakBefore w:val="0"/>
        <w:wordWrap w:val="0"/>
        <w:overflowPunct/>
        <w:bidi w:val="0"/>
        <w:rPr>
          <w:color w:val="auto"/>
        </w:rPr>
      </w:pPr>
      <w:r>
        <w:rPr>
          <w:rFonts w:hint="eastAsia"/>
          <w:color w:val="auto"/>
        </w:rPr>
        <w:t>★6.4.7.灯具2m处光斑中心照度，强光平均值≥500lx，弱光平均值≥230lx；照射距离≥200米；</w:t>
      </w:r>
    </w:p>
    <w:p w14:paraId="4BC66F8C">
      <w:pPr>
        <w:pageBreakBefore w:val="0"/>
        <w:wordWrap w:val="0"/>
        <w:overflowPunct/>
        <w:bidi w:val="0"/>
        <w:rPr>
          <w:color w:val="auto"/>
        </w:rPr>
      </w:pPr>
      <w:r>
        <w:rPr>
          <w:rFonts w:hint="eastAsia"/>
          <w:color w:val="auto"/>
        </w:rPr>
        <w:t>6.4.8.充电孔和充电器：灯筒上应设计有通用Type-C充电口孔位，支持市场通用的USB接口充电;每个灯配备一个插头交直流转换器分离式结构充电器；</w:t>
      </w:r>
    </w:p>
    <w:p w14:paraId="3B444BC2">
      <w:pPr>
        <w:pageBreakBefore w:val="0"/>
        <w:wordWrap w:val="0"/>
        <w:overflowPunct/>
        <w:bidi w:val="0"/>
        <w:rPr>
          <w:color w:val="auto"/>
        </w:rPr>
      </w:pPr>
      <w:r>
        <w:rPr>
          <w:rFonts w:hint="eastAsia"/>
          <w:color w:val="auto"/>
        </w:rPr>
        <w:t>6.4.9.电量显示窗：灯筒上应设计有通用电量显示单元窗孔，可直观显示剩余电量；</w:t>
      </w:r>
    </w:p>
    <w:p w14:paraId="7D37E3E7">
      <w:pPr>
        <w:pageBreakBefore w:val="0"/>
        <w:wordWrap w:val="0"/>
        <w:overflowPunct/>
        <w:bidi w:val="0"/>
        <w:rPr>
          <w:color w:val="auto"/>
        </w:rPr>
      </w:pPr>
      <w:r>
        <w:rPr>
          <w:rFonts w:hint="eastAsia"/>
          <w:color w:val="auto"/>
        </w:rPr>
        <w:t>6.4.10.电源开关：方便戴手套开关，采用按钮式大开关设计，并设有方位指示灯；</w:t>
      </w:r>
    </w:p>
    <w:p w14:paraId="32BB493A">
      <w:pPr>
        <w:pageBreakBefore w:val="0"/>
        <w:wordWrap w:val="0"/>
        <w:overflowPunct/>
        <w:bidi w:val="0"/>
        <w:rPr>
          <w:color w:val="auto"/>
        </w:rPr>
      </w:pPr>
      <w:r>
        <w:rPr>
          <w:rFonts w:hint="eastAsia"/>
          <w:color w:val="auto"/>
        </w:rPr>
        <w:t>★6.4.11.额定功率≥3W，额定电压≥DC3.7V，电池采用可充电锂电池，额定容量≥4.0Ah。</w:t>
      </w:r>
    </w:p>
    <w:p w14:paraId="61AF24D6">
      <w:pPr>
        <w:pageBreakBefore w:val="0"/>
        <w:wordWrap w:val="0"/>
        <w:overflowPunct/>
        <w:bidi w:val="0"/>
        <w:rPr>
          <w:color w:val="auto"/>
        </w:rPr>
      </w:pPr>
      <w:r>
        <w:rPr>
          <w:rFonts w:hint="eastAsia"/>
          <w:color w:val="auto"/>
        </w:rPr>
        <w:t>6.5.机动链锯</w:t>
      </w:r>
    </w:p>
    <w:p w14:paraId="7C589374">
      <w:pPr>
        <w:pageBreakBefore w:val="0"/>
        <w:wordWrap w:val="0"/>
        <w:overflowPunct/>
        <w:bidi w:val="0"/>
        <w:rPr>
          <w:color w:val="auto"/>
        </w:rPr>
      </w:pPr>
      <w:r>
        <w:rPr>
          <w:rFonts w:hint="eastAsia"/>
          <w:color w:val="auto"/>
        </w:rPr>
        <w:t>6.5.1.组成：链条、机体、启动拉绳、油箱。机器设有空挡和工作挡，具备安全保护功能。</w:t>
      </w:r>
    </w:p>
    <w:p w14:paraId="7C880F39">
      <w:pPr>
        <w:pageBreakBefore w:val="0"/>
        <w:wordWrap w:val="0"/>
        <w:overflowPunct/>
        <w:bidi w:val="0"/>
        <w:rPr>
          <w:color w:val="auto"/>
        </w:rPr>
      </w:pPr>
      <w:r>
        <w:rPr>
          <w:rFonts w:hint="eastAsia"/>
          <w:color w:val="auto"/>
        </w:rPr>
        <w:t>6.5.2.导板长度：≥400mm；</w:t>
      </w:r>
    </w:p>
    <w:p w14:paraId="0A84137E">
      <w:pPr>
        <w:pageBreakBefore w:val="0"/>
        <w:wordWrap w:val="0"/>
        <w:overflowPunct/>
        <w:bidi w:val="0"/>
        <w:rPr>
          <w:color w:val="auto"/>
        </w:rPr>
      </w:pPr>
      <w:r>
        <w:rPr>
          <w:rFonts w:hint="eastAsia"/>
          <w:color w:val="auto"/>
        </w:rPr>
        <w:t>★6.5.3.功率：≥2.3kw；</w:t>
      </w:r>
    </w:p>
    <w:p w14:paraId="457A54DD">
      <w:pPr>
        <w:pageBreakBefore w:val="0"/>
        <w:wordWrap w:val="0"/>
        <w:overflowPunct/>
        <w:bidi w:val="0"/>
        <w:rPr>
          <w:color w:val="auto"/>
        </w:rPr>
      </w:pPr>
      <w:r>
        <w:rPr>
          <w:rFonts w:hint="eastAsia"/>
          <w:color w:val="auto"/>
        </w:rPr>
        <w:t>6.5.4.标准怠速：2600-2800rpm；</w:t>
      </w:r>
    </w:p>
    <w:p w14:paraId="5D255973">
      <w:pPr>
        <w:pageBreakBefore w:val="0"/>
        <w:wordWrap w:val="0"/>
        <w:overflowPunct/>
        <w:bidi w:val="0"/>
        <w:rPr>
          <w:color w:val="auto"/>
        </w:rPr>
      </w:pPr>
      <w:r>
        <w:rPr>
          <w:rFonts w:hint="eastAsia"/>
          <w:color w:val="auto"/>
        </w:rPr>
        <w:t>★6.5.5.发动机最大转速：≥9000rpm；</w:t>
      </w:r>
    </w:p>
    <w:p w14:paraId="28AF840E">
      <w:pPr>
        <w:pageBreakBefore w:val="0"/>
        <w:wordWrap w:val="0"/>
        <w:overflowPunct/>
        <w:bidi w:val="0"/>
        <w:rPr>
          <w:color w:val="auto"/>
        </w:rPr>
      </w:pPr>
      <w:r>
        <w:rPr>
          <w:rFonts w:hint="eastAsia"/>
          <w:color w:val="auto"/>
        </w:rPr>
        <w:t>6.5.6.油箱容量：≥0.45L。</w:t>
      </w:r>
    </w:p>
    <w:p w14:paraId="7B8DA833">
      <w:pPr>
        <w:pageBreakBefore w:val="0"/>
        <w:wordWrap w:val="0"/>
        <w:overflowPunct/>
        <w:bidi w:val="0"/>
        <w:rPr>
          <w:color w:val="auto"/>
        </w:rPr>
      </w:pPr>
      <w:r>
        <w:rPr>
          <w:rFonts w:hint="eastAsia"/>
          <w:color w:val="auto"/>
        </w:rPr>
        <w:t>6.5.7.产品要求：除标配2条链条外，增配原装5条链条。</w:t>
      </w:r>
    </w:p>
    <w:p w14:paraId="47175378">
      <w:pPr>
        <w:pageBreakBefore w:val="0"/>
        <w:wordWrap w:val="0"/>
        <w:overflowPunct/>
        <w:bidi w:val="0"/>
        <w:rPr>
          <w:color w:val="auto"/>
        </w:rPr>
      </w:pPr>
      <w:r>
        <w:rPr>
          <w:rFonts w:hint="eastAsia"/>
          <w:color w:val="auto"/>
        </w:rPr>
        <w:t>6.5.8.配备有专用工具箱、比例油桶、护目镜、防护手套等附件。</w:t>
      </w:r>
    </w:p>
    <w:p w14:paraId="3D1F4A48">
      <w:pPr>
        <w:pageBreakBefore w:val="0"/>
        <w:wordWrap w:val="0"/>
        <w:overflowPunct/>
        <w:bidi w:val="0"/>
        <w:rPr>
          <w:color w:val="auto"/>
        </w:rPr>
      </w:pPr>
      <w:r>
        <w:rPr>
          <w:rFonts w:hint="eastAsia"/>
          <w:color w:val="auto"/>
        </w:rPr>
        <w:t>6.6.湿式水域救援服</w:t>
      </w:r>
    </w:p>
    <w:p w14:paraId="1E3E105C">
      <w:pPr>
        <w:pageBreakBefore w:val="0"/>
        <w:wordWrap w:val="0"/>
        <w:overflowPunct/>
        <w:bidi w:val="0"/>
        <w:rPr>
          <w:color w:val="auto"/>
        </w:rPr>
      </w:pPr>
      <w:r>
        <w:rPr>
          <w:rFonts w:hint="eastAsia"/>
          <w:color w:val="auto"/>
        </w:rPr>
        <w:t>★6.6.1.上衣和中腰裤两件套救援服（按需求方要求提供连体或分体），≥3mm带有钛涂层的氯丁橡胶材质。</w:t>
      </w:r>
    </w:p>
    <w:p w14:paraId="260E5D04">
      <w:pPr>
        <w:pageBreakBefore w:val="0"/>
        <w:wordWrap w:val="0"/>
        <w:overflowPunct/>
        <w:bidi w:val="0"/>
        <w:rPr>
          <w:color w:val="auto"/>
        </w:rPr>
      </w:pPr>
      <w:r>
        <w:rPr>
          <w:rFonts w:hint="eastAsia"/>
          <w:color w:val="auto"/>
        </w:rPr>
        <w:t>6.6.2.所有的缝线处用暗针缝制，做加固压胶处理；</w:t>
      </w:r>
    </w:p>
    <w:p w14:paraId="57616B28">
      <w:pPr>
        <w:pageBreakBefore w:val="0"/>
        <w:wordWrap w:val="0"/>
        <w:overflowPunct/>
        <w:bidi w:val="0"/>
        <w:rPr>
          <w:color w:val="auto"/>
        </w:rPr>
      </w:pPr>
      <w:r>
        <w:rPr>
          <w:rFonts w:hint="eastAsia"/>
          <w:color w:val="auto"/>
        </w:rPr>
        <w:t>★6.6.3.在膝盖和小腿、臀部处有凯夫拉材质补强设计，补强部位厚度≥5.0mm；</w:t>
      </w:r>
    </w:p>
    <w:p w14:paraId="10084672">
      <w:pPr>
        <w:pageBreakBefore w:val="0"/>
        <w:wordWrap w:val="0"/>
        <w:overflowPunct/>
        <w:bidi w:val="0"/>
        <w:rPr>
          <w:color w:val="auto"/>
        </w:rPr>
      </w:pPr>
      <w:r>
        <w:rPr>
          <w:rFonts w:hint="eastAsia"/>
          <w:color w:val="auto"/>
        </w:rPr>
        <w:t>6.6.4.手臂和腿部有荧光反射区；</w:t>
      </w:r>
    </w:p>
    <w:p w14:paraId="529E5C71">
      <w:pPr>
        <w:pageBreakBefore w:val="0"/>
        <w:wordWrap w:val="0"/>
        <w:overflowPunct/>
        <w:bidi w:val="0"/>
        <w:rPr>
          <w:color w:val="auto"/>
        </w:rPr>
      </w:pPr>
      <w:r>
        <w:rPr>
          <w:rFonts w:hint="eastAsia"/>
          <w:color w:val="auto"/>
        </w:rPr>
        <w:t>6.6.5.腿部两侧各设置1个口袋，封口拉链式设计。</w:t>
      </w:r>
    </w:p>
    <w:p w14:paraId="02D725CB">
      <w:pPr>
        <w:pageBreakBefore w:val="0"/>
        <w:wordWrap w:val="0"/>
        <w:overflowPunct/>
        <w:bidi w:val="0"/>
        <w:rPr>
          <w:color w:val="auto"/>
        </w:rPr>
      </w:pPr>
      <w:r>
        <w:rPr>
          <w:rFonts w:hint="eastAsia"/>
          <w:color w:val="auto"/>
        </w:rPr>
        <w:t>6.6.6.袖口和裤口侧面收紧式拉链设计。</w:t>
      </w:r>
    </w:p>
    <w:p w14:paraId="2E977266">
      <w:pPr>
        <w:pageBreakBefore w:val="0"/>
        <w:wordWrap w:val="0"/>
        <w:overflowPunct/>
        <w:bidi w:val="0"/>
        <w:rPr>
          <w:color w:val="auto"/>
        </w:rPr>
      </w:pPr>
      <w:r>
        <w:rPr>
          <w:rFonts w:hint="eastAsia"/>
          <w:color w:val="auto"/>
        </w:rPr>
        <w:t>6.6.7.尺寸及外观：满足甲方需求。</w:t>
      </w:r>
      <w:r>
        <w:rPr>
          <w:rFonts w:hint="eastAsia"/>
          <w:color w:val="auto"/>
        </w:rPr>
        <w:br w:type="page"/>
      </w:r>
    </w:p>
    <w:p w14:paraId="1BD6C692">
      <w:pPr>
        <w:pageBreakBefore w:val="0"/>
        <w:tabs>
          <w:tab w:val="left" w:pos="4060"/>
        </w:tabs>
        <w:wordWrap w:val="0"/>
        <w:overflowPunct/>
        <w:bidi w:val="0"/>
        <w:spacing w:before="312" w:beforeLines="100" w:after="156" w:afterLines="50"/>
        <w:ind w:firstLine="0" w:firstLineChars="0"/>
        <w:jc w:val="center"/>
        <w:rPr>
          <w:b/>
          <w:bCs/>
          <w:color w:val="auto"/>
          <w:sz w:val="28"/>
          <w:szCs w:val="28"/>
        </w:rPr>
      </w:pPr>
      <w:r>
        <w:rPr>
          <w:rFonts w:hint="eastAsia"/>
          <w:b/>
          <w:bCs/>
          <w:color w:val="auto"/>
          <w:sz w:val="28"/>
          <w:szCs w:val="28"/>
        </w:rPr>
        <w:t>三、商务需求</w:t>
      </w:r>
    </w:p>
    <w:p w14:paraId="41D71855">
      <w:pPr>
        <w:pageBreakBefore w:val="0"/>
        <w:wordWrap w:val="0"/>
        <w:overflowPunct/>
        <w:bidi w:val="0"/>
        <w:rPr>
          <w:color w:val="auto"/>
        </w:rPr>
      </w:pPr>
      <w:r>
        <w:rPr>
          <w:rFonts w:hint="eastAsia"/>
          <w:color w:val="auto"/>
        </w:rPr>
        <w:t>1、交货时间：5标包要求自合同签订之日起300个日历天内交付，其余标包要求自合同签订之日起150个日历天内交付。整车、随车器材、随车资料和办理车辆牌证的全部资料均齐全，确保能够悬挂应急车牌，方可视为交货完毕。（此项为采购人实现标功能实现的最低需求），具体以中标供应商投标文件中承诺内容为准。</w:t>
      </w:r>
    </w:p>
    <w:p w14:paraId="30610F26">
      <w:pPr>
        <w:pageBreakBefore w:val="0"/>
        <w:wordWrap w:val="0"/>
        <w:overflowPunct/>
        <w:bidi w:val="0"/>
        <w:rPr>
          <w:color w:val="auto"/>
        </w:rPr>
      </w:pPr>
      <w:r>
        <w:rPr>
          <w:rFonts w:hint="eastAsia"/>
          <w:color w:val="auto"/>
        </w:rPr>
        <w:t>2、交货地点：云南省消防救援总队指定地点</w:t>
      </w:r>
    </w:p>
    <w:p w14:paraId="166809DF">
      <w:pPr>
        <w:pageBreakBefore w:val="0"/>
        <w:wordWrap w:val="0"/>
        <w:overflowPunct/>
        <w:bidi w:val="0"/>
        <w:rPr>
          <w:color w:val="auto"/>
        </w:rPr>
      </w:pPr>
      <w:r>
        <w:rPr>
          <w:rFonts w:hint="eastAsia"/>
          <w:color w:val="auto"/>
        </w:rPr>
        <w:t>3、交货、包装运输、验收方式：按照合同条款及招标文件技术参数要求和投标文件内容执行，投标文件内容包含但不仅限于对以上条款的执行及补充。</w:t>
      </w:r>
    </w:p>
    <w:p w14:paraId="35467C58">
      <w:pPr>
        <w:pageBreakBefore w:val="0"/>
        <w:wordWrap w:val="0"/>
        <w:overflowPunct/>
        <w:bidi w:val="0"/>
        <w:rPr>
          <w:color w:val="auto"/>
        </w:rPr>
      </w:pPr>
      <w:r>
        <w:rPr>
          <w:rFonts w:hint="eastAsia"/>
          <w:color w:val="auto"/>
        </w:rPr>
        <w:t>4、售后服务时间：7*24小时服务（此为固定要求），X分钟响应，X小时到达现场（响应时间由投标人根据设立的售后服务机构提出合理化时间安排）。</w:t>
      </w:r>
    </w:p>
    <w:p w14:paraId="5A9CABB1">
      <w:pPr>
        <w:pageBreakBefore w:val="0"/>
        <w:wordWrap w:val="0"/>
        <w:overflowPunct/>
        <w:bidi w:val="0"/>
        <w:rPr>
          <w:color w:val="auto"/>
        </w:rPr>
      </w:pPr>
      <w:r>
        <w:rPr>
          <w:rFonts w:hint="eastAsia"/>
          <w:color w:val="auto"/>
        </w:rPr>
        <w:t>5、售后服务有关内容：按照合同条款和投标文件内容执行，投标文件内容包含但不仅限于对以上条款的执行及补充。</w:t>
      </w:r>
    </w:p>
    <w:p w14:paraId="2C54C503">
      <w:pPr>
        <w:pageBreakBefore w:val="0"/>
        <w:wordWrap w:val="0"/>
        <w:overflowPunct/>
        <w:bidi w:val="0"/>
        <w:rPr>
          <w:color w:val="auto"/>
        </w:rPr>
      </w:pPr>
      <w:r>
        <w:rPr>
          <w:rFonts w:hint="eastAsia"/>
          <w:color w:val="auto"/>
        </w:rPr>
        <w:t>6、违约责任：按照合同条款要求和投标文件内容执行，投标文件内容包含但不仅限于对以上条款的执行及补充。</w:t>
      </w:r>
    </w:p>
    <w:p w14:paraId="765A8212">
      <w:pPr>
        <w:pageBreakBefore w:val="0"/>
        <w:wordWrap w:val="0"/>
        <w:overflowPunct/>
        <w:bidi w:val="0"/>
        <w:rPr>
          <w:color w:val="auto"/>
        </w:rPr>
      </w:pPr>
      <w:r>
        <w:rPr>
          <w:rFonts w:hint="eastAsia"/>
          <w:color w:val="auto"/>
        </w:rPr>
        <w:t>7、保障措施：投标人根据招标文件内容的理解针对自拟的方案、计划等进行有效的保障措施手段，从而保障自拟的方案、计划等内容的合理性和可行性。</w:t>
      </w:r>
    </w:p>
    <w:p w14:paraId="24C79977">
      <w:pPr>
        <w:pageBreakBefore w:val="0"/>
        <w:wordWrap w:val="0"/>
        <w:overflowPunct/>
        <w:bidi w:val="0"/>
        <w:rPr>
          <w:color w:val="auto"/>
        </w:rPr>
      </w:pPr>
      <w:r>
        <w:rPr>
          <w:rFonts w:hint="eastAsia"/>
          <w:color w:val="auto"/>
        </w:rPr>
        <w:t>8、</w:t>
      </w:r>
      <w:r>
        <w:rPr>
          <w:color w:val="auto"/>
          <w:kern w:val="2"/>
        </w:rPr>
        <w:t>付款方式：在合同签订后向中标企业支付合同总价的30%，到货验收合格后支付到合同总价的80%，结算审计后支付到审计金额。</w:t>
      </w:r>
    </w:p>
    <w:p w14:paraId="68AFFC1E">
      <w:pPr>
        <w:pageBreakBefore w:val="0"/>
        <w:wordWrap w:val="0"/>
        <w:overflowPunct/>
        <w:bidi w:val="0"/>
        <w:rPr>
          <w:color w:val="auto"/>
        </w:rPr>
      </w:pPr>
      <w:r>
        <w:rPr>
          <w:rFonts w:hint="eastAsia"/>
          <w:color w:val="auto"/>
        </w:rPr>
        <w:t>9、质保期：自验收合格之日起5年（此项为招标人实现标功能实现的最低需求）。</w:t>
      </w:r>
    </w:p>
    <w:p w14:paraId="66FCE8F9">
      <w:pPr>
        <w:pageBreakBefore w:val="0"/>
        <w:wordWrap w:val="0"/>
        <w:overflowPunct/>
        <w:bidi w:val="0"/>
        <w:rPr>
          <w:color w:val="auto"/>
        </w:rPr>
      </w:pPr>
      <w:r>
        <w:rPr>
          <w:rFonts w:hint="eastAsia"/>
          <w:color w:val="auto"/>
        </w:rPr>
        <w:t>10、其他要求：按照国家综合性消防救援队伍要求，车辆器材装备交付时需附着二维码（或RFID），个人防护装备需根据最新要求制作标志标识，印制单位名称等。</w:t>
      </w:r>
    </w:p>
    <w:p w14:paraId="5A7D289F">
      <w:pPr>
        <w:pageBreakBefore w:val="0"/>
        <w:wordWrap w:val="0"/>
        <w:overflowPunct/>
        <w:bidi w:val="0"/>
        <w:rPr>
          <w:color w:val="auto"/>
        </w:rPr>
      </w:pPr>
    </w:p>
    <w:p w14:paraId="440C2228">
      <w:pPr>
        <w:pageBreakBefore w:val="0"/>
        <w:wordWrap w:val="0"/>
        <w:overflowPunct/>
        <w:bidi w:val="0"/>
        <w:rPr>
          <w:color w:val="auto"/>
        </w:rPr>
      </w:pPr>
      <w:r>
        <w:rPr>
          <w:rFonts w:hint="eastAsia"/>
          <w:color w:val="auto"/>
        </w:rPr>
        <w:br w:type="page"/>
      </w:r>
    </w:p>
    <w:p w14:paraId="5F452EE5">
      <w:pPr>
        <w:pStyle w:val="2"/>
        <w:pageBreakBefore w:val="0"/>
        <w:wordWrap w:val="0"/>
        <w:overflowPunct/>
        <w:bidi w:val="0"/>
        <w:rPr>
          <w:color w:val="auto"/>
        </w:rPr>
      </w:pPr>
      <w:bookmarkStart w:id="91" w:name="_Toc10095"/>
      <w:r>
        <w:rPr>
          <w:rFonts w:hint="eastAsia"/>
          <w:color w:val="auto"/>
        </w:rPr>
        <w:t>第六章 资格审查</w:t>
      </w:r>
      <w:bookmarkEnd w:id="91"/>
    </w:p>
    <w:p w14:paraId="0174D5D4">
      <w:pPr>
        <w:pStyle w:val="3"/>
        <w:pageBreakBefore w:val="0"/>
        <w:wordWrap w:val="0"/>
        <w:overflowPunct/>
        <w:bidi w:val="0"/>
        <w:spacing w:line="240" w:lineRule="auto"/>
        <w:ind w:firstLine="0" w:firstLineChars="0"/>
        <w:jc w:val="center"/>
        <w:rPr>
          <w:color w:val="auto"/>
        </w:rPr>
      </w:pPr>
      <w:bookmarkStart w:id="92" w:name="_Toc20494"/>
      <w:r>
        <w:rPr>
          <w:rFonts w:hint="eastAsia"/>
          <w:color w:val="auto"/>
        </w:rPr>
        <w:t>资格审查表</w:t>
      </w:r>
      <w:bookmarkEnd w:id="92"/>
    </w:p>
    <w:tbl>
      <w:tblPr>
        <w:tblStyle w:val="36"/>
        <w:tblW w:w="99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5"/>
        <w:gridCol w:w="1478"/>
        <w:gridCol w:w="7693"/>
      </w:tblGrid>
      <w:tr w14:paraId="0097BE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85" w:type="dxa"/>
            <w:tcBorders>
              <w:bottom w:val="single" w:color="auto" w:sz="4" w:space="0"/>
            </w:tcBorders>
            <w:tcMar>
              <w:top w:w="57" w:type="dxa"/>
              <w:left w:w="57" w:type="dxa"/>
              <w:bottom w:w="57" w:type="dxa"/>
              <w:right w:w="57" w:type="dxa"/>
            </w:tcMar>
            <w:vAlign w:val="center"/>
          </w:tcPr>
          <w:p w14:paraId="764996F7">
            <w:pPr>
              <w:pageBreakBefore w:val="0"/>
              <w:wordWrap w:val="0"/>
              <w:overflowPunct/>
              <w:bidi w:val="0"/>
              <w:spacing w:line="240" w:lineRule="auto"/>
              <w:ind w:firstLine="0" w:firstLineChars="0"/>
              <w:jc w:val="center"/>
              <w:rPr>
                <w:b/>
                <w:bCs/>
                <w:color w:val="auto"/>
              </w:rPr>
            </w:pPr>
            <w:r>
              <w:rPr>
                <w:rFonts w:hint="eastAsia"/>
                <w:b/>
                <w:bCs/>
                <w:color w:val="auto"/>
              </w:rPr>
              <w:t>条款号</w:t>
            </w:r>
          </w:p>
        </w:tc>
        <w:tc>
          <w:tcPr>
            <w:tcW w:w="1478" w:type="dxa"/>
            <w:tcMar>
              <w:top w:w="57" w:type="dxa"/>
              <w:left w:w="57" w:type="dxa"/>
              <w:bottom w:w="57" w:type="dxa"/>
              <w:right w:w="57" w:type="dxa"/>
            </w:tcMar>
            <w:vAlign w:val="center"/>
          </w:tcPr>
          <w:p w14:paraId="72706519">
            <w:pPr>
              <w:pageBreakBefore w:val="0"/>
              <w:wordWrap w:val="0"/>
              <w:overflowPunct/>
              <w:bidi w:val="0"/>
              <w:spacing w:line="240" w:lineRule="auto"/>
              <w:ind w:firstLine="0" w:firstLineChars="0"/>
              <w:jc w:val="center"/>
              <w:rPr>
                <w:b/>
                <w:bCs/>
                <w:color w:val="auto"/>
              </w:rPr>
            </w:pPr>
            <w:r>
              <w:rPr>
                <w:rFonts w:hint="eastAsia"/>
                <w:b/>
                <w:bCs/>
                <w:color w:val="auto"/>
              </w:rPr>
              <w:t>评审内容</w:t>
            </w:r>
          </w:p>
        </w:tc>
        <w:tc>
          <w:tcPr>
            <w:tcW w:w="7693" w:type="dxa"/>
            <w:tcMar>
              <w:top w:w="57" w:type="dxa"/>
              <w:left w:w="57" w:type="dxa"/>
              <w:bottom w:w="57" w:type="dxa"/>
              <w:right w:w="57" w:type="dxa"/>
            </w:tcMar>
            <w:vAlign w:val="center"/>
          </w:tcPr>
          <w:p w14:paraId="38ECFED3">
            <w:pPr>
              <w:pageBreakBefore w:val="0"/>
              <w:wordWrap w:val="0"/>
              <w:overflowPunct/>
              <w:bidi w:val="0"/>
              <w:spacing w:line="240" w:lineRule="auto"/>
              <w:ind w:firstLine="0" w:firstLineChars="0"/>
              <w:jc w:val="center"/>
              <w:rPr>
                <w:b/>
                <w:bCs/>
                <w:color w:val="auto"/>
              </w:rPr>
            </w:pPr>
            <w:r>
              <w:rPr>
                <w:rFonts w:hint="eastAsia"/>
                <w:b/>
                <w:bCs/>
                <w:color w:val="auto"/>
              </w:rPr>
              <w:t>评审标准</w:t>
            </w:r>
          </w:p>
        </w:tc>
      </w:tr>
      <w:tr w14:paraId="01528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jc w:val="center"/>
        </w:trPr>
        <w:tc>
          <w:tcPr>
            <w:tcW w:w="785" w:type="dxa"/>
            <w:vMerge w:val="restart"/>
            <w:tcBorders>
              <w:top w:val="single" w:color="auto" w:sz="4" w:space="0"/>
              <w:left w:val="single" w:color="auto" w:sz="4" w:space="0"/>
              <w:right w:val="single" w:color="auto" w:sz="4" w:space="0"/>
            </w:tcBorders>
            <w:tcMar>
              <w:top w:w="57" w:type="dxa"/>
              <w:left w:w="57" w:type="dxa"/>
              <w:bottom w:w="57" w:type="dxa"/>
              <w:right w:w="57" w:type="dxa"/>
            </w:tcMar>
            <w:vAlign w:val="center"/>
          </w:tcPr>
          <w:p w14:paraId="3A493DD9">
            <w:pPr>
              <w:pageBreakBefore w:val="0"/>
              <w:wordWrap w:val="0"/>
              <w:overflowPunct/>
              <w:bidi w:val="0"/>
              <w:spacing w:line="240" w:lineRule="auto"/>
              <w:ind w:firstLine="0" w:firstLineChars="0"/>
              <w:jc w:val="center"/>
              <w:rPr>
                <w:color w:val="auto"/>
              </w:rPr>
            </w:pPr>
            <w:r>
              <w:rPr>
                <w:rFonts w:hint="eastAsia"/>
                <w:color w:val="auto"/>
              </w:rPr>
              <w:t>资格审查标准</w:t>
            </w:r>
          </w:p>
        </w:tc>
        <w:tc>
          <w:tcPr>
            <w:tcW w:w="1478" w:type="dxa"/>
            <w:tcBorders>
              <w:left w:val="single" w:color="auto" w:sz="4" w:space="0"/>
            </w:tcBorders>
            <w:tcMar>
              <w:top w:w="57" w:type="dxa"/>
              <w:left w:w="57" w:type="dxa"/>
              <w:bottom w:w="57" w:type="dxa"/>
              <w:right w:w="57" w:type="dxa"/>
            </w:tcMar>
            <w:vAlign w:val="center"/>
          </w:tcPr>
          <w:p w14:paraId="79E175D7">
            <w:pPr>
              <w:pageBreakBefore w:val="0"/>
              <w:wordWrap w:val="0"/>
              <w:overflowPunct/>
              <w:bidi w:val="0"/>
              <w:spacing w:line="240" w:lineRule="auto"/>
              <w:ind w:firstLine="0" w:firstLineChars="0"/>
              <w:jc w:val="center"/>
              <w:rPr>
                <w:b/>
                <w:color w:val="auto"/>
              </w:rPr>
            </w:pPr>
            <w:r>
              <w:rPr>
                <w:rFonts w:hint="eastAsia"/>
                <w:color w:val="auto"/>
              </w:rPr>
              <w:t>投标人名称</w:t>
            </w:r>
          </w:p>
        </w:tc>
        <w:tc>
          <w:tcPr>
            <w:tcW w:w="7693" w:type="dxa"/>
            <w:tcMar>
              <w:top w:w="57" w:type="dxa"/>
              <w:left w:w="57" w:type="dxa"/>
              <w:bottom w:w="57" w:type="dxa"/>
              <w:right w:w="57" w:type="dxa"/>
            </w:tcMar>
            <w:vAlign w:val="center"/>
          </w:tcPr>
          <w:p w14:paraId="503BE049">
            <w:pPr>
              <w:pageBreakBefore w:val="0"/>
              <w:wordWrap w:val="0"/>
              <w:overflowPunct/>
              <w:bidi w:val="0"/>
              <w:spacing w:line="240" w:lineRule="auto"/>
              <w:ind w:firstLine="0" w:firstLineChars="0"/>
              <w:rPr>
                <w:b/>
                <w:color w:val="auto"/>
              </w:rPr>
            </w:pPr>
            <w:r>
              <w:rPr>
                <w:rFonts w:hint="eastAsia"/>
                <w:color w:val="auto"/>
              </w:rPr>
              <w:t>与投标报名、营业执照一致（符合法定变更程序除外）。</w:t>
            </w:r>
          </w:p>
        </w:tc>
      </w:tr>
      <w:tr w14:paraId="75A861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14:paraId="58827076">
            <w:pPr>
              <w:pageBreakBefore w:val="0"/>
              <w:wordWrap w:val="0"/>
              <w:overflowPunct/>
              <w:bidi w:val="0"/>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14:paraId="1F654908">
            <w:pPr>
              <w:pageBreakBefore w:val="0"/>
              <w:wordWrap w:val="0"/>
              <w:overflowPunct/>
              <w:bidi w:val="0"/>
              <w:spacing w:line="240" w:lineRule="auto"/>
              <w:ind w:firstLine="0" w:firstLineChars="0"/>
              <w:jc w:val="center"/>
              <w:rPr>
                <w:color w:val="auto"/>
              </w:rPr>
            </w:pPr>
            <w:r>
              <w:rPr>
                <w:rFonts w:hint="eastAsia"/>
                <w:color w:val="auto"/>
              </w:rPr>
              <w:t>落实政府采购政策需满足的资格要求</w:t>
            </w:r>
          </w:p>
        </w:tc>
        <w:tc>
          <w:tcPr>
            <w:tcW w:w="7693" w:type="dxa"/>
            <w:tcMar>
              <w:top w:w="57" w:type="dxa"/>
              <w:left w:w="57" w:type="dxa"/>
              <w:bottom w:w="57" w:type="dxa"/>
              <w:right w:w="57" w:type="dxa"/>
            </w:tcMar>
            <w:vAlign w:val="center"/>
          </w:tcPr>
          <w:p w14:paraId="65EB36B3">
            <w:pPr>
              <w:pageBreakBefore w:val="0"/>
              <w:wordWrap w:val="0"/>
              <w:overflowPunct/>
              <w:bidi w:val="0"/>
              <w:spacing w:line="240" w:lineRule="auto"/>
              <w:ind w:firstLine="0" w:firstLineChars="0"/>
              <w:rPr>
                <w:color w:val="auto"/>
              </w:rPr>
            </w:pPr>
            <w:r>
              <w:rPr>
                <w:rFonts w:hint="eastAsia"/>
                <w:color w:val="auto"/>
              </w:rPr>
              <w:t>5标包</w:t>
            </w:r>
            <w:r>
              <w:rPr>
                <w:rFonts w:hint="eastAsia"/>
                <w:color w:val="auto"/>
                <w:lang w:eastAsia="zh-CN"/>
              </w:rPr>
              <w:t>、</w:t>
            </w:r>
            <w:r>
              <w:rPr>
                <w:rFonts w:hint="eastAsia"/>
                <w:color w:val="auto"/>
              </w:rPr>
              <w:t>6标包</w:t>
            </w:r>
            <w:r>
              <w:rPr>
                <w:rFonts w:hint="eastAsia"/>
                <w:color w:val="auto"/>
                <w:lang w:eastAsia="zh-CN"/>
              </w:rPr>
              <w:t>、</w:t>
            </w:r>
            <w:r>
              <w:rPr>
                <w:rFonts w:hint="eastAsia"/>
                <w:color w:val="auto"/>
              </w:rPr>
              <w:t>11标包</w:t>
            </w:r>
            <w:r>
              <w:rPr>
                <w:rFonts w:hint="eastAsia"/>
                <w:color w:val="auto"/>
                <w:lang w:eastAsia="zh-CN"/>
              </w:rPr>
              <w:t>、</w:t>
            </w:r>
            <w:r>
              <w:rPr>
                <w:rFonts w:hint="eastAsia"/>
                <w:color w:val="auto"/>
              </w:rPr>
              <w:t>13标包</w:t>
            </w:r>
            <w:r>
              <w:rPr>
                <w:rFonts w:hint="eastAsia"/>
                <w:color w:val="auto"/>
                <w:lang w:eastAsia="zh-CN"/>
              </w:rPr>
              <w:t>、</w:t>
            </w:r>
            <w:r>
              <w:rPr>
                <w:rFonts w:hint="eastAsia"/>
                <w:color w:val="auto"/>
              </w:rPr>
              <w:t>14标包均为非专门面向中小企业采购的项目。</w:t>
            </w:r>
            <w:r>
              <w:rPr>
                <w:rFonts w:hint="eastAsia"/>
                <w:color w:val="auto"/>
                <w:lang w:val="en-US" w:eastAsia="zh-CN"/>
              </w:rPr>
              <w:t>投标报价</w:t>
            </w:r>
            <w:r>
              <w:rPr>
                <w:rFonts w:hint="eastAsia"/>
                <w:color w:val="auto"/>
              </w:rPr>
              <w:t>评审时，给予小型、微型企业10%的价格扣除，用扣除后的价格参与报价评审。监狱企业、残疾人福利性单位视同小微企业。小微企业的认定标准及相关要求详见本项目招标文件。</w:t>
            </w:r>
          </w:p>
        </w:tc>
      </w:tr>
      <w:tr w14:paraId="6F5E7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14:paraId="1A5797FF">
            <w:pPr>
              <w:pageBreakBefore w:val="0"/>
              <w:wordWrap w:val="0"/>
              <w:overflowPunct/>
              <w:bidi w:val="0"/>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14:paraId="60017690">
            <w:pPr>
              <w:pageBreakBefore w:val="0"/>
              <w:wordWrap w:val="0"/>
              <w:overflowPunct/>
              <w:bidi w:val="0"/>
              <w:spacing w:line="240" w:lineRule="auto"/>
              <w:ind w:firstLine="0" w:firstLineChars="0"/>
              <w:jc w:val="center"/>
              <w:rPr>
                <w:color w:val="auto"/>
              </w:rPr>
            </w:pPr>
            <w:r>
              <w:rPr>
                <w:rFonts w:hint="eastAsia"/>
                <w:color w:val="auto"/>
              </w:rPr>
              <w:t>独立承担民事责任的能力</w:t>
            </w:r>
          </w:p>
        </w:tc>
        <w:tc>
          <w:tcPr>
            <w:tcW w:w="7693" w:type="dxa"/>
            <w:tcMar>
              <w:top w:w="57" w:type="dxa"/>
              <w:left w:w="57" w:type="dxa"/>
              <w:bottom w:w="57" w:type="dxa"/>
              <w:right w:w="57" w:type="dxa"/>
            </w:tcMar>
            <w:vAlign w:val="center"/>
          </w:tcPr>
          <w:p w14:paraId="0CB30397">
            <w:pPr>
              <w:pageBreakBefore w:val="0"/>
              <w:wordWrap w:val="0"/>
              <w:overflowPunct/>
              <w:bidi w:val="0"/>
              <w:spacing w:line="240" w:lineRule="auto"/>
              <w:ind w:firstLine="0" w:firstLineChars="0"/>
              <w:rPr>
                <w:color w:val="auto"/>
              </w:rPr>
            </w:pPr>
            <w:r>
              <w:rPr>
                <w:rFonts w:hint="eastAsia"/>
                <w:color w:val="auto"/>
              </w:rPr>
              <w:t>投标人具有独立承担民事责任的能力，投标人须具备法人或者其他组织的营业执照或同等法定证明文件。</w:t>
            </w:r>
          </w:p>
        </w:tc>
      </w:tr>
      <w:tr w14:paraId="7EE06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14:paraId="59197947">
            <w:pPr>
              <w:pageBreakBefore w:val="0"/>
              <w:wordWrap w:val="0"/>
              <w:overflowPunct/>
              <w:bidi w:val="0"/>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14:paraId="6E10B508">
            <w:pPr>
              <w:pageBreakBefore w:val="0"/>
              <w:wordWrap w:val="0"/>
              <w:overflowPunct/>
              <w:bidi w:val="0"/>
              <w:spacing w:line="240" w:lineRule="auto"/>
              <w:ind w:firstLine="0" w:firstLineChars="0"/>
              <w:jc w:val="center"/>
              <w:rPr>
                <w:color w:val="auto"/>
              </w:rPr>
            </w:pPr>
            <w:r>
              <w:rPr>
                <w:rFonts w:hint="eastAsia"/>
                <w:color w:val="auto"/>
              </w:rPr>
              <w:t>良好的商业信誉和健全的财务会计制度</w:t>
            </w:r>
          </w:p>
        </w:tc>
        <w:tc>
          <w:tcPr>
            <w:tcW w:w="7693" w:type="dxa"/>
            <w:tcMar>
              <w:top w:w="57" w:type="dxa"/>
              <w:left w:w="57" w:type="dxa"/>
              <w:bottom w:w="57" w:type="dxa"/>
              <w:right w:w="57" w:type="dxa"/>
            </w:tcMar>
            <w:vAlign w:val="center"/>
          </w:tcPr>
          <w:p w14:paraId="0DEF52BE">
            <w:pPr>
              <w:pageBreakBefore w:val="0"/>
              <w:wordWrap w:val="0"/>
              <w:overflowPunct/>
              <w:bidi w:val="0"/>
              <w:spacing w:line="240" w:lineRule="auto"/>
              <w:ind w:firstLine="0" w:firstLineChars="0"/>
              <w:rPr>
                <w:color w:val="auto"/>
              </w:rPr>
            </w:pPr>
            <w:r>
              <w:rPr>
                <w:rFonts w:hint="eastAsia"/>
                <w:color w:val="auto"/>
              </w:rPr>
              <w:t>（1）提供2021年度-2023年度任意一年经审计的财务会计报表，包括财务审计报告、资产负债表、利润表、现金流量表；</w:t>
            </w:r>
          </w:p>
          <w:p w14:paraId="02287C21">
            <w:pPr>
              <w:pageBreakBefore w:val="0"/>
              <w:wordWrap w:val="0"/>
              <w:overflowPunct/>
              <w:bidi w:val="0"/>
              <w:spacing w:line="240" w:lineRule="auto"/>
              <w:ind w:firstLine="0" w:firstLineChars="0"/>
              <w:rPr>
                <w:color w:val="auto"/>
              </w:rPr>
            </w:pPr>
            <w:r>
              <w:rPr>
                <w:rFonts w:hint="eastAsia"/>
                <w:color w:val="auto"/>
              </w:rPr>
              <w:t>（2）对于从取得营业执照时间起到递交投标文件截止时间为止不足1年的投标人，提供自投标文件提交截止时间前三个月内开户银行出具的资信证明。</w:t>
            </w:r>
          </w:p>
          <w:p w14:paraId="26F89AF9">
            <w:pPr>
              <w:pageBreakBefore w:val="0"/>
              <w:wordWrap w:val="0"/>
              <w:overflowPunct/>
              <w:bidi w:val="0"/>
              <w:spacing w:line="240" w:lineRule="auto"/>
              <w:ind w:firstLine="0" w:firstLineChars="0"/>
              <w:rPr>
                <w:color w:val="auto"/>
              </w:rPr>
            </w:pPr>
            <w:r>
              <w:rPr>
                <w:rFonts w:hint="eastAsia"/>
                <w:color w:val="auto"/>
              </w:rPr>
              <w:t>（3）财政部门认可的政府采购专业担保机构出具的关于财务状况的投标担保函（需同时提供专业担保机构经财政部门认可的证明文件）。</w:t>
            </w:r>
          </w:p>
          <w:p w14:paraId="33A3165B">
            <w:pPr>
              <w:pageBreakBefore w:val="0"/>
              <w:wordWrap w:val="0"/>
              <w:overflowPunct/>
              <w:bidi w:val="0"/>
              <w:spacing w:line="240" w:lineRule="auto"/>
              <w:ind w:firstLine="0" w:firstLineChars="0"/>
              <w:rPr>
                <w:color w:val="auto"/>
              </w:rPr>
            </w:pPr>
            <w:r>
              <w:rPr>
                <w:rFonts w:hint="eastAsia"/>
                <w:color w:val="auto"/>
              </w:rPr>
              <w:t>备注：投标人可根据自身情况提供上述任意一种证明材料。</w:t>
            </w:r>
          </w:p>
        </w:tc>
      </w:tr>
      <w:tr w14:paraId="5A6072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14:paraId="6E99330E">
            <w:pPr>
              <w:pageBreakBefore w:val="0"/>
              <w:wordWrap w:val="0"/>
              <w:overflowPunct/>
              <w:bidi w:val="0"/>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14:paraId="28A3ED7C">
            <w:pPr>
              <w:pageBreakBefore w:val="0"/>
              <w:wordWrap w:val="0"/>
              <w:overflowPunct/>
              <w:bidi w:val="0"/>
              <w:spacing w:line="240" w:lineRule="auto"/>
              <w:ind w:firstLine="0" w:firstLineChars="0"/>
              <w:jc w:val="center"/>
              <w:rPr>
                <w:color w:val="auto"/>
              </w:rPr>
            </w:pPr>
            <w:r>
              <w:rPr>
                <w:rFonts w:hint="eastAsia"/>
                <w:color w:val="auto"/>
              </w:rPr>
              <w:t>履行合同所必需的设备和专业技术能力</w:t>
            </w:r>
          </w:p>
        </w:tc>
        <w:tc>
          <w:tcPr>
            <w:tcW w:w="7693" w:type="dxa"/>
            <w:tcMar>
              <w:top w:w="57" w:type="dxa"/>
              <w:left w:w="57" w:type="dxa"/>
              <w:bottom w:w="57" w:type="dxa"/>
              <w:right w:w="57" w:type="dxa"/>
            </w:tcMar>
            <w:vAlign w:val="center"/>
          </w:tcPr>
          <w:p w14:paraId="3FBF4350">
            <w:pPr>
              <w:pageBreakBefore w:val="0"/>
              <w:wordWrap w:val="0"/>
              <w:overflowPunct/>
              <w:bidi w:val="0"/>
              <w:spacing w:line="240" w:lineRule="auto"/>
              <w:ind w:firstLine="0" w:firstLineChars="0"/>
              <w:rPr>
                <w:color w:val="auto"/>
              </w:rPr>
            </w:pPr>
            <w:r>
              <w:rPr>
                <w:color w:val="auto"/>
              </w:rPr>
              <w:t>提供可充分满足履行合同所需设备和专业技术能力的证明材料</w:t>
            </w:r>
            <w:r>
              <w:rPr>
                <w:rFonts w:hint="eastAsia"/>
                <w:color w:val="auto"/>
              </w:rPr>
              <w:t>复印</w:t>
            </w:r>
            <w:r>
              <w:rPr>
                <w:rFonts w:hint="eastAsia"/>
                <w:bCs/>
                <w:color w:val="auto"/>
              </w:rPr>
              <w:t>件</w:t>
            </w:r>
            <w:r>
              <w:rPr>
                <w:rFonts w:hint="eastAsia"/>
                <w:color w:val="auto"/>
              </w:rPr>
              <w:t>或承诺函</w:t>
            </w:r>
          </w:p>
        </w:tc>
      </w:tr>
      <w:tr w14:paraId="148F84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14:paraId="35B87D75">
            <w:pPr>
              <w:pageBreakBefore w:val="0"/>
              <w:wordWrap w:val="0"/>
              <w:overflowPunct/>
              <w:bidi w:val="0"/>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14:paraId="6D47E8EA">
            <w:pPr>
              <w:pageBreakBefore w:val="0"/>
              <w:wordWrap w:val="0"/>
              <w:overflowPunct/>
              <w:bidi w:val="0"/>
              <w:spacing w:line="240" w:lineRule="auto"/>
              <w:ind w:firstLine="0" w:firstLineChars="0"/>
              <w:jc w:val="center"/>
              <w:rPr>
                <w:color w:val="auto"/>
              </w:rPr>
            </w:pPr>
            <w:r>
              <w:rPr>
                <w:rFonts w:hint="eastAsia"/>
                <w:color w:val="auto"/>
              </w:rPr>
              <w:t>缴纳税收和社会保障资金</w:t>
            </w:r>
          </w:p>
        </w:tc>
        <w:tc>
          <w:tcPr>
            <w:tcW w:w="7693" w:type="dxa"/>
            <w:tcMar>
              <w:top w:w="57" w:type="dxa"/>
              <w:left w:w="57" w:type="dxa"/>
              <w:bottom w:w="57" w:type="dxa"/>
              <w:right w:w="57" w:type="dxa"/>
            </w:tcMar>
            <w:vAlign w:val="center"/>
          </w:tcPr>
          <w:p w14:paraId="7D7B68D2">
            <w:pPr>
              <w:pageBreakBefore w:val="0"/>
              <w:wordWrap w:val="0"/>
              <w:overflowPunct/>
              <w:bidi w:val="0"/>
              <w:spacing w:line="240" w:lineRule="auto"/>
              <w:rPr>
                <w:color w:val="auto"/>
              </w:rPr>
            </w:pPr>
            <w:r>
              <w:rPr>
                <w:rFonts w:hint="eastAsia"/>
                <w:color w:val="auto"/>
              </w:rPr>
              <w:t>缴税所属时间在2023年1月至今期间任意3个月的税务局税收通用缴款书复印件或银行电子缴税(费)凭证复印件或税务局出具纳税情况的相关证明复印件。（依法免税的，应提供依法免税的相关证明文件；2024年1月份及以后成立的投标人需出具承诺函）。</w:t>
            </w:r>
          </w:p>
          <w:p w14:paraId="0AD30262">
            <w:pPr>
              <w:pageBreakBefore w:val="0"/>
              <w:wordWrap w:val="0"/>
              <w:overflowPunct/>
              <w:bidi w:val="0"/>
              <w:spacing w:line="240" w:lineRule="auto"/>
              <w:rPr>
                <w:color w:val="auto"/>
              </w:rPr>
            </w:pPr>
            <w:r>
              <w:rPr>
                <w:rFonts w:hint="eastAsia"/>
                <w:color w:val="auto"/>
              </w:rPr>
              <w:t>缴费所属时间在2023年1月至今期间任意3个月的社会保险费缴款书复印件或银行电子缴税(费) 凭证复印件或社保管理部门出具的有效的缴款证明复印件。（依法免缴的，应提供依法免缴的相关证明文件；2024年1月份及以后成立的投标人需出具承诺函）。</w:t>
            </w:r>
          </w:p>
        </w:tc>
      </w:tr>
      <w:tr w14:paraId="35B4D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85" w:type="dxa"/>
            <w:vMerge w:val="continue"/>
            <w:tcBorders>
              <w:left w:val="single" w:color="auto" w:sz="4" w:space="0"/>
              <w:right w:val="single" w:color="auto" w:sz="4" w:space="0"/>
            </w:tcBorders>
            <w:tcMar>
              <w:top w:w="57" w:type="dxa"/>
              <w:left w:w="57" w:type="dxa"/>
              <w:bottom w:w="57" w:type="dxa"/>
              <w:right w:w="57" w:type="dxa"/>
            </w:tcMar>
            <w:vAlign w:val="center"/>
          </w:tcPr>
          <w:p w14:paraId="373EA384">
            <w:pPr>
              <w:pageBreakBefore w:val="0"/>
              <w:wordWrap w:val="0"/>
              <w:overflowPunct/>
              <w:bidi w:val="0"/>
              <w:spacing w:line="240" w:lineRule="auto"/>
              <w:ind w:firstLine="0" w:firstLineChars="0"/>
              <w:jc w:val="center"/>
              <w:rPr>
                <w:color w:val="auto"/>
              </w:rPr>
            </w:pPr>
          </w:p>
        </w:tc>
        <w:tc>
          <w:tcPr>
            <w:tcW w:w="1478" w:type="dxa"/>
            <w:tcBorders>
              <w:left w:val="single" w:color="auto" w:sz="4" w:space="0"/>
            </w:tcBorders>
            <w:tcMar>
              <w:top w:w="57" w:type="dxa"/>
              <w:left w:w="57" w:type="dxa"/>
              <w:bottom w:w="57" w:type="dxa"/>
              <w:right w:w="57" w:type="dxa"/>
            </w:tcMar>
            <w:vAlign w:val="center"/>
          </w:tcPr>
          <w:p w14:paraId="54DB965A">
            <w:pPr>
              <w:pageBreakBefore w:val="0"/>
              <w:wordWrap w:val="0"/>
              <w:overflowPunct/>
              <w:bidi w:val="0"/>
              <w:spacing w:line="240" w:lineRule="auto"/>
              <w:ind w:firstLine="0" w:firstLineChars="0"/>
              <w:jc w:val="center"/>
              <w:rPr>
                <w:color w:val="auto"/>
              </w:rPr>
            </w:pPr>
            <w:r>
              <w:rPr>
                <w:rFonts w:hint="eastAsia"/>
                <w:color w:val="auto"/>
              </w:rPr>
              <w:t>没有重大违法记录</w:t>
            </w:r>
          </w:p>
        </w:tc>
        <w:tc>
          <w:tcPr>
            <w:tcW w:w="7693" w:type="dxa"/>
            <w:tcMar>
              <w:top w:w="57" w:type="dxa"/>
              <w:left w:w="57" w:type="dxa"/>
              <w:bottom w:w="57" w:type="dxa"/>
              <w:right w:w="57" w:type="dxa"/>
            </w:tcMar>
            <w:vAlign w:val="center"/>
          </w:tcPr>
          <w:p w14:paraId="015CE606">
            <w:pPr>
              <w:pageBreakBefore w:val="0"/>
              <w:wordWrap w:val="0"/>
              <w:overflowPunct/>
              <w:bidi w:val="0"/>
              <w:spacing w:line="240" w:lineRule="auto"/>
              <w:ind w:firstLine="0" w:firstLineChars="0"/>
              <w:rPr>
                <w:color w:val="auto"/>
              </w:rPr>
            </w:pPr>
            <w:r>
              <w:rPr>
                <w:rFonts w:hint="eastAsia"/>
                <w:color w:val="auto"/>
              </w:rPr>
              <w:t>提供有效的参加政府采购活动前3年内在经营活动中没有重大违法记录的书面声明</w:t>
            </w:r>
          </w:p>
        </w:tc>
      </w:tr>
      <w:tr w14:paraId="1F02F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3" w:hRule="atLeast"/>
          <w:jc w:val="center"/>
        </w:trPr>
        <w:tc>
          <w:tcPr>
            <w:tcW w:w="785" w:type="dxa"/>
            <w:vMerge w:val="continue"/>
            <w:tcBorders>
              <w:left w:val="single" w:color="auto" w:sz="4" w:space="0"/>
              <w:right w:val="single" w:color="auto" w:sz="4" w:space="0"/>
            </w:tcBorders>
          </w:tcPr>
          <w:p w14:paraId="6F100339">
            <w:pPr>
              <w:pageBreakBefore w:val="0"/>
              <w:wordWrap w:val="0"/>
              <w:overflowPunct/>
              <w:bidi w:val="0"/>
              <w:spacing w:line="240" w:lineRule="auto"/>
              <w:ind w:firstLine="0" w:firstLineChars="0"/>
              <w:jc w:val="center"/>
              <w:rPr>
                <w:color w:val="auto"/>
              </w:rPr>
            </w:pPr>
          </w:p>
        </w:tc>
        <w:tc>
          <w:tcPr>
            <w:tcW w:w="1478" w:type="dxa"/>
            <w:vAlign w:val="center"/>
          </w:tcPr>
          <w:p w14:paraId="1CFAC499">
            <w:pPr>
              <w:pageBreakBefore w:val="0"/>
              <w:wordWrap w:val="0"/>
              <w:overflowPunct/>
              <w:bidi w:val="0"/>
              <w:spacing w:line="240" w:lineRule="auto"/>
              <w:ind w:firstLine="0" w:firstLineChars="0"/>
              <w:jc w:val="center"/>
              <w:rPr>
                <w:color w:val="auto"/>
              </w:rPr>
            </w:pPr>
            <w:r>
              <w:rPr>
                <w:rFonts w:hint="eastAsia"/>
                <w:color w:val="auto"/>
              </w:rPr>
              <w:t>法律、行政法规规定的其他条件</w:t>
            </w:r>
          </w:p>
        </w:tc>
        <w:tc>
          <w:tcPr>
            <w:tcW w:w="7693" w:type="dxa"/>
            <w:vAlign w:val="center"/>
          </w:tcPr>
          <w:p w14:paraId="38E269AC">
            <w:pPr>
              <w:pageBreakBefore w:val="0"/>
              <w:wordWrap w:val="0"/>
              <w:overflowPunct/>
              <w:bidi w:val="0"/>
              <w:spacing w:line="240" w:lineRule="auto"/>
              <w:ind w:firstLine="0" w:firstLineChars="0"/>
              <w:rPr>
                <w:color w:val="auto"/>
              </w:rPr>
            </w:pPr>
            <w:r>
              <w:rPr>
                <w:rFonts w:hint="eastAsia"/>
                <w:color w:val="auto"/>
              </w:rPr>
              <w:t>投标人在国家企业信用信息公示系统上未被列入“严重违法失信名单（黑名单）信息”；未被信用中国列入“失信被执行人”（失信被执行人由《信用中国》跳转至《中国执行信息公开网》查询）；在中国政府采购网（www.ccgp.gov.cn）上无政府采购严重违法失信行为记录名单记录。由采购代理机构提供查询结果。</w:t>
            </w:r>
          </w:p>
        </w:tc>
      </w:tr>
      <w:tr w14:paraId="3DF84A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785" w:type="dxa"/>
            <w:vMerge w:val="continue"/>
            <w:tcBorders>
              <w:left w:val="single" w:color="auto" w:sz="4" w:space="0"/>
              <w:right w:val="single" w:color="auto" w:sz="4" w:space="0"/>
            </w:tcBorders>
          </w:tcPr>
          <w:p w14:paraId="52B2C086">
            <w:pPr>
              <w:pageBreakBefore w:val="0"/>
              <w:wordWrap w:val="0"/>
              <w:overflowPunct/>
              <w:bidi w:val="0"/>
              <w:spacing w:line="240" w:lineRule="auto"/>
              <w:ind w:firstLine="0" w:firstLineChars="0"/>
              <w:jc w:val="center"/>
              <w:rPr>
                <w:color w:val="auto"/>
              </w:rPr>
            </w:pPr>
          </w:p>
        </w:tc>
        <w:tc>
          <w:tcPr>
            <w:tcW w:w="1478" w:type="dxa"/>
            <w:vMerge w:val="restart"/>
            <w:vAlign w:val="center"/>
          </w:tcPr>
          <w:p w14:paraId="320396A6">
            <w:pPr>
              <w:pageBreakBefore w:val="0"/>
              <w:wordWrap w:val="0"/>
              <w:overflowPunct/>
              <w:bidi w:val="0"/>
              <w:spacing w:line="240" w:lineRule="auto"/>
              <w:ind w:firstLine="0" w:firstLineChars="0"/>
              <w:jc w:val="center"/>
              <w:rPr>
                <w:color w:val="auto"/>
              </w:rPr>
            </w:pPr>
            <w:r>
              <w:rPr>
                <w:rFonts w:hint="eastAsia"/>
                <w:color w:val="auto"/>
              </w:rPr>
              <w:t>关联关系</w:t>
            </w:r>
          </w:p>
        </w:tc>
        <w:tc>
          <w:tcPr>
            <w:tcW w:w="7693" w:type="dxa"/>
            <w:vAlign w:val="center"/>
          </w:tcPr>
          <w:p w14:paraId="202A1611">
            <w:pPr>
              <w:pageBreakBefore w:val="0"/>
              <w:wordWrap w:val="0"/>
              <w:overflowPunct/>
              <w:bidi w:val="0"/>
              <w:spacing w:line="240" w:lineRule="auto"/>
              <w:ind w:firstLine="0" w:firstLineChars="0"/>
              <w:rPr>
                <w:rFonts w:cs="仿宋"/>
                <w:color w:val="auto"/>
                <w:spacing w:val="8"/>
                <w:shd w:val="clear" w:color="auto" w:fill="FFFFFF"/>
              </w:rPr>
            </w:pPr>
            <w:r>
              <w:rPr>
                <w:rFonts w:hint="eastAsia"/>
                <w:color w:val="auto"/>
              </w:rPr>
              <w:t>提供“单位负责人为同一人或者存在控股、管理关系的不同单位，不得同时参加本项目的投标”相关说明</w:t>
            </w:r>
          </w:p>
        </w:tc>
      </w:tr>
      <w:tr w14:paraId="6F7A81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85" w:type="dxa"/>
            <w:vMerge w:val="continue"/>
            <w:tcBorders>
              <w:left w:val="single" w:color="auto" w:sz="4" w:space="0"/>
              <w:right w:val="single" w:color="auto" w:sz="4" w:space="0"/>
            </w:tcBorders>
          </w:tcPr>
          <w:p w14:paraId="578C4AE8">
            <w:pPr>
              <w:pageBreakBefore w:val="0"/>
              <w:wordWrap w:val="0"/>
              <w:overflowPunct/>
              <w:bidi w:val="0"/>
              <w:spacing w:line="240" w:lineRule="auto"/>
              <w:ind w:firstLine="0" w:firstLineChars="0"/>
              <w:jc w:val="center"/>
              <w:rPr>
                <w:color w:val="auto"/>
              </w:rPr>
            </w:pPr>
          </w:p>
        </w:tc>
        <w:tc>
          <w:tcPr>
            <w:tcW w:w="1478" w:type="dxa"/>
            <w:vMerge w:val="continue"/>
            <w:vAlign w:val="center"/>
          </w:tcPr>
          <w:p w14:paraId="6532E010">
            <w:pPr>
              <w:pageBreakBefore w:val="0"/>
              <w:wordWrap w:val="0"/>
              <w:overflowPunct/>
              <w:bidi w:val="0"/>
              <w:spacing w:line="240" w:lineRule="auto"/>
              <w:ind w:firstLine="0" w:firstLineChars="0"/>
              <w:jc w:val="center"/>
              <w:rPr>
                <w:color w:val="auto"/>
              </w:rPr>
            </w:pPr>
          </w:p>
        </w:tc>
        <w:tc>
          <w:tcPr>
            <w:tcW w:w="7693" w:type="dxa"/>
            <w:vAlign w:val="center"/>
          </w:tcPr>
          <w:p w14:paraId="14602ECC">
            <w:pPr>
              <w:pageBreakBefore w:val="0"/>
              <w:wordWrap w:val="0"/>
              <w:overflowPunct/>
              <w:bidi w:val="0"/>
              <w:spacing w:line="240" w:lineRule="auto"/>
              <w:ind w:firstLine="0" w:firstLineChars="0"/>
              <w:rPr>
                <w:color w:val="auto"/>
              </w:rPr>
            </w:pPr>
            <w:r>
              <w:rPr>
                <w:color w:val="auto"/>
              </w:rPr>
              <w:t>提供“</w:t>
            </w:r>
            <w:r>
              <w:rPr>
                <w:rFonts w:hint="eastAsia"/>
                <w:color w:val="auto"/>
              </w:rPr>
              <w:t>投标人不得直接或间接地与招标人为采购本次招标的项目进行设计、编制规范或其他文件所委托的咨询公司或其他附属机构、个人有任何关联</w:t>
            </w:r>
            <w:r>
              <w:rPr>
                <w:color w:val="auto"/>
              </w:rPr>
              <w:t>”</w:t>
            </w:r>
            <w:r>
              <w:rPr>
                <w:rFonts w:hint="eastAsia"/>
                <w:color w:val="auto"/>
              </w:rPr>
              <w:t>的承诺。</w:t>
            </w:r>
          </w:p>
        </w:tc>
      </w:tr>
      <w:tr w14:paraId="650572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85" w:type="dxa"/>
            <w:vMerge w:val="continue"/>
            <w:tcBorders>
              <w:left w:val="single" w:color="auto" w:sz="4" w:space="0"/>
              <w:right w:val="single" w:color="auto" w:sz="4" w:space="0"/>
            </w:tcBorders>
          </w:tcPr>
          <w:p w14:paraId="0B9CDC7F">
            <w:pPr>
              <w:pageBreakBefore w:val="0"/>
              <w:wordWrap w:val="0"/>
              <w:overflowPunct/>
              <w:bidi w:val="0"/>
              <w:spacing w:line="240" w:lineRule="auto"/>
              <w:ind w:firstLine="0" w:firstLineChars="0"/>
              <w:jc w:val="center"/>
              <w:rPr>
                <w:color w:val="auto"/>
              </w:rPr>
            </w:pPr>
          </w:p>
        </w:tc>
        <w:tc>
          <w:tcPr>
            <w:tcW w:w="1478" w:type="dxa"/>
            <w:vAlign w:val="center"/>
          </w:tcPr>
          <w:p w14:paraId="2D6C3638">
            <w:pPr>
              <w:pageBreakBefore w:val="0"/>
              <w:tabs>
                <w:tab w:val="left" w:pos="664"/>
              </w:tabs>
              <w:wordWrap w:val="0"/>
              <w:overflowPunct/>
              <w:bidi w:val="0"/>
              <w:spacing w:line="240" w:lineRule="auto"/>
              <w:ind w:firstLine="0" w:firstLineChars="0"/>
              <w:jc w:val="center"/>
              <w:rPr>
                <w:color w:val="auto"/>
              </w:rPr>
            </w:pPr>
            <w:r>
              <w:rPr>
                <w:rFonts w:hint="eastAsia"/>
                <w:color w:val="auto"/>
              </w:rPr>
              <w:t>本项目不接受联合体投标</w:t>
            </w:r>
          </w:p>
        </w:tc>
        <w:tc>
          <w:tcPr>
            <w:tcW w:w="7693" w:type="dxa"/>
            <w:vAlign w:val="center"/>
          </w:tcPr>
          <w:p w14:paraId="6BFB8972">
            <w:pPr>
              <w:pageBreakBefore w:val="0"/>
              <w:wordWrap w:val="0"/>
              <w:overflowPunct/>
              <w:bidi w:val="0"/>
              <w:spacing w:line="240" w:lineRule="auto"/>
              <w:ind w:firstLine="0" w:firstLineChars="0"/>
              <w:rPr>
                <w:color w:val="auto"/>
              </w:rPr>
            </w:pPr>
            <w:r>
              <w:rPr>
                <w:color w:val="auto"/>
              </w:rPr>
              <w:t>提供“</w:t>
            </w:r>
            <w:r>
              <w:rPr>
                <w:rFonts w:hint="eastAsia"/>
                <w:color w:val="auto"/>
              </w:rPr>
              <w:t>非联合体投标</w:t>
            </w:r>
            <w:r>
              <w:rPr>
                <w:color w:val="auto"/>
              </w:rPr>
              <w:t>”</w:t>
            </w:r>
            <w:r>
              <w:rPr>
                <w:rFonts w:hint="eastAsia"/>
                <w:color w:val="auto"/>
              </w:rPr>
              <w:t>的承诺</w:t>
            </w:r>
          </w:p>
        </w:tc>
      </w:tr>
    </w:tbl>
    <w:p w14:paraId="62890535">
      <w:pPr>
        <w:pageBreakBefore w:val="0"/>
        <w:wordWrap w:val="0"/>
        <w:overflowPunct/>
        <w:bidi w:val="0"/>
        <w:spacing w:line="240" w:lineRule="auto"/>
        <w:rPr>
          <w:color w:val="auto"/>
        </w:rPr>
      </w:pPr>
      <w:r>
        <w:rPr>
          <w:rFonts w:hint="eastAsia"/>
          <w:color w:val="auto"/>
        </w:rPr>
        <w:t>依据法律法规和招标文件的规定，对投标文件中的资格证明文件进行审查进行资格审查，若资格审查不合格，则不进入到下一步符合性审查，若符合性审查不合格，则不进入到下一步详细评审。合格投标人不足3家的，不得评标。</w:t>
      </w:r>
    </w:p>
    <w:p w14:paraId="79895B37">
      <w:pPr>
        <w:pageBreakBefore w:val="0"/>
        <w:wordWrap w:val="0"/>
        <w:overflowPunct/>
        <w:bidi w:val="0"/>
        <w:spacing w:line="240" w:lineRule="auto"/>
        <w:rPr>
          <w:color w:val="auto"/>
        </w:rPr>
      </w:pPr>
      <w:r>
        <w:rPr>
          <w:rFonts w:hint="eastAsia"/>
          <w:color w:val="auto"/>
        </w:rPr>
        <w:br w:type="page"/>
      </w:r>
    </w:p>
    <w:p w14:paraId="73FA7B92">
      <w:pPr>
        <w:pStyle w:val="2"/>
        <w:pageBreakBefore w:val="0"/>
        <w:wordWrap w:val="0"/>
        <w:overflowPunct/>
        <w:bidi w:val="0"/>
        <w:spacing w:line="240" w:lineRule="auto"/>
        <w:rPr>
          <w:color w:val="auto"/>
          <w:sz w:val="32"/>
          <w:szCs w:val="32"/>
        </w:rPr>
      </w:pPr>
      <w:bookmarkStart w:id="93" w:name="_Toc14619"/>
      <w:r>
        <w:rPr>
          <w:rFonts w:hint="eastAsia"/>
          <w:color w:val="auto"/>
          <w:sz w:val="32"/>
          <w:szCs w:val="32"/>
        </w:rPr>
        <w:t>第七章 评审办法</w:t>
      </w:r>
      <w:bookmarkEnd w:id="93"/>
    </w:p>
    <w:p w14:paraId="16994A8A">
      <w:pPr>
        <w:pStyle w:val="3"/>
        <w:pageBreakBefore w:val="0"/>
        <w:wordWrap w:val="0"/>
        <w:overflowPunct/>
        <w:bidi w:val="0"/>
        <w:spacing w:line="240" w:lineRule="auto"/>
        <w:ind w:firstLine="0" w:firstLineChars="0"/>
        <w:jc w:val="center"/>
        <w:rPr>
          <w:color w:val="auto"/>
          <w:sz w:val="28"/>
          <w:szCs w:val="28"/>
        </w:rPr>
      </w:pPr>
      <w:bookmarkStart w:id="94" w:name="_Toc2601"/>
      <w:r>
        <w:rPr>
          <w:rFonts w:hint="eastAsia"/>
          <w:color w:val="auto"/>
          <w:sz w:val="28"/>
          <w:szCs w:val="28"/>
        </w:rPr>
        <w:t>评审办法前附表</w:t>
      </w:r>
      <w:bookmarkEnd w:id="94"/>
    </w:p>
    <w:tbl>
      <w:tblPr>
        <w:tblStyle w:val="36"/>
        <w:tblpPr w:leftFromText="180" w:rightFromText="180" w:vertAnchor="text" w:horzAnchor="page" w:tblpXSpec="center" w:tblpY="1007"/>
        <w:tblOverlap w:val="never"/>
        <w:tblW w:w="106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3"/>
        <w:gridCol w:w="1017"/>
        <w:gridCol w:w="1408"/>
        <w:gridCol w:w="7818"/>
      </w:tblGrid>
      <w:tr w14:paraId="1C637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440" w:type="dxa"/>
            <w:gridSpan w:val="2"/>
            <w:tcBorders>
              <w:bottom w:val="single" w:color="auto" w:sz="4" w:space="0"/>
            </w:tcBorders>
            <w:tcMar>
              <w:top w:w="57" w:type="dxa"/>
              <w:left w:w="57" w:type="dxa"/>
              <w:bottom w:w="57" w:type="dxa"/>
              <w:right w:w="57" w:type="dxa"/>
            </w:tcMar>
            <w:vAlign w:val="center"/>
          </w:tcPr>
          <w:p w14:paraId="0722F1CC">
            <w:pPr>
              <w:pageBreakBefore w:val="0"/>
              <w:wordWrap w:val="0"/>
              <w:overflowPunct/>
              <w:bidi w:val="0"/>
              <w:spacing w:line="240" w:lineRule="auto"/>
              <w:ind w:firstLine="0" w:firstLineChars="0"/>
              <w:jc w:val="center"/>
              <w:rPr>
                <w:b/>
                <w:bCs/>
                <w:color w:val="auto"/>
              </w:rPr>
            </w:pPr>
            <w:r>
              <w:rPr>
                <w:rFonts w:hint="eastAsia"/>
                <w:b/>
                <w:bCs/>
                <w:color w:val="auto"/>
              </w:rPr>
              <w:t>条款号</w:t>
            </w:r>
          </w:p>
        </w:tc>
        <w:tc>
          <w:tcPr>
            <w:tcW w:w="1408" w:type="dxa"/>
            <w:tcMar>
              <w:top w:w="57" w:type="dxa"/>
              <w:left w:w="57" w:type="dxa"/>
              <w:bottom w:w="57" w:type="dxa"/>
              <w:right w:w="57" w:type="dxa"/>
            </w:tcMar>
            <w:vAlign w:val="center"/>
          </w:tcPr>
          <w:p w14:paraId="03006861">
            <w:pPr>
              <w:pageBreakBefore w:val="0"/>
              <w:wordWrap w:val="0"/>
              <w:overflowPunct/>
              <w:bidi w:val="0"/>
              <w:spacing w:line="240" w:lineRule="auto"/>
              <w:ind w:firstLine="0" w:firstLineChars="0"/>
              <w:jc w:val="center"/>
              <w:rPr>
                <w:b/>
                <w:bCs/>
                <w:color w:val="auto"/>
              </w:rPr>
            </w:pPr>
            <w:r>
              <w:rPr>
                <w:rFonts w:hint="eastAsia"/>
                <w:b/>
                <w:bCs/>
                <w:color w:val="auto"/>
              </w:rPr>
              <w:t>评审内容</w:t>
            </w:r>
          </w:p>
        </w:tc>
        <w:tc>
          <w:tcPr>
            <w:tcW w:w="7818" w:type="dxa"/>
            <w:tcMar>
              <w:top w:w="57" w:type="dxa"/>
              <w:left w:w="57" w:type="dxa"/>
              <w:bottom w:w="57" w:type="dxa"/>
              <w:right w:w="57" w:type="dxa"/>
            </w:tcMar>
            <w:vAlign w:val="center"/>
          </w:tcPr>
          <w:p w14:paraId="23820EE7">
            <w:pPr>
              <w:pageBreakBefore w:val="0"/>
              <w:wordWrap w:val="0"/>
              <w:overflowPunct/>
              <w:bidi w:val="0"/>
              <w:spacing w:line="240" w:lineRule="auto"/>
              <w:ind w:firstLine="0" w:firstLineChars="0"/>
              <w:jc w:val="center"/>
              <w:rPr>
                <w:b/>
                <w:bCs/>
                <w:color w:val="auto"/>
              </w:rPr>
            </w:pPr>
            <w:r>
              <w:rPr>
                <w:rFonts w:hint="eastAsia"/>
                <w:b/>
                <w:bCs/>
                <w:color w:val="auto"/>
              </w:rPr>
              <w:t>评审标准</w:t>
            </w:r>
          </w:p>
        </w:tc>
      </w:tr>
      <w:tr w14:paraId="023FF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restart"/>
            <w:tcBorders>
              <w:top w:val="single" w:color="auto" w:sz="4" w:space="0"/>
              <w:left w:val="single" w:color="auto" w:sz="4" w:space="0"/>
              <w:right w:val="single" w:color="auto" w:sz="4" w:space="0"/>
            </w:tcBorders>
            <w:tcMar>
              <w:top w:w="57" w:type="dxa"/>
              <w:left w:w="57" w:type="dxa"/>
              <w:bottom w:w="57" w:type="dxa"/>
              <w:right w:w="57" w:type="dxa"/>
            </w:tcMar>
            <w:vAlign w:val="center"/>
          </w:tcPr>
          <w:p w14:paraId="214E5E41">
            <w:pPr>
              <w:pageBreakBefore w:val="0"/>
              <w:kinsoku w:val="0"/>
              <w:wordWrap w:val="0"/>
              <w:overflowPunct/>
              <w:autoSpaceDE w:val="0"/>
              <w:autoSpaceDN w:val="0"/>
              <w:bidi w:val="0"/>
              <w:adjustRightInd/>
              <w:spacing w:line="240" w:lineRule="auto"/>
              <w:ind w:firstLine="0" w:firstLineChars="0"/>
              <w:jc w:val="center"/>
              <w:rPr>
                <w:color w:val="auto"/>
                <w:spacing w:val="-3"/>
              </w:rPr>
            </w:pPr>
            <w:r>
              <w:rPr>
                <w:rFonts w:hint="eastAsia"/>
                <w:color w:val="auto"/>
                <w:spacing w:val="-3"/>
              </w:rPr>
              <w:t>2.2</w:t>
            </w:r>
          </w:p>
        </w:tc>
        <w:tc>
          <w:tcPr>
            <w:tcW w:w="1017" w:type="dxa"/>
            <w:vMerge w:val="restart"/>
            <w:tcBorders>
              <w:top w:val="single" w:color="auto" w:sz="4" w:space="0"/>
              <w:left w:val="single" w:color="auto" w:sz="4" w:space="0"/>
              <w:right w:val="single" w:color="auto" w:sz="4" w:space="0"/>
            </w:tcBorders>
            <w:tcMar>
              <w:top w:w="57" w:type="dxa"/>
              <w:left w:w="57" w:type="dxa"/>
              <w:bottom w:w="57" w:type="dxa"/>
              <w:right w:w="57" w:type="dxa"/>
            </w:tcMar>
            <w:vAlign w:val="center"/>
          </w:tcPr>
          <w:p w14:paraId="4574D898">
            <w:pPr>
              <w:pageBreakBefore w:val="0"/>
              <w:kinsoku w:val="0"/>
              <w:wordWrap w:val="0"/>
              <w:overflowPunct/>
              <w:autoSpaceDE w:val="0"/>
              <w:autoSpaceDN w:val="0"/>
              <w:bidi w:val="0"/>
              <w:adjustRightInd/>
              <w:spacing w:line="240" w:lineRule="auto"/>
              <w:ind w:firstLine="0" w:firstLineChars="0"/>
              <w:jc w:val="center"/>
              <w:rPr>
                <w:color w:val="auto"/>
                <w:spacing w:val="-3"/>
              </w:rPr>
            </w:pPr>
            <w:r>
              <w:rPr>
                <w:rFonts w:hint="eastAsia"/>
                <w:color w:val="auto"/>
                <w:spacing w:val="-3"/>
              </w:rPr>
              <w:t>符合性审查标准</w:t>
            </w:r>
          </w:p>
        </w:tc>
        <w:tc>
          <w:tcPr>
            <w:tcW w:w="1408" w:type="dxa"/>
            <w:tcBorders>
              <w:left w:val="single" w:color="auto" w:sz="4" w:space="0"/>
            </w:tcBorders>
            <w:tcMar>
              <w:top w:w="57" w:type="dxa"/>
              <w:left w:w="57" w:type="dxa"/>
              <w:bottom w:w="57" w:type="dxa"/>
              <w:right w:w="57" w:type="dxa"/>
            </w:tcMar>
            <w:vAlign w:val="center"/>
          </w:tcPr>
          <w:p w14:paraId="75164FA3">
            <w:pPr>
              <w:pageBreakBefore w:val="0"/>
              <w:kinsoku w:val="0"/>
              <w:wordWrap w:val="0"/>
              <w:overflowPunct/>
              <w:autoSpaceDE w:val="0"/>
              <w:autoSpaceDN w:val="0"/>
              <w:bidi w:val="0"/>
              <w:adjustRightInd/>
              <w:spacing w:line="240" w:lineRule="auto"/>
              <w:ind w:firstLine="0" w:firstLineChars="0"/>
              <w:jc w:val="center"/>
              <w:rPr>
                <w:color w:val="auto"/>
                <w:spacing w:val="-3"/>
              </w:rPr>
            </w:pPr>
            <w:r>
              <w:rPr>
                <w:rFonts w:hint="eastAsia"/>
                <w:color w:val="auto"/>
                <w:spacing w:val="-3"/>
              </w:rPr>
              <w:t>投标保证金</w:t>
            </w:r>
          </w:p>
        </w:tc>
        <w:tc>
          <w:tcPr>
            <w:tcW w:w="7818" w:type="dxa"/>
            <w:tcMar>
              <w:top w:w="57" w:type="dxa"/>
              <w:left w:w="57" w:type="dxa"/>
              <w:bottom w:w="57" w:type="dxa"/>
              <w:right w:w="57" w:type="dxa"/>
            </w:tcMar>
            <w:vAlign w:val="center"/>
          </w:tcPr>
          <w:p w14:paraId="500C9E1E">
            <w:pPr>
              <w:pageBreakBefore w:val="0"/>
              <w:kinsoku w:val="0"/>
              <w:wordWrap w:val="0"/>
              <w:overflowPunct/>
              <w:autoSpaceDE w:val="0"/>
              <w:autoSpaceDN w:val="0"/>
              <w:bidi w:val="0"/>
              <w:adjustRightInd/>
              <w:spacing w:line="240" w:lineRule="auto"/>
              <w:ind w:firstLine="0" w:firstLineChars="0"/>
              <w:rPr>
                <w:color w:val="auto"/>
                <w:spacing w:val="-3"/>
              </w:rPr>
            </w:pPr>
            <w:r>
              <w:rPr>
                <w:rFonts w:hint="eastAsia"/>
                <w:color w:val="auto"/>
                <w:spacing w:val="-3"/>
              </w:rPr>
              <w:t>符合第二章“投标人须知”第 15.1 项规定</w:t>
            </w:r>
          </w:p>
        </w:tc>
      </w:tr>
      <w:tr w14:paraId="68FD3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14:paraId="6A8C8EFE">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14:paraId="1FA95EA4">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14:paraId="2672AA8D">
            <w:pPr>
              <w:pageBreakBefore w:val="0"/>
              <w:kinsoku w:val="0"/>
              <w:wordWrap w:val="0"/>
              <w:overflowPunct/>
              <w:autoSpaceDE w:val="0"/>
              <w:autoSpaceDN w:val="0"/>
              <w:bidi w:val="0"/>
              <w:adjustRightInd/>
              <w:spacing w:line="240" w:lineRule="auto"/>
              <w:ind w:firstLine="0" w:firstLineChars="0"/>
              <w:jc w:val="center"/>
              <w:rPr>
                <w:color w:val="auto"/>
                <w:spacing w:val="-3"/>
              </w:rPr>
            </w:pPr>
            <w:r>
              <w:rPr>
                <w:rFonts w:hint="eastAsia"/>
                <w:color w:val="auto"/>
                <w:spacing w:val="-3"/>
              </w:rPr>
              <w:t>签字及盖章</w:t>
            </w:r>
          </w:p>
        </w:tc>
        <w:tc>
          <w:tcPr>
            <w:tcW w:w="7818" w:type="dxa"/>
            <w:tcMar>
              <w:top w:w="57" w:type="dxa"/>
              <w:left w:w="57" w:type="dxa"/>
              <w:bottom w:w="57" w:type="dxa"/>
              <w:right w:w="57" w:type="dxa"/>
            </w:tcMar>
            <w:vAlign w:val="center"/>
          </w:tcPr>
          <w:p w14:paraId="56E171D8">
            <w:pPr>
              <w:pageBreakBefore w:val="0"/>
              <w:kinsoku w:val="0"/>
              <w:wordWrap w:val="0"/>
              <w:overflowPunct/>
              <w:autoSpaceDE w:val="0"/>
              <w:autoSpaceDN w:val="0"/>
              <w:bidi w:val="0"/>
              <w:adjustRightInd/>
              <w:spacing w:line="240" w:lineRule="auto"/>
              <w:ind w:firstLine="0" w:firstLineChars="0"/>
              <w:rPr>
                <w:color w:val="auto"/>
                <w:spacing w:val="-3"/>
              </w:rPr>
            </w:pPr>
            <w:r>
              <w:rPr>
                <w:rFonts w:hint="eastAsia"/>
                <w:color w:val="auto"/>
                <w:spacing w:val="-3"/>
              </w:rPr>
              <w:t>投标文件应按招标文件要求在指定位置签字、署名、盖章；</w:t>
            </w:r>
          </w:p>
        </w:tc>
      </w:tr>
      <w:tr w14:paraId="5C171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14:paraId="6836C0CD">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14:paraId="1C94C516">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14:paraId="056D2FE7">
            <w:pPr>
              <w:pageBreakBefore w:val="0"/>
              <w:kinsoku w:val="0"/>
              <w:wordWrap w:val="0"/>
              <w:overflowPunct/>
              <w:autoSpaceDE w:val="0"/>
              <w:autoSpaceDN w:val="0"/>
              <w:bidi w:val="0"/>
              <w:adjustRightInd/>
              <w:spacing w:line="240" w:lineRule="auto"/>
              <w:ind w:firstLine="0" w:firstLineChars="0"/>
              <w:jc w:val="center"/>
              <w:rPr>
                <w:color w:val="auto"/>
                <w:spacing w:val="-3"/>
              </w:rPr>
            </w:pPr>
            <w:r>
              <w:rPr>
                <w:rFonts w:hint="eastAsia"/>
                <w:color w:val="auto"/>
                <w:spacing w:val="-3"/>
              </w:rPr>
              <w:t>投标文件格式</w:t>
            </w:r>
          </w:p>
        </w:tc>
        <w:tc>
          <w:tcPr>
            <w:tcW w:w="7818" w:type="dxa"/>
            <w:tcMar>
              <w:top w:w="57" w:type="dxa"/>
              <w:left w:w="57" w:type="dxa"/>
              <w:bottom w:w="57" w:type="dxa"/>
              <w:right w:w="57" w:type="dxa"/>
            </w:tcMar>
            <w:vAlign w:val="center"/>
          </w:tcPr>
          <w:p w14:paraId="200EC6B8">
            <w:pPr>
              <w:pageBreakBefore w:val="0"/>
              <w:kinsoku w:val="0"/>
              <w:wordWrap w:val="0"/>
              <w:overflowPunct/>
              <w:autoSpaceDE w:val="0"/>
              <w:autoSpaceDN w:val="0"/>
              <w:bidi w:val="0"/>
              <w:adjustRightInd/>
              <w:spacing w:line="240" w:lineRule="auto"/>
              <w:ind w:firstLine="0" w:firstLineChars="0"/>
              <w:rPr>
                <w:color w:val="auto"/>
                <w:spacing w:val="-3"/>
              </w:rPr>
            </w:pPr>
            <w:r>
              <w:rPr>
                <w:rFonts w:hint="eastAsia"/>
                <w:color w:val="auto"/>
                <w:spacing w:val="-3"/>
              </w:rPr>
              <w:t>符合第四章“投标文件格式”内容的要求</w:t>
            </w:r>
          </w:p>
        </w:tc>
      </w:tr>
      <w:tr w14:paraId="29CBD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14:paraId="76BCF895">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14:paraId="31DA7323">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14:paraId="698D47A2">
            <w:pPr>
              <w:pageBreakBefore w:val="0"/>
              <w:kinsoku w:val="0"/>
              <w:wordWrap w:val="0"/>
              <w:overflowPunct/>
              <w:autoSpaceDE w:val="0"/>
              <w:autoSpaceDN w:val="0"/>
              <w:bidi w:val="0"/>
              <w:adjustRightInd/>
              <w:spacing w:line="240" w:lineRule="auto"/>
              <w:ind w:firstLine="0" w:firstLineChars="0"/>
              <w:jc w:val="center"/>
              <w:rPr>
                <w:color w:val="auto"/>
                <w:spacing w:val="-3"/>
              </w:rPr>
            </w:pPr>
            <w:r>
              <w:rPr>
                <w:rFonts w:hint="eastAsia"/>
                <w:color w:val="auto"/>
                <w:spacing w:val="-3"/>
              </w:rPr>
              <w:t>报价</w:t>
            </w:r>
          </w:p>
        </w:tc>
        <w:tc>
          <w:tcPr>
            <w:tcW w:w="7818" w:type="dxa"/>
            <w:tcMar>
              <w:top w:w="57" w:type="dxa"/>
              <w:left w:w="57" w:type="dxa"/>
              <w:bottom w:w="57" w:type="dxa"/>
              <w:right w:w="57" w:type="dxa"/>
            </w:tcMar>
            <w:vAlign w:val="center"/>
          </w:tcPr>
          <w:p w14:paraId="6ED9F482">
            <w:pPr>
              <w:pageBreakBefore w:val="0"/>
              <w:kinsoku w:val="0"/>
              <w:wordWrap w:val="0"/>
              <w:overflowPunct/>
              <w:autoSpaceDE w:val="0"/>
              <w:autoSpaceDN w:val="0"/>
              <w:bidi w:val="0"/>
              <w:adjustRightInd/>
              <w:spacing w:line="240" w:lineRule="auto"/>
              <w:ind w:firstLine="0" w:firstLineChars="0"/>
              <w:rPr>
                <w:color w:val="auto"/>
                <w:spacing w:val="-3"/>
              </w:rPr>
            </w:pPr>
            <w:r>
              <w:rPr>
                <w:rFonts w:hint="eastAsia"/>
                <w:color w:val="auto"/>
                <w:spacing w:val="-3"/>
              </w:rPr>
              <w:t>投标人在</w:t>
            </w:r>
            <w:r>
              <w:rPr>
                <w:rFonts w:hint="eastAsia"/>
                <w:color w:val="auto"/>
                <w:spacing w:val="-3"/>
                <w:lang w:val="zh-CN"/>
              </w:rPr>
              <w:t>递交</w:t>
            </w:r>
            <w:r>
              <w:rPr>
                <w:rFonts w:hint="eastAsia"/>
                <w:color w:val="auto"/>
                <w:spacing w:val="-3"/>
              </w:rPr>
              <w:t>投标</w:t>
            </w:r>
            <w:r>
              <w:rPr>
                <w:rFonts w:hint="eastAsia"/>
                <w:color w:val="auto"/>
                <w:spacing w:val="-3"/>
                <w:lang w:val="zh-CN"/>
              </w:rPr>
              <w:t>文件中对项目报有</w:t>
            </w:r>
            <w:r>
              <w:rPr>
                <w:rFonts w:hint="eastAsia"/>
                <w:color w:val="auto"/>
                <w:spacing w:val="-3"/>
              </w:rPr>
              <w:t>一个报价</w:t>
            </w:r>
            <w:r>
              <w:rPr>
                <w:rFonts w:hint="eastAsia"/>
                <w:color w:val="auto"/>
                <w:spacing w:val="-3"/>
                <w:lang w:val="zh-CN"/>
              </w:rPr>
              <w:t>。报价</w:t>
            </w:r>
            <w:r>
              <w:rPr>
                <w:rFonts w:hint="eastAsia"/>
                <w:color w:val="auto"/>
                <w:spacing w:val="-3"/>
              </w:rPr>
              <w:t>未</w:t>
            </w:r>
            <w:r>
              <w:rPr>
                <w:rFonts w:hint="eastAsia"/>
                <w:color w:val="auto"/>
                <w:spacing w:val="-3"/>
                <w:lang w:val="zh-CN"/>
              </w:rPr>
              <w:t>超过招标文件中规定的最高限价。</w:t>
            </w:r>
          </w:p>
        </w:tc>
      </w:tr>
      <w:tr w14:paraId="0E151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14:paraId="78FF42CF">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14:paraId="3CDEAF0A">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14:paraId="2372976B">
            <w:pPr>
              <w:pageBreakBefore w:val="0"/>
              <w:kinsoku w:val="0"/>
              <w:wordWrap w:val="0"/>
              <w:overflowPunct/>
              <w:autoSpaceDE w:val="0"/>
              <w:autoSpaceDN w:val="0"/>
              <w:bidi w:val="0"/>
              <w:adjustRightInd/>
              <w:spacing w:line="240" w:lineRule="auto"/>
              <w:ind w:firstLine="0" w:firstLineChars="0"/>
              <w:jc w:val="center"/>
              <w:rPr>
                <w:color w:val="auto"/>
                <w:spacing w:val="-3"/>
              </w:rPr>
            </w:pPr>
            <w:r>
              <w:rPr>
                <w:rFonts w:hint="eastAsia"/>
                <w:color w:val="auto"/>
                <w:spacing w:val="-3"/>
              </w:rPr>
              <w:t>标的物数量</w:t>
            </w:r>
          </w:p>
        </w:tc>
        <w:tc>
          <w:tcPr>
            <w:tcW w:w="7818" w:type="dxa"/>
            <w:tcMar>
              <w:top w:w="57" w:type="dxa"/>
              <w:left w:w="57" w:type="dxa"/>
              <w:bottom w:w="57" w:type="dxa"/>
              <w:right w:w="57" w:type="dxa"/>
            </w:tcMar>
            <w:vAlign w:val="center"/>
          </w:tcPr>
          <w:p w14:paraId="7B8F29DA">
            <w:pPr>
              <w:pageBreakBefore w:val="0"/>
              <w:kinsoku w:val="0"/>
              <w:wordWrap w:val="0"/>
              <w:overflowPunct/>
              <w:autoSpaceDE w:val="0"/>
              <w:autoSpaceDN w:val="0"/>
              <w:bidi w:val="0"/>
              <w:adjustRightInd/>
              <w:spacing w:line="240" w:lineRule="auto"/>
              <w:ind w:firstLine="0" w:firstLineChars="0"/>
              <w:rPr>
                <w:color w:val="auto"/>
                <w:spacing w:val="-3"/>
              </w:rPr>
            </w:pPr>
            <w:r>
              <w:rPr>
                <w:rFonts w:hint="eastAsia"/>
                <w:color w:val="auto"/>
                <w:spacing w:val="-3"/>
              </w:rPr>
              <w:t>投标标的物数量满足招标文件要求；</w:t>
            </w:r>
          </w:p>
        </w:tc>
      </w:tr>
      <w:tr w14:paraId="4D792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14:paraId="049FDBF0">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14:paraId="011FB2D9">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14:paraId="444D110B">
            <w:pPr>
              <w:pageBreakBefore w:val="0"/>
              <w:kinsoku w:val="0"/>
              <w:wordWrap w:val="0"/>
              <w:overflowPunct/>
              <w:autoSpaceDE w:val="0"/>
              <w:autoSpaceDN w:val="0"/>
              <w:bidi w:val="0"/>
              <w:adjustRightInd/>
              <w:spacing w:line="240" w:lineRule="auto"/>
              <w:ind w:firstLine="0" w:firstLineChars="0"/>
              <w:jc w:val="center"/>
              <w:rPr>
                <w:color w:val="auto"/>
                <w:spacing w:val="-3"/>
                <w:lang w:val="zh-CN"/>
              </w:rPr>
            </w:pPr>
            <w:r>
              <w:rPr>
                <w:rFonts w:hint="eastAsia"/>
                <w:color w:val="auto"/>
                <w:spacing w:val="-3"/>
              </w:rPr>
              <w:t>虚假材料</w:t>
            </w:r>
          </w:p>
        </w:tc>
        <w:tc>
          <w:tcPr>
            <w:tcW w:w="7818" w:type="dxa"/>
            <w:tcMar>
              <w:top w:w="57" w:type="dxa"/>
              <w:left w:w="57" w:type="dxa"/>
              <w:bottom w:w="57" w:type="dxa"/>
              <w:right w:w="57" w:type="dxa"/>
            </w:tcMar>
            <w:vAlign w:val="center"/>
          </w:tcPr>
          <w:p w14:paraId="4055AA93">
            <w:pPr>
              <w:pageBreakBefore w:val="0"/>
              <w:kinsoku w:val="0"/>
              <w:wordWrap w:val="0"/>
              <w:overflowPunct/>
              <w:autoSpaceDE w:val="0"/>
              <w:autoSpaceDN w:val="0"/>
              <w:bidi w:val="0"/>
              <w:adjustRightInd/>
              <w:spacing w:line="240" w:lineRule="auto"/>
              <w:ind w:firstLine="0" w:firstLineChars="0"/>
              <w:rPr>
                <w:color w:val="auto"/>
                <w:spacing w:val="-3"/>
                <w:lang w:val="zh-CN"/>
              </w:rPr>
            </w:pPr>
            <w:r>
              <w:rPr>
                <w:rFonts w:hint="eastAsia"/>
                <w:color w:val="auto"/>
                <w:spacing w:val="-3"/>
              </w:rPr>
              <w:t>不能</w:t>
            </w:r>
            <w:r>
              <w:rPr>
                <w:rFonts w:hint="eastAsia"/>
                <w:color w:val="auto"/>
                <w:spacing w:val="-3"/>
                <w:lang w:val="zh-CN"/>
              </w:rPr>
              <w:t>提供虚假材料；</w:t>
            </w:r>
          </w:p>
        </w:tc>
      </w:tr>
      <w:tr w14:paraId="43BBD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14:paraId="783735A8">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14:paraId="079E703E">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14:paraId="124B2335">
            <w:pPr>
              <w:pageBreakBefore w:val="0"/>
              <w:kinsoku w:val="0"/>
              <w:wordWrap w:val="0"/>
              <w:overflowPunct/>
              <w:autoSpaceDE w:val="0"/>
              <w:autoSpaceDN w:val="0"/>
              <w:bidi w:val="0"/>
              <w:adjustRightInd/>
              <w:spacing w:line="240" w:lineRule="auto"/>
              <w:ind w:firstLine="0" w:firstLineChars="0"/>
              <w:jc w:val="center"/>
              <w:rPr>
                <w:color w:val="auto"/>
                <w:spacing w:val="-3"/>
              </w:rPr>
            </w:pPr>
            <w:r>
              <w:rPr>
                <w:rFonts w:hint="eastAsia"/>
                <w:color w:val="auto"/>
                <w:spacing w:val="-3"/>
              </w:rPr>
              <w:t>投标有效期</w:t>
            </w:r>
          </w:p>
        </w:tc>
        <w:tc>
          <w:tcPr>
            <w:tcW w:w="7818" w:type="dxa"/>
            <w:tcMar>
              <w:top w:w="57" w:type="dxa"/>
              <w:left w:w="57" w:type="dxa"/>
              <w:bottom w:w="57" w:type="dxa"/>
              <w:right w:w="57" w:type="dxa"/>
            </w:tcMar>
            <w:vAlign w:val="center"/>
          </w:tcPr>
          <w:p w14:paraId="35511329">
            <w:pPr>
              <w:pageBreakBefore w:val="0"/>
              <w:kinsoku w:val="0"/>
              <w:wordWrap w:val="0"/>
              <w:overflowPunct/>
              <w:autoSpaceDE w:val="0"/>
              <w:autoSpaceDN w:val="0"/>
              <w:bidi w:val="0"/>
              <w:adjustRightInd/>
              <w:spacing w:line="240" w:lineRule="auto"/>
              <w:ind w:firstLine="0" w:firstLineChars="0"/>
              <w:rPr>
                <w:color w:val="auto"/>
                <w:spacing w:val="-3"/>
              </w:rPr>
            </w:pPr>
            <w:r>
              <w:rPr>
                <w:rFonts w:hint="eastAsia"/>
                <w:color w:val="auto"/>
                <w:spacing w:val="-3"/>
              </w:rPr>
              <w:t>投标有效期为递交投标文件截止日期后90个日历天。</w:t>
            </w:r>
          </w:p>
        </w:tc>
      </w:tr>
      <w:tr w14:paraId="34DEC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14:paraId="7E0EE4FD">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14:paraId="4C37B850">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14:paraId="68F6248F">
            <w:pPr>
              <w:pageBreakBefore w:val="0"/>
              <w:kinsoku w:val="0"/>
              <w:wordWrap w:val="0"/>
              <w:overflowPunct/>
              <w:autoSpaceDE w:val="0"/>
              <w:autoSpaceDN w:val="0"/>
              <w:bidi w:val="0"/>
              <w:adjustRightInd/>
              <w:spacing w:line="240" w:lineRule="auto"/>
              <w:ind w:firstLine="0" w:firstLineChars="0"/>
              <w:jc w:val="center"/>
              <w:rPr>
                <w:color w:val="auto"/>
                <w:spacing w:val="-3"/>
              </w:rPr>
            </w:pPr>
            <w:r>
              <w:rPr>
                <w:rFonts w:hint="eastAsia"/>
                <w:color w:val="auto"/>
                <w:spacing w:val="-3"/>
              </w:rPr>
              <w:t>围标串标</w:t>
            </w:r>
          </w:p>
        </w:tc>
        <w:tc>
          <w:tcPr>
            <w:tcW w:w="7818" w:type="dxa"/>
            <w:tcMar>
              <w:top w:w="57" w:type="dxa"/>
              <w:left w:w="57" w:type="dxa"/>
              <w:bottom w:w="57" w:type="dxa"/>
              <w:right w:w="57" w:type="dxa"/>
            </w:tcMar>
            <w:vAlign w:val="center"/>
          </w:tcPr>
          <w:p w14:paraId="665D2A9B">
            <w:pPr>
              <w:pageBreakBefore w:val="0"/>
              <w:kinsoku w:val="0"/>
              <w:wordWrap w:val="0"/>
              <w:overflowPunct/>
              <w:autoSpaceDE w:val="0"/>
              <w:autoSpaceDN w:val="0"/>
              <w:bidi w:val="0"/>
              <w:adjustRightInd/>
              <w:spacing w:line="240" w:lineRule="auto"/>
              <w:ind w:firstLine="0" w:firstLineChars="0"/>
              <w:rPr>
                <w:color w:val="auto"/>
                <w:spacing w:val="-3"/>
              </w:rPr>
            </w:pPr>
            <w:r>
              <w:rPr>
                <w:rFonts w:hint="eastAsia"/>
                <w:color w:val="auto"/>
                <w:spacing w:val="-3"/>
              </w:rPr>
              <w:t>不</w:t>
            </w:r>
            <w:r>
              <w:rPr>
                <w:rFonts w:hint="eastAsia"/>
                <w:color w:val="auto"/>
                <w:spacing w:val="-3"/>
                <w:lang w:val="zh-CN"/>
              </w:rPr>
              <w:t>存在“第二章投标人须知</w:t>
            </w:r>
            <w:r>
              <w:rPr>
                <w:rFonts w:hint="eastAsia"/>
                <w:color w:val="auto"/>
                <w:spacing w:val="-3"/>
              </w:rPr>
              <w:t>20.6和20.7</w:t>
            </w:r>
            <w:r>
              <w:rPr>
                <w:rFonts w:hint="eastAsia"/>
                <w:color w:val="auto"/>
                <w:spacing w:val="-3"/>
                <w:lang w:val="zh-CN"/>
              </w:rPr>
              <w:t>”中所列情形；</w:t>
            </w:r>
          </w:p>
        </w:tc>
      </w:tr>
      <w:tr w14:paraId="55702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423" w:type="dxa"/>
            <w:vMerge w:val="continue"/>
            <w:tcBorders>
              <w:left w:val="single" w:color="auto" w:sz="4" w:space="0"/>
              <w:right w:val="single" w:color="auto" w:sz="4" w:space="0"/>
            </w:tcBorders>
            <w:tcMar>
              <w:top w:w="57" w:type="dxa"/>
              <w:left w:w="57" w:type="dxa"/>
              <w:bottom w:w="57" w:type="dxa"/>
              <w:right w:w="57" w:type="dxa"/>
            </w:tcMar>
            <w:vAlign w:val="center"/>
          </w:tcPr>
          <w:p w14:paraId="619BF218">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017" w:type="dxa"/>
            <w:vMerge w:val="continue"/>
            <w:tcBorders>
              <w:left w:val="single" w:color="auto" w:sz="4" w:space="0"/>
              <w:right w:val="single" w:color="auto" w:sz="4" w:space="0"/>
            </w:tcBorders>
            <w:tcMar>
              <w:top w:w="57" w:type="dxa"/>
              <w:left w:w="57" w:type="dxa"/>
              <w:bottom w:w="57" w:type="dxa"/>
              <w:right w:w="57" w:type="dxa"/>
            </w:tcMar>
            <w:vAlign w:val="center"/>
          </w:tcPr>
          <w:p w14:paraId="228F797A">
            <w:pPr>
              <w:pageBreakBefore w:val="0"/>
              <w:kinsoku w:val="0"/>
              <w:wordWrap w:val="0"/>
              <w:overflowPunct/>
              <w:autoSpaceDE w:val="0"/>
              <w:autoSpaceDN w:val="0"/>
              <w:bidi w:val="0"/>
              <w:adjustRightInd/>
              <w:spacing w:line="240" w:lineRule="auto"/>
              <w:ind w:firstLine="0" w:firstLineChars="0"/>
              <w:jc w:val="center"/>
              <w:rPr>
                <w:color w:val="auto"/>
                <w:spacing w:val="-3"/>
              </w:rPr>
            </w:pPr>
          </w:p>
        </w:tc>
        <w:tc>
          <w:tcPr>
            <w:tcW w:w="1408" w:type="dxa"/>
            <w:tcBorders>
              <w:left w:val="single" w:color="auto" w:sz="4" w:space="0"/>
            </w:tcBorders>
            <w:tcMar>
              <w:top w:w="57" w:type="dxa"/>
              <w:left w:w="57" w:type="dxa"/>
              <w:bottom w:w="57" w:type="dxa"/>
              <w:right w:w="57" w:type="dxa"/>
            </w:tcMar>
            <w:vAlign w:val="center"/>
          </w:tcPr>
          <w:p w14:paraId="106D098C">
            <w:pPr>
              <w:pageBreakBefore w:val="0"/>
              <w:kinsoku w:val="0"/>
              <w:wordWrap w:val="0"/>
              <w:overflowPunct/>
              <w:autoSpaceDE w:val="0"/>
              <w:autoSpaceDN w:val="0"/>
              <w:bidi w:val="0"/>
              <w:adjustRightInd/>
              <w:spacing w:line="240" w:lineRule="auto"/>
              <w:ind w:firstLine="0" w:firstLineChars="0"/>
              <w:jc w:val="center"/>
              <w:rPr>
                <w:color w:val="auto"/>
                <w:spacing w:val="-3"/>
              </w:rPr>
            </w:pPr>
            <w:r>
              <w:rPr>
                <w:rFonts w:hint="eastAsia"/>
                <w:color w:val="auto"/>
                <w:spacing w:val="-3"/>
              </w:rPr>
              <w:t>其他</w:t>
            </w:r>
          </w:p>
        </w:tc>
        <w:tc>
          <w:tcPr>
            <w:tcW w:w="7818" w:type="dxa"/>
            <w:tcMar>
              <w:top w:w="57" w:type="dxa"/>
              <w:left w:w="57" w:type="dxa"/>
              <w:bottom w:w="57" w:type="dxa"/>
              <w:right w:w="57" w:type="dxa"/>
            </w:tcMar>
            <w:vAlign w:val="center"/>
          </w:tcPr>
          <w:p w14:paraId="7C0C8133">
            <w:pPr>
              <w:pageBreakBefore w:val="0"/>
              <w:kinsoku w:val="0"/>
              <w:wordWrap w:val="0"/>
              <w:overflowPunct/>
              <w:autoSpaceDE w:val="0"/>
              <w:autoSpaceDN w:val="0"/>
              <w:bidi w:val="0"/>
              <w:adjustRightInd/>
              <w:spacing w:line="240" w:lineRule="auto"/>
              <w:ind w:firstLine="0" w:firstLineChars="0"/>
              <w:rPr>
                <w:color w:val="auto"/>
                <w:spacing w:val="-3"/>
                <w:lang w:val="zh-CN"/>
              </w:rPr>
            </w:pPr>
            <w:r>
              <w:rPr>
                <w:rFonts w:hint="eastAsia"/>
                <w:color w:val="auto"/>
                <w:spacing w:val="-3"/>
              </w:rPr>
              <w:t>投标</w:t>
            </w:r>
            <w:r>
              <w:rPr>
                <w:rFonts w:hint="eastAsia"/>
                <w:color w:val="auto"/>
                <w:spacing w:val="-3"/>
                <w:lang w:val="zh-CN"/>
              </w:rPr>
              <w:t>文件</w:t>
            </w:r>
            <w:r>
              <w:rPr>
                <w:rFonts w:hint="eastAsia"/>
                <w:color w:val="auto"/>
                <w:spacing w:val="-3"/>
              </w:rPr>
              <w:t>无招标</w:t>
            </w:r>
            <w:r>
              <w:rPr>
                <w:rFonts w:hint="eastAsia"/>
                <w:color w:val="auto"/>
                <w:spacing w:val="-3"/>
                <w:lang w:val="zh-CN"/>
              </w:rPr>
              <w:t>人不能接受的条件</w:t>
            </w:r>
            <w:r>
              <w:rPr>
                <w:rFonts w:hint="eastAsia"/>
                <w:color w:val="auto"/>
              </w:rPr>
              <w:t>（其中5标包若为非进口底盘投标的，将不通过符合性审查）</w:t>
            </w:r>
            <w:r>
              <w:rPr>
                <w:rFonts w:hint="eastAsia"/>
                <w:color w:val="auto"/>
                <w:spacing w:val="-3"/>
                <w:lang w:val="zh-CN"/>
              </w:rPr>
              <w:t>。</w:t>
            </w:r>
          </w:p>
        </w:tc>
      </w:tr>
      <w:tr w14:paraId="3C2F5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jc w:val="center"/>
        </w:trPr>
        <w:tc>
          <w:tcPr>
            <w:tcW w:w="423" w:type="dxa"/>
            <w:vMerge w:val="restart"/>
            <w:tcBorders>
              <w:top w:val="single" w:color="auto" w:sz="4" w:space="0"/>
            </w:tcBorders>
            <w:tcMar>
              <w:top w:w="57" w:type="dxa"/>
              <w:left w:w="57" w:type="dxa"/>
              <w:bottom w:w="57" w:type="dxa"/>
              <w:right w:w="57" w:type="dxa"/>
            </w:tcMar>
            <w:vAlign w:val="center"/>
          </w:tcPr>
          <w:p w14:paraId="19FADF3C">
            <w:pPr>
              <w:pageBreakBefore w:val="0"/>
              <w:kinsoku w:val="0"/>
              <w:wordWrap w:val="0"/>
              <w:overflowPunct/>
              <w:autoSpaceDE w:val="0"/>
              <w:autoSpaceDN w:val="0"/>
              <w:bidi w:val="0"/>
              <w:adjustRightInd/>
              <w:spacing w:line="240" w:lineRule="auto"/>
              <w:ind w:firstLine="0" w:firstLineChars="0"/>
              <w:jc w:val="center"/>
              <w:rPr>
                <w:color w:val="auto"/>
              </w:rPr>
            </w:pPr>
            <w:r>
              <w:rPr>
                <w:rFonts w:hint="eastAsia"/>
                <w:color w:val="auto"/>
                <w:spacing w:val="-2"/>
              </w:rPr>
              <w:t>2.3</w:t>
            </w:r>
          </w:p>
        </w:tc>
        <w:tc>
          <w:tcPr>
            <w:tcW w:w="1017" w:type="dxa"/>
            <w:vMerge w:val="restart"/>
            <w:tcBorders>
              <w:top w:val="single" w:color="auto" w:sz="4" w:space="0"/>
            </w:tcBorders>
            <w:tcMar>
              <w:top w:w="57" w:type="dxa"/>
              <w:left w:w="57" w:type="dxa"/>
              <w:bottom w:w="57" w:type="dxa"/>
              <w:right w:w="57" w:type="dxa"/>
            </w:tcMar>
            <w:vAlign w:val="center"/>
          </w:tcPr>
          <w:p w14:paraId="5F5A0E69">
            <w:pPr>
              <w:pageBreakBefore w:val="0"/>
              <w:kinsoku w:val="0"/>
              <w:wordWrap w:val="0"/>
              <w:overflowPunct/>
              <w:autoSpaceDE w:val="0"/>
              <w:autoSpaceDN w:val="0"/>
              <w:bidi w:val="0"/>
              <w:adjustRightInd/>
              <w:spacing w:line="240" w:lineRule="auto"/>
              <w:ind w:firstLine="0" w:firstLineChars="0"/>
              <w:jc w:val="center"/>
              <w:rPr>
                <w:color w:val="auto"/>
              </w:rPr>
            </w:pPr>
            <w:r>
              <w:rPr>
                <w:rFonts w:hint="eastAsia"/>
                <w:color w:val="auto"/>
                <w:spacing w:val="1"/>
              </w:rPr>
              <w:t>详</w:t>
            </w:r>
            <w:r>
              <w:rPr>
                <w:rFonts w:hint="eastAsia"/>
                <w:color w:val="auto"/>
              </w:rPr>
              <w:t>细评审</w:t>
            </w:r>
            <w:r>
              <w:rPr>
                <w:rFonts w:hint="eastAsia"/>
                <w:color w:val="auto"/>
                <w:spacing w:val="-2"/>
              </w:rPr>
              <w:t>标准</w:t>
            </w:r>
          </w:p>
        </w:tc>
        <w:tc>
          <w:tcPr>
            <w:tcW w:w="1408" w:type="dxa"/>
            <w:tcMar>
              <w:top w:w="57" w:type="dxa"/>
              <w:left w:w="57" w:type="dxa"/>
              <w:bottom w:w="57" w:type="dxa"/>
              <w:right w:w="57" w:type="dxa"/>
            </w:tcMar>
            <w:vAlign w:val="center"/>
          </w:tcPr>
          <w:p w14:paraId="7B1D2DD7">
            <w:pPr>
              <w:pageBreakBefore w:val="0"/>
              <w:kinsoku w:val="0"/>
              <w:wordWrap w:val="0"/>
              <w:overflowPunct/>
              <w:autoSpaceDE w:val="0"/>
              <w:autoSpaceDN w:val="0"/>
              <w:bidi w:val="0"/>
              <w:adjustRightInd/>
              <w:spacing w:line="240" w:lineRule="auto"/>
              <w:ind w:firstLine="0" w:firstLineChars="0"/>
              <w:jc w:val="center"/>
              <w:rPr>
                <w:color w:val="auto"/>
              </w:rPr>
            </w:pPr>
            <w:r>
              <w:rPr>
                <w:rFonts w:hint="eastAsia"/>
                <w:color w:val="auto"/>
                <w:spacing w:val="12"/>
              </w:rPr>
              <w:t>1)总得分计算</w:t>
            </w:r>
            <w:r>
              <w:rPr>
                <w:rFonts w:hint="eastAsia"/>
                <w:color w:val="auto"/>
                <w:spacing w:val="-4"/>
              </w:rPr>
              <w:t>公</w:t>
            </w:r>
            <w:r>
              <w:rPr>
                <w:rFonts w:hint="eastAsia"/>
                <w:color w:val="auto"/>
                <w:spacing w:val="-3"/>
              </w:rPr>
              <w:t>式</w:t>
            </w:r>
          </w:p>
        </w:tc>
        <w:tc>
          <w:tcPr>
            <w:tcW w:w="7818" w:type="dxa"/>
            <w:tcMar>
              <w:top w:w="57" w:type="dxa"/>
              <w:left w:w="57" w:type="dxa"/>
              <w:bottom w:w="57" w:type="dxa"/>
              <w:right w:w="57" w:type="dxa"/>
            </w:tcMar>
            <w:vAlign w:val="center"/>
          </w:tcPr>
          <w:p w14:paraId="3F2C13DC">
            <w:pPr>
              <w:pageBreakBefore w:val="0"/>
              <w:kinsoku w:val="0"/>
              <w:wordWrap w:val="0"/>
              <w:overflowPunct/>
              <w:autoSpaceDE w:val="0"/>
              <w:autoSpaceDN w:val="0"/>
              <w:bidi w:val="0"/>
              <w:spacing w:line="240" w:lineRule="auto"/>
              <w:ind w:firstLine="0" w:firstLineChars="0"/>
              <w:rPr>
                <w:color w:val="auto"/>
              </w:rPr>
            </w:pPr>
            <w:r>
              <w:rPr>
                <w:rFonts w:hint="eastAsia"/>
                <w:color w:val="auto"/>
              </w:rPr>
              <w:t>投标人的总得分＝F1＋F2＋F3。其中：F1、F2、F3分别为报价部分、技术部分及商务部分3项评分因素的汇总得分。</w:t>
            </w:r>
          </w:p>
        </w:tc>
      </w:tr>
      <w:tr w14:paraId="366B8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jc w:val="center"/>
        </w:trPr>
        <w:tc>
          <w:tcPr>
            <w:tcW w:w="423" w:type="dxa"/>
            <w:vMerge w:val="continue"/>
            <w:tcMar>
              <w:top w:w="57" w:type="dxa"/>
              <w:left w:w="57" w:type="dxa"/>
              <w:bottom w:w="57" w:type="dxa"/>
              <w:right w:w="57" w:type="dxa"/>
            </w:tcMar>
            <w:vAlign w:val="center"/>
          </w:tcPr>
          <w:p w14:paraId="41D90A04">
            <w:pPr>
              <w:pageBreakBefore w:val="0"/>
              <w:kinsoku w:val="0"/>
              <w:wordWrap w:val="0"/>
              <w:overflowPunct/>
              <w:autoSpaceDE w:val="0"/>
              <w:autoSpaceDN w:val="0"/>
              <w:bidi w:val="0"/>
              <w:adjustRightInd/>
              <w:spacing w:line="240" w:lineRule="auto"/>
              <w:ind w:firstLine="0" w:firstLineChars="0"/>
              <w:jc w:val="center"/>
              <w:rPr>
                <w:color w:val="auto"/>
              </w:rPr>
            </w:pPr>
          </w:p>
        </w:tc>
        <w:tc>
          <w:tcPr>
            <w:tcW w:w="1017" w:type="dxa"/>
            <w:vMerge w:val="continue"/>
            <w:tcMar>
              <w:top w:w="57" w:type="dxa"/>
              <w:left w:w="57" w:type="dxa"/>
              <w:bottom w:w="57" w:type="dxa"/>
              <w:right w:w="57" w:type="dxa"/>
            </w:tcMar>
            <w:vAlign w:val="center"/>
          </w:tcPr>
          <w:p w14:paraId="5C7A9E76">
            <w:pPr>
              <w:pageBreakBefore w:val="0"/>
              <w:kinsoku w:val="0"/>
              <w:wordWrap w:val="0"/>
              <w:overflowPunct/>
              <w:autoSpaceDE w:val="0"/>
              <w:autoSpaceDN w:val="0"/>
              <w:bidi w:val="0"/>
              <w:adjustRightInd/>
              <w:spacing w:line="240" w:lineRule="auto"/>
              <w:ind w:firstLine="0" w:firstLineChars="0"/>
              <w:jc w:val="center"/>
              <w:rPr>
                <w:color w:val="auto"/>
              </w:rPr>
            </w:pPr>
          </w:p>
        </w:tc>
        <w:tc>
          <w:tcPr>
            <w:tcW w:w="1408" w:type="dxa"/>
            <w:tcMar>
              <w:top w:w="57" w:type="dxa"/>
              <w:left w:w="57" w:type="dxa"/>
              <w:bottom w:w="57" w:type="dxa"/>
              <w:right w:w="57" w:type="dxa"/>
            </w:tcMar>
            <w:vAlign w:val="center"/>
          </w:tcPr>
          <w:p w14:paraId="6A6B3E11">
            <w:pPr>
              <w:pageBreakBefore w:val="0"/>
              <w:kinsoku w:val="0"/>
              <w:wordWrap w:val="0"/>
              <w:overflowPunct/>
              <w:autoSpaceDE w:val="0"/>
              <w:autoSpaceDN w:val="0"/>
              <w:bidi w:val="0"/>
              <w:adjustRightInd/>
              <w:spacing w:line="240" w:lineRule="auto"/>
              <w:ind w:firstLine="0" w:firstLineChars="0"/>
              <w:jc w:val="center"/>
              <w:rPr>
                <w:color w:val="auto"/>
              </w:rPr>
            </w:pPr>
            <w:r>
              <w:rPr>
                <w:rFonts w:hint="eastAsia"/>
                <w:color w:val="auto"/>
                <w:spacing w:val="17"/>
              </w:rPr>
              <w:t>2</w:t>
            </w:r>
            <w:r>
              <w:rPr>
                <w:rFonts w:hint="eastAsia"/>
                <w:color w:val="auto"/>
                <w:spacing w:val="16"/>
              </w:rPr>
              <w:t>)分值构成</w:t>
            </w:r>
          </w:p>
        </w:tc>
        <w:tc>
          <w:tcPr>
            <w:tcW w:w="7818" w:type="dxa"/>
            <w:tcMar>
              <w:top w:w="57" w:type="dxa"/>
              <w:left w:w="57" w:type="dxa"/>
              <w:bottom w:w="57" w:type="dxa"/>
              <w:right w:w="57" w:type="dxa"/>
            </w:tcMar>
            <w:vAlign w:val="center"/>
          </w:tcPr>
          <w:p w14:paraId="69BD077B">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报价部分 F1：30分</w:t>
            </w:r>
          </w:p>
          <w:p w14:paraId="37D86AE7">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技术部分 F2：50分</w:t>
            </w:r>
          </w:p>
          <w:p w14:paraId="0DFDB7FD">
            <w:pPr>
              <w:pageBreakBefore w:val="0"/>
              <w:kinsoku w:val="0"/>
              <w:wordWrap w:val="0"/>
              <w:overflowPunct/>
              <w:autoSpaceDE w:val="0"/>
              <w:autoSpaceDN w:val="0"/>
              <w:bidi w:val="0"/>
              <w:adjustRightInd/>
              <w:spacing w:line="240" w:lineRule="auto"/>
              <w:ind w:firstLine="0" w:firstLineChars="0"/>
              <w:rPr>
                <w:color w:val="auto"/>
              </w:rPr>
            </w:pPr>
            <w:r>
              <w:rPr>
                <w:rFonts w:hint="eastAsia"/>
                <w:color w:val="auto"/>
              </w:rPr>
              <w:t>商务部分 F3：20分</w:t>
            </w:r>
          </w:p>
        </w:tc>
      </w:tr>
      <w:tr w14:paraId="6FE35C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jc w:val="center"/>
        </w:trPr>
        <w:tc>
          <w:tcPr>
            <w:tcW w:w="423" w:type="dxa"/>
            <w:vMerge w:val="continue"/>
            <w:tcMar>
              <w:top w:w="57" w:type="dxa"/>
              <w:left w:w="57" w:type="dxa"/>
              <w:bottom w:w="57" w:type="dxa"/>
              <w:right w:w="57" w:type="dxa"/>
            </w:tcMar>
            <w:vAlign w:val="center"/>
          </w:tcPr>
          <w:p w14:paraId="0BF9AA63">
            <w:pPr>
              <w:pageBreakBefore w:val="0"/>
              <w:kinsoku w:val="0"/>
              <w:wordWrap w:val="0"/>
              <w:overflowPunct/>
              <w:autoSpaceDE w:val="0"/>
              <w:autoSpaceDN w:val="0"/>
              <w:bidi w:val="0"/>
              <w:adjustRightInd/>
              <w:spacing w:line="240" w:lineRule="auto"/>
              <w:ind w:firstLine="0" w:firstLineChars="0"/>
              <w:jc w:val="center"/>
              <w:rPr>
                <w:color w:val="auto"/>
              </w:rPr>
            </w:pPr>
          </w:p>
        </w:tc>
        <w:tc>
          <w:tcPr>
            <w:tcW w:w="1017" w:type="dxa"/>
            <w:vMerge w:val="continue"/>
            <w:tcMar>
              <w:top w:w="57" w:type="dxa"/>
              <w:left w:w="57" w:type="dxa"/>
              <w:bottom w:w="57" w:type="dxa"/>
              <w:right w:w="57" w:type="dxa"/>
            </w:tcMar>
            <w:vAlign w:val="center"/>
          </w:tcPr>
          <w:p w14:paraId="02479423">
            <w:pPr>
              <w:pageBreakBefore w:val="0"/>
              <w:kinsoku w:val="0"/>
              <w:wordWrap w:val="0"/>
              <w:overflowPunct/>
              <w:autoSpaceDE w:val="0"/>
              <w:autoSpaceDN w:val="0"/>
              <w:bidi w:val="0"/>
              <w:adjustRightInd/>
              <w:spacing w:line="240" w:lineRule="auto"/>
              <w:ind w:firstLine="0" w:firstLineChars="0"/>
              <w:jc w:val="center"/>
              <w:rPr>
                <w:color w:val="auto"/>
              </w:rPr>
            </w:pPr>
          </w:p>
        </w:tc>
        <w:tc>
          <w:tcPr>
            <w:tcW w:w="1408" w:type="dxa"/>
            <w:tcMar>
              <w:top w:w="57" w:type="dxa"/>
              <w:left w:w="57" w:type="dxa"/>
              <w:bottom w:w="57" w:type="dxa"/>
              <w:right w:w="57" w:type="dxa"/>
            </w:tcMar>
            <w:vAlign w:val="center"/>
          </w:tcPr>
          <w:p w14:paraId="2D10FBD3">
            <w:pPr>
              <w:pageBreakBefore w:val="0"/>
              <w:numPr>
                <w:ilvl w:val="0"/>
                <w:numId w:val="7"/>
              </w:numPr>
              <w:kinsoku w:val="0"/>
              <w:wordWrap w:val="0"/>
              <w:overflowPunct/>
              <w:autoSpaceDE w:val="0"/>
              <w:autoSpaceDN w:val="0"/>
              <w:bidi w:val="0"/>
              <w:adjustRightInd/>
              <w:spacing w:line="240" w:lineRule="auto"/>
              <w:ind w:firstLine="0" w:firstLineChars="0"/>
              <w:jc w:val="center"/>
              <w:rPr>
                <w:color w:val="auto"/>
                <w:spacing w:val="-10"/>
              </w:rPr>
            </w:pPr>
            <w:r>
              <w:rPr>
                <w:rFonts w:hint="eastAsia"/>
                <w:color w:val="auto"/>
                <w:spacing w:val="13"/>
              </w:rPr>
              <w:t>报价部分</w:t>
            </w:r>
          </w:p>
          <w:p w14:paraId="714FC3A9">
            <w:pPr>
              <w:pageBreakBefore w:val="0"/>
              <w:kinsoku w:val="0"/>
              <w:wordWrap w:val="0"/>
              <w:overflowPunct/>
              <w:autoSpaceDE w:val="0"/>
              <w:autoSpaceDN w:val="0"/>
              <w:bidi w:val="0"/>
              <w:adjustRightInd/>
              <w:spacing w:line="240" w:lineRule="auto"/>
              <w:ind w:firstLine="0" w:firstLineChars="0"/>
              <w:jc w:val="center"/>
              <w:rPr>
                <w:color w:val="auto"/>
                <w:spacing w:val="-10"/>
              </w:rPr>
            </w:pPr>
            <w:r>
              <w:rPr>
                <w:rFonts w:hint="eastAsia"/>
                <w:color w:val="auto"/>
                <w:spacing w:val="13"/>
              </w:rPr>
              <w:t>得</w:t>
            </w:r>
            <w:r>
              <w:rPr>
                <w:rFonts w:hint="eastAsia"/>
                <w:color w:val="auto"/>
                <w:spacing w:val="-13"/>
              </w:rPr>
              <w:t>分</w:t>
            </w:r>
            <w:r>
              <w:rPr>
                <w:rFonts w:hint="eastAsia"/>
                <w:color w:val="auto"/>
                <w:spacing w:val="-10"/>
              </w:rPr>
              <w:t xml:space="preserve"> F1</w:t>
            </w:r>
          </w:p>
          <w:p w14:paraId="40F0E29D">
            <w:pPr>
              <w:pageBreakBefore w:val="0"/>
              <w:kinsoku w:val="0"/>
              <w:wordWrap w:val="0"/>
              <w:overflowPunct/>
              <w:autoSpaceDE w:val="0"/>
              <w:autoSpaceDN w:val="0"/>
              <w:bidi w:val="0"/>
              <w:adjustRightInd/>
              <w:spacing w:line="240" w:lineRule="auto"/>
              <w:ind w:firstLine="0" w:firstLineChars="0"/>
              <w:jc w:val="center"/>
              <w:rPr>
                <w:color w:val="auto"/>
              </w:rPr>
            </w:pPr>
            <w:r>
              <w:rPr>
                <w:rFonts w:hint="eastAsia"/>
                <w:color w:val="auto"/>
                <w:spacing w:val="-10"/>
              </w:rPr>
              <w:t>(满分30</w:t>
            </w:r>
            <w:r>
              <w:rPr>
                <w:rFonts w:hint="eastAsia"/>
                <w:color w:val="auto"/>
                <w:spacing w:val="-9"/>
              </w:rPr>
              <w:t>分</w:t>
            </w:r>
            <w:r>
              <w:rPr>
                <w:rFonts w:hint="eastAsia"/>
                <w:color w:val="auto"/>
                <w:spacing w:val="-7"/>
              </w:rPr>
              <w:t>)</w:t>
            </w:r>
          </w:p>
        </w:tc>
        <w:tc>
          <w:tcPr>
            <w:tcW w:w="7818" w:type="dxa"/>
            <w:tcMar>
              <w:top w:w="57" w:type="dxa"/>
              <w:left w:w="57" w:type="dxa"/>
              <w:bottom w:w="57" w:type="dxa"/>
              <w:right w:w="57" w:type="dxa"/>
            </w:tcMar>
            <w:vAlign w:val="center"/>
          </w:tcPr>
          <w:p w14:paraId="5241515D">
            <w:pPr>
              <w:pageBreakBefore w:val="0"/>
              <w:kinsoku w:val="0"/>
              <w:wordWrap w:val="0"/>
              <w:overflowPunct/>
              <w:autoSpaceDE w:val="0"/>
              <w:autoSpaceDN w:val="0"/>
              <w:bidi w:val="0"/>
              <w:adjustRightInd/>
              <w:spacing w:line="240" w:lineRule="auto"/>
              <w:rPr>
                <w:color w:val="auto"/>
              </w:rPr>
            </w:pPr>
            <w:r>
              <w:rPr>
                <w:rFonts w:hint="eastAsia"/>
                <w:color w:val="auto"/>
              </w:rPr>
              <w:t>综合评分法中的价格分统一采用低价优先法计算，即满足招标文件要求且报价最低的投标人的价格为评标基准价，其价格分为满分。其他投标人的价格分统一按照下列公式计算：</w:t>
            </w:r>
          </w:p>
          <w:p w14:paraId="2BDB8E07">
            <w:pPr>
              <w:pageBreakBefore w:val="0"/>
              <w:kinsoku w:val="0"/>
              <w:wordWrap w:val="0"/>
              <w:overflowPunct/>
              <w:autoSpaceDE w:val="0"/>
              <w:autoSpaceDN w:val="0"/>
              <w:bidi w:val="0"/>
              <w:adjustRightInd/>
              <w:spacing w:line="240" w:lineRule="auto"/>
              <w:rPr>
                <w:color w:val="auto"/>
              </w:rPr>
            </w:pPr>
            <w:r>
              <w:rPr>
                <w:rFonts w:hint="eastAsia"/>
                <w:color w:val="auto"/>
              </w:rPr>
              <w:t>投标报价得分=评标基准价/投标报价×30</w:t>
            </w:r>
          </w:p>
          <w:p w14:paraId="0E696F7C">
            <w:pPr>
              <w:pageBreakBefore w:val="0"/>
              <w:kinsoku w:val="0"/>
              <w:wordWrap w:val="0"/>
              <w:overflowPunct/>
              <w:autoSpaceDE w:val="0"/>
              <w:autoSpaceDN w:val="0"/>
              <w:bidi w:val="0"/>
              <w:adjustRightInd/>
              <w:spacing w:line="240" w:lineRule="auto"/>
              <w:rPr>
                <w:color w:val="auto"/>
              </w:rPr>
            </w:pPr>
            <w:r>
              <w:rPr>
                <w:rFonts w:hint="eastAsia"/>
                <w:color w:val="auto"/>
              </w:rPr>
              <w:t>备注：5标包</w:t>
            </w:r>
            <w:r>
              <w:rPr>
                <w:rFonts w:hint="eastAsia"/>
                <w:color w:val="auto"/>
                <w:lang w:eastAsia="zh-CN"/>
              </w:rPr>
              <w:t>、</w:t>
            </w:r>
            <w:r>
              <w:rPr>
                <w:rFonts w:hint="eastAsia"/>
                <w:color w:val="auto"/>
              </w:rPr>
              <w:t>6标包</w:t>
            </w:r>
            <w:r>
              <w:rPr>
                <w:rFonts w:hint="eastAsia"/>
                <w:color w:val="auto"/>
                <w:lang w:eastAsia="zh-CN"/>
              </w:rPr>
              <w:t>、</w:t>
            </w:r>
            <w:r>
              <w:rPr>
                <w:rFonts w:hint="eastAsia"/>
                <w:color w:val="auto"/>
              </w:rPr>
              <w:t>11标包</w:t>
            </w:r>
            <w:r>
              <w:rPr>
                <w:rFonts w:hint="eastAsia"/>
                <w:color w:val="auto"/>
                <w:lang w:eastAsia="zh-CN"/>
              </w:rPr>
              <w:t>、</w:t>
            </w:r>
            <w:r>
              <w:rPr>
                <w:rFonts w:hint="eastAsia"/>
                <w:color w:val="auto"/>
              </w:rPr>
              <w:t>13标包</w:t>
            </w:r>
            <w:r>
              <w:rPr>
                <w:rFonts w:hint="eastAsia"/>
                <w:color w:val="auto"/>
                <w:lang w:eastAsia="zh-CN"/>
              </w:rPr>
              <w:t>、</w:t>
            </w:r>
            <w:r>
              <w:rPr>
                <w:rFonts w:hint="eastAsia"/>
                <w:color w:val="auto"/>
              </w:rPr>
              <w:t>14标包均为非专门面向中小企业采购的项目。</w:t>
            </w:r>
            <w:r>
              <w:rPr>
                <w:rFonts w:hint="eastAsia"/>
                <w:color w:val="auto"/>
                <w:lang w:val="en-US" w:eastAsia="zh-CN"/>
              </w:rPr>
              <w:t>投标报价</w:t>
            </w:r>
            <w:r>
              <w:rPr>
                <w:rFonts w:hint="eastAsia"/>
                <w:color w:val="auto"/>
              </w:rPr>
              <w:t>评审时，给予小型、微型企业10%的价格扣除，用扣除后的价格作为评标价参与报价得分计算。即：评标价=投标报价×(1-10%)。监狱企业、残疾人福利性单位视同小微企业。</w:t>
            </w:r>
          </w:p>
        </w:tc>
      </w:tr>
      <w:tr w14:paraId="67F992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jc w:val="center"/>
        </w:trPr>
        <w:tc>
          <w:tcPr>
            <w:tcW w:w="423" w:type="dxa"/>
            <w:vMerge w:val="continue"/>
            <w:tcMar>
              <w:top w:w="57" w:type="dxa"/>
              <w:left w:w="57" w:type="dxa"/>
              <w:bottom w:w="57" w:type="dxa"/>
              <w:right w:w="57" w:type="dxa"/>
            </w:tcMar>
          </w:tcPr>
          <w:p w14:paraId="16147175">
            <w:pPr>
              <w:pageBreakBefore w:val="0"/>
              <w:kinsoku w:val="0"/>
              <w:wordWrap w:val="0"/>
              <w:overflowPunct/>
              <w:autoSpaceDE w:val="0"/>
              <w:autoSpaceDN w:val="0"/>
              <w:bidi w:val="0"/>
              <w:adjustRightInd/>
              <w:spacing w:line="240" w:lineRule="auto"/>
              <w:ind w:firstLine="0" w:firstLineChars="0"/>
              <w:rPr>
                <w:color w:val="auto"/>
              </w:rPr>
            </w:pPr>
          </w:p>
        </w:tc>
        <w:tc>
          <w:tcPr>
            <w:tcW w:w="1017" w:type="dxa"/>
            <w:vMerge w:val="continue"/>
            <w:tcMar>
              <w:top w:w="57" w:type="dxa"/>
              <w:left w:w="57" w:type="dxa"/>
              <w:bottom w:w="57" w:type="dxa"/>
              <w:right w:w="57" w:type="dxa"/>
            </w:tcMar>
          </w:tcPr>
          <w:p w14:paraId="4967D9F3">
            <w:pPr>
              <w:pageBreakBefore w:val="0"/>
              <w:kinsoku w:val="0"/>
              <w:wordWrap w:val="0"/>
              <w:overflowPunct/>
              <w:autoSpaceDE w:val="0"/>
              <w:autoSpaceDN w:val="0"/>
              <w:bidi w:val="0"/>
              <w:adjustRightInd/>
              <w:spacing w:line="240" w:lineRule="auto"/>
              <w:ind w:firstLine="0" w:firstLineChars="0"/>
              <w:rPr>
                <w:color w:val="auto"/>
              </w:rPr>
            </w:pPr>
          </w:p>
        </w:tc>
        <w:tc>
          <w:tcPr>
            <w:tcW w:w="1408" w:type="dxa"/>
            <w:tcMar>
              <w:top w:w="57" w:type="dxa"/>
              <w:left w:w="57" w:type="dxa"/>
              <w:bottom w:w="57" w:type="dxa"/>
              <w:right w:w="57" w:type="dxa"/>
            </w:tcMar>
            <w:vAlign w:val="center"/>
          </w:tcPr>
          <w:p w14:paraId="1C41C5CB">
            <w:pPr>
              <w:pageBreakBefore w:val="0"/>
              <w:kinsoku w:val="0"/>
              <w:wordWrap w:val="0"/>
              <w:overflowPunct/>
              <w:autoSpaceDE w:val="0"/>
              <w:autoSpaceDN w:val="0"/>
              <w:bidi w:val="0"/>
              <w:adjustRightInd/>
              <w:spacing w:line="240" w:lineRule="auto"/>
              <w:ind w:firstLine="0" w:firstLineChars="0"/>
              <w:jc w:val="center"/>
              <w:rPr>
                <w:color w:val="auto"/>
                <w:spacing w:val="13"/>
              </w:rPr>
            </w:pPr>
            <w:r>
              <w:rPr>
                <w:rFonts w:hint="eastAsia"/>
                <w:color w:val="auto"/>
                <w:spacing w:val="16"/>
              </w:rPr>
              <w:t>4)</w:t>
            </w:r>
            <w:r>
              <w:rPr>
                <w:rFonts w:hint="eastAsia"/>
                <w:color w:val="auto"/>
                <w:spacing w:val="13"/>
              </w:rPr>
              <w:t>技术部分</w:t>
            </w:r>
          </w:p>
          <w:p w14:paraId="4477299D">
            <w:pPr>
              <w:pageBreakBefore w:val="0"/>
              <w:kinsoku w:val="0"/>
              <w:wordWrap w:val="0"/>
              <w:overflowPunct/>
              <w:autoSpaceDE w:val="0"/>
              <w:autoSpaceDN w:val="0"/>
              <w:bidi w:val="0"/>
              <w:adjustRightInd/>
              <w:spacing w:line="240" w:lineRule="auto"/>
              <w:ind w:firstLine="0" w:firstLineChars="0"/>
              <w:jc w:val="center"/>
              <w:rPr>
                <w:color w:val="auto"/>
                <w:spacing w:val="13"/>
              </w:rPr>
            </w:pPr>
            <w:r>
              <w:rPr>
                <w:rFonts w:hint="eastAsia"/>
                <w:color w:val="auto"/>
                <w:spacing w:val="13"/>
              </w:rPr>
              <w:t>得分F2</w:t>
            </w:r>
          </w:p>
          <w:p w14:paraId="360DE61B">
            <w:pPr>
              <w:pageBreakBefore w:val="0"/>
              <w:kinsoku w:val="0"/>
              <w:wordWrap w:val="0"/>
              <w:overflowPunct/>
              <w:autoSpaceDE w:val="0"/>
              <w:autoSpaceDN w:val="0"/>
              <w:bidi w:val="0"/>
              <w:adjustRightInd/>
              <w:spacing w:line="240" w:lineRule="auto"/>
              <w:ind w:firstLine="0" w:firstLineChars="0"/>
              <w:jc w:val="center"/>
              <w:rPr>
                <w:color w:val="auto"/>
              </w:rPr>
            </w:pPr>
            <w:r>
              <w:rPr>
                <w:rFonts w:hint="eastAsia"/>
                <w:color w:val="auto"/>
                <w:spacing w:val="13"/>
              </w:rPr>
              <w:t>(满分50分)</w:t>
            </w:r>
          </w:p>
        </w:tc>
        <w:tc>
          <w:tcPr>
            <w:tcW w:w="7818" w:type="dxa"/>
            <w:tcMar>
              <w:top w:w="57" w:type="dxa"/>
              <w:left w:w="57" w:type="dxa"/>
              <w:bottom w:w="57" w:type="dxa"/>
              <w:right w:w="57" w:type="dxa"/>
            </w:tcMar>
            <w:vAlign w:val="center"/>
          </w:tcPr>
          <w:p w14:paraId="7D2EE12B">
            <w:pPr>
              <w:pageBreakBefore w:val="0"/>
              <w:kinsoku w:val="0"/>
              <w:wordWrap w:val="0"/>
              <w:overflowPunct/>
              <w:autoSpaceDE w:val="0"/>
              <w:autoSpaceDN w:val="0"/>
              <w:bidi w:val="0"/>
              <w:spacing w:line="240" w:lineRule="auto"/>
              <w:ind w:firstLine="0" w:firstLineChars="0"/>
              <w:rPr>
                <w:b/>
                <w:bCs/>
                <w:color w:val="auto"/>
              </w:rPr>
            </w:pPr>
            <w:r>
              <w:rPr>
                <w:rFonts w:hint="eastAsia"/>
                <w:b/>
                <w:bCs/>
                <w:color w:val="auto"/>
              </w:rPr>
              <w:t>（一）技术指标响应评分（满分35分）</w:t>
            </w:r>
          </w:p>
          <w:p w14:paraId="4553C365">
            <w:pPr>
              <w:pageBreakBefore w:val="0"/>
              <w:kinsoku w:val="0"/>
              <w:wordWrap w:val="0"/>
              <w:overflowPunct/>
              <w:autoSpaceDE w:val="0"/>
              <w:autoSpaceDN w:val="0"/>
              <w:bidi w:val="0"/>
              <w:adjustRightInd/>
              <w:spacing w:line="240" w:lineRule="auto"/>
              <w:ind w:firstLine="0" w:firstLineChars="0"/>
              <w:rPr>
                <w:color w:val="auto"/>
                <w:spacing w:val="-2"/>
              </w:rPr>
            </w:pPr>
            <w:r>
              <w:rPr>
                <w:rFonts w:hint="eastAsia"/>
                <w:color w:val="auto"/>
                <w:spacing w:val="-2"/>
              </w:rPr>
              <w:t>1、评分说明：</w:t>
            </w:r>
          </w:p>
          <w:p w14:paraId="4B9DC8BF">
            <w:pPr>
              <w:pStyle w:val="12"/>
              <w:pageBreakBefore w:val="0"/>
              <w:wordWrap w:val="0"/>
              <w:overflowPunct/>
              <w:bidi w:val="0"/>
              <w:spacing w:after="0" w:line="240" w:lineRule="auto"/>
              <w:ind w:left="0" w:leftChars="0" w:firstLine="0" w:firstLineChars="0"/>
              <w:rPr>
                <w:color w:val="auto"/>
                <w:spacing w:val="-2"/>
              </w:rPr>
            </w:pPr>
            <w:r>
              <w:rPr>
                <w:rFonts w:hint="eastAsia"/>
                <w:color w:val="auto"/>
                <w:spacing w:val="-2"/>
              </w:rPr>
              <w:t>①重要★参数和一般参数分值比例根据实际情况灵活设置，分值设置需对应技术参数项目。</w:t>
            </w:r>
          </w:p>
          <w:p w14:paraId="2504D4FE">
            <w:pPr>
              <w:pStyle w:val="12"/>
              <w:pageBreakBefore w:val="0"/>
              <w:wordWrap w:val="0"/>
              <w:overflowPunct/>
              <w:bidi w:val="0"/>
              <w:spacing w:after="0" w:line="240" w:lineRule="auto"/>
              <w:ind w:left="0" w:leftChars="0" w:firstLine="0" w:firstLineChars="0"/>
              <w:rPr>
                <w:color w:val="auto"/>
                <w:spacing w:val="-2"/>
              </w:rPr>
            </w:pPr>
            <w:r>
              <w:rPr>
                <w:rFonts w:hint="eastAsia"/>
                <w:color w:val="auto"/>
                <w:spacing w:val="-2"/>
              </w:rPr>
              <w:t>②招标文件中，最末级序号为1条技术参数，1条技术参数下有多项的，全部满足才得分。</w:t>
            </w:r>
          </w:p>
          <w:p w14:paraId="1436081E">
            <w:pPr>
              <w:pStyle w:val="12"/>
              <w:pageBreakBefore w:val="0"/>
              <w:wordWrap w:val="0"/>
              <w:overflowPunct/>
              <w:bidi w:val="0"/>
              <w:spacing w:after="0" w:line="240" w:lineRule="auto"/>
              <w:ind w:left="0" w:leftChars="0" w:firstLine="0" w:firstLineChars="0"/>
              <w:rPr>
                <w:color w:val="auto"/>
                <w:spacing w:val="-2"/>
              </w:rPr>
            </w:pPr>
            <w:r>
              <w:rPr>
                <w:rFonts w:hint="eastAsia"/>
                <w:color w:val="auto"/>
                <w:spacing w:val="-2"/>
              </w:rPr>
              <w:t>③所投产品本身的检验报告和官方发布的技术资料有效，同类或类似产品检验报告和官方发布的技术资料无效。</w:t>
            </w:r>
          </w:p>
          <w:p w14:paraId="43BC50EF">
            <w:pPr>
              <w:pStyle w:val="12"/>
              <w:pageBreakBefore w:val="0"/>
              <w:wordWrap w:val="0"/>
              <w:overflowPunct/>
              <w:bidi w:val="0"/>
              <w:spacing w:after="0" w:line="240" w:lineRule="auto"/>
              <w:ind w:left="0" w:leftChars="0" w:firstLine="0" w:firstLineChars="0"/>
              <w:rPr>
                <w:color w:val="auto"/>
                <w:spacing w:val="-2"/>
              </w:rPr>
            </w:pPr>
            <w:r>
              <w:rPr>
                <w:rFonts w:hint="eastAsia"/>
                <w:color w:val="auto"/>
                <w:spacing w:val="-2"/>
              </w:rPr>
              <w:t>④消防车整车暂未取得检验报告的，依据各部件检验报告评分，但需提供“交货出具整车检验报告”的承诺书和违约责任书。</w:t>
            </w:r>
          </w:p>
          <w:p w14:paraId="2CC5BC6C">
            <w:pPr>
              <w:pStyle w:val="12"/>
              <w:pageBreakBefore w:val="0"/>
              <w:wordWrap w:val="0"/>
              <w:overflowPunct/>
              <w:bidi w:val="0"/>
              <w:spacing w:after="0" w:line="240" w:lineRule="auto"/>
              <w:ind w:left="0" w:leftChars="0" w:firstLine="0" w:firstLineChars="0"/>
              <w:rPr>
                <w:color w:val="auto"/>
              </w:rPr>
            </w:pPr>
            <w:r>
              <w:rPr>
                <w:rFonts w:hint="eastAsia"/>
                <w:color w:val="auto"/>
                <w:spacing w:val="-2"/>
              </w:rPr>
              <w:t>⑤要求对所提供检验报告和产品技术资料的真实性进行承诺，若后期查处存在篡改、添加甚至PS情况的，一律取消中标资格并通报财政监管部门，给总队造成损失的，还将依法追究法律责任。</w:t>
            </w:r>
          </w:p>
          <w:p w14:paraId="5C885B56">
            <w:pPr>
              <w:pageBreakBefore w:val="0"/>
              <w:kinsoku w:val="0"/>
              <w:wordWrap w:val="0"/>
              <w:overflowPunct/>
              <w:autoSpaceDE w:val="0"/>
              <w:autoSpaceDN w:val="0"/>
              <w:bidi w:val="0"/>
              <w:adjustRightInd/>
              <w:spacing w:line="240" w:lineRule="auto"/>
              <w:ind w:firstLine="0" w:firstLineChars="0"/>
              <w:rPr>
                <w:color w:val="auto"/>
                <w:spacing w:val="-2"/>
              </w:rPr>
            </w:pPr>
            <w:r>
              <w:rPr>
                <w:rFonts w:hint="eastAsia"/>
                <w:color w:val="auto"/>
                <w:spacing w:val="-2"/>
              </w:rPr>
              <w:t>2、评分规则：</w:t>
            </w:r>
          </w:p>
          <w:p w14:paraId="38E43916">
            <w:pPr>
              <w:pStyle w:val="12"/>
              <w:pageBreakBefore w:val="0"/>
              <w:wordWrap w:val="0"/>
              <w:overflowPunct/>
              <w:bidi w:val="0"/>
              <w:spacing w:after="0" w:line="240" w:lineRule="auto"/>
              <w:ind w:left="0" w:leftChars="0" w:firstLine="0" w:firstLineChars="0"/>
              <w:rPr>
                <w:rFonts w:ascii="宋体" w:hAnsi="宋体"/>
                <w:color w:val="auto"/>
                <w:spacing w:val="-3"/>
                <w:szCs w:val="21"/>
              </w:rPr>
            </w:pPr>
            <w:r>
              <w:rPr>
                <w:rFonts w:hint="eastAsia" w:ascii="宋体" w:hAnsi="宋体"/>
                <w:color w:val="auto"/>
                <w:spacing w:val="-3"/>
                <w:szCs w:val="21"/>
              </w:rPr>
              <w:t>依据《招标文件》第五章技术要求各标包技术参数要求，所投标包全部参数满足技术要求的得满分35分；</w:t>
            </w:r>
          </w:p>
          <w:p w14:paraId="44009A93">
            <w:pPr>
              <w:pageBreakBefore w:val="0"/>
              <w:wordWrap w:val="0"/>
              <w:overflowPunct/>
              <w:bidi w:val="0"/>
              <w:spacing w:line="240" w:lineRule="auto"/>
              <w:ind w:firstLine="0" w:firstLineChars="0"/>
              <w:rPr>
                <w:color w:val="auto"/>
              </w:rPr>
            </w:pPr>
            <w:r>
              <w:rPr>
                <w:rFonts w:hint="eastAsia"/>
                <w:color w:val="auto"/>
              </w:rPr>
              <w:t>①重要★参数以“国家消防装备质量监督检验中心（上海消防研究所）”或具有相应资格的第三方检测机构出具的检验报告作为评判依据；未提供证明材料的，不得分。</w:t>
            </w:r>
          </w:p>
          <w:p w14:paraId="711A5A24">
            <w:pPr>
              <w:pageBreakBefore w:val="0"/>
              <w:wordWrap w:val="0"/>
              <w:overflowPunct/>
              <w:bidi w:val="0"/>
              <w:spacing w:line="240" w:lineRule="auto"/>
              <w:ind w:firstLine="0" w:firstLineChars="0"/>
              <w:rPr>
                <w:color w:val="auto"/>
              </w:rPr>
            </w:pPr>
            <w:r>
              <w:rPr>
                <w:rFonts w:hint="eastAsia"/>
                <w:color w:val="auto"/>
              </w:rPr>
              <w:t>②一般参数以检测报告或制造商公开发布的技术资料（需提供查询途径）作为评判依据；未提供证明材料的，不得分。</w:t>
            </w:r>
          </w:p>
          <w:p w14:paraId="4E12DEA0">
            <w:pPr>
              <w:pageBreakBefore w:val="0"/>
              <w:wordWrap w:val="0"/>
              <w:overflowPunct/>
              <w:bidi w:val="0"/>
              <w:spacing w:line="240" w:lineRule="auto"/>
              <w:ind w:firstLine="0" w:firstLineChars="0"/>
              <w:jc w:val="center"/>
              <w:rPr>
                <w:b/>
                <w:bCs/>
                <w:color w:val="auto"/>
                <w:spacing w:val="-3"/>
              </w:rPr>
            </w:pPr>
            <w:r>
              <w:rPr>
                <w:rFonts w:hint="eastAsia"/>
                <w:b/>
                <w:bCs/>
                <w:color w:val="auto"/>
                <w:spacing w:val="-3"/>
              </w:rPr>
              <w:t>5标包：</w:t>
            </w:r>
          </w:p>
          <w:p w14:paraId="5A2DFFB0">
            <w:pPr>
              <w:pageBreakBefore w:val="0"/>
              <w:wordWrap w:val="0"/>
              <w:overflowPunct/>
              <w:bidi w:val="0"/>
              <w:spacing w:line="240" w:lineRule="auto"/>
              <w:rPr>
                <w:color w:val="auto"/>
              </w:rPr>
            </w:pPr>
            <w:r>
              <w:rPr>
                <w:rFonts w:hint="eastAsia"/>
                <w:color w:val="auto"/>
              </w:rPr>
              <w:t>依据《招标文件》第五章技术要求，带★重要技术参数共计5条，其他一般技术参数42条。</w:t>
            </w:r>
          </w:p>
          <w:p w14:paraId="021C597C">
            <w:pPr>
              <w:pageBreakBefore w:val="0"/>
              <w:wordWrap w:val="0"/>
              <w:overflowPunct/>
              <w:bidi w:val="0"/>
              <w:spacing w:line="240" w:lineRule="auto"/>
              <w:rPr>
                <w:color w:val="auto"/>
              </w:rPr>
            </w:pPr>
            <w:r>
              <w:rPr>
                <w:rFonts w:hint="eastAsia"/>
                <w:color w:val="auto"/>
              </w:rPr>
              <w:t>①带★重要技术参数，有一条不满足扣3分；</w:t>
            </w:r>
          </w:p>
          <w:p w14:paraId="13607C0E">
            <w:pPr>
              <w:pageBreakBefore w:val="0"/>
              <w:wordWrap w:val="0"/>
              <w:overflowPunct/>
              <w:bidi w:val="0"/>
              <w:spacing w:line="240" w:lineRule="auto"/>
              <w:rPr>
                <w:b/>
                <w:bCs/>
                <w:color w:val="auto"/>
              </w:rPr>
            </w:pPr>
            <w:r>
              <w:rPr>
                <w:rFonts w:hint="eastAsia"/>
                <w:color w:val="auto"/>
              </w:rPr>
              <w:t>②一般技术参数，有一条不满足扣0.476分</w:t>
            </w:r>
            <w:r>
              <w:rPr>
                <w:rFonts w:hint="eastAsia" w:ascii="Calibri" w:hAnsi="Calibri"/>
                <w:color w:val="auto"/>
                <w:szCs w:val="20"/>
              </w:rPr>
              <w:t>。</w:t>
            </w:r>
          </w:p>
          <w:p w14:paraId="7DBC9160">
            <w:pPr>
              <w:pageBreakBefore w:val="0"/>
              <w:wordWrap w:val="0"/>
              <w:overflowPunct/>
              <w:bidi w:val="0"/>
              <w:spacing w:line="240" w:lineRule="auto"/>
              <w:ind w:firstLine="0" w:firstLineChars="0"/>
              <w:jc w:val="center"/>
              <w:rPr>
                <w:b/>
                <w:bCs/>
                <w:color w:val="auto"/>
                <w:spacing w:val="-3"/>
              </w:rPr>
            </w:pPr>
          </w:p>
          <w:p w14:paraId="7FD8F3C7">
            <w:pPr>
              <w:pageBreakBefore w:val="0"/>
              <w:wordWrap w:val="0"/>
              <w:overflowPunct/>
              <w:bidi w:val="0"/>
              <w:spacing w:line="240" w:lineRule="auto"/>
              <w:ind w:firstLine="0" w:firstLineChars="0"/>
              <w:jc w:val="center"/>
              <w:rPr>
                <w:b/>
                <w:bCs/>
                <w:color w:val="auto"/>
                <w:spacing w:val="-3"/>
              </w:rPr>
            </w:pPr>
            <w:r>
              <w:rPr>
                <w:rFonts w:hint="eastAsia"/>
                <w:b/>
                <w:bCs/>
                <w:color w:val="auto"/>
                <w:spacing w:val="-3"/>
              </w:rPr>
              <w:t>6标包：</w:t>
            </w:r>
          </w:p>
          <w:p w14:paraId="02781276">
            <w:pPr>
              <w:pageBreakBefore w:val="0"/>
              <w:wordWrap w:val="0"/>
              <w:overflowPunct/>
              <w:bidi w:val="0"/>
              <w:spacing w:line="240" w:lineRule="auto"/>
              <w:rPr>
                <w:color w:val="auto"/>
              </w:rPr>
            </w:pPr>
            <w:r>
              <w:rPr>
                <w:rFonts w:hint="eastAsia"/>
                <w:color w:val="auto"/>
              </w:rPr>
              <w:t>依据《招标文件》第五章技术要求，带★重要技术参数共计13条，其他一般技术参数423条。</w:t>
            </w:r>
          </w:p>
          <w:p w14:paraId="682CAC98">
            <w:pPr>
              <w:pageBreakBefore w:val="0"/>
              <w:wordWrap w:val="0"/>
              <w:overflowPunct/>
              <w:bidi w:val="0"/>
              <w:spacing w:line="240" w:lineRule="auto"/>
              <w:rPr>
                <w:color w:val="auto"/>
              </w:rPr>
            </w:pPr>
            <w:r>
              <w:rPr>
                <w:rFonts w:hint="eastAsia"/>
                <w:color w:val="auto"/>
              </w:rPr>
              <w:t>①带★重要技术参数，有一条不满足扣1分；</w:t>
            </w:r>
          </w:p>
          <w:p w14:paraId="1B2967E3">
            <w:pPr>
              <w:pageBreakBefore w:val="0"/>
              <w:wordWrap w:val="0"/>
              <w:overflowPunct/>
              <w:bidi w:val="0"/>
              <w:spacing w:line="240" w:lineRule="auto"/>
              <w:rPr>
                <w:b/>
                <w:bCs/>
                <w:color w:val="auto"/>
              </w:rPr>
            </w:pPr>
            <w:r>
              <w:rPr>
                <w:rFonts w:hint="eastAsia"/>
                <w:color w:val="auto"/>
              </w:rPr>
              <w:t>②一般技术参数，有一条不满足扣0.052分</w:t>
            </w:r>
            <w:r>
              <w:rPr>
                <w:rFonts w:hint="eastAsia" w:ascii="Calibri" w:hAnsi="Calibri"/>
                <w:color w:val="auto"/>
                <w:szCs w:val="20"/>
              </w:rPr>
              <w:t>。</w:t>
            </w:r>
          </w:p>
          <w:p w14:paraId="4B175477">
            <w:pPr>
              <w:pageBreakBefore w:val="0"/>
              <w:wordWrap w:val="0"/>
              <w:overflowPunct/>
              <w:bidi w:val="0"/>
              <w:spacing w:line="240" w:lineRule="auto"/>
              <w:ind w:firstLine="0" w:firstLineChars="0"/>
              <w:jc w:val="center"/>
              <w:rPr>
                <w:b/>
                <w:bCs/>
                <w:color w:val="auto"/>
                <w:spacing w:val="-3"/>
              </w:rPr>
            </w:pPr>
          </w:p>
          <w:p w14:paraId="4AC840CB">
            <w:pPr>
              <w:pageBreakBefore w:val="0"/>
              <w:wordWrap w:val="0"/>
              <w:overflowPunct/>
              <w:bidi w:val="0"/>
              <w:spacing w:line="240" w:lineRule="auto"/>
              <w:ind w:firstLine="0" w:firstLineChars="0"/>
              <w:jc w:val="center"/>
              <w:rPr>
                <w:b/>
                <w:bCs/>
                <w:color w:val="auto"/>
                <w:spacing w:val="-3"/>
              </w:rPr>
            </w:pPr>
            <w:r>
              <w:rPr>
                <w:rFonts w:hint="eastAsia"/>
                <w:b/>
                <w:bCs/>
                <w:color w:val="auto"/>
                <w:spacing w:val="-3"/>
              </w:rPr>
              <w:t>11标包：</w:t>
            </w:r>
          </w:p>
          <w:p w14:paraId="77249F44">
            <w:pPr>
              <w:pageBreakBefore w:val="0"/>
              <w:wordWrap w:val="0"/>
              <w:overflowPunct/>
              <w:bidi w:val="0"/>
              <w:spacing w:line="240" w:lineRule="auto"/>
              <w:ind w:firstLine="0" w:firstLineChars="0"/>
              <w:rPr>
                <w:color w:val="auto"/>
              </w:rPr>
            </w:pPr>
            <w:r>
              <w:rPr>
                <w:rFonts w:hint="eastAsia"/>
                <w:b/>
                <w:bCs/>
                <w:color w:val="auto"/>
              </w:rPr>
              <w:t>车辆部分（满分25分）</w:t>
            </w:r>
          </w:p>
          <w:p w14:paraId="682B60DE">
            <w:pPr>
              <w:pageBreakBefore w:val="0"/>
              <w:wordWrap w:val="0"/>
              <w:overflowPunct/>
              <w:bidi w:val="0"/>
              <w:spacing w:line="240" w:lineRule="auto"/>
              <w:rPr>
                <w:color w:val="auto"/>
              </w:rPr>
            </w:pPr>
            <w:r>
              <w:rPr>
                <w:rFonts w:hint="eastAsia"/>
                <w:color w:val="auto"/>
              </w:rPr>
              <w:t>依据《招标文件》第五章技术要求，带★重要技术参数共计6条，其他一般技术参数21条。</w:t>
            </w:r>
          </w:p>
          <w:p w14:paraId="3FB0A09D">
            <w:pPr>
              <w:pageBreakBefore w:val="0"/>
              <w:wordWrap w:val="0"/>
              <w:overflowPunct/>
              <w:bidi w:val="0"/>
              <w:spacing w:line="240" w:lineRule="auto"/>
              <w:rPr>
                <w:color w:val="auto"/>
              </w:rPr>
            </w:pPr>
            <w:r>
              <w:rPr>
                <w:rFonts w:hint="eastAsia"/>
                <w:color w:val="auto"/>
              </w:rPr>
              <w:t>①带★重要技术参数，有一条不满足扣2分；</w:t>
            </w:r>
          </w:p>
          <w:p w14:paraId="32216779">
            <w:pPr>
              <w:pageBreakBefore w:val="0"/>
              <w:wordWrap w:val="0"/>
              <w:overflowPunct/>
              <w:bidi w:val="0"/>
              <w:spacing w:line="240" w:lineRule="auto"/>
              <w:rPr>
                <w:b/>
                <w:bCs/>
                <w:color w:val="auto"/>
              </w:rPr>
            </w:pPr>
            <w:r>
              <w:rPr>
                <w:rFonts w:hint="eastAsia"/>
                <w:color w:val="auto"/>
              </w:rPr>
              <w:t>②一般技术参数，有一条不满足扣0.619分</w:t>
            </w:r>
            <w:r>
              <w:rPr>
                <w:rFonts w:hint="eastAsia" w:ascii="Calibri" w:hAnsi="Calibri"/>
                <w:color w:val="auto"/>
                <w:szCs w:val="20"/>
              </w:rPr>
              <w:t>。</w:t>
            </w:r>
          </w:p>
          <w:p w14:paraId="57BEE603">
            <w:pPr>
              <w:pageBreakBefore w:val="0"/>
              <w:wordWrap w:val="0"/>
              <w:overflowPunct/>
              <w:bidi w:val="0"/>
              <w:spacing w:line="240" w:lineRule="auto"/>
              <w:ind w:firstLine="0" w:firstLineChars="0"/>
              <w:rPr>
                <w:color w:val="auto"/>
              </w:rPr>
            </w:pPr>
            <w:r>
              <w:rPr>
                <w:rFonts w:hint="eastAsia"/>
                <w:b/>
                <w:bCs/>
                <w:color w:val="auto"/>
              </w:rPr>
              <w:t>随车器材部分（满分10分）</w:t>
            </w:r>
          </w:p>
          <w:p w14:paraId="660C1A57">
            <w:pPr>
              <w:pageBreakBefore w:val="0"/>
              <w:wordWrap w:val="0"/>
              <w:overflowPunct/>
              <w:bidi w:val="0"/>
              <w:spacing w:line="240" w:lineRule="auto"/>
              <w:rPr>
                <w:color w:val="auto"/>
              </w:rPr>
            </w:pPr>
            <w:r>
              <w:rPr>
                <w:rFonts w:hint="eastAsia"/>
                <w:color w:val="auto"/>
              </w:rPr>
              <w:t>依据《招标文件》第五章技术要求，带★重要技术参数共计10条，其他一般技术参数24条。</w:t>
            </w:r>
          </w:p>
          <w:p w14:paraId="50AA17EB">
            <w:pPr>
              <w:pageBreakBefore w:val="0"/>
              <w:wordWrap w:val="0"/>
              <w:overflowPunct/>
              <w:bidi w:val="0"/>
              <w:spacing w:line="240" w:lineRule="auto"/>
              <w:rPr>
                <w:color w:val="auto"/>
              </w:rPr>
            </w:pPr>
            <w:r>
              <w:rPr>
                <w:rFonts w:hint="eastAsia"/>
                <w:color w:val="auto"/>
              </w:rPr>
              <w:t>①带★重要技术参数，有一条不满足扣0.52分；</w:t>
            </w:r>
          </w:p>
          <w:p w14:paraId="709FAC1B">
            <w:pPr>
              <w:pageBreakBefore w:val="0"/>
              <w:wordWrap w:val="0"/>
              <w:overflowPunct/>
              <w:bidi w:val="0"/>
              <w:spacing w:line="240" w:lineRule="auto"/>
              <w:rPr>
                <w:b/>
                <w:bCs/>
                <w:color w:val="auto"/>
              </w:rPr>
            </w:pPr>
            <w:r>
              <w:rPr>
                <w:rFonts w:hint="eastAsia"/>
                <w:color w:val="auto"/>
              </w:rPr>
              <w:t>②一般技术参数，有一条不满足扣0.2分</w:t>
            </w:r>
            <w:r>
              <w:rPr>
                <w:rFonts w:hint="eastAsia" w:ascii="Calibri" w:hAnsi="Calibri"/>
                <w:color w:val="auto"/>
                <w:szCs w:val="20"/>
              </w:rPr>
              <w:t>。</w:t>
            </w:r>
          </w:p>
          <w:p w14:paraId="6A49529F">
            <w:pPr>
              <w:pageBreakBefore w:val="0"/>
              <w:wordWrap w:val="0"/>
              <w:overflowPunct/>
              <w:bidi w:val="0"/>
              <w:spacing w:line="240" w:lineRule="auto"/>
              <w:ind w:firstLine="0" w:firstLineChars="0"/>
              <w:rPr>
                <w:b/>
                <w:bCs/>
                <w:color w:val="auto"/>
              </w:rPr>
            </w:pPr>
          </w:p>
          <w:p w14:paraId="387D33C8">
            <w:pPr>
              <w:pageBreakBefore w:val="0"/>
              <w:wordWrap w:val="0"/>
              <w:overflowPunct/>
              <w:bidi w:val="0"/>
              <w:spacing w:line="240" w:lineRule="auto"/>
              <w:ind w:firstLine="0" w:firstLineChars="0"/>
              <w:jc w:val="center"/>
              <w:rPr>
                <w:b/>
                <w:bCs/>
                <w:color w:val="auto"/>
                <w:spacing w:val="-3"/>
              </w:rPr>
            </w:pPr>
            <w:r>
              <w:rPr>
                <w:rFonts w:hint="eastAsia"/>
                <w:b/>
                <w:bCs/>
                <w:color w:val="auto"/>
                <w:spacing w:val="-3"/>
              </w:rPr>
              <w:t>13标包：</w:t>
            </w:r>
          </w:p>
          <w:p w14:paraId="36E43E36">
            <w:pPr>
              <w:pageBreakBefore w:val="0"/>
              <w:wordWrap w:val="0"/>
              <w:overflowPunct/>
              <w:bidi w:val="0"/>
              <w:spacing w:line="240" w:lineRule="auto"/>
              <w:ind w:firstLine="0" w:firstLineChars="0"/>
              <w:rPr>
                <w:color w:val="auto"/>
              </w:rPr>
            </w:pPr>
            <w:r>
              <w:rPr>
                <w:rFonts w:hint="eastAsia"/>
                <w:b/>
                <w:bCs/>
                <w:color w:val="auto"/>
              </w:rPr>
              <w:t>车辆部分（满分25分）</w:t>
            </w:r>
          </w:p>
          <w:p w14:paraId="03AEBEFF">
            <w:pPr>
              <w:pageBreakBefore w:val="0"/>
              <w:wordWrap w:val="0"/>
              <w:overflowPunct/>
              <w:bidi w:val="0"/>
              <w:spacing w:line="240" w:lineRule="auto"/>
              <w:rPr>
                <w:color w:val="auto"/>
              </w:rPr>
            </w:pPr>
            <w:r>
              <w:rPr>
                <w:rFonts w:hint="eastAsia"/>
                <w:color w:val="auto"/>
              </w:rPr>
              <w:t>依据《招标文件》第五章技术要求，带★重要技术参数共计6条，其他一般技术参数21条。</w:t>
            </w:r>
          </w:p>
          <w:p w14:paraId="08066F06">
            <w:pPr>
              <w:pageBreakBefore w:val="0"/>
              <w:wordWrap w:val="0"/>
              <w:overflowPunct/>
              <w:bidi w:val="0"/>
              <w:spacing w:line="240" w:lineRule="auto"/>
              <w:rPr>
                <w:color w:val="auto"/>
              </w:rPr>
            </w:pPr>
            <w:r>
              <w:rPr>
                <w:rFonts w:hint="eastAsia"/>
                <w:color w:val="auto"/>
              </w:rPr>
              <w:t>①带★重要技术参数，有一条不满足扣2分；</w:t>
            </w:r>
          </w:p>
          <w:p w14:paraId="03BEEE75">
            <w:pPr>
              <w:pageBreakBefore w:val="0"/>
              <w:wordWrap w:val="0"/>
              <w:overflowPunct/>
              <w:bidi w:val="0"/>
              <w:spacing w:line="240" w:lineRule="auto"/>
              <w:rPr>
                <w:b/>
                <w:bCs/>
                <w:color w:val="auto"/>
              </w:rPr>
            </w:pPr>
            <w:r>
              <w:rPr>
                <w:rFonts w:hint="eastAsia"/>
                <w:color w:val="auto"/>
              </w:rPr>
              <w:t>②一般技术参数，有一条不满足扣0.619分</w:t>
            </w:r>
            <w:r>
              <w:rPr>
                <w:rFonts w:hint="eastAsia" w:ascii="Calibri" w:hAnsi="Calibri"/>
                <w:color w:val="auto"/>
                <w:szCs w:val="20"/>
              </w:rPr>
              <w:t>。</w:t>
            </w:r>
          </w:p>
          <w:p w14:paraId="0B230F37">
            <w:pPr>
              <w:pageBreakBefore w:val="0"/>
              <w:wordWrap w:val="0"/>
              <w:overflowPunct/>
              <w:bidi w:val="0"/>
              <w:spacing w:line="240" w:lineRule="auto"/>
              <w:ind w:firstLine="0" w:firstLineChars="0"/>
              <w:rPr>
                <w:color w:val="auto"/>
              </w:rPr>
            </w:pPr>
            <w:r>
              <w:rPr>
                <w:rFonts w:hint="eastAsia"/>
                <w:b/>
                <w:bCs/>
                <w:color w:val="auto"/>
              </w:rPr>
              <w:t>随车器材部分（满分10分）</w:t>
            </w:r>
          </w:p>
          <w:p w14:paraId="276B5A54">
            <w:pPr>
              <w:pageBreakBefore w:val="0"/>
              <w:wordWrap w:val="0"/>
              <w:overflowPunct/>
              <w:bidi w:val="0"/>
              <w:spacing w:line="240" w:lineRule="auto"/>
              <w:rPr>
                <w:color w:val="auto"/>
              </w:rPr>
            </w:pPr>
            <w:r>
              <w:rPr>
                <w:rFonts w:hint="eastAsia"/>
                <w:color w:val="auto"/>
              </w:rPr>
              <w:t>依据《招标文件》第五章技术要求，带★重要技术参数共计9条，其他一般技术参数2</w:t>
            </w:r>
            <w:r>
              <w:rPr>
                <w:rFonts w:hint="eastAsia"/>
                <w:color w:val="auto"/>
                <w:lang w:val="en-US" w:eastAsia="zh-CN"/>
              </w:rPr>
              <w:t>6</w:t>
            </w:r>
            <w:r>
              <w:rPr>
                <w:rFonts w:hint="eastAsia"/>
                <w:color w:val="auto"/>
              </w:rPr>
              <w:t>条。</w:t>
            </w:r>
          </w:p>
          <w:p w14:paraId="26D3A849">
            <w:pPr>
              <w:pageBreakBefore w:val="0"/>
              <w:wordWrap w:val="0"/>
              <w:overflowPunct/>
              <w:bidi w:val="0"/>
              <w:spacing w:line="240" w:lineRule="auto"/>
              <w:rPr>
                <w:color w:val="auto"/>
              </w:rPr>
            </w:pPr>
            <w:r>
              <w:rPr>
                <w:rFonts w:hint="eastAsia"/>
                <w:color w:val="auto"/>
              </w:rPr>
              <w:t>①带★重要技术参数，有一条不满足扣0.51分；</w:t>
            </w:r>
          </w:p>
          <w:p w14:paraId="7F0B3DB0">
            <w:pPr>
              <w:pageBreakBefore w:val="0"/>
              <w:wordWrap w:val="0"/>
              <w:overflowPunct/>
              <w:bidi w:val="0"/>
              <w:spacing w:line="240" w:lineRule="auto"/>
              <w:rPr>
                <w:b/>
                <w:bCs/>
                <w:color w:val="auto"/>
              </w:rPr>
            </w:pPr>
            <w:r>
              <w:rPr>
                <w:rFonts w:hint="eastAsia"/>
                <w:color w:val="auto"/>
              </w:rPr>
              <w:t>②一般技术参数，有一条不满足扣0.2</w:t>
            </w:r>
            <w:r>
              <w:rPr>
                <w:rFonts w:hint="eastAsia"/>
                <w:color w:val="auto"/>
                <w:lang w:val="en-US" w:eastAsia="zh-CN"/>
              </w:rPr>
              <w:t>08</w:t>
            </w:r>
            <w:r>
              <w:rPr>
                <w:rFonts w:hint="eastAsia"/>
                <w:color w:val="auto"/>
              </w:rPr>
              <w:t>分</w:t>
            </w:r>
            <w:r>
              <w:rPr>
                <w:rFonts w:hint="eastAsia" w:ascii="Calibri" w:hAnsi="Calibri"/>
                <w:color w:val="auto"/>
                <w:szCs w:val="20"/>
              </w:rPr>
              <w:t>。</w:t>
            </w:r>
          </w:p>
          <w:p w14:paraId="0084FFD4">
            <w:pPr>
              <w:pStyle w:val="32"/>
              <w:pageBreakBefore w:val="0"/>
              <w:wordWrap w:val="0"/>
              <w:overflowPunct/>
              <w:bidi w:val="0"/>
              <w:rPr>
                <w:color w:val="auto"/>
              </w:rPr>
            </w:pPr>
          </w:p>
          <w:p w14:paraId="6AF30882">
            <w:pPr>
              <w:pageBreakBefore w:val="0"/>
              <w:wordWrap w:val="0"/>
              <w:overflowPunct/>
              <w:bidi w:val="0"/>
              <w:spacing w:line="240" w:lineRule="auto"/>
              <w:ind w:firstLine="0" w:firstLineChars="0"/>
              <w:jc w:val="center"/>
              <w:rPr>
                <w:b/>
                <w:bCs/>
                <w:color w:val="auto"/>
                <w:spacing w:val="-3"/>
              </w:rPr>
            </w:pPr>
            <w:r>
              <w:rPr>
                <w:rFonts w:hint="eastAsia"/>
                <w:b/>
                <w:bCs/>
                <w:color w:val="auto"/>
                <w:spacing w:val="-3"/>
              </w:rPr>
              <w:t>14标包：</w:t>
            </w:r>
          </w:p>
          <w:p w14:paraId="6CD7D0FC">
            <w:pPr>
              <w:pageBreakBefore w:val="0"/>
              <w:wordWrap w:val="0"/>
              <w:overflowPunct/>
              <w:bidi w:val="0"/>
              <w:spacing w:line="240" w:lineRule="auto"/>
              <w:ind w:firstLine="0" w:firstLineChars="0"/>
              <w:rPr>
                <w:color w:val="auto"/>
              </w:rPr>
            </w:pPr>
            <w:r>
              <w:rPr>
                <w:rFonts w:hint="eastAsia"/>
                <w:b/>
                <w:bCs/>
                <w:color w:val="auto"/>
              </w:rPr>
              <w:t>车辆部分（满分25分）</w:t>
            </w:r>
          </w:p>
          <w:p w14:paraId="3F170771">
            <w:pPr>
              <w:pageBreakBefore w:val="0"/>
              <w:wordWrap w:val="0"/>
              <w:overflowPunct/>
              <w:bidi w:val="0"/>
              <w:spacing w:line="240" w:lineRule="auto"/>
              <w:rPr>
                <w:color w:val="auto"/>
              </w:rPr>
            </w:pPr>
            <w:r>
              <w:rPr>
                <w:rFonts w:hint="eastAsia"/>
                <w:color w:val="auto"/>
              </w:rPr>
              <w:t>依据《招标文件》第五章技术要求，带★重要技术参数共计6条，其他一般技术参数21条。</w:t>
            </w:r>
          </w:p>
          <w:p w14:paraId="58C923AE">
            <w:pPr>
              <w:pageBreakBefore w:val="0"/>
              <w:wordWrap w:val="0"/>
              <w:overflowPunct/>
              <w:bidi w:val="0"/>
              <w:spacing w:line="240" w:lineRule="auto"/>
              <w:rPr>
                <w:color w:val="auto"/>
              </w:rPr>
            </w:pPr>
            <w:r>
              <w:rPr>
                <w:rFonts w:hint="eastAsia"/>
                <w:color w:val="auto"/>
              </w:rPr>
              <w:t>①带★重要技术参数，有一条不满足扣2分；</w:t>
            </w:r>
          </w:p>
          <w:p w14:paraId="591A0255">
            <w:pPr>
              <w:pageBreakBefore w:val="0"/>
              <w:wordWrap w:val="0"/>
              <w:overflowPunct/>
              <w:bidi w:val="0"/>
              <w:spacing w:line="240" w:lineRule="auto"/>
              <w:rPr>
                <w:b/>
                <w:bCs/>
                <w:color w:val="auto"/>
              </w:rPr>
            </w:pPr>
            <w:r>
              <w:rPr>
                <w:rFonts w:hint="eastAsia"/>
                <w:color w:val="auto"/>
              </w:rPr>
              <w:t>②一般技术参数，有一条不满足扣0.619分</w:t>
            </w:r>
            <w:r>
              <w:rPr>
                <w:rFonts w:hint="eastAsia" w:ascii="Calibri" w:hAnsi="Calibri"/>
                <w:color w:val="auto"/>
                <w:szCs w:val="20"/>
              </w:rPr>
              <w:t>。</w:t>
            </w:r>
          </w:p>
          <w:p w14:paraId="0DFD55F7">
            <w:pPr>
              <w:pageBreakBefore w:val="0"/>
              <w:wordWrap w:val="0"/>
              <w:overflowPunct/>
              <w:bidi w:val="0"/>
              <w:spacing w:line="240" w:lineRule="auto"/>
              <w:ind w:firstLine="0" w:firstLineChars="0"/>
              <w:rPr>
                <w:color w:val="auto"/>
              </w:rPr>
            </w:pPr>
            <w:r>
              <w:rPr>
                <w:rFonts w:hint="eastAsia"/>
                <w:b/>
                <w:bCs/>
                <w:color w:val="auto"/>
              </w:rPr>
              <w:t>随车器材部分（满分10分）</w:t>
            </w:r>
          </w:p>
          <w:p w14:paraId="3510F888">
            <w:pPr>
              <w:pageBreakBefore w:val="0"/>
              <w:wordWrap w:val="0"/>
              <w:overflowPunct/>
              <w:bidi w:val="0"/>
              <w:spacing w:line="240" w:lineRule="auto"/>
              <w:rPr>
                <w:color w:val="auto"/>
              </w:rPr>
            </w:pPr>
            <w:r>
              <w:rPr>
                <w:rFonts w:hint="eastAsia"/>
                <w:color w:val="auto"/>
              </w:rPr>
              <w:t>依据《招标文件》第五章技术要求，带★重要技术参数共计23条，其他一般技术参数6</w:t>
            </w:r>
            <w:r>
              <w:rPr>
                <w:rFonts w:hint="eastAsia"/>
                <w:color w:val="auto"/>
                <w:lang w:val="en-US" w:eastAsia="zh-CN"/>
              </w:rPr>
              <w:t>1</w:t>
            </w:r>
            <w:r>
              <w:rPr>
                <w:rFonts w:hint="eastAsia"/>
                <w:color w:val="auto"/>
              </w:rPr>
              <w:t>条。</w:t>
            </w:r>
          </w:p>
          <w:p w14:paraId="6CAAA730">
            <w:pPr>
              <w:pageBreakBefore w:val="0"/>
              <w:wordWrap w:val="0"/>
              <w:overflowPunct/>
              <w:bidi w:val="0"/>
              <w:spacing w:line="240" w:lineRule="auto"/>
              <w:rPr>
                <w:color w:val="auto"/>
              </w:rPr>
            </w:pPr>
            <w:r>
              <w:rPr>
                <w:rFonts w:hint="eastAsia"/>
                <w:color w:val="auto"/>
              </w:rPr>
              <w:t>①带★重要技术参数，有一条不满足扣0.3分；</w:t>
            </w:r>
          </w:p>
          <w:p w14:paraId="38585815">
            <w:pPr>
              <w:pageBreakBefore w:val="0"/>
              <w:wordWrap w:val="0"/>
              <w:overflowPunct/>
              <w:bidi w:val="0"/>
              <w:spacing w:line="240" w:lineRule="auto"/>
              <w:rPr>
                <w:b/>
                <w:bCs/>
                <w:color w:val="auto"/>
              </w:rPr>
            </w:pPr>
            <w:r>
              <w:rPr>
                <w:rFonts w:hint="eastAsia"/>
                <w:color w:val="auto"/>
              </w:rPr>
              <w:t>②一般技术参数，有一条不满足扣0.05分</w:t>
            </w:r>
            <w:r>
              <w:rPr>
                <w:rFonts w:hint="eastAsia" w:ascii="Calibri" w:hAnsi="Calibri"/>
                <w:color w:val="auto"/>
                <w:szCs w:val="20"/>
              </w:rPr>
              <w:t>。</w:t>
            </w:r>
          </w:p>
          <w:p w14:paraId="373E9693">
            <w:pPr>
              <w:pageBreakBefore w:val="0"/>
              <w:wordWrap w:val="0"/>
              <w:overflowPunct/>
              <w:bidi w:val="0"/>
              <w:rPr>
                <w:color w:val="auto"/>
              </w:rPr>
            </w:pPr>
          </w:p>
          <w:p w14:paraId="1E8D3D08">
            <w:pPr>
              <w:pStyle w:val="12"/>
              <w:pageBreakBefore w:val="0"/>
              <w:wordWrap w:val="0"/>
              <w:overflowPunct/>
              <w:bidi w:val="0"/>
              <w:spacing w:after="0" w:line="240" w:lineRule="auto"/>
              <w:ind w:left="0" w:leftChars="0" w:firstLine="0" w:firstLineChars="0"/>
              <w:rPr>
                <w:b/>
                <w:bCs/>
                <w:color w:val="auto"/>
              </w:rPr>
            </w:pPr>
          </w:p>
          <w:p w14:paraId="59A0D2D1">
            <w:pPr>
              <w:pStyle w:val="12"/>
              <w:pageBreakBefore w:val="0"/>
              <w:wordWrap w:val="0"/>
              <w:overflowPunct/>
              <w:bidi w:val="0"/>
              <w:spacing w:after="0" w:line="240" w:lineRule="auto"/>
              <w:ind w:left="0" w:leftChars="0" w:firstLine="0" w:firstLineChars="0"/>
              <w:rPr>
                <w:b/>
                <w:bCs/>
                <w:color w:val="auto"/>
              </w:rPr>
            </w:pPr>
            <w:r>
              <w:rPr>
                <w:rFonts w:hint="eastAsia"/>
                <w:b/>
                <w:bCs/>
                <w:color w:val="auto"/>
              </w:rPr>
              <w:t>（二）所投车辆性能情况（满分15分）</w:t>
            </w:r>
          </w:p>
          <w:p w14:paraId="01817DF0">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①整车性能质量评价（满分3分）</w:t>
            </w:r>
          </w:p>
          <w:p w14:paraId="36A60DCA">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包含对车辆排放标准、关键指标、结构设计、稳定性和安全性等的评价，对车辆整体制作工艺，各功能模块完好性和匹配度的描述。</w:t>
            </w:r>
          </w:p>
          <w:p w14:paraId="44AEBA63">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第一个档次（3分）：车辆排放标准、关键指标、结构设计、稳定性和安全性等方面完全优于采购需求，车辆整体制作工艺精细，各功能模块完整好用且高度匹配。</w:t>
            </w:r>
          </w:p>
          <w:p w14:paraId="7AF7BA0B">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第二个档次（2分）：车辆排放标准、关键指标、结构设计、稳定性和安全性等方面完全满足且部分优于采购需求，车辆整体制作工艺较好，各功能模块完整好用且互相匹配。</w:t>
            </w:r>
          </w:p>
          <w:p w14:paraId="280F72D9">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第三个档次（0.5分）：车辆排放标准、关键指标、结构设计、稳定性和安全性等方面有3项以下不满足采购需求，车辆整体制作工艺一般，各功能模块完整好用但匹配差。</w:t>
            </w:r>
          </w:p>
          <w:p w14:paraId="4E504F8A">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第四个档次（0分）：车辆排放标准、关键指标、结构设计、稳定性和安全性等方面有3项以上不满足采购需求，车辆整体制作工艺一般，各功能模块完整好用但匹配差。</w:t>
            </w:r>
          </w:p>
          <w:p w14:paraId="6A55363A">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②所投车辆底盘性能评价（满分3分）</w:t>
            </w:r>
          </w:p>
          <w:p w14:paraId="0BE98746">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应包含车辆底盘发动机技术参数，车桥、驱动、制动、变速箱参数，驾驶室的设计的描述。</w:t>
            </w:r>
          </w:p>
          <w:p w14:paraId="5CA5643C">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第一个档次（3分）：选取的底盘全部指标均优于采购需求，发动机、车桥、驱动、制动、变速箱等参数完全优于采购需求，驾驶室内部设计合理、座椅舒适、上下车方便无不安全因素。</w:t>
            </w:r>
          </w:p>
          <w:p w14:paraId="64C0D3F0">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二个档次（2分）：选取的底盘性能完全符合采购需求且部分指标优于采购需求，发动机、车桥、驱动、制动、变速箱等参数完全满足且部分优于采购需求，驾驶室内部设计相对合理、座椅舒适、上下车方便无不安全因素。</w:t>
            </w:r>
          </w:p>
          <w:p w14:paraId="663C935D">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第三个档次（1分）：选取的底盘性能符合采购需求，发动机、车桥、驱动、制动、变速箱参数等参数满足采购需求，驾驶室内部设计基本合理。</w:t>
            </w:r>
          </w:p>
          <w:p w14:paraId="4DF3202C">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第四个档次（0分）：选取的底盘性能不能满足采购需求，发动机、车桥、驱动、制动、变速箱参数有1项（包括）以上低于采购需求，驾驶室内部设计不合理，座椅不舒适，安全性能不高。</w:t>
            </w:r>
          </w:p>
          <w:p w14:paraId="2AB43108">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③所投车辆上装部分关键部件评价（满分3分）</w:t>
            </w:r>
          </w:p>
          <w:p w14:paraId="1C0669AF">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应包含车辆上装指标要求，部分关键部件的性能参数、稳定性、安全性描述以及相关的检测报告等技术材料。</w:t>
            </w:r>
          </w:p>
          <w:p w14:paraId="050AFFDE">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第一个档次（3分）：上装部分各项指标、关键部件性能参数完全满足且明显优于采购需求，稳定性和安全性高，提供相关检测报告等技术资料齐全。</w:t>
            </w:r>
          </w:p>
          <w:p w14:paraId="55FC5C4E">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第二个档次（2分）：上装部分各项指标、关键部件性能参数完全满足且部分优于采购需求，稳定性和安全性较高，提供相关检测报告等技术资料相对齐全。</w:t>
            </w:r>
          </w:p>
          <w:p w14:paraId="30E51120">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第三个档次（1分）：上装部分各项指标、关键部件性能参数满足采购需求，稳定性和安全性一般，提供相关检测报告等技术资料。</w:t>
            </w:r>
          </w:p>
          <w:p w14:paraId="5D9BDBC6">
            <w:pPr>
              <w:pStyle w:val="12"/>
              <w:pageBreakBefore w:val="0"/>
              <w:wordWrap w:val="0"/>
              <w:overflowPunct/>
              <w:bidi w:val="0"/>
              <w:spacing w:after="0" w:line="240" w:lineRule="auto"/>
              <w:ind w:left="0" w:leftChars="0" w:firstLine="0" w:firstLineChars="0"/>
              <w:rPr>
                <w:rFonts w:ascii="宋体" w:hAnsi="宋体"/>
                <w:color w:val="auto"/>
                <w:szCs w:val="21"/>
              </w:rPr>
            </w:pPr>
            <w:r>
              <w:rPr>
                <w:rFonts w:hint="eastAsia" w:ascii="宋体" w:hAnsi="宋体"/>
                <w:color w:val="auto"/>
                <w:szCs w:val="21"/>
              </w:rPr>
              <w:t>第四个档次（0分）：上装部分各项指标、关键部件性能参数不能满足采购需求，稳定性和安全性相对较差，未提供相关检测报告等技术资料。</w:t>
            </w:r>
          </w:p>
          <w:p w14:paraId="16872469">
            <w:pPr>
              <w:pageBreakBefore w:val="0"/>
              <w:wordWrap w:val="0"/>
              <w:overflowPunct/>
              <w:bidi w:val="0"/>
              <w:adjustRightInd/>
              <w:spacing w:line="240" w:lineRule="auto"/>
              <w:ind w:firstLine="0" w:firstLineChars="0"/>
              <w:jc w:val="both"/>
              <w:rPr>
                <w:color w:val="auto"/>
              </w:rPr>
            </w:pPr>
            <w:r>
              <w:rPr>
                <w:rFonts w:hint="eastAsia"/>
                <w:color w:val="auto"/>
              </w:rPr>
              <w:t>④所投车辆控制系统评价（满分2分）</w:t>
            </w:r>
          </w:p>
          <w:p w14:paraId="0BE0053F">
            <w:pPr>
              <w:pageBreakBefore w:val="0"/>
              <w:wordWrap w:val="0"/>
              <w:overflowPunct/>
              <w:bidi w:val="0"/>
              <w:adjustRightInd/>
              <w:spacing w:line="240" w:lineRule="auto"/>
              <w:ind w:firstLine="0" w:firstLineChars="0"/>
              <w:jc w:val="both"/>
              <w:rPr>
                <w:color w:val="auto"/>
              </w:rPr>
            </w:pPr>
            <w:r>
              <w:rPr>
                <w:rFonts w:hint="eastAsia"/>
                <w:color w:val="auto"/>
              </w:rPr>
              <w:t>应包含车辆控制系统设计的科学性、便捷度、稳定性、安全性描述。</w:t>
            </w:r>
          </w:p>
          <w:p w14:paraId="147A3E1A">
            <w:pPr>
              <w:pageBreakBefore w:val="0"/>
              <w:wordWrap w:val="0"/>
              <w:overflowPunct/>
              <w:bidi w:val="0"/>
              <w:adjustRightInd/>
              <w:spacing w:line="240" w:lineRule="auto"/>
              <w:ind w:firstLine="0" w:firstLineChars="0"/>
              <w:jc w:val="both"/>
              <w:rPr>
                <w:color w:val="auto"/>
              </w:rPr>
            </w:pPr>
            <w:r>
              <w:rPr>
                <w:rFonts w:hint="eastAsia"/>
                <w:color w:val="auto"/>
              </w:rPr>
              <w:t>第一个档次（2分）：车辆控制系统设计科学合理，简便稳定，优于采购需求。</w:t>
            </w:r>
          </w:p>
          <w:p w14:paraId="62A07DE7">
            <w:pPr>
              <w:pageBreakBefore w:val="0"/>
              <w:wordWrap w:val="0"/>
              <w:overflowPunct/>
              <w:bidi w:val="0"/>
              <w:adjustRightInd/>
              <w:spacing w:line="240" w:lineRule="auto"/>
              <w:ind w:firstLine="0" w:firstLineChars="0"/>
              <w:jc w:val="both"/>
              <w:rPr>
                <w:color w:val="auto"/>
              </w:rPr>
            </w:pPr>
            <w:r>
              <w:rPr>
                <w:rFonts w:hint="eastAsia"/>
                <w:color w:val="auto"/>
              </w:rPr>
              <w:t>第二个档次（1分）：车辆控制系统设计一般，基本符合采购人要求，满足采购需求。</w:t>
            </w:r>
          </w:p>
          <w:p w14:paraId="1A4BF7C5">
            <w:pPr>
              <w:pageBreakBefore w:val="0"/>
              <w:wordWrap w:val="0"/>
              <w:overflowPunct/>
              <w:bidi w:val="0"/>
              <w:adjustRightInd/>
              <w:spacing w:line="240" w:lineRule="auto"/>
              <w:ind w:firstLine="0" w:firstLineChars="0"/>
              <w:jc w:val="both"/>
              <w:rPr>
                <w:color w:val="auto"/>
              </w:rPr>
            </w:pPr>
            <w:r>
              <w:rPr>
                <w:rFonts w:hint="eastAsia"/>
                <w:color w:val="auto"/>
              </w:rPr>
              <w:t>第三个档次（0分）：车辆控制系统设计不合理，不满足采购需求。</w:t>
            </w:r>
          </w:p>
          <w:p w14:paraId="41A2C3FC">
            <w:pPr>
              <w:pageBreakBefore w:val="0"/>
              <w:wordWrap w:val="0"/>
              <w:overflowPunct/>
              <w:bidi w:val="0"/>
              <w:adjustRightInd/>
              <w:spacing w:line="240" w:lineRule="auto"/>
              <w:ind w:firstLine="0" w:firstLineChars="0"/>
              <w:jc w:val="both"/>
              <w:rPr>
                <w:color w:val="auto"/>
              </w:rPr>
            </w:pPr>
            <w:r>
              <w:rPr>
                <w:rFonts w:hint="eastAsia"/>
                <w:color w:val="auto"/>
              </w:rPr>
              <w:t>⑤所投车辆结构设计评价（满分1分）</w:t>
            </w:r>
          </w:p>
          <w:p w14:paraId="262A07E1">
            <w:pPr>
              <w:pageBreakBefore w:val="0"/>
              <w:wordWrap w:val="0"/>
              <w:overflowPunct/>
              <w:bidi w:val="0"/>
              <w:adjustRightInd/>
              <w:spacing w:line="240" w:lineRule="auto"/>
              <w:ind w:firstLine="0" w:firstLineChars="0"/>
              <w:jc w:val="both"/>
              <w:rPr>
                <w:color w:val="auto"/>
              </w:rPr>
            </w:pPr>
            <w:r>
              <w:rPr>
                <w:rFonts w:hint="eastAsia"/>
                <w:color w:val="auto"/>
              </w:rPr>
              <w:t>应包含车辆结构设计描述，以及产品照片、功能布局效果图等产品资料。</w:t>
            </w:r>
          </w:p>
          <w:p w14:paraId="6E6F9991">
            <w:pPr>
              <w:pageBreakBefore w:val="0"/>
              <w:wordWrap w:val="0"/>
              <w:overflowPunct/>
              <w:bidi w:val="0"/>
              <w:adjustRightInd/>
              <w:spacing w:line="240" w:lineRule="auto"/>
              <w:ind w:firstLine="0" w:firstLineChars="0"/>
              <w:jc w:val="both"/>
              <w:rPr>
                <w:color w:val="auto"/>
              </w:rPr>
            </w:pPr>
            <w:r>
              <w:rPr>
                <w:rFonts w:hint="eastAsia"/>
                <w:color w:val="auto"/>
              </w:rPr>
              <w:t>第一个档次（1分）：结构设计合理，关键部位连接处、管路设计逻辑合理，功能布局科学。</w:t>
            </w:r>
          </w:p>
          <w:p w14:paraId="07CEC05E">
            <w:pPr>
              <w:pageBreakBefore w:val="0"/>
              <w:wordWrap w:val="0"/>
              <w:overflowPunct/>
              <w:bidi w:val="0"/>
              <w:adjustRightInd/>
              <w:spacing w:line="240" w:lineRule="auto"/>
              <w:ind w:firstLine="0" w:firstLineChars="0"/>
              <w:jc w:val="both"/>
              <w:rPr>
                <w:color w:val="auto"/>
              </w:rPr>
            </w:pPr>
            <w:r>
              <w:rPr>
                <w:rFonts w:hint="eastAsia"/>
                <w:color w:val="auto"/>
              </w:rPr>
              <w:t>第二个档次（0.5分）：结构设计一般，关键部位连接处、管路设计逻辑一般，功能布局科学性一般。</w:t>
            </w:r>
          </w:p>
          <w:p w14:paraId="43908E40">
            <w:pPr>
              <w:pageBreakBefore w:val="0"/>
              <w:wordWrap w:val="0"/>
              <w:overflowPunct/>
              <w:bidi w:val="0"/>
              <w:adjustRightInd/>
              <w:spacing w:line="240" w:lineRule="auto"/>
              <w:ind w:firstLine="0" w:firstLineChars="0"/>
              <w:jc w:val="both"/>
              <w:rPr>
                <w:color w:val="auto"/>
              </w:rPr>
            </w:pPr>
            <w:r>
              <w:rPr>
                <w:rFonts w:hint="eastAsia"/>
                <w:color w:val="auto"/>
              </w:rPr>
              <w:t>第三个档次（0分）：结构设计差，关键部位连接处、管路设计逻辑不合理，功能布局不科学。</w:t>
            </w:r>
          </w:p>
          <w:p w14:paraId="14CF5C9E">
            <w:pPr>
              <w:pageBreakBefore w:val="0"/>
              <w:wordWrap w:val="0"/>
              <w:overflowPunct/>
              <w:bidi w:val="0"/>
              <w:adjustRightInd/>
              <w:spacing w:line="240" w:lineRule="auto"/>
              <w:ind w:firstLine="0" w:firstLineChars="0"/>
              <w:jc w:val="both"/>
              <w:rPr>
                <w:color w:val="auto"/>
              </w:rPr>
            </w:pPr>
            <w:r>
              <w:rPr>
                <w:rFonts w:hint="eastAsia"/>
                <w:color w:val="auto"/>
              </w:rPr>
              <w:t>⑥所投车辆电气控制、照明等系统评价（满分2分）</w:t>
            </w:r>
          </w:p>
          <w:p w14:paraId="44FFB843">
            <w:pPr>
              <w:pageBreakBefore w:val="0"/>
              <w:wordWrap w:val="0"/>
              <w:overflowPunct/>
              <w:bidi w:val="0"/>
              <w:adjustRightInd/>
              <w:spacing w:line="240" w:lineRule="auto"/>
              <w:ind w:firstLine="0" w:firstLineChars="0"/>
              <w:jc w:val="both"/>
              <w:rPr>
                <w:color w:val="auto"/>
              </w:rPr>
            </w:pPr>
            <w:r>
              <w:rPr>
                <w:rFonts w:hint="eastAsia"/>
                <w:color w:val="auto"/>
              </w:rPr>
              <w:t>应包含车辆电气控制、照明等系统相关资料，从电路、气路的设计是否布置规整，操控是否便捷、灵敏，照明系统的亮度和安装位置合理性进行描述。</w:t>
            </w:r>
          </w:p>
          <w:p w14:paraId="51B04738">
            <w:pPr>
              <w:pageBreakBefore w:val="0"/>
              <w:wordWrap w:val="0"/>
              <w:overflowPunct/>
              <w:bidi w:val="0"/>
              <w:adjustRightInd/>
              <w:spacing w:line="240" w:lineRule="auto"/>
              <w:ind w:firstLine="0" w:firstLineChars="0"/>
              <w:jc w:val="both"/>
              <w:rPr>
                <w:color w:val="auto"/>
              </w:rPr>
            </w:pPr>
            <w:r>
              <w:rPr>
                <w:rFonts w:hint="eastAsia"/>
                <w:color w:val="auto"/>
              </w:rPr>
              <w:t>第一个档次（2分）：电路、气路的设计布置规整，操控便捷、灵敏，照明系统的亮度和安装位置合理，完全符合采购人需求。</w:t>
            </w:r>
          </w:p>
          <w:p w14:paraId="38DD9D0E">
            <w:pPr>
              <w:pageBreakBefore w:val="0"/>
              <w:wordWrap w:val="0"/>
              <w:overflowPunct/>
              <w:bidi w:val="0"/>
              <w:adjustRightInd/>
              <w:spacing w:line="240" w:lineRule="auto"/>
              <w:ind w:firstLine="0" w:firstLineChars="0"/>
              <w:jc w:val="both"/>
              <w:rPr>
                <w:color w:val="auto"/>
              </w:rPr>
            </w:pPr>
            <w:r>
              <w:rPr>
                <w:rFonts w:hint="eastAsia"/>
                <w:color w:val="auto"/>
              </w:rPr>
              <w:t>第二个档次（1分）：电路、气路的设计布置基本规整，操控一般，照明系统的亮度和安装位置基本合理，基本符合采购人需求。</w:t>
            </w:r>
          </w:p>
          <w:p w14:paraId="413A87D4">
            <w:pPr>
              <w:pageBreakBefore w:val="0"/>
              <w:wordWrap w:val="0"/>
              <w:overflowPunct/>
              <w:bidi w:val="0"/>
              <w:adjustRightInd/>
              <w:spacing w:line="240" w:lineRule="auto"/>
              <w:ind w:firstLine="0" w:firstLineChars="0"/>
              <w:jc w:val="both"/>
              <w:rPr>
                <w:color w:val="auto"/>
              </w:rPr>
            </w:pPr>
            <w:r>
              <w:rPr>
                <w:rFonts w:hint="eastAsia"/>
                <w:color w:val="auto"/>
              </w:rPr>
              <w:t>第三个档次（0分）：未提供车辆电气控制系统、照明系统等相关资料或电路、气路的设计杂乱无章，操控繁琐。</w:t>
            </w:r>
          </w:p>
          <w:p w14:paraId="3983B235">
            <w:pPr>
              <w:pageBreakBefore w:val="0"/>
              <w:wordWrap w:val="0"/>
              <w:overflowPunct/>
              <w:bidi w:val="0"/>
              <w:adjustRightInd/>
              <w:spacing w:line="240" w:lineRule="auto"/>
              <w:ind w:firstLine="0" w:firstLineChars="0"/>
              <w:jc w:val="both"/>
              <w:rPr>
                <w:color w:val="auto"/>
              </w:rPr>
            </w:pPr>
            <w:r>
              <w:rPr>
                <w:rFonts w:hint="eastAsia"/>
                <w:color w:val="auto"/>
              </w:rPr>
              <w:t>⑦随车器材和随车工具评价（满分1分）</w:t>
            </w:r>
          </w:p>
          <w:p w14:paraId="34C69B71">
            <w:pPr>
              <w:pageBreakBefore w:val="0"/>
              <w:wordWrap w:val="0"/>
              <w:overflowPunct/>
              <w:bidi w:val="0"/>
              <w:adjustRightInd/>
              <w:spacing w:line="240" w:lineRule="auto"/>
              <w:ind w:firstLine="0" w:firstLineChars="0"/>
              <w:jc w:val="both"/>
              <w:rPr>
                <w:color w:val="auto"/>
              </w:rPr>
            </w:pPr>
            <w:r>
              <w:rPr>
                <w:rFonts w:hint="eastAsia"/>
                <w:color w:val="auto"/>
              </w:rPr>
              <w:t>应包含随车器材、随车工具、随车文件资料的完整性和质量的描述。</w:t>
            </w:r>
          </w:p>
          <w:p w14:paraId="70B14464">
            <w:pPr>
              <w:pageBreakBefore w:val="0"/>
              <w:wordWrap w:val="0"/>
              <w:overflowPunct/>
              <w:bidi w:val="0"/>
              <w:adjustRightInd/>
              <w:spacing w:line="240" w:lineRule="auto"/>
              <w:ind w:firstLine="0" w:firstLineChars="0"/>
              <w:jc w:val="both"/>
              <w:rPr>
                <w:color w:val="auto"/>
              </w:rPr>
            </w:pPr>
            <w:r>
              <w:rPr>
                <w:rFonts w:hint="eastAsia"/>
                <w:color w:val="auto"/>
              </w:rPr>
              <w:t>第一个档次（1分）：随车器材、随车工具齐全，且质量优，随车文件资料齐全且制作精良。</w:t>
            </w:r>
          </w:p>
          <w:p w14:paraId="6DC4464B">
            <w:pPr>
              <w:pageBreakBefore w:val="0"/>
              <w:wordWrap w:val="0"/>
              <w:overflowPunct/>
              <w:bidi w:val="0"/>
              <w:adjustRightInd/>
              <w:spacing w:line="240" w:lineRule="auto"/>
              <w:ind w:firstLine="0" w:firstLineChars="0"/>
              <w:jc w:val="both"/>
              <w:rPr>
                <w:color w:val="auto"/>
              </w:rPr>
            </w:pPr>
            <w:r>
              <w:rPr>
                <w:rFonts w:hint="eastAsia"/>
                <w:color w:val="auto"/>
              </w:rPr>
              <w:t>第二个档次（0.5分）：随车器材、随车工具齐全，质量达标，随车文件资料齐全但质量一般。</w:t>
            </w:r>
          </w:p>
          <w:p w14:paraId="47DFCB05">
            <w:pPr>
              <w:pageBreakBefore w:val="0"/>
              <w:wordWrap w:val="0"/>
              <w:overflowPunct/>
              <w:bidi w:val="0"/>
              <w:adjustRightInd/>
              <w:spacing w:line="240" w:lineRule="auto"/>
              <w:ind w:firstLine="0" w:firstLineChars="0"/>
              <w:jc w:val="both"/>
              <w:rPr>
                <w:color w:val="auto"/>
              </w:rPr>
            </w:pPr>
            <w:r>
              <w:rPr>
                <w:rFonts w:hint="eastAsia"/>
                <w:color w:val="auto"/>
              </w:rPr>
              <w:t>第三个档次（0分）：随车器材、随车工具不齐全或存在质量隐患或随车文件资料不齐全。</w:t>
            </w:r>
          </w:p>
        </w:tc>
      </w:tr>
      <w:tr w14:paraId="0C224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jc w:val="center"/>
        </w:trPr>
        <w:tc>
          <w:tcPr>
            <w:tcW w:w="423" w:type="dxa"/>
            <w:vMerge w:val="continue"/>
            <w:tcMar>
              <w:top w:w="57" w:type="dxa"/>
              <w:left w:w="57" w:type="dxa"/>
              <w:bottom w:w="57" w:type="dxa"/>
              <w:right w:w="57" w:type="dxa"/>
            </w:tcMar>
          </w:tcPr>
          <w:p w14:paraId="313A60BA">
            <w:pPr>
              <w:pageBreakBefore w:val="0"/>
              <w:kinsoku w:val="0"/>
              <w:wordWrap w:val="0"/>
              <w:overflowPunct/>
              <w:autoSpaceDE w:val="0"/>
              <w:autoSpaceDN w:val="0"/>
              <w:bidi w:val="0"/>
              <w:adjustRightInd/>
              <w:spacing w:line="240" w:lineRule="auto"/>
              <w:ind w:firstLine="0" w:firstLineChars="0"/>
              <w:rPr>
                <w:color w:val="auto"/>
              </w:rPr>
            </w:pPr>
          </w:p>
        </w:tc>
        <w:tc>
          <w:tcPr>
            <w:tcW w:w="1017" w:type="dxa"/>
            <w:vMerge w:val="continue"/>
            <w:tcMar>
              <w:top w:w="57" w:type="dxa"/>
              <w:left w:w="57" w:type="dxa"/>
              <w:bottom w:w="57" w:type="dxa"/>
              <w:right w:w="57" w:type="dxa"/>
            </w:tcMar>
          </w:tcPr>
          <w:p w14:paraId="05069316">
            <w:pPr>
              <w:pageBreakBefore w:val="0"/>
              <w:kinsoku w:val="0"/>
              <w:wordWrap w:val="0"/>
              <w:overflowPunct/>
              <w:autoSpaceDE w:val="0"/>
              <w:autoSpaceDN w:val="0"/>
              <w:bidi w:val="0"/>
              <w:adjustRightInd/>
              <w:spacing w:line="240" w:lineRule="auto"/>
              <w:ind w:firstLine="0" w:firstLineChars="0"/>
              <w:rPr>
                <w:color w:val="auto"/>
              </w:rPr>
            </w:pPr>
          </w:p>
        </w:tc>
        <w:tc>
          <w:tcPr>
            <w:tcW w:w="1408" w:type="dxa"/>
            <w:tcMar>
              <w:top w:w="57" w:type="dxa"/>
              <w:left w:w="57" w:type="dxa"/>
              <w:bottom w:w="57" w:type="dxa"/>
              <w:right w:w="57" w:type="dxa"/>
            </w:tcMar>
            <w:vAlign w:val="center"/>
          </w:tcPr>
          <w:p w14:paraId="40BFB8DD">
            <w:pPr>
              <w:pageBreakBefore w:val="0"/>
              <w:kinsoku w:val="0"/>
              <w:wordWrap w:val="0"/>
              <w:overflowPunct/>
              <w:autoSpaceDE w:val="0"/>
              <w:autoSpaceDN w:val="0"/>
              <w:bidi w:val="0"/>
              <w:adjustRightInd/>
              <w:spacing w:line="240" w:lineRule="auto"/>
              <w:ind w:firstLine="0" w:firstLineChars="0"/>
              <w:jc w:val="center"/>
              <w:rPr>
                <w:color w:val="auto"/>
                <w:spacing w:val="13"/>
              </w:rPr>
            </w:pPr>
            <w:r>
              <w:rPr>
                <w:rFonts w:hint="eastAsia"/>
                <w:color w:val="auto"/>
                <w:spacing w:val="16"/>
              </w:rPr>
              <w:t>5)商务</w:t>
            </w:r>
            <w:r>
              <w:rPr>
                <w:rFonts w:hint="eastAsia"/>
                <w:color w:val="auto"/>
                <w:spacing w:val="13"/>
              </w:rPr>
              <w:t>部分</w:t>
            </w:r>
          </w:p>
          <w:p w14:paraId="1B45D079">
            <w:pPr>
              <w:pageBreakBefore w:val="0"/>
              <w:kinsoku w:val="0"/>
              <w:wordWrap w:val="0"/>
              <w:overflowPunct/>
              <w:autoSpaceDE w:val="0"/>
              <w:autoSpaceDN w:val="0"/>
              <w:bidi w:val="0"/>
              <w:adjustRightInd/>
              <w:spacing w:line="240" w:lineRule="auto"/>
              <w:ind w:firstLine="0" w:firstLineChars="0"/>
              <w:jc w:val="center"/>
              <w:rPr>
                <w:color w:val="auto"/>
                <w:spacing w:val="13"/>
              </w:rPr>
            </w:pPr>
            <w:r>
              <w:rPr>
                <w:rFonts w:hint="eastAsia"/>
                <w:color w:val="auto"/>
                <w:spacing w:val="13"/>
              </w:rPr>
              <w:t>得分F3</w:t>
            </w:r>
          </w:p>
          <w:p w14:paraId="2A88CBCF">
            <w:pPr>
              <w:pageBreakBefore w:val="0"/>
              <w:kinsoku w:val="0"/>
              <w:wordWrap w:val="0"/>
              <w:overflowPunct/>
              <w:autoSpaceDE w:val="0"/>
              <w:autoSpaceDN w:val="0"/>
              <w:bidi w:val="0"/>
              <w:adjustRightInd/>
              <w:spacing w:line="240" w:lineRule="auto"/>
              <w:ind w:firstLine="0" w:firstLineChars="0"/>
              <w:jc w:val="center"/>
              <w:rPr>
                <w:color w:val="auto"/>
                <w:spacing w:val="13"/>
              </w:rPr>
            </w:pPr>
            <w:r>
              <w:rPr>
                <w:rFonts w:hint="eastAsia"/>
                <w:color w:val="auto"/>
                <w:spacing w:val="13"/>
              </w:rPr>
              <w:t>(满分20分)</w:t>
            </w:r>
          </w:p>
        </w:tc>
        <w:tc>
          <w:tcPr>
            <w:tcW w:w="7818" w:type="dxa"/>
            <w:tcMar>
              <w:top w:w="57" w:type="dxa"/>
              <w:left w:w="57" w:type="dxa"/>
              <w:bottom w:w="57" w:type="dxa"/>
              <w:right w:w="57" w:type="dxa"/>
            </w:tcMar>
            <w:vAlign w:val="center"/>
          </w:tcPr>
          <w:p w14:paraId="0746710F">
            <w:pPr>
              <w:pageBreakBefore w:val="0"/>
              <w:wordWrap w:val="0"/>
              <w:overflowPunct/>
              <w:bidi w:val="0"/>
              <w:adjustRightInd/>
              <w:spacing w:line="240" w:lineRule="auto"/>
              <w:ind w:firstLine="0" w:firstLineChars="0"/>
              <w:jc w:val="both"/>
              <w:rPr>
                <w:rFonts w:ascii="Calibri" w:hAnsi="Calibri"/>
                <w:b/>
                <w:bCs/>
                <w:color w:val="auto"/>
                <w:szCs w:val="20"/>
              </w:rPr>
            </w:pPr>
            <w:r>
              <w:rPr>
                <w:rFonts w:hint="eastAsia" w:ascii="Calibri" w:hAnsi="Calibri"/>
                <w:b/>
                <w:bCs/>
                <w:color w:val="auto"/>
                <w:szCs w:val="20"/>
              </w:rPr>
              <w:t>（一）节能环保（2分）</w:t>
            </w:r>
          </w:p>
          <w:p w14:paraId="7C3C8C0D">
            <w:pPr>
              <w:pageBreakBefore w:val="0"/>
              <w:wordWrap w:val="0"/>
              <w:overflowPunct/>
              <w:bidi w:val="0"/>
              <w:adjustRightInd/>
              <w:spacing w:line="240" w:lineRule="auto"/>
              <w:ind w:firstLine="0" w:firstLineChars="0"/>
              <w:rPr>
                <w:color w:val="auto"/>
              </w:rPr>
            </w:pPr>
            <w:r>
              <w:rPr>
                <w:rFonts w:hint="eastAsia"/>
                <w:color w:val="auto"/>
              </w:rPr>
              <w:t>①车辆被认定为节能产品（非政府强制采购节能产品）的,得1分；</w:t>
            </w:r>
          </w:p>
          <w:p w14:paraId="21B5DF5A">
            <w:pPr>
              <w:pageBreakBefore w:val="0"/>
              <w:wordWrap w:val="0"/>
              <w:overflowPunct/>
              <w:bidi w:val="0"/>
              <w:adjustRightInd/>
              <w:spacing w:line="240" w:lineRule="auto"/>
              <w:ind w:firstLine="0" w:firstLineChars="0"/>
              <w:rPr>
                <w:color w:val="auto"/>
              </w:rPr>
            </w:pPr>
            <w:r>
              <w:rPr>
                <w:rFonts w:hint="eastAsia"/>
                <w:color w:val="auto"/>
              </w:rPr>
              <w:t>②车辆被认定为环境标志产品的，得1分；</w:t>
            </w:r>
          </w:p>
          <w:p w14:paraId="4953A1CB">
            <w:pPr>
              <w:pageBreakBefore w:val="0"/>
              <w:wordWrap w:val="0"/>
              <w:overflowPunct/>
              <w:bidi w:val="0"/>
              <w:adjustRightInd/>
              <w:spacing w:line="240" w:lineRule="auto"/>
              <w:ind w:firstLine="0" w:firstLineChars="0"/>
              <w:rPr>
                <w:color w:val="auto"/>
              </w:rPr>
            </w:pPr>
            <w:r>
              <w:rPr>
                <w:rFonts w:hint="eastAsia"/>
                <w:color w:val="auto"/>
              </w:rPr>
              <w:t>注：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复印件加盖投标人公章）。</w:t>
            </w:r>
          </w:p>
          <w:p w14:paraId="3C7B128E">
            <w:pPr>
              <w:pageBreakBefore w:val="0"/>
              <w:wordWrap w:val="0"/>
              <w:overflowPunct/>
              <w:bidi w:val="0"/>
              <w:adjustRightInd/>
              <w:spacing w:line="240" w:lineRule="auto"/>
              <w:ind w:firstLine="0" w:firstLineChars="0"/>
              <w:jc w:val="both"/>
              <w:rPr>
                <w:rFonts w:ascii="Calibri" w:hAnsi="Calibri"/>
                <w:b/>
                <w:bCs/>
                <w:color w:val="auto"/>
                <w:szCs w:val="20"/>
              </w:rPr>
            </w:pPr>
            <w:r>
              <w:rPr>
                <w:rFonts w:hint="eastAsia" w:ascii="Calibri" w:hAnsi="Calibri"/>
                <w:b/>
                <w:bCs/>
                <w:color w:val="auto"/>
                <w:szCs w:val="20"/>
              </w:rPr>
              <w:t>（二）供货方案（8分）</w:t>
            </w:r>
          </w:p>
          <w:p w14:paraId="40FD078F">
            <w:pPr>
              <w:pageBreakBefore w:val="0"/>
              <w:wordWrap w:val="0"/>
              <w:overflowPunct/>
              <w:bidi w:val="0"/>
              <w:adjustRightInd/>
              <w:spacing w:line="240" w:lineRule="auto"/>
              <w:ind w:firstLine="0" w:firstLineChars="0"/>
              <w:rPr>
                <w:color w:val="auto"/>
                <w:kern w:val="2"/>
              </w:rPr>
            </w:pPr>
            <w:r>
              <w:rPr>
                <w:rFonts w:hint="eastAsia"/>
                <w:b/>
                <w:bCs/>
                <w:color w:val="auto"/>
                <w:kern w:val="2"/>
              </w:rPr>
              <w:t>1、供货方案（满分2分）：</w:t>
            </w:r>
          </w:p>
          <w:p w14:paraId="5DDADDC7">
            <w:pPr>
              <w:pageBreakBefore w:val="0"/>
              <w:wordWrap w:val="0"/>
              <w:overflowPunct/>
              <w:bidi w:val="0"/>
              <w:adjustRightInd/>
              <w:spacing w:line="240" w:lineRule="auto"/>
              <w:ind w:firstLine="0" w:firstLineChars="0"/>
              <w:jc w:val="both"/>
              <w:rPr>
                <w:color w:val="auto"/>
              </w:rPr>
            </w:pPr>
            <w:r>
              <w:rPr>
                <w:rFonts w:hint="eastAsia"/>
                <w:color w:val="auto"/>
              </w:rPr>
              <w:t>第一个档次（2分）投标人针对本标包提出的供货方案安排合理、切实可行、科学规范、针对性强的；</w:t>
            </w:r>
          </w:p>
          <w:p w14:paraId="1048A69D">
            <w:pPr>
              <w:pageBreakBefore w:val="0"/>
              <w:wordWrap w:val="0"/>
              <w:overflowPunct/>
              <w:bidi w:val="0"/>
              <w:adjustRightInd/>
              <w:spacing w:line="240" w:lineRule="auto"/>
              <w:ind w:firstLine="0" w:firstLineChars="0"/>
              <w:jc w:val="both"/>
              <w:rPr>
                <w:color w:val="auto"/>
              </w:rPr>
            </w:pPr>
            <w:r>
              <w:rPr>
                <w:rFonts w:hint="eastAsia"/>
                <w:color w:val="auto"/>
              </w:rPr>
              <w:t>第二个档次（1分）投标人针对本项目提出的供货方案安排合理性一般、可行性一般、规范性一般、针对性一般的；</w:t>
            </w:r>
          </w:p>
          <w:p w14:paraId="5556B100">
            <w:pPr>
              <w:pageBreakBefore w:val="0"/>
              <w:wordWrap w:val="0"/>
              <w:overflowPunct/>
              <w:bidi w:val="0"/>
              <w:adjustRightInd/>
              <w:spacing w:line="240" w:lineRule="auto"/>
              <w:ind w:firstLine="0" w:firstLineChars="0"/>
              <w:jc w:val="both"/>
              <w:rPr>
                <w:color w:val="auto"/>
              </w:rPr>
            </w:pPr>
            <w:r>
              <w:rPr>
                <w:rFonts w:hint="eastAsia"/>
                <w:color w:val="auto"/>
              </w:rPr>
              <w:t>第三个档次（0分）未提供供货方案的。</w:t>
            </w:r>
          </w:p>
          <w:p w14:paraId="0C5C05E7">
            <w:pPr>
              <w:pageBreakBefore w:val="0"/>
              <w:widowControl w:val="0"/>
              <w:wordWrap w:val="0"/>
              <w:overflowPunct/>
              <w:bidi w:val="0"/>
              <w:adjustRightInd/>
              <w:spacing w:line="240" w:lineRule="auto"/>
              <w:ind w:firstLine="0" w:firstLineChars="0"/>
              <w:jc w:val="both"/>
              <w:rPr>
                <w:rFonts w:ascii="Calibri" w:hAnsi="Calibri" w:cs="Times New Roman"/>
                <w:color w:val="auto"/>
                <w:kern w:val="2"/>
                <w:szCs w:val="24"/>
              </w:rPr>
            </w:pPr>
            <w:r>
              <w:rPr>
                <w:rFonts w:hint="eastAsia" w:ascii="Calibri" w:hAnsi="Calibri" w:cs="Times New Roman"/>
                <w:b/>
                <w:bCs/>
                <w:color w:val="auto"/>
                <w:kern w:val="2"/>
                <w:szCs w:val="11"/>
              </w:rPr>
              <w:t>2、供货进度计划安排（满分3分）</w:t>
            </w:r>
            <w:r>
              <w:rPr>
                <w:rFonts w:hint="eastAsia" w:ascii="Calibri" w:hAnsi="Calibri" w:cs="Times New Roman"/>
                <w:color w:val="auto"/>
                <w:kern w:val="2"/>
                <w:szCs w:val="11"/>
              </w:rPr>
              <w:t>：</w:t>
            </w:r>
          </w:p>
          <w:p w14:paraId="0FF6FBBC">
            <w:pPr>
              <w:pageBreakBefore w:val="0"/>
              <w:wordWrap w:val="0"/>
              <w:overflowPunct/>
              <w:bidi w:val="0"/>
              <w:adjustRightInd/>
              <w:spacing w:line="240" w:lineRule="auto"/>
              <w:ind w:firstLine="422"/>
              <w:jc w:val="both"/>
              <w:rPr>
                <w:color w:val="auto"/>
              </w:rPr>
            </w:pPr>
            <w:r>
              <w:rPr>
                <w:rFonts w:hint="eastAsia"/>
                <w:b/>
                <w:bCs/>
                <w:color w:val="auto"/>
              </w:rPr>
              <w:t>5标包：</w:t>
            </w:r>
            <w:r>
              <w:rPr>
                <w:rFonts w:hint="eastAsia"/>
                <w:color w:val="auto"/>
              </w:rPr>
              <w:t>满足招标文件最低供货时间要求的，消防车辆每提前1天得0.015分。</w:t>
            </w:r>
          </w:p>
          <w:p w14:paraId="26EE1F89">
            <w:pPr>
              <w:pageBreakBefore w:val="0"/>
              <w:wordWrap w:val="0"/>
              <w:overflowPunct/>
              <w:bidi w:val="0"/>
              <w:adjustRightInd/>
              <w:spacing w:line="240" w:lineRule="auto"/>
              <w:ind w:firstLine="422"/>
              <w:jc w:val="both"/>
              <w:rPr>
                <w:color w:val="auto"/>
              </w:rPr>
            </w:pPr>
            <w:r>
              <w:rPr>
                <w:rFonts w:hint="eastAsia"/>
                <w:b/>
                <w:bCs/>
                <w:color w:val="auto"/>
              </w:rPr>
              <w:t>其余标包：</w:t>
            </w:r>
            <w:r>
              <w:rPr>
                <w:rFonts w:hint="eastAsia"/>
                <w:color w:val="auto"/>
              </w:rPr>
              <w:t>满足招标文件最低供货时间要求的，消防车辆每提前1天得0.025分。</w:t>
            </w:r>
          </w:p>
          <w:p w14:paraId="1A085518">
            <w:pPr>
              <w:pageBreakBefore w:val="0"/>
              <w:widowControl w:val="0"/>
              <w:wordWrap w:val="0"/>
              <w:overflowPunct/>
              <w:bidi w:val="0"/>
              <w:adjustRightInd/>
              <w:spacing w:line="240" w:lineRule="auto"/>
              <w:ind w:firstLine="0" w:firstLineChars="0"/>
              <w:jc w:val="both"/>
              <w:rPr>
                <w:rFonts w:ascii="Calibri" w:hAnsi="Calibri" w:cs="Times New Roman"/>
                <w:color w:val="auto"/>
                <w:kern w:val="2"/>
                <w:szCs w:val="24"/>
              </w:rPr>
            </w:pPr>
            <w:r>
              <w:rPr>
                <w:rFonts w:hint="eastAsia" w:ascii="Calibri" w:hAnsi="Calibri" w:cs="Times New Roman"/>
                <w:b/>
                <w:bCs/>
                <w:color w:val="auto"/>
                <w:kern w:val="2"/>
                <w:szCs w:val="11"/>
              </w:rPr>
              <w:t>3、培训安排（满分1分）</w:t>
            </w:r>
            <w:r>
              <w:rPr>
                <w:rFonts w:hint="eastAsia" w:ascii="Calibri" w:hAnsi="Calibri" w:cs="Times New Roman"/>
                <w:color w:val="auto"/>
                <w:kern w:val="2"/>
                <w:szCs w:val="11"/>
              </w:rPr>
              <w:t>：</w:t>
            </w:r>
          </w:p>
          <w:p w14:paraId="37CE54EF">
            <w:pPr>
              <w:pageBreakBefore w:val="0"/>
              <w:wordWrap w:val="0"/>
              <w:overflowPunct/>
              <w:bidi w:val="0"/>
              <w:adjustRightInd/>
              <w:spacing w:line="240" w:lineRule="auto"/>
              <w:ind w:firstLine="0" w:firstLineChars="0"/>
              <w:jc w:val="both"/>
              <w:rPr>
                <w:color w:val="auto"/>
              </w:rPr>
            </w:pPr>
            <w:r>
              <w:rPr>
                <w:rFonts w:hint="eastAsia"/>
                <w:color w:val="auto"/>
              </w:rPr>
              <w:t>送货至最终使用单位后，每个单位每种器材开展一次不少于45分钟的现场培训，得1分。</w:t>
            </w:r>
          </w:p>
          <w:p w14:paraId="17D5031E">
            <w:pPr>
              <w:pageBreakBefore w:val="0"/>
              <w:widowControl w:val="0"/>
              <w:wordWrap w:val="0"/>
              <w:overflowPunct/>
              <w:bidi w:val="0"/>
              <w:adjustRightInd/>
              <w:spacing w:line="240" w:lineRule="auto"/>
              <w:ind w:firstLine="0" w:firstLineChars="0"/>
              <w:jc w:val="both"/>
              <w:rPr>
                <w:color w:val="auto"/>
                <w:kern w:val="2"/>
                <w:szCs w:val="24"/>
              </w:rPr>
            </w:pPr>
            <w:r>
              <w:rPr>
                <w:rFonts w:hint="eastAsia"/>
                <w:b/>
                <w:bCs/>
                <w:color w:val="auto"/>
                <w:kern w:val="2"/>
                <w:szCs w:val="11"/>
              </w:rPr>
              <w:t>4、违约责任（满分2分）：</w:t>
            </w:r>
          </w:p>
          <w:p w14:paraId="1BCC8E3E">
            <w:pPr>
              <w:pageBreakBefore w:val="0"/>
              <w:wordWrap w:val="0"/>
              <w:overflowPunct/>
              <w:bidi w:val="0"/>
              <w:adjustRightInd/>
              <w:spacing w:line="240" w:lineRule="auto"/>
              <w:ind w:firstLine="0" w:firstLineChars="0"/>
              <w:jc w:val="both"/>
              <w:rPr>
                <w:color w:val="auto"/>
              </w:rPr>
            </w:pPr>
            <w:r>
              <w:rPr>
                <w:rFonts w:hint="eastAsia"/>
                <w:color w:val="auto"/>
              </w:rPr>
              <w:t>提供供货进度计划安排、培训安排的前提下，按下列规则进行评分：</w:t>
            </w:r>
          </w:p>
          <w:p w14:paraId="7C0EE845">
            <w:pPr>
              <w:pageBreakBefore w:val="0"/>
              <w:wordWrap w:val="0"/>
              <w:overflowPunct/>
              <w:bidi w:val="0"/>
              <w:adjustRightInd/>
              <w:spacing w:line="240" w:lineRule="auto"/>
              <w:ind w:firstLine="0" w:firstLineChars="0"/>
              <w:jc w:val="both"/>
              <w:rPr>
                <w:color w:val="auto"/>
              </w:rPr>
            </w:pPr>
            <w:r>
              <w:rPr>
                <w:rFonts w:hint="eastAsia"/>
                <w:color w:val="auto"/>
              </w:rPr>
              <w:t>第一个档次（2分）供货进度计划安排、培训安排违约责任完整，责任主体落实明确，有具体、合理的违约金额的；</w:t>
            </w:r>
          </w:p>
          <w:p w14:paraId="31BAB43A">
            <w:pPr>
              <w:pageBreakBefore w:val="0"/>
              <w:wordWrap w:val="0"/>
              <w:overflowPunct/>
              <w:bidi w:val="0"/>
              <w:adjustRightInd/>
              <w:spacing w:line="240" w:lineRule="auto"/>
              <w:ind w:firstLine="0" w:firstLineChars="0"/>
              <w:jc w:val="both"/>
              <w:rPr>
                <w:color w:val="auto"/>
              </w:rPr>
            </w:pPr>
            <w:r>
              <w:rPr>
                <w:rFonts w:hint="eastAsia"/>
                <w:color w:val="auto"/>
              </w:rPr>
              <w:t>第二个档次（1分）供货进度计划安排、培训安排违约责任完整，有责任主体落实，有违约金额的；</w:t>
            </w:r>
          </w:p>
          <w:p w14:paraId="7252051F">
            <w:pPr>
              <w:pageBreakBefore w:val="0"/>
              <w:wordWrap w:val="0"/>
              <w:overflowPunct/>
              <w:bidi w:val="0"/>
              <w:adjustRightInd/>
              <w:spacing w:line="240" w:lineRule="auto"/>
              <w:ind w:firstLine="0" w:firstLineChars="0"/>
              <w:jc w:val="both"/>
              <w:rPr>
                <w:color w:val="auto"/>
              </w:rPr>
            </w:pPr>
            <w:r>
              <w:rPr>
                <w:rFonts w:hint="eastAsia"/>
                <w:color w:val="auto"/>
              </w:rPr>
              <w:t>第三个档次（0分）无供货进度计划安排或培训安排违约责任的。</w:t>
            </w:r>
          </w:p>
          <w:p w14:paraId="2AEC129A">
            <w:pPr>
              <w:pageBreakBefore w:val="0"/>
              <w:wordWrap w:val="0"/>
              <w:overflowPunct/>
              <w:bidi w:val="0"/>
              <w:adjustRightInd/>
              <w:spacing w:line="240" w:lineRule="auto"/>
              <w:ind w:firstLine="0" w:firstLineChars="0"/>
              <w:jc w:val="both"/>
              <w:rPr>
                <w:rFonts w:ascii="Calibri" w:hAnsi="Calibri"/>
                <w:b/>
                <w:bCs/>
                <w:color w:val="auto"/>
                <w:szCs w:val="20"/>
              </w:rPr>
            </w:pPr>
            <w:r>
              <w:rPr>
                <w:rFonts w:hint="eastAsia" w:ascii="Calibri" w:hAnsi="Calibri"/>
                <w:b/>
                <w:bCs/>
                <w:color w:val="auto"/>
                <w:szCs w:val="20"/>
              </w:rPr>
              <w:t>（三）售后服务承诺（8分）</w:t>
            </w:r>
          </w:p>
          <w:p w14:paraId="516D58BA">
            <w:pPr>
              <w:pageBreakBefore w:val="0"/>
              <w:wordWrap w:val="0"/>
              <w:overflowPunct/>
              <w:bidi w:val="0"/>
              <w:adjustRightInd/>
              <w:spacing w:line="240" w:lineRule="auto"/>
              <w:ind w:firstLine="0" w:firstLineChars="0"/>
              <w:rPr>
                <w:color w:val="auto"/>
              </w:rPr>
            </w:pPr>
            <w:r>
              <w:rPr>
                <w:rFonts w:hint="eastAsia"/>
                <w:b/>
                <w:bCs/>
                <w:color w:val="auto"/>
              </w:rPr>
              <w:t>1、质保期（满分1分）：</w:t>
            </w:r>
          </w:p>
          <w:p w14:paraId="673F20F1">
            <w:pPr>
              <w:pageBreakBefore w:val="0"/>
              <w:wordWrap w:val="0"/>
              <w:overflowPunct/>
              <w:bidi w:val="0"/>
              <w:adjustRightInd/>
              <w:spacing w:line="240" w:lineRule="auto"/>
              <w:ind w:firstLine="0" w:firstLineChars="0"/>
              <w:jc w:val="both"/>
              <w:rPr>
                <w:color w:val="auto"/>
              </w:rPr>
            </w:pPr>
            <w:r>
              <w:rPr>
                <w:rFonts w:hint="eastAsia"/>
                <w:color w:val="auto"/>
              </w:rPr>
              <w:t>满足招标文件质保期要求的基础上，消防车辆每延长6个月得0.5分。</w:t>
            </w:r>
          </w:p>
          <w:p w14:paraId="19EAE759">
            <w:pPr>
              <w:pageBreakBefore w:val="0"/>
              <w:numPr>
                <w:ilvl w:val="0"/>
                <w:numId w:val="8"/>
              </w:numPr>
              <w:wordWrap w:val="0"/>
              <w:overflowPunct/>
              <w:bidi w:val="0"/>
              <w:adjustRightInd/>
              <w:spacing w:line="240" w:lineRule="auto"/>
              <w:ind w:firstLine="0" w:firstLineChars="0"/>
              <w:rPr>
                <w:b/>
                <w:bCs/>
                <w:color w:val="auto"/>
              </w:rPr>
            </w:pPr>
            <w:r>
              <w:rPr>
                <w:rFonts w:hint="eastAsia"/>
                <w:b/>
                <w:bCs/>
                <w:color w:val="auto"/>
              </w:rPr>
              <w:t>售后服务响应时间（满分1分）：</w:t>
            </w:r>
          </w:p>
          <w:p w14:paraId="231D3C36">
            <w:pPr>
              <w:pageBreakBefore w:val="0"/>
              <w:wordWrap w:val="0"/>
              <w:overflowPunct/>
              <w:bidi w:val="0"/>
              <w:adjustRightInd/>
              <w:spacing w:line="240" w:lineRule="auto"/>
              <w:ind w:firstLine="0" w:firstLineChars="0"/>
              <w:jc w:val="both"/>
              <w:rPr>
                <w:color w:val="auto"/>
              </w:rPr>
            </w:pPr>
            <w:r>
              <w:rPr>
                <w:rFonts w:hint="eastAsia"/>
                <w:color w:val="auto"/>
              </w:rPr>
              <w:t>投标人承诺按以下时限进行售后服务的（接到使用单位售后服务需求后，昆明地区于2小时到场，其余地区于12小时到场），得1分。</w:t>
            </w:r>
          </w:p>
          <w:p w14:paraId="2542122A">
            <w:pPr>
              <w:pageBreakBefore w:val="0"/>
              <w:numPr>
                <w:ilvl w:val="0"/>
                <w:numId w:val="8"/>
              </w:numPr>
              <w:wordWrap w:val="0"/>
              <w:overflowPunct/>
              <w:bidi w:val="0"/>
              <w:adjustRightInd/>
              <w:spacing w:line="240" w:lineRule="auto"/>
              <w:ind w:firstLine="0" w:firstLineChars="0"/>
              <w:rPr>
                <w:b/>
                <w:bCs/>
                <w:color w:val="auto"/>
              </w:rPr>
            </w:pPr>
            <w:r>
              <w:rPr>
                <w:rFonts w:hint="eastAsia"/>
                <w:b/>
                <w:bCs/>
                <w:color w:val="auto"/>
              </w:rPr>
              <w:t>售后服务总体方案及保障措施（满分2分）：</w:t>
            </w:r>
          </w:p>
          <w:p w14:paraId="22AE2388">
            <w:pPr>
              <w:pageBreakBefore w:val="0"/>
              <w:wordWrap w:val="0"/>
              <w:overflowPunct/>
              <w:bidi w:val="0"/>
              <w:adjustRightInd/>
              <w:spacing w:line="240" w:lineRule="auto"/>
              <w:ind w:firstLine="0" w:firstLineChars="0"/>
              <w:jc w:val="both"/>
              <w:rPr>
                <w:color w:val="auto"/>
              </w:rPr>
            </w:pPr>
            <w:r>
              <w:rPr>
                <w:rFonts w:hint="eastAsia"/>
                <w:color w:val="auto"/>
              </w:rPr>
              <w:t>第一个档次(2分)：售后服务总体方案及保障措施内容完整、科学合理、针对性强，符合项目实际需求的；</w:t>
            </w:r>
          </w:p>
          <w:p w14:paraId="27E47B2E">
            <w:pPr>
              <w:pageBreakBefore w:val="0"/>
              <w:wordWrap w:val="0"/>
              <w:overflowPunct/>
              <w:bidi w:val="0"/>
              <w:adjustRightInd/>
              <w:spacing w:line="240" w:lineRule="auto"/>
              <w:ind w:firstLine="0" w:firstLineChars="0"/>
              <w:jc w:val="both"/>
              <w:rPr>
                <w:color w:val="auto"/>
              </w:rPr>
            </w:pPr>
            <w:r>
              <w:rPr>
                <w:rFonts w:hint="eastAsia"/>
                <w:color w:val="auto"/>
              </w:rPr>
              <w:t>第二个档次（1分)：售后服务总体方案及保障措施内容可行，基本符合项目实际需求的；</w:t>
            </w:r>
          </w:p>
          <w:p w14:paraId="695587E4">
            <w:pPr>
              <w:pageBreakBefore w:val="0"/>
              <w:wordWrap w:val="0"/>
              <w:overflowPunct/>
              <w:bidi w:val="0"/>
              <w:adjustRightInd/>
              <w:spacing w:line="240" w:lineRule="auto"/>
              <w:ind w:firstLine="0" w:firstLineChars="0"/>
              <w:jc w:val="both"/>
              <w:rPr>
                <w:color w:val="auto"/>
              </w:rPr>
            </w:pPr>
            <w:r>
              <w:rPr>
                <w:rFonts w:hint="eastAsia"/>
                <w:color w:val="auto"/>
              </w:rPr>
              <w:t>第三个档次（0分）：未提供售后服务总体方案及保障措施；</w:t>
            </w:r>
          </w:p>
          <w:p w14:paraId="1A8EE798">
            <w:pPr>
              <w:pageBreakBefore w:val="0"/>
              <w:numPr>
                <w:ilvl w:val="0"/>
                <w:numId w:val="8"/>
              </w:numPr>
              <w:wordWrap w:val="0"/>
              <w:overflowPunct/>
              <w:bidi w:val="0"/>
              <w:adjustRightInd/>
              <w:spacing w:line="240" w:lineRule="auto"/>
              <w:ind w:firstLine="0" w:firstLineChars="0"/>
              <w:rPr>
                <w:color w:val="auto"/>
                <w:kern w:val="2"/>
              </w:rPr>
            </w:pPr>
            <w:r>
              <w:rPr>
                <w:rFonts w:hint="eastAsia"/>
                <w:b/>
                <w:bCs/>
                <w:color w:val="auto"/>
                <w:szCs w:val="11"/>
              </w:rPr>
              <w:t>保养（满分2分）：</w:t>
            </w:r>
          </w:p>
          <w:p w14:paraId="181719A4">
            <w:pPr>
              <w:pageBreakBefore w:val="0"/>
              <w:wordWrap w:val="0"/>
              <w:overflowPunct/>
              <w:bidi w:val="0"/>
              <w:adjustRightInd/>
              <w:spacing w:line="240" w:lineRule="auto"/>
              <w:ind w:firstLine="0" w:firstLineChars="0"/>
              <w:jc w:val="both"/>
              <w:rPr>
                <w:color w:val="auto"/>
              </w:rPr>
            </w:pPr>
            <w:r>
              <w:rPr>
                <w:color w:val="auto"/>
              </w:rPr>
              <w:t>（1）</w:t>
            </w:r>
            <w:r>
              <w:rPr>
                <w:rFonts w:hint="eastAsia"/>
                <w:color w:val="auto"/>
              </w:rPr>
              <w:t>保养次数（1分）</w:t>
            </w:r>
          </w:p>
          <w:p w14:paraId="48402D36">
            <w:pPr>
              <w:pageBreakBefore w:val="0"/>
              <w:wordWrap w:val="0"/>
              <w:overflowPunct/>
              <w:bidi w:val="0"/>
              <w:adjustRightInd/>
              <w:spacing w:line="240" w:lineRule="auto"/>
              <w:ind w:firstLine="0" w:firstLineChars="0"/>
              <w:jc w:val="both"/>
              <w:rPr>
                <w:color w:val="auto"/>
              </w:rPr>
            </w:pPr>
            <w:r>
              <w:rPr>
                <w:color w:val="auto"/>
              </w:rPr>
              <w:t>验收合格之日起半年内提供</w:t>
            </w:r>
            <w:r>
              <w:rPr>
                <w:rFonts w:hint="eastAsia"/>
                <w:color w:val="auto"/>
              </w:rPr>
              <w:t>首次</w:t>
            </w:r>
            <w:r>
              <w:rPr>
                <w:color w:val="auto"/>
              </w:rPr>
              <w:t>免费</w:t>
            </w:r>
            <w:r>
              <w:rPr>
                <w:rFonts w:hint="eastAsia"/>
                <w:color w:val="auto"/>
              </w:rPr>
              <w:t>保养</w:t>
            </w:r>
            <w:r>
              <w:rPr>
                <w:color w:val="auto"/>
              </w:rPr>
              <w:t>服务，得0.5分。</w:t>
            </w:r>
            <w:r>
              <w:rPr>
                <w:rFonts w:hint="eastAsia"/>
                <w:color w:val="auto"/>
              </w:rPr>
              <w:t>首保后，消防</w:t>
            </w:r>
            <w:r>
              <w:rPr>
                <w:color w:val="auto"/>
              </w:rPr>
              <w:t>车辆</w:t>
            </w:r>
            <w:r>
              <w:rPr>
                <w:rFonts w:hint="eastAsia"/>
                <w:color w:val="auto"/>
              </w:rPr>
              <w:t>以半年为周期，每增加一次免费保养，加0.5分</w:t>
            </w:r>
            <w:r>
              <w:rPr>
                <w:color w:val="auto"/>
              </w:rPr>
              <w:t>。</w:t>
            </w:r>
          </w:p>
          <w:p w14:paraId="461ECBC6">
            <w:pPr>
              <w:pageBreakBefore w:val="0"/>
              <w:wordWrap w:val="0"/>
              <w:overflowPunct/>
              <w:bidi w:val="0"/>
              <w:adjustRightInd/>
              <w:spacing w:line="240" w:lineRule="auto"/>
              <w:ind w:firstLine="0" w:firstLineChars="0"/>
              <w:jc w:val="both"/>
              <w:rPr>
                <w:color w:val="auto"/>
              </w:rPr>
            </w:pPr>
            <w:r>
              <w:rPr>
                <w:color w:val="auto"/>
              </w:rPr>
              <w:t>（2）</w:t>
            </w:r>
            <w:r>
              <w:rPr>
                <w:rFonts w:hint="eastAsia"/>
                <w:color w:val="auto"/>
              </w:rPr>
              <w:t>保养内容完整性（1分）</w:t>
            </w:r>
          </w:p>
          <w:p w14:paraId="4AA19576">
            <w:pPr>
              <w:pageBreakBefore w:val="0"/>
              <w:wordWrap w:val="0"/>
              <w:overflowPunct/>
              <w:bidi w:val="0"/>
              <w:adjustRightInd/>
              <w:spacing w:line="240" w:lineRule="auto"/>
              <w:ind w:firstLine="0" w:firstLineChars="0"/>
              <w:jc w:val="both"/>
              <w:rPr>
                <w:color w:val="auto"/>
              </w:rPr>
            </w:pPr>
            <w:r>
              <w:rPr>
                <w:rFonts w:hint="eastAsia"/>
                <w:color w:val="auto"/>
              </w:rPr>
              <w:t>第一个档次(1分)：保养内容全面且明确，符合项目实际需求的；</w:t>
            </w:r>
          </w:p>
          <w:p w14:paraId="333BE5B1">
            <w:pPr>
              <w:pageBreakBefore w:val="0"/>
              <w:wordWrap w:val="0"/>
              <w:overflowPunct/>
              <w:bidi w:val="0"/>
              <w:adjustRightInd/>
              <w:spacing w:line="240" w:lineRule="auto"/>
              <w:ind w:firstLine="0" w:firstLineChars="0"/>
              <w:jc w:val="both"/>
              <w:rPr>
                <w:color w:val="auto"/>
              </w:rPr>
            </w:pPr>
            <w:r>
              <w:rPr>
                <w:rFonts w:hint="eastAsia"/>
                <w:color w:val="auto"/>
              </w:rPr>
              <w:t>第二个档次（0.5分)：保养内容简单的；</w:t>
            </w:r>
          </w:p>
          <w:p w14:paraId="7B9A1F18">
            <w:pPr>
              <w:pageBreakBefore w:val="0"/>
              <w:wordWrap w:val="0"/>
              <w:overflowPunct/>
              <w:bidi w:val="0"/>
              <w:adjustRightInd/>
              <w:spacing w:line="240" w:lineRule="auto"/>
              <w:ind w:firstLine="0" w:firstLineChars="0"/>
              <w:jc w:val="both"/>
              <w:rPr>
                <w:color w:val="auto"/>
              </w:rPr>
            </w:pPr>
            <w:r>
              <w:rPr>
                <w:rFonts w:hint="eastAsia"/>
                <w:color w:val="auto"/>
              </w:rPr>
              <w:t>第三个档次（0分)：未明确保养内容的。</w:t>
            </w:r>
          </w:p>
          <w:p w14:paraId="78C28044">
            <w:pPr>
              <w:pageBreakBefore w:val="0"/>
              <w:wordWrap w:val="0"/>
              <w:overflowPunct/>
              <w:bidi w:val="0"/>
              <w:adjustRightInd/>
              <w:spacing w:line="240" w:lineRule="auto"/>
              <w:ind w:firstLine="0" w:firstLineChars="0"/>
              <w:rPr>
                <w:color w:val="auto"/>
              </w:rPr>
            </w:pPr>
            <w:r>
              <w:rPr>
                <w:rFonts w:hint="eastAsia"/>
                <w:b/>
                <w:bCs/>
                <w:color w:val="auto"/>
                <w:szCs w:val="11"/>
              </w:rPr>
              <w:t>5、违约责任（满分2分）：</w:t>
            </w:r>
          </w:p>
          <w:p w14:paraId="72799A89">
            <w:pPr>
              <w:pageBreakBefore w:val="0"/>
              <w:wordWrap w:val="0"/>
              <w:overflowPunct/>
              <w:bidi w:val="0"/>
              <w:adjustRightInd/>
              <w:spacing w:line="240" w:lineRule="auto"/>
              <w:ind w:firstLine="0" w:firstLineChars="0"/>
              <w:jc w:val="both"/>
              <w:rPr>
                <w:color w:val="auto"/>
              </w:rPr>
            </w:pPr>
            <w:r>
              <w:rPr>
                <w:rFonts w:hint="eastAsia"/>
                <w:color w:val="auto"/>
              </w:rPr>
              <w:t>提供售后服务响应时间、保养的前提下，按下列规则进行评分：</w:t>
            </w:r>
          </w:p>
          <w:p w14:paraId="796BC12F">
            <w:pPr>
              <w:pageBreakBefore w:val="0"/>
              <w:wordWrap w:val="0"/>
              <w:overflowPunct/>
              <w:bidi w:val="0"/>
              <w:adjustRightInd/>
              <w:spacing w:line="240" w:lineRule="auto"/>
              <w:ind w:firstLine="0" w:firstLineChars="0"/>
              <w:jc w:val="both"/>
              <w:rPr>
                <w:color w:val="auto"/>
              </w:rPr>
            </w:pPr>
            <w:r>
              <w:rPr>
                <w:rFonts w:hint="eastAsia"/>
                <w:color w:val="auto"/>
              </w:rPr>
              <w:t>第一个档次（2分）售后服务响应时间、保养违约责任完整，责任主体落实明确，有具体、合理的违约金额的；</w:t>
            </w:r>
          </w:p>
          <w:p w14:paraId="05057BEC">
            <w:pPr>
              <w:pageBreakBefore w:val="0"/>
              <w:wordWrap w:val="0"/>
              <w:overflowPunct/>
              <w:bidi w:val="0"/>
              <w:adjustRightInd/>
              <w:spacing w:line="240" w:lineRule="auto"/>
              <w:ind w:firstLine="0" w:firstLineChars="0"/>
              <w:jc w:val="both"/>
              <w:rPr>
                <w:color w:val="auto"/>
              </w:rPr>
            </w:pPr>
            <w:r>
              <w:rPr>
                <w:rFonts w:hint="eastAsia"/>
                <w:color w:val="auto"/>
              </w:rPr>
              <w:t>第二个档次（1分）售后服务响应时间、保养违约责任完整，有责任主体落实，有违约金额的；</w:t>
            </w:r>
          </w:p>
          <w:p w14:paraId="2B67F812">
            <w:pPr>
              <w:pageBreakBefore w:val="0"/>
              <w:wordWrap w:val="0"/>
              <w:overflowPunct/>
              <w:bidi w:val="0"/>
              <w:adjustRightInd/>
              <w:spacing w:line="240" w:lineRule="auto"/>
              <w:ind w:firstLine="0" w:firstLineChars="0"/>
              <w:jc w:val="both"/>
              <w:rPr>
                <w:color w:val="auto"/>
              </w:rPr>
            </w:pPr>
            <w:r>
              <w:rPr>
                <w:rFonts w:hint="eastAsia"/>
                <w:color w:val="auto"/>
              </w:rPr>
              <w:t>第三个档次（0分）无售后服务响应时间或保养违约责任的。</w:t>
            </w:r>
          </w:p>
          <w:p w14:paraId="2DEEC66C">
            <w:pPr>
              <w:pageBreakBefore w:val="0"/>
              <w:kinsoku w:val="0"/>
              <w:wordWrap w:val="0"/>
              <w:overflowPunct/>
              <w:autoSpaceDE w:val="0"/>
              <w:autoSpaceDN w:val="0"/>
              <w:bidi w:val="0"/>
              <w:adjustRightInd/>
              <w:spacing w:line="240" w:lineRule="auto"/>
              <w:ind w:firstLine="0" w:firstLineChars="0"/>
              <w:rPr>
                <w:b/>
                <w:bCs/>
                <w:color w:val="auto"/>
              </w:rPr>
            </w:pPr>
            <w:r>
              <w:rPr>
                <w:rFonts w:hint="eastAsia"/>
                <w:b/>
                <w:bCs/>
                <w:color w:val="auto"/>
              </w:rPr>
              <w:t>（四）类似业绩（满分2分）</w:t>
            </w:r>
          </w:p>
          <w:p w14:paraId="612D6BEA">
            <w:pPr>
              <w:pageBreakBefore w:val="0"/>
              <w:wordWrap w:val="0"/>
              <w:overflowPunct/>
              <w:bidi w:val="0"/>
              <w:adjustRightInd/>
              <w:spacing w:line="240" w:lineRule="auto"/>
              <w:ind w:firstLine="0" w:firstLineChars="0"/>
              <w:jc w:val="both"/>
              <w:rPr>
                <w:color w:val="auto"/>
              </w:rPr>
            </w:pPr>
            <w:r>
              <w:rPr>
                <w:rFonts w:hint="eastAsia"/>
                <w:color w:val="auto"/>
              </w:rPr>
              <w:t>投标人2020年1月1日至本项目投标文件提交截止时间前已完成或正在实施的类似项目业绩。每提供一份证明材料得0.4分，满分2分。</w:t>
            </w:r>
          </w:p>
          <w:p w14:paraId="1EC1112C">
            <w:pPr>
              <w:pageBreakBefore w:val="0"/>
              <w:wordWrap w:val="0"/>
              <w:overflowPunct/>
              <w:bidi w:val="0"/>
              <w:adjustRightInd/>
              <w:spacing w:line="240" w:lineRule="auto"/>
              <w:ind w:firstLine="0" w:firstLineChars="0"/>
              <w:jc w:val="both"/>
              <w:rPr>
                <w:color w:val="auto"/>
              </w:rPr>
            </w:pPr>
            <w:r>
              <w:rPr>
                <w:rFonts w:hint="eastAsia"/>
                <w:color w:val="auto"/>
              </w:rPr>
              <w:t>注：1.业绩证明材料为中标（成交）公示网页截图和合同（合同首页、标的及金额所在页及合同签字盖章页复印件）。无证明材料或证明材料不明确、无法体现业绩实质性内容的，不予认可。</w:t>
            </w:r>
          </w:p>
          <w:p w14:paraId="13193499">
            <w:pPr>
              <w:pageBreakBefore w:val="0"/>
              <w:wordWrap w:val="0"/>
              <w:overflowPunct/>
              <w:bidi w:val="0"/>
              <w:adjustRightInd/>
              <w:spacing w:line="240" w:lineRule="auto"/>
              <w:ind w:firstLine="0" w:firstLineChars="0"/>
              <w:jc w:val="both"/>
              <w:rPr>
                <w:color w:val="auto"/>
              </w:rPr>
            </w:pPr>
            <w:r>
              <w:rPr>
                <w:rFonts w:hint="eastAsia"/>
                <w:color w:val="auto"/>
              </w:rPr>
              <w:t>2.类似业绩是指“所投标包标的物”供货业绩。</w:t>
            </w:r>
          </w:p>
        </w:tc>
      </w:tr>
    </w:tbl>
    <w:p w14:paraId="48629BF1">
      <w:pPr>
        <w:pageBreakBefore w:val="0"/>
        <w:wordWrap w:val="0"/>
        <w:overflowPunct/>
        <w:bidi w:val="0"/>
        <w:rPr>
          <w:color w:val="auto"/>
        </w:rPr>
      </w:pPr>
    </w:p>
    <w:p w14:paraId="3E327267">
      <w:pPr>
        <w:pageBreakBefore w:val="0"/>
        <w:wordWrap w:val="0"/>
        <w:overflowPunct/>
        <w:bidi w:val="0"/>
        <w:adjustRightInd/>
        <w:spacing w:line="240" w:lineRule="auto"/>
        <w:rPr>
          <w:color w:val="auto"/>
        </w:rPr>
      </w:pPr>
    </w:p>
    <w:p w14:paraId="342E5679">
      <w:pPr>
        <w:pageBreakBefore w:val="0"/>
        <w:wordWrap w:val="0"/>
        <w:overflowPunct/>
        <w:bidi w:val="0"/>
        <w:spacing w:line="240" w:lineRule="auto"/>
        <w:ind w:firstLine="480"/>
        <w:rPr>
          <w:color w:val="auto"/>
          <w:sz w:val="24"/>
          <w:szCs w:val="24"/>
        </w:rPr>
      </w:pPr>
      <w:r>
        <w:rPr>
          <w:rFonts w:hint="eastAsia"/>
          <w:color w:val="auto"/>
          <w:sz w:val="24"/>
          <w:szCs w:val="24"/>
        </w:rPr>
        <w:br w:type="page"/>
      </w:r>
    </w:p>
    <w:p w14:paraId="3323E765">
      <w:pPr>
        <w:pStyle w:val="3"/>
        <w:pageBreakBefore w:val="0"/>
        <w:wordWrap w:val="0"/>
        <w:overflowPunct/>
        <w:bidi w:val="0"/>
        <w:ind w:firstLine="482"/>
        <w:rPr>
          <w:color w:val="auto"/>
        </w:rPr>
      </w:pPr>
      <w:bookmarkStart w:id="95" w:name="_Toc5004"/>
      <w:r>
        <w:rPr>
          <w:rFonts w:hint="eastAsia"/>
          <w:color w:val="auto"/>
        </w:rPr>
        <w:t>1.评标方法：</w:t>
      </w:r>
      <w:bookmarkEnd w:id="95"/>
    </w:p>
    <w:p w14:paraId="65CA6D24">
      <w:pPr>
        <w:pageBreakBefore w:val="0"/>
        <w:wordWrap w:val="0"/>
        <w:overflowPunct/>
        <w:bidi w:val="0"/>
        <w:rPr>
          <w:color w:val="auto"/>
        </w:rPr>
      </w:pPr>
      <w:r>
        <w:rPr>
          <w:rFonts w:hint="eastAsia"/>
          <w:color w:val="auto"/>
        </w:rPr>
        <w:t>1.1 本次评标采用综合评分法。评标委员会对满足招标文件全部实质性要求（即通过资格审查）的投标文件，按照本章前附表规定的评分标准进行打分，并按评标总得分计算公式计算评标总得分，按总得分由高到低的顺序推荐3名中标候选人；得分相同的，按报价部分得分由高到低顺序推荐;评标总得分及投标报价相等时，评标委员会将依次按技术及商务部分得分高优先的顺序推荐；所有得分均相等的，由评标委员会不记名投票推荐中标候选人。</w:t>
      </w:r>
    </w:p>
    <w:p w14:paraId="75A046B5">
      <w:pPr>
        <w:pStyle w:val="3"/>
        <w:pageBreakBefore w:val="0"/>
        <w:wordWrap w:val="0"/>
        <w:overflowPunct/>
        <w:bidi w:val="0"/>
        <w:ind w:firstLine="482"/>
        <w:rPr>
          <w:color w:val="auto"/>
        </w:rPr>
      </w:pPr>
      <w:bookmarkStart w:id="96" w:name="_Toc24109"/>
      <w:r>
        <w:rPr>
          <w:rFonts w:hint="eastAsia"/>
          <w:color w:val="auto"/>
        </w:rPr>
        <w:t>2.评标程序及标准</w:t>
      </w:r>
      <w:bookmarkEnd w:id="96"/>
      <w:r>
        <w:rPr>
          <w:rFonts w:hint="eastAsia"/>
          <w:color w:val="auto"/>
        </w:rPr>
        <w:t xml:space="preserve"> </w:t>
      </w:r>
    </w:p>
    <w:p w14:paraId="6B334562">
      <w:pPr>
        <w:pageBreakBefore w:val="0"/>
        <w:wordWrap w:val="0"/>
        <w:overflowPunct/>
        <w:bidi w:val="0"/>
        <w:rPr>
          <w:color w:val="auto"/>
        </w:rPr>
      </w:pPr>
      <w:bookmarkStart w:id="97" w:name="_Toc1272"/>
      <w:bookmarkEnd w:id="97"/>
      <w:r>
        <w:rPr>
          <w:rFonts w:hint="eastAsia"/>
          <w:color w:val="auto"/>
        </w:rPr>
        <w:t xml:space="preserve">2.1 符合性审查 </w:t>
      </w:r>
    </w:p>
    <w:p w14:paraId="0190551A">
      <w:pPr>
        <w:pageBreakBefore w:val="0"/>
        <w:wordWrap w:val="0"/>
        <w:overflowPunct/>
        <w:bidi w:val="0"/>
        <w:rPr>
          <w:color w:val="auto"/>
        </w:rPr>
      </w:pPr>
      <w:r>
        <w:rPr>
          <w:rFonts w:hint="eastAsia"/>
          <w:color w:val="auto"/>
        </w:rPr>
        <w:t xml:space="preserve">2.1.1 依据招标文件的规定，评标委员会对通过资格审查的投标人的投标文件进行符合性审查，以确定其是否满足招标文件的实质性要求，见评审方法前附表。 </w:t>
      </w:r>
    </w:p>
    <w:p w14:paraId="4D0F4BF8">
      <w:pPr>
        <w:pageBreakBefore w:val="0"/>
        <w:wordWrap w:val="0"/>
        <w:overflowPunct/>
        <w:bidi w:val="0"/>
        <w:rPr>
          <w:color w:val="auto"/>
        </w:rPr>
      </w:pPr>
      <w:r>
        <w:rPr>
          <w:rFonts w:hint="eastAsia"/>
          <w:color w:val="auto"/>
        </w:rPr>
        <w:t xml:space="preserve">2.1.2 算术性错误修正。投标文件报价出现前后不一致的，按照下列规定修正： </w:t>
      </w:r>
    </w:p>
    <w:p w14:paraId="2E72F106">
      <w:pPr>
        <w:pageBreakBefore w:val="0"/>
        <w:wordWrap w:val="0"/>
        <w:overflowPunct/>
        <w:bidi w:val="0"/>
        <w:rPr>
          <w:color w:val="auto"/>
        </w:rPr>
      </w:pPr>
      <w:r>
        <w:rPr>
          <w:rFonts w:hint="eastAsia"/>
          <w:color w:val="auto"/>
        </w:rPr>
        <w:t xml:space="preserve">（一）投标文件中开标一览表（报价表）内容与投标文件中相应内容不一致的，以开标一览表（报价表）为准； </w:t>
      </w:r>
    </w:p>
    <w:p w14:paraId="466E527B">
      <w:pPr>
        <w:pageBreakBefore w:val="0"/>
        <w:wordWrap w:val="0"/>
        <w:overflowPunct/>
        <w:bidi w:val="0"/>
        <w:rPr>
          <w:color w:val="auto"/>
        </w:rPr>
      </w:pPr>
      <w:r>
        <w:rPr>
          <w:rFonts w:hint="eastAsia"/>
          <w:color w:val="auto"/>
        </w:rPr>
        <w:t xml:space="preserve">（二）大写金额和小写金额不一致的，以大写金额为准； </w:t>
      </w:r>
    </w:p>
    <w:p w14:paraId="34F2C0B4">
      <w:pPr>
        <w:pageBreakBefore w:val="0"/>
        <w:wordWrap w:val="0"/>
        <w:overflowPunct/>
        <w:bidi w:val="0"/>
        <w:rPr>
          <w:color w:val="auto"/>
        </w:rPr>
      </w:pPr>
      <w:r>
        <w:rPr>
          <w:rFonts w:hint="eastAsia"/>
          <w:color w:val="auto"/>
        </w:rPr>
        <w:t xml:space="preserve">（三）单价金额小数点或者百分比有明显错位的，以开标一览表的总价为准，并修改单价； </w:t>
      </w:r>
    </w:p>
    <w:p w14:paraId="44277E26">
      <w:pPr>
        <w:pageBreakBefore w:val="0"/>
        <w:wordWrap w:val="0"/>
        <w:overflowPunct/>
        <w:bidi w:val="0"/>
        <w:rPr>
          <w:color w:val="auto"/>
        </w:rPr>
      </w:pPr>
      <w:r>
        <w:rPr>
          <w:rFonts w:hint="eastAsia"/>
          <w:color w:val="auto"/>
        </w:rPr>
        <w:t xml:space="preserve">（四）总价金额与按单价汇总金额不一致的，以单价金额计算结果为准。 </w:t>
      </w:r>
    </w:p>
    <w:p w14:paraId="374C0933">
      <w:pPr>
        <w:pageBreakBefore w:val="0"/>
        <w:wordWrap w:val="0"/>
        <w:overflowPunct/>
        <w:bidi w:val="0"/>
        <w:rPr>
          <w:color w:val="auto"/>
        </w:rPr>
      </w:pPr>
      <w:r>
        <w:rPr>
          <w:rFonts w:hint="eastAsia"/>
          <w:color w:val="auto"/>
        </w:rPr>
        <w:t>同时出现两种以上不一致的，按照前款规定的顺序修正。</w:t>
      </w:r>
    </w:p>
    <w:p w14:paraId="28A37B6F">
      <w:pPr>
        <w:pageBreakBefore w:val="0"/>
        <w:wordWrap w:val="0"/>
        <w:overflowPunct/>
        <w:bidi w:val="0"/>
        <w:rPr>
          <w:color w:val="auto"/>
        </w:rPr>
      </w:pPr>
      <w:r>
        <w:rPr>
          <w:rFonts w:hint="eastAsia"/>
          <w:color w:val="auto"/>
        </w:rPr>
        <w:t xml:space="preserve">2.1.3 投标文件的澄清 </w:t>
      </w:r>
    </w:p>
    <w:p w14:paraId="4C35DEAE">
      <w:pPr>
        <w:pageBreakBefore w:val="0"/>
        <w:wordWrap w:val="0"/>
        <w:overflowPunct/>
        <w:bidi w:val="0"/>
        <w:rPr>
          <w:color w:val="auto"/>
        </w:rPr>
      </w:pPr>
      <w:r>
        <w:rPr>
          <w:rFonts w:hint="eastAsia"/>
          <w:color w:val="auto"/>
        </w:rPr>
        <w:t xml:space="preserve">（一）在评标过程中，评标委员会可以书面形式要求投标人对所提交的投标文件中含义不明确、同类问题表述不一致或者有明显文字和计算错误的内容，进行书面澄清或说明。评标委员会不接受投标人主动提出的澄清、说明。 </w:t>
      </w:r>
    </w:p>
    <w:p w14:paraId="7EA5D008">
      <w:pPr>
        <w:pageBreakBefore w:val="0"/>
        <w:wordWrap w:val="0"/>
        <w:overflowPunct/>
        <w:bidi w:val="0"/>
        <w:rPr>
          <w:color w:val="auto"/>
        </w:rPr>
      </w:pPr>
      <w:r>
        <w:rPr>
          <w:rFonts w:hint="eastAsia"/>
          <w:color w:val="auto"/>
        </w:rPr>
        <w:t xml:space="preserve">（二）投标人的澄清、说明应当采用书面形式，由法定代表人或其授权的代表签字，澄清事项不得超出投标文件的范围并不得改变投标文件的实质性内容（算术性错误修正的除外）。投标人的书面澄清、说明属于投标文件的组成部分。 </w:t>
      </w:r>
    </w:p>
    <w:p w14:paraId="7C0C9DC5">
      <w:pPr>
        <w:pageBreakBefore w:val="0"/>
        <w:wordWrap w:val="0"/>
        <w:overflowPunct/>
        <w:bidi w:val="0"/>
        <w:rPr>
          <w:color w:val="auto"/>
        </w:rPr>
      </w:pPr>
      <w:r>
        <w:rPr>
          <w:rFonts w:hint="eastAsia"/>
          <w:color w:val="auto"/>
        </w:rPr>
        <w:t xml:space="preserve">（三）评标委员会对投标人提交的澄清、说明有疑问的，可以要求投标人进一步澄清、说明。 </w:t>
      </w:r>
    </w:p>
    <w:p w14:paraId="3A389836">
      <w:pPr>
        <w:pageBreakBefore w:val="0"/>
        <w:wordWrap w:val="0"/>
        <w:overflowPunct/>
        <w:bidi w:val="0"/>
        <w:rPr>
          <w:color w:val="auto"/>
        </w:rPr>
      </w:pPr>
      <w:r>
        <w:rPr>
          <w:rFonts w:hint="eastAsia"/>
          <w:color w:val="auto"/>
        </w:rPr>
        <w:t>2.2同品牌产品不同投标人的处理方式</w:t>
      </w:r>
    </w:p>
    <w:p w14:paraId="2A5431A8">
      <w:pPr>
        <w:pageBreakBefore w:val="0"/>
        <w:wordWrap w:val="0"/>
        <w:overflowPunct/>
        <w:bidi w:val="0"/>
        <w:rPr>
          <w:color w:val="auto"/>
        </w:rPr>
      </w:pPr>
      <w:r>
        <w:rPr>
          <w:rFonts w:hint="eastAsia"/>
          <w:color w:val="auto"/>
        </w:rPr>
        <w:t>2.2.1</w:t>
      </w:r>
      <w:r>
        <w:rPr>
          <w:color w:val="auto"/>
        </w:rPr>
        <w:t>提供相同品牌产品且通过资格审查、符合性审查的不同投标人参加同一合同项下投标的，按1家投标人计算，评审后得分最高的同品牌投标人获得中标人推荐资格；评审得分相同的，由</w:t>
      </w:r>
      <w:r>
        <w:rPr>
          <w:rFonts w:hint="eastAsia"/>
          <w:color w:val="auto"/>
        </w:rPr>
        <w:t>招标</w:t>
      </w:r>
      <w:r>
        <w:rPr>
          <w:color w:val="auto"/>
        </w:rPr>
        <w:t>人或者</w:t>
      </w:r>
      <w:r>
        <w:rPr>
          <w:rFonts w:hint="eastAsia"/>
          <w:color w:val="auto"/>
        </w:rPr>
        <w:t>招标</w:t>
      </w:r>
      <w:r>
        <w:rPr>
          <w:color w:val="auto"/>
        </w:rPr>
        <w:t>人委托评标委员会按照招标文件规定的方式确定1个投标人获得中标人推荐资格，招标文件未规定的采取随机抽取方式确定，其他同品牌投标人不作为中标候选人。</w:t>
      </w:r>
    </w:p>
    <w:p w14:paraId="384A34B6">
      <w:pPr>
        <w:pageBreakBefore w:val="0"/>
        <w:wordWrap w:val="0"/>
        <w:overflowPunct/>
        <w:bidi w:val="0"/>
        <w:rPr>
          <w:color w:val="auto"/>
        </w:rPr>
      </w:pPr>
      <w:r>
        <w:rPr>
          <w:rFonts w:hint="eastAsia"/>
          <w:color w:val="auto"/>
        </w:rPr>
        <w:t>2.2.2</w:t>
      </w:r>
      <w:r>
        <w:rPr>
          <w:color w:val="auto"/>
        </w:rPr>
        <w:t>非单一产品采购项目，</w:t>
      </w:r>
      <w:r>
        <w:rPr>
          <w:rFonts w:hint="eastAsia"/>
          <w:color w:val="auto"/>
        </w:rPr>
        <w:t>招标</w:t>
      </w:r>
      <w:r>
        <w:rPr>
          <w:color w:val="auto"/>
        </w:rPr>
        <w:t>人应当根据采购项目技术构成、产品价格比重等合理确定核心产品，并在招标文件中载明。多家投标人提供的核心产品品牌相同的，按前两款规定处理。</w:t>
      </w:r>
    </w:p>
    <w:p w14:paraId="750FAD2C">
      <w:pPr>
        <w:pageBreakBefore w:val="0"/>
        <w:wordWrap w:val="0"/>
        <w:overflowPunct/>
        <w:bidi w:val="0"/>
        <w:rPr>
          <w:color w:val="auto"/>
        </w:rPr>
      </w:pPr>
      <w:r>
        <w:rPr>
          <w:rFonts w:hint="eastAsia"/>
          <w:color w:val="auto"/>
        </w:rPr>
        <w:t>2.2.3本项目同一标包的不同投标人按上述原则处理。</w:t>
      </w:r>
    </w:p>
    <w:p w14:paraId="245C03FB">
      <w:pPr>
        <w:pageBreakBefore w:val="0"/>
        <w:wordWrap w:val="0"/>
        <w:overflowPunct/>
        <w:bidi w:val="0"/>
        <w:rPr>
          <w:color w:val="auto"/>
        </w:rPr>
      </w:pPr>
      <w:r>
        <w:rPr>
          <w:rFonts w:hint="eastAsia"/>
          <w:color w:val="auto"/>
        </w:rPr>
        <w:t xml:space="preserve">2.3详细评审 </w:t>
      </w:r>
    </w:p>
    <w:p w14:paraId="411768F8">
      <w:pPr>
        <w:pageBreakBefore w:val="0"/>
        <w:wordWrap w:val="0"/>
        <w:overflowPunct/>
        <w:bidi w:val="0"/>
        <w:rPr>
          <w:color w:val="auto"/>
        </w:rPr>
      </w:pPr>
      <w:r>
        <w:rPr>
          <w:rFonts w:hint="eastAsia"/>
          <w:color w:val="auto"/>
        </w:rPr>
        <w:t xml:space="preserve">2.3.1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w:t>
      </w:r>
    </w:p>
    <w:p w14:paraId="110B9116">
      <w:pPr>
        <w:pageBreakBefore w:val="0"/>
        <w:wordWrap w:val="0"/>
        <w:overflowPunct/>
        <w:bidi w:val="0"/>
        <w:rPr>
          <w:color w:val="auto"/>
        </w:rPr>
      </w:pPr>
      <w:r>
        <w:rPr>
          <w:rFonts w:hint="eastAsia"/>
          <w:color w:val="auto"/>
        </w:rPr>
        <w:t>2.3.2评标委员会按照招标文件中规定的评标方法和标准，对符合性审查合格的投标文件进行技术及商务评审，综合比较与评价,见评审方法前附表。</w:t>
      </w:r>
    </w:p>
    <w:p w14:paraId="176CE647">
      <w:pPr>
        <w:pageBreakBefore w:val="0"/>
        <w:wordWrap w:val="0"/>
        <w:overflowPunct/>
        <w:bidi w:val="0"/>
        <w:rPr>
          <w:color w:val="auto"/>
        </w:rPr>
      </w:pPr>
      <w:r>
        <w:rPr>
          <w:rFonts w:hint="eastAsia"/>
          <w:color w:val="auto"/>
        </w:rPr>
        <w:t>2.3.3 评标委员会各成员要依法独立评审，并对评审意见承担个人责任。对投标人的客观评分项的评分 应当一致，对其他需要借助专业知识评判的主观评分项，应当严格按照评分细则公正评分。</w:t>
      </w:r>
    </w:p>
    <w:p w14:paraId="39F67F50">
      <w:pPr>
        <w:pageBreakBefore w:val="0"/>
        <w:wordWrap w:val="0"/>
        <w:overflowPunct/>
        <w:bidi w:val="0"/>
        <w:rPr>
          <w:color w:val="auto"/>
        </w:rPr>
      </w:pPr>
      <w:r>
        <w:rPr>
          <w:rFonts w:hint="eastAsia"/>
          <w:color w:val="auto"/>
        </w:rPr>
        <w:t>2.3.4 评标委员会成员对需要共同认定的事项存在争议的，按照少数服从多数的原则做出结论。持不同意见的评标委员会成员应当在评标报告上签署不同意见并说明理由，否则视为同意。</w:t>
      </w:r>
    </w:p>
    <w:p w14:paraId="5C7D2B25">
      <w:pPr>
        <w:pStyle w:val="3"/>
        <w:pageBreakBefore w:val="0"/>
        <w:wordWrap w:val="0"/>
        <w:overflowPunct/>
        <w:bidi w:val="0"/>
        <w:ind w:firstLine="482"/>
        <w:rPr>
          <w:color w:val="auto"/>
        </w:rPr>
      </w:pPr>
      <w:bookmarkStart w:id="98" w:name="_Toc29851"/>
      <w:r>
        <w:rPr>
          <w:rFonts w:hint="eastAsia"/>
          <w:color w:val="auto"/>
        </w:rPr>
        <w:t>3.评标结果</w:t>
      </w:r>
      <w:bookmarkEnd w:id="98"/>
      <w:r>
        <w:rPr>
          <w:rFonts w:hint="eastAsia"/>
          <w:color w:val="auto"/>
        </w:rPr>
        <w:t xml:space="preserve"> </w:t>
      </w:r>
    </w:p>
    <w:p w14:paraId="5267F3B0">
      <w:pPr>
        <w:pageBreakBefore w:val="0"/>
        <w:wordWrap w:val="0"/>
        <w:overflowPunct/>
        <w:bidi w:val="0"/>
        <w:rPr>
          <w:color w:val="auto"/>
        </w:rPr>
      </w:pPr>
      <w:r>
        <w:rPr>
          <w:rFonts w:hint="eastAsia"/>
          <w:color w:val="auto"/>
        </w:rPr>
        <w:t>3.1 统分原则：投标人投标报价部分以外的得分为所有评委打分的算术平均值。</w:t>
      </w:r>
    </w:p>
    <w:p w14:paraId="2A9C1DA9">
      <w:pPr>
        <w:pageBreakBefore w:val="0"/>
        <w:wordWrap w:val="0"/>
        <w:overflowPunct/>
        <w:bidi w:val="0"/>
        <w:rPr>
          <w:color w:val="auto"/>
        </w:rPr>
      </w:pPr>
      <w:r>
        <w:rPr>
          <w:rFonts w:hint="eastAsia"/>
          <w:color w:val="auto"/>
        </w:rPr>
        <w:t>3.2评标委员会按最终得分由高到低顺序推荐 3 名中标候选人，并提出书面评标报告。</w:t>
      </w:r>
    </w:p>
    <w:p w14:paraId="445D96F5">
      <w:pPr>
        <w:pageBreakBefore w:val="0"/>
        <w:wordWrap w:val="0"/>
        <w:overflowPunct/>
        <w:bidi w:val="0"/>
        <w:rPr>
          <w:color w:val="auto"/>
        </w:rPr>
      </w:pPr>
      <w:r>
        <w:rPr>
          <w:rFonts w:hint="eastAsia"/>
          <w:color w:val="auto"/>
        </w:rPr>
        <w:t>3.3 招标人根据评标委员会提出的书面评标报告和推荐的中标候选人名单，确定中标人。</w:t>
      </w:r>
    </w:p>
    <w:p w14:paraId="4ABB3BA3">
      <w:pPr>
        <w:pageBreakBefore w:val="0"/>
        <w:wordWrap w:val="0"/>
        <w:overflowPunct/>
        <w:bidi w:val="0"/>
        <w:rPr>
          <w:color w:val="auto"/>
        </w:rPr>
      </w:pPr>
      <w:r>
        <w:rPr>
          <w:rFonts w:hint="eastAsia"/>
          <w:color w:val="auto"/>
        </w:rPr>
        <w:t>3.4 评标委员会发现招标文件存在歧义、重大缺陷导致评审工作无法进行，或者招标文件内容违反国家有关规定的，要停止评审工作并向招标人或招标代理机构书面说明情况，招标人或招标代理机构应当修改招标文件后重新组织采购活动；发现投标人具有行贿、提供虚假材料或者串通等违法行为的,应当及时向财政部门报告。</w:t>
      </w:r>
    </w:p>
    <w:sectPr>
      <w:footerReference r:id="rId14" w:type="default"/>
      <w:pgSz w:w="11906" w:h="16838"/>
      <w:pgMar w:top="1417" w:right="1417" w:bottom="1417" w:left="1587" w:header="1134" w:footer="850"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7808F">
    <w:pPr>
      <w:pStyle w:val="1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864B0">
    <w:pPr>
      <w:pStyle w:val="1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276EF">
    <w:pPr>
      <w:pStyle w:val="1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B2F2F">
    <w:pPr>
      <w:pBdr>
        <w:top w:val="single" w:color="000000" w:sz="12" w:space="0"/>
      </w:pBdr>
      <w:spacing w:line="240" w:lineRule="auto"/>
      <w:ind w:firstLine="0" w:firstLineChars="0"/>
      <w:jc w:val="right"/>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05A3C">
    <w:pPr>
      <w:pBdr>
        <w:top w:val="single" w:color="000000" w:sz="12" w:space="0"/>
      </w:pBdr>
      <w:spacing w:line="240" w:lineRule="auto"/>
      <w:ind w:firstLine="0" w:firstLineChars="0"/>
      <w:jc w:val="right"/>
      <w:rPr>
        <w:sz w:val="18"/>
        <w:szCs w:val="18"/>
      </w:rPr>
    </w:pPr>
    <w:r>
      <w:rPr>
        <w:sz w:val="18"/>
      </w:rPr>
      <mc:AlternateContent>
        <mc:Choice Requires="wps">
          <w:drawing>
            <wp:anchor distT="0" distB="0" distL="0" distR="0" simplePos="0" relativeHeight="251659264" behindDoc="0" locked="0" layoutInCell="1" allowOverlap="1">
              <wp:simplePos x="0" y="0"/>
              <wp:positionH relativeFrom="margin">
                <wp:posOffset>2219960</wp:posOffset>
              </wp:positionH>
              <wp:positionV relativeFrom="paragraph">
                <wp:posOffset>0</wp:posOffset>
              </wp:positionV>
              <wp:extent cx="1610995" cy="1828800"/>
              <wp:effectExtent l="0" t="0" r="0" b="0"/>
              <wp:wrapNone/>
              <wp:docPr id="2" name="文本框 11"/>
              <wp:cNvGraphicFramePr/>
              <a:graphic xmlns:a="http://schemas.openxmlformats.org/drawingml/2006/main">
                <a:graphicData uri="http://schemas.microsoft.com/office/word/2010/wordprocessingShape">
                  <wps:wsp>
                    <wps:cNvSpPr/>
                    <wps:spPr>
                      <a:xfrm>
                        <a:off x="0" y="0"/>
                        <a:ext cx="1610995" cy="1828800"/>
                      </a:xfrm>
                      <a:prstGeom prst="rect">
                        <a:avLst/>
                      </a:prstGeom>
                      <a:ln w="12700">
                        <a:noFill/>
                      </a:ln>
                    </wps:spPr>
                    <wps:txbx>
                      <w:txbxContent>
                        <w:p w14:paraId="6BD3E55E">
                          <w:pPr>
                            <w:pStyle w:val="15"/>
                            <w:ind w:firstLine="360"/>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130</w:t>
                          </w:r>
                          <w:r>
                            <w:fldChar w:fldCharType="end"/>
                          </w:r>
                          <w:r>
                            <w:t xml:space="preserve"> 页</w:t>
                          </w:r>
                        </w:p>
                      </w:txbxContent>
                    </wps:txbx>
                    <wps:bodyPr rot="0" vert="horz" wrap="square" lIns="0" tIns="0" rIns="0" bIns="0" anchor="t" anchorCtr="0">
                      <a:spAutoFit/>
                    </wps:bodyPr>
                  </wps:wsp>
                </a:graphicData>
              </a:graphic>
            </wp:anchor>
          </w:drawing>
        </mc:Choice>
        <mc:Fallback>
          <w:pict>
            <v:rect id="文本框 11" o:spid="_x0000_s1026" o:spt="1" style="position:absolute;left:0pt;margin-left:174.8pt;margin-top:0pt;height:144pt;width:126.85pt;mso-position-horizontal-relative:margin;z-index:251659264;mso-width-relative:page;mso-height-relative:page;" filled="f" stroked="f" coordsize="21600,21600" o:gfxdata="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F86OtdUAAAAIAQAADwAA&#10;AAAAAAABACAAAAAiAAAAZHJzL2Rvd25yZXYueG1sUEsBAhQAFAAAAAgAh07iQC3qtfzgAQAAsgMA&#10;AA4AAAAAAAAAAQAgAAAAJAEAAGRycy9lMm9Eb2MueG1sUEsFBgAAAAAGAAYAWQEAAHYFAAAAAA==&#10;">
              <v:fill on="f" focussize="0,0"/>
              <v:stroke on="f" weight="1pt"/>
              <v:imagedata o:title=""/>
              <o:lock v:ext="edit" aspectratio="f"/>
              <v:textbox inset="0mm,0mm,0mm,0mm" style="mso-fit-shape-to-text:t;">
                <w:txbxContent>
                  <w:p w14:paraId="6BD3E55E">
                    <w:pPr>
                      <w:pStyle w:val="15"/>
                      <w:ind w:firstLine="360"/>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130</w:t>
                    </w:r>
                    <w:r>
                      <w:fldChar w:fldCharType="end"/>
                    </w:r>
                    <w:r>
                      <w:t xml:space="preserve"> 页</w:t>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AE359">
    <w:pPr>
      <w:pStyle w:val="15"/>
      <w:ind w:firstLine="360"/>
      <w:jc w:val="right"/>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w="12700">
                        <a:noFill/>
                      </a:ln>
                    </wps:spPr>
                    <wps:txbx>
                      <w:txbxContent>
                        <w:p w14:paraId="745546A7">
                          <w:pPr>
                            <w:pStyle w:val="15"/>
                            <w:ind w:firstLine="360"/>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130</w:t>
                          </w:r>
                          <w:r>
                            <w:fldChar w:fldCharType="end"/>
                          </w:r>
                          <w:r>
                            <w:t xml:space="preserve"> 页</w:t>
                          </w:r>
                        </w:p>
                      </w:txbxContent>
                    </wps:txbx>
                    <wps:bodyPr rot="0" vert="horz" wrap="none" lIns="0" tIns="0" rIns="0" bIns="0" anchor="t" anchorCtr="0">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8ElifRAAAABQEAAA8AAAAAAAAAAQAgAAAA&#10;IgAAAGRycy9kb3ducmV2LnhtbFBLAQIUABQAAAAIAIdO4kB1Zv0P2QEAAK8DAAAOAAAAAAAAAAEA&#10;IAAAACABAABkcnMvZTJvRG9jLnhtbFBLBQYAAAAABgAGAFkBAABrBQAAAAA=&#10;">
              <v:fill on="f" focussize="0,0"/>
              <v:stroke on="f" weight="1pt"/>
              <v:imagedata o:title=""/>
              <o:lock v:ext="edit" aspectratio="f"/>
              <v:textbox inset="0mm,0mm,0mm,0mm" style="mso-fit-shape-to-text:t;">
                <w:txbxContent>
                  <w:p w14:paraId="745546A7">
                    <w:pPr>
                      <w:pStyle w:val="15"/>
                      <w:ind w:firstLine="360"/>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130</w:t>
                    </w:r>
                    <w:r>
                      <w:fldChar w:fldCharType="end"/>
                    </w:r>
                    <w:r>
                      <w:t xml:space="preserve"> 页</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44C7D">
    <w:pPr>
      <w:pStyle w:val="1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4A376">
    <w:pPr>
      <w:pStyle w:val="1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FEB02">
    <w:pPr>
      <w:pStyle w:val="1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5C16C">
    <w:pPr>
      <w:pBdr>
        <w:bottom w:val="single" w:color="000000" w:sz="12" w:space="0"/>
      </w:pBdr>
      <w:spacing w:line="219" w:lineRule="auto"/>
      <w:ind w:right="31" w:firstLine="0" w:firstLineChars="0"/>
      <w:rPr>
        <w:rFonts w:ascii="黑体" w:hAnsi="黑体" w:eastAsia="黑体" w:cs="黑体"/>
        <w:sz w:val="18"/>
        <w:szCs w:val="18"/>
      </w:rPr>
    </w:pPr>
    <w:r>
      <w:rPr>
        <w:rFonts w:hint="eastAsia" w:ascii="黑体" w:hAnsi="黑体" w:eastAsia="黑体" w:cs="黑体"/>
        <w:sz w:val="18"/>
        <w:szCs w:val="18"/>
        <w:lang w:eastAsia="zh-CN"/>
        <w14:textOutline w14:w="3263" w14:cap="flat" w14:cmpd="sng" w14:algn="ctr">
          <w14:solidFill>
            <w14:srgbClr w14:val="000000"/>
          </w14:solidFill>
          <w14:prstDash w14:val="solid"/>
          <w14:miter w14:val="0"/>
        </w14:textOutline>
      </w:rPr>
      <w:t>云南省消防救援总队2023年“自然灾害应急能力提升工程”装备配备项目（车辆部分）第一批次（二次招标）</w:t>
    </w:r>
    <w:r>
      <w:rPr>
        <w:rFonts w:hint="eastAsia" w:ascii="黑体" w:hAnsi="黑体" w:eastAsia="黑体" w:cs="黑体"/>
        <w:sz w:val="18"/>
        <w:szCs w:val="18"/>
        <w14:textOutline w14:w="3263" w14:cap="flat" w14:cmpd="sng" w14:algn="ctr">
          <w14:solidFill>
            <w14:srgbClr w14:val="000000"/>
          </w14:solidFill>
          <w14:prstDash w14:val="solid"/>
          <w14:miter w14:val="0"/>
        </w14:textOutline>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2"/>
      <w:numFmt w:val="chineseCounting"/>
      <w:suff w:val="nothing"/>
      <w:lvlText w:val="%1、"/>
      <w:lvlJc w:val="left"/>
      <w:rPr>
        <w:rFonts w:hint="eastAsia"/>
      </w:rPr>
    </w:lvl>
  </w:abstractNum>
  <w:abstractNum w:abstractNumId="1">
    <w:nsid w:val="00000002"/>
    <w:multiLevelType w:val="singleLevel"/>
    <w:tmpl w:val="00000002"/>
    <w:lvl w:ilvl="0" w:tentative="0">
      <w:start w:val="1"/>
      <w:numFmt w:val="decimal"/>
      <w:pStyle w:val="22"/>
      <w:suff w:val="space"/>
      <w:lvlText w:val="%1、"/>
      <w:lvlJc w:val="left"/>
      <w:pPr>
        <w:ind w:left="1050"/>
      </w:pPr>
    </w:lvl>
  </w:abstractNum>
  <w:abstractNum w:abstractNumId="2">
    <w:nsid w:val="00000003"/>
    <w:multiLevelType w:val="singleLevel"/>
    <w:tmpl w:val="00000003"/>
    <w:lvl w:ilvl="0" w:tentative="0">
      <w:start w:val="1"/>
      <w:numFmt w:val="decimal"/>
      <w:suff w:val="nothing"/>
      <w:lvlText w:val="（%1）"/>
      <w:lvlJc w:val="left"/>
    </w:lvl>
  </w:abstractNum>
  <w:abstractNum w:abstractNumId="3">
    <w:nsid w:val="00000004"/>
    <w:multiLevelType w:val="singleLevel"/>
    <w:tmpl w:val="00000004"/>
    <w:lvl w:ilvl="0" w:tentative="0">
      <w:start w:val="2"/>
      <w:numFmt w:val="decimal"/>
      <w:lvlText w:val="%1."/>
      <w:lvlJc w:val="left"/>
      <w:pPr>
        <w:tabs>
          <w:tab w:val="left" w:pos="312"/>
        </w:tabs>
      </w:pPr>
    </w:lvl>
  </w:abstractNum>
  <w:abstractNum w:abstractNumId="4">
    <w:nsid w:val="00000005"/>
    <w:multiLevelType w:val="singleLevel"/>
    <w:tmpl w:val="00000005"/>
    <w:lvl w:ilvl="0" w:tentative="0">
      <w:start w:val="1"/>
      <w:numFmt w:val="chineseCounting"/>
      <w:suff w:val="nothing"/>
      <w:lvlText w:val="%1、"/>
      <w:lvlJc w:val="left"/>
      <w:rPr>
        <w:rFonts w:hint="eastAsia"/>
      </w:rPr>
    </w:lvl>
  </w:abstractNum>
  <w:abstractNum w:abstractNumId="5">
    <w:nsid w:val="00000006"/>
    <w:multiLevelType w:val="singleLevel"/>
    <w:tmpl w:val="00000006"/>
    <w:lvl w:ilvl="0" w:tentative="0">
      <w:start w:val="2"/>
      <w:numFmt w:val="decimal"/>
      <w:suff w:val="nothing"/>
      <w:lvlText w:val="%1、"/>
      <w:lvlJc w:val="left"/>
    </w:lvl>
  </w:abstractNum>
  <w:abstractNum w:abstractNumId="6">
    <w:nsid w:val="00000007"/>
    <w:multiLevelType w:val="singleLevel"/>
    <w:tmpl w:val="00000007"/>
    <w:lvl w:ilvl="0" w:tentative="0">
      <w:start w:val="3"/>
      <w:numFmt w:val="decimal"/>
      <w:suff w:val="nothing"/>
      <w:lvlText w:val="%1)"/>
      <w:lvlJc w:val="left"/>
    </w:lvl>
  </w:abstractNum>
  <w:abstractNum w:abstractNumId="7">
    <w:nsid w:val="0053208E"/>
    <w:multiLevelType w:val="singleLevel"/>
    <w:tmpl w:val="0053208E"/>
    <w:lvl w:ilvl="0" w:tentative="0">
      <w:start w:val="1"/>
      <w:numFmt w:val="chineseCounting"/>
      <w:suff w:val="space"/>
      <w:lvlText w:val="第%1章"/>
      <w:lvlJc w:val="left"/>
      <w:rPr>
        <w:rFonts w:hint="eastAsia"/>
      </w:rPr>
    </w:lvl>
  </w:abstractNum>
  <w:num w:numId="1">
    <w:abstractNumId w:val="1"/>
  </w:num>
  <w:num w:numId="2">
    <w:abstractNumId w:val="7"/>
  </w:num>
  <w:num w:numId="3">
    <w:abstractNumId w:val="2"/>
  </w:num>
  <w:num w:numId="4">
    <w:abstractNumId w:val="4"/>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Y2OGVhMTM1NjhjNWY0NjE0OWRlOWU0MTFiZThlZjUifQ=="/>
  </w:docVars>
  <w:rsids>
    <w:rsidRoot w:val="00B40D08"/>
    <w:rsid w:val="001D6667"/>
    <w:rsid w:val="0089054F"/>
    <w:rsid w:val="00B40D08"/>
    <w:rsid w:val="00BD46DF"/>
    <w:rsid w:val="098175B4"/>
    <w:rsid w:val="0B76376F"/>
    <w:rsid w:val="0DDA7292"/>
    <w:rsid w:val="0F916C09"/>
    <w:rsid w:val="11E9219A"/>
    <w:rsid w:val="11FE48DC"/>
    <w:rsid w:val="1380653B"/>
    <w:rsid w:val="13D813A2"/>
    <w:rsid w:val="1520585E"/>
    <w:rsid w:val="167A5EDE"/>
    <w:rsid w:val="16B150D1"/>
    <w:rsid w:val="18ED431E"/>
    <w:rsid w:val="1E6E4153"/>
    <w:rsid w:val="22B10AB2"/>
    <w:rsid w:val="243A27E2"/>
    <w:rsid w:val="294B77A1"/>
    <w:rsid w:val="2A88659C"/>
    <w:rsid w:val="2CA2097F"/>
    <w:rsid w:val="2E3F60DE"/>
    <w:rsid w:val="2EA511B1"/>
    <w:rsid w:val="36624145"/>
    <w:rsid w:val="36721EAF"/>
    <w:rsid w:val="373939D7"/>
    <w:rsid w:val="37A061ED"/>
    <w:rsid w:val="397160A6"/>
    <w:rsid w:val="3E4967D7"/>
    <w:rsid w:val="41710183"/>
    <w:rsid w:val="500876B4"/>
    <w:rsid w:val="509D2B56"/>
    <w:rsid w:val="543B5CF0"/>
    <w:rsid w:val="593A1FA8"/>
    <w:rsid w:val="5CC4270D"/>
    <w:rsid w:val="5CCF5950"/>
    <w:rsid w:val="5E0C65C1"/>
    <w:rsid w:val="5F93061C"/>
    <w:rsid w:val="64DE11CA"/>
    <w:rsid w:val="67D4068B"/>
    <w:rsid w:val="69A04D39"/>
    <w:rsid w:val="6A9A4F55"/>
    <w:rsid w:val="6C3C2767"/>
    <w:rsid w:val="6C663127"/>
    <w:rsid w:val="70246819"/>
    <w:rsid w:val="70625DB4"/>
    <w:rsid w:val="71D16685"/>
    <w:rsid w:val="725400DF"/>
    <w:rsid w:val="74333E3F"/>
    <w:rsid w:val="76BD03E9"/>
    <w:rsid w:val="7C157DD8"/>
    <w:rsid w:val="7F0E54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line="360" w:lineRule="auto"/>
      <w:ind w:firstLine="420" w:firstLineChars="200"/>
    </w:pPr>
    <w:rPr>
      <w:rFonts w:ascii="宋体" w:hAnsi="宋体" w:eastAsia="宋体" w:cs="宋体"/>
      <w:color w:val="000000"/>
      <w:sz w:val="21"/>
      <w:szCs w:val="21"/>
      <w:lang w:val="en-US" w:eastAsia="zh-CN" w:bidi="ar-SA"/>
    </w:rPr>
  </w:style>
  <w:style w:type="paragraph" w:styleId="2">
    <w:name w:val="heading 1"/>
    <w:basedOn w:val="1"/>
    <w:next w:val="1"/>
    <w:autoRedefine/>
    <w:qFormat/>
    <w:uiPriority w:val="0"/>
    <w:pPr>
      <w:keepNext/>
      <w:keepLines/>
      <w:ind w:firstLine="0" w:firstLineChars="0"/>
      <w:jc w:val="center"/>
      <w:outlineLvl w:val="0"/>
    </w:pPr>
    <w:rPr>
      <w:b/>
      <w:kern w:val="44"/>
      <w:sz w:val="28"/>
    </w:rPr>
  </w:style>
  <w:style w:type="paragraph" w:styleId="3">
    <w:name w:val="heading 2"/>
    <w:basedOn w:val="1"/>
    <w:next w:val="1"/>
    <w:link w:val="34"/>
    <w:autoRedefine/>
    <w:qFormat/>
    <w:uiPriority w:val="0"/>
    <w:pPr>
      <w:keepNext/>
      <w:keepLines/>
      <w:outlineLvl w:val="1"/>
    </w:pPr>
    <w:rPr>
      <w:b/>
      <w:sz w:val="24"/>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eastAsia="黑体"/>
      <w:b/>
      <w:sz w:val="28"/>
    </w:rPr>
  </w:style>
  <w:style w:type="paragraph" w:styleId="6">
    <w:name w:val="heading 5"/>
    <w:basedOn w:val="1"/>
    <w:next w:val="1"/>
    <w:autoRedefine/>
    <w:qFormat/>
    <w:uiPriority w:val="0"/>
    <w:pPr>
      <w:keepNext/>
      <w:keepLines/>
      <w:spacing w:before="280" w:after="290" w:line="372" w:lineRule="auto"/>
      <w:outlineLvl w:val="4"/>
    </w:pPr>
    <w:rPr>
      <w:b/>
      <w:sz w:val="28"/>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style>
  <w:style w:type="paragraph" w:styleId="8">
    <w:name w:val="Document Map"/>
    <w:basedOn w:val="1"/>
    <w:autoRedefine/>
    <w:qFormat/>
    <w:uiPriority w:val="0"/>
    <w:pPr>
      <w:shd w:val="clear" w:color="auto" w:fill="000080"/>
    </w:pPr>
    <w:rPr>
      <w:rFonts w:ascii="Times New Roman" w:hAnsi="Times New Roman" w:cs="Times New Roman"/>
      <w:sz w:val="24"/>
    </w:rPr>
  </w:style>
  <w:style w:type="paragraph" w:styleId="9">
    <w:name w:val="toa heading"/>
    <w:basedOn w:val="1"/>
    <w:next w:val="1"/>
    <w:autoRedefine/>
    <w:qFormat/>
    <w:uiPriority w:val="99"/>
    <w:pPr>
      <w:spacing w:before="120"/>
    </w:pPr>
    <w:rPr>
      <w:sz w:val="24"/>
    </w:rPr>
  </w:style>
  <w:style w:type="paragraph" w:styleId="10">
    <w:name w:val="annotation text"/>
    <w:basedOn w:val="1"/>
    <w:link w:val="39"/>
    <w:autoRedefine/>
    <w:qFormat/>
    <w:uiPriority w:val="0"/>
  </w:style>
  <w:style w:type="paragraph" w:styleId="11">
    <w:name w:val="Body Text"/>
    <w:basedOn w:val="1"/>
    <w:next w:val="1"/>
    <w:autoRedefine/>
    <w:qFormat/>
    <w:uiPriority w:val="0"/>
    <w:pPr>
      <w:spacing w:after="120"/>
    </w:pPr>
  </w:style>
  <w:style w:type="paragraph" w:styleId="12">
    <w:name w:val="Body Text Indent"/>
    <w:basedOn w:val="1"/>
    <w:next w:val="1"/>
    <w:autoRedefine/>
    <w:qFormat/>
    <w:uiPriority w:val="0"/>
    <w:pPr>
      <w:spacing w:after="120"/>
      <w:ind w:left="420" w:leftChars="200"/>
    </w:pPr>
    <w:rPr>
      <w:rFonts w:ascii="Calibri" w:hAnsi="Calibri"/>
      <w:szCs w:val="20"/>
    </w:rPr>
  </w:style>
  <w:style w:type="paragraph" w:styleId="13">
    <w:name w:val="Plain Text"/>
    <w:basedOn w:val="1"/>
    <w:autoRedefine/>
    <w:qFormat/>
    <w:uiPriority w:val="0"/>
    <w:rPr>
      <w:rFonts w:hAnsi="Courier New" w:cs="Courier New"/>
    </w:rPr>
  </w:style>
  <w:style w:type="paragraph" w:styleId="14">
    <w:name w:val="Balloon Text"/>
    <w:basedOn w:val="1"/>
    <w:link w:val="41"/>
    <w:autoRedefine/>
    <w:qFormat/>
    <w:uiPriority w:val="0"/>
    <w:rPr>
      <w:sz w:val="18"/>
      <w:szCs w:val="18"/>
    </w:rPr>
  </w:style>
  <w:style w:type="paragraph" w:styleId="15">
    <w:name w:val="footer"/>
    <w:basedOn w:val="1"/>
    <w:autoRedefine/>
    <w:qFormat/>
    <w:uiPriority w:val="0"/>
    <w:pPr>
      <w:tabs>
        <w:tab w:val="center" w:pos="4153"/>
        <w:tab w:val="right" w:pos="8306"/>
      </w:tabs>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7">
    <w:name w:val="toc 1"/>
    <w:basedOn w:val="1"/>
    <w:next w:val="1"/>
    <w:autoRedefine/>
    <w:qFormat/>
    <w:uiPriority w:val="0"/>
  </w:style>
  <w:style w:type="paragraph" w:styleId="18">
    <w:name w:val="table of figures"/>
    <w:basedOn w:val="1"/>
    <w:next w:val="1"/>
    <w:autoRedefine/>
    <w:qFormat/>
    <w:uiPriority w:val="99"/>
    <w:pPr>
      <w:ind w:left="200" w:leftChars="200" w:hanging="200" w:hangingChars="200"/>
    </w:pPr>
  </w:style>
  <w:style w:type="paragraph" w:styleId="19">
    <w:name w:val="toc 2"/>
    <w:basedOn w:val="1"/>
    <w:next w:val="1"/>
    <w:autoRedefine/>
    <w:qFormat/>
    <w:uiPriority w:val="0"/>
    <w:pPr>
      <w:ind w:left="420" w:leftChars="200"/>
    </w:pPr>
  </w:style>
  <w:style w:type="paragraph" w:styleId="20">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sz w:val="24"/>
    </w:rPr>
  </w:style>
  <w:style w:type="paragraph" w:styleId="21">
    <w:name w:val="Normal (Web)"/>
    <w:basedOn w:val="1"/>
    <w:autoRedefine/>
    <w:qFormat/>
    <w:uiPriority w:val="0"/>
    <w:pPr>
      <w:spacing w:before="100" w:beforeAutospacing="1" w:after="100" w:afterAutospacing="1"/>
    </w:pPr>
    <w:rPr>
      <w:sz w:val="24"/>
    </w:rPr>
  </w:style>
  <w:style w:type="paragraph" w:styleId="22">
    <w:name w:val="Title"/>
    <w:basedOn w:val="1"/>
    <w:autoRedefine/>
    <w:qFormat/>
    <w:uiPriority w:val="0"/>
    <w:pPr>
      <w:numPr>
        <w:ilvl w:val="0"/>
        <w:numId w:val="1"/>
      </w:numPr>
      <w:spacing w:beforeLines="50" w:afterLines="50"/>
      <w:jc w:val="center"/>
      <w:outlineLvl w:val="0"/>
    </w:pPr>
    <w:rPr>
      <w:b/>
      <w:bCs/>
      <w:sz w:val="52"/>
      <w:szCs w:val="32"/>
    </w:rPr>
  </w:style>
  <w:style w:type="paragraph" w:styleId="23">
    <w:name w:val="annotation subject"/>
    <w:basedOn w:val="10"/>
    <w:next w:val="10"/>
    <w:link w:val="40"/>
    <w:autoRedefine/>
    <w:qFormat/>
    <w:uiPriority w:val="0"/>
    <w:rPr>
      <w:b/>
      <w:bCs/>
    </w:rPr>
  </w:style>
  <w:style w:type="paragraph" w:styleId="24">
    <w:name w:val="Body Text First Indent"/>
    <w:basedOn w:val="11"/>
    <w:autoRedefine/>
    <w:qFormat/>
    <w:uiPriority w:val="0"/>
    <w:pPr>
      <w:ind w:firstLine="100" w:firstLineChars="100"/>
    </w:pPr>
  </w:style>
  <w:style w:type="paragraph" w:styleId="25">
    <w:name w:val="Body Text First Indent 2"/>
    <w:basedOn w:val="12"/>
    <w:autoRedefine/>
    <w:qFormat/>
    <w:uiPriority w:val="0"/>
    <w:rPr>
      <w:rFonts w:ascii="Times New Roman"/>
    </w:r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rPr>
  </w:style>
  <w:style w:type="character" w:styleId="30">
    <w:name w:val="Hyperlink"/>
    <w:basedOn w:val="28"/>
    <w:autoRedefine/>
    <w:qFormat/>
    <w:uiPriority w:val="0"/>
    <w:rPr>
      <w:color w:val="0563C1"/>
      <w:u w:val="single"/>
    </w:rPr>
  </w:style>
  <w:style w:type="character" w:styleId="31">
    <w:name w:val="annotation reference"/>
    <w:basedOn w:val="28"/>
    <w:autoRedefine/>
    <w:qFormat/>
    <w:uiPriority w:val="0"/>
    <w:rPr>
      <w:sz w:val="21"/>
      <w:szCs w:val="21"/>
    </w:rPr>
  </w:style>
  <w:style w:type="paragraph" w:customStyle="1" w:styleId="32">
    <w:name w:val="Default"/>
    <w:basedOn w:val="33"/>
    <w:autoRedefine/>
    <w:qFormat/>
    <w:uiPriority w:val="0"/>
    <w:pPr>
      <w:widowControl w:val="0"/>
      <w:autoSpaceDE w:val="0"/>
      <w:autoSpaceDN w:val="0"/>
      <w:adjustRightInd w:val="0"/>
    </w:pPr>
    <w:rPr>
      <w:rFonts w:ascii="Calibri" w:hAnsi="Calibri"/>
      <w:color w:val="000000"/>
      <w:sz w:val="24"/>
    </w:rPr>
  </w:style>
  <w:style w:type="paragraph" w:customStyle="1" w:styleId="33">
    <w:name w:val="正文1"/>
    <w:autoRedefine/>
    <w:qFormat/>
    <w:uiPriority w:val="0"/>
    <w:rPr>
      <w:rFonts w:ascii="Times New Roman" w:hAnsi="Times New Roman" w:eastAsia="宋体" w:cs="Times New Roman"/>
      <w:sz w:val="21"/>
      <w:szCs w:val="22"/>
      <w:lang w:val="en-US" w:eastAsia="zh-CN" w:bidi="ar-SA"/>
    </w:rPr>
  </w:style>
  <w:style w:type="character" w:customStyle="1" w:styleId="34">
    <w:name w:val="标题 2 字符"/>
    <w:link w:val="3"/>
    <w:autoRedefine/>
    <w:qFormat/>
    <w:uiPriority w:val="0"/>
    <w:rPr>
      <w:rFonts w:ascii="宋体" w:hAnsi="宋体" w:eastAsia="宋体" w:cs="宋体"/>
      <w:b/>
      <w:sz w:val="24"/>
    </w:rPr>
  </w:style>
  <w:style w:type="paragraph" w:customStyle="1" w:styleId="35">
    <w:name w:val="正文文本 21"/>
    <w:basedOn w:val="1"/>
    <w:autoRedefine/>
    <w:qFormat/>
    <w:uiPriority w:val="0"/>
    <w:pPr>
      <w:spacing w:line="500" w:lineRule="exact"/>
    </w:pPr>
    <w:rPr>
      <w:sz w:val="30"/>
      <w:szCs w:val="24"/>
    </w:rPr>
  </w:style>
  <w:style w:type="table" w:customStyle="1" w:styleId="36">
    <w:name w:val="Table Normal"/>
    <w:autoRedefine/>
    <w:qFormat/>
    <w:uiPriority w:val="0"/>
    <w:tblPr>
      <w:tblCellMar>
        <w:top w:w="0" w:type="dxa"/>
        <w:left w:w="0" w:type="dxa"/>
        <w:bottom w:w="0" w:type="dxa"/>
        <w:right w:w="0" w:type="dxa"/>
      </w:tblCellMar>
    </w:tblPr>
  </w:style>
  <w:style w:type="paragraph" w:customStyle="1" w:styleId="37">
    <w:name w:val="Normal_1"/>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38">
    <w:name w:val="未处理的提及1"/>
    <w:basedOn w:val="28"/>
    <w:autoRedefine/>
    <w:qFormat/>
    <w:uiPriority w:val="99"/>
    <w:rPr>
      <w:color w:val="605E5C"/>
      <w:shd w:val="clear" w:color="auto" w:fill="E1DFDD"/>
    </w:rPr>
  </w:style>
  <w:style w:type="character" w:customStyle="1" w:styleId="39">
    <w:name w:val="批注文字 字符"/>
    <w:basedOn w:val="28"/>
    <w:link w:val="10"/>
    <w:autoRedefine/>
    <w:qFormat/>
    <w:uiPriority w:val="0"/>
    <w:rPr>
      <w:rFonts w:ascii="Arial" w:hAnsi="Arial" w:eastAsia="Arial" w:cs="Arial"/>
      <w:color w:val="000000"/>
      <w:sz w:val="21"/>
      <w:szCs w:val="21"/>
    </w:rPr>
  </w:style>
  <w:style w:type="character" w:customStyle="1" w:styleId="40">
    <w:name w:val="批注主题 字符"/>
    <w:basedOn w:val="39"/>
    <w:link w:val="23"/>
    <w:autoRedefine/>
    <w:qFormat/>
    <w:uiPriority w:val="0"/>
    <w:rPr>
      <w:rFonts w:ascii="Arial" w:hAnsi="Arial" w:eastAsia="Arial" w:cs="Arial"/>
      <w:b/>
      <w:bCs/>
      <w:color w:val="000000"/>
      <w:sz w:val="21"/>
      <w:szCs w:val="21"/>
    </w:rPr>
  </w:style>
  <w:style w:type="character" w:customStyle="1" w:styleId="41">
    <w:name w:val="批注框文本 字符"/>
    <w:basedOn w:val="28"/>
    <w:link w:val="14"/>
    <w:autoRedefine/>
    <w:qFormat/>
    <w:uiPriority w:val="0"/>
    <w:rPr>
      <w:rFonts w:ascii="Arial" w:hAnsi="Arial" w:eastAsia="Arial" w:cs="Arial"/>
      <w:color w:val="000000"/>
      <w:sz w:val="18"/>
      <w:szCs w:val="18"/>
    </w:rPr>
  </w:style>
  <w:style w:type="paragraph" w:customStyle="1" w:styleId="42">
    <w:name w:val="修订1"/>
    <w:autoRedefine/>
    <w:qFormat/>
    <w:uiPriority w:val="99"/>
    <w:rPr>
      <w:rFonts w:ascii="Arial" w:hAnsi="Arial" w:eastAsia="Arial" w:cs="Arial"/>
      <w:color w:val="000000"/>
      <w:sz w:val="21"/>
      <w:szCs w:val="21"/>
      <w:lang w:val="en-US" w:eastAsia="zh-CN" w:bidi="ar-SA"/>
    </w:rPr>
  </w:style>
  <w:style w:type="character" w:customStyle="1" w:styleId="43">
    <w:name w:val="NormalCharacter"/>
    <w:autoRedefine/>
    <w:qFormat/>
    <w:uiPriority w:val="0"/>
    <w:rPr>
      <w:rFonts w:ascii="Times New Roman" w:hAnsi="Times New Roman" w:eastAsia="宋体"/>
    </w:rPr>
  </w:style>
  <w:style w:type="character" w:customStyle="1" w:styleId="44">
    <w:name w:val="grame"/>
    <w:basedOn w:val="28"/>
    <w:autoRedefine/>
    <w:qFormat/>
    <w:uiPriority w:val="0"/>
  </w:style>
  <w:style w:type="character" w:customStyle="1" w:styleId="45">
    <w:name w:val="font21"/>
    <w:basedOn w:val="28"/>
    <w:autoRedefine/>
    <w:qFormat/>
    <w:uiPriority w:val="0"/>
    <w:rPr>
      <w:rFonts w:hint="eastAsia" w:ascii="宋体" w:hAnsi="宋体" w:eastAsia="宋体" w:cs="宋体"/>
      <w:color w:val="000000"/>
      <w:sz w:val="24"/>
      <w:szCs w:val="24"/>
      <w:u w:val="none"/>
    </w:rPr>
  </w:style>
  <w:style w:type="character" w:customStyle="1" w:styleId="46">
    <w:name w:val="font81"/>
    <w:basedOn w:val="28"/>
    <w:autoRedefine/>
    <w:qFormat/>
    <w:uiPriority w:val="0"/>
    <w:rPr>
      <w:rFonts w:hint="default" w:ascii="Calibri" w:hAnsi="Calibri" w:cs="Calibri"/>
      <w:color w:val="000000"/>
      <w:sz w:val="24"/>
      <w:szCs w:val="24"/>
      <w:u w:val="none"/>
    </w:rPr>
  </w:style>
  <w:style w:type="paragraph" w:customStyle="1" w:styleId="47">
    <w:name w:val="节标题"/>
    <w:basedOn w:val="1"/>
    <w:autoRedefine/>
    <w:qFormat/>
    <w:uiPriority w:val="0"/>
    <w:pPr>
      <w:spacing w:line="289" w:lineRule="atLeast"/>
      <w:jc w:val="center"/>
    </w:pPr>
    <w:rPr>
      <w:sz w:val="28"/>
      <w:u w:color="000000"/>
    </w:rPr>
  </w:style>
  <w:style w:type="character" w:customStyle="1" w:styleId="48">
    <w:name w:val="font91"/>
    <w:basedOn w:val="28"/>
    <w:autoRedefine/>
    <w:qFormat/>
    <w:uiPriority w:val="0"/>
    <w:rPr>
      <w:rFonts w:ascii="Calibri" w:hAnsi="Calibri" w:cs="Calibri"/>
      <w:color w:val="000000"/>
      <w:sz w:val="24"/>
      <w:szCs w:val="24"/>
      <w:u w:val="none"/>
    </w:rPr>
  </w:style>
  <w:style w:type="paragraph" w:customStyle="1" w:styleId="49">
    <w:name w:val="修订2"/>
    <w:autoRedefine/>
    <w:qFormat/>
    <w:uiPriority w:val="99"/>
    <w:rPr>
      <w:rFonts w:ascii="Arial" w:hAnsi="Arial" w:eastAsia="Arial" w:cs="Arial"/>
      <w:color w:val="000000"/>
      <w:sz w:val="21"/>
      <w:szCs w:val="21"/>
      <w:lang w:val="en-US" w:eastAsia="zh-CN" w:bidi="ar-SA"/>
    </w:rPr>
  </w:style>
  <w:style w:type="paragraph" w:customStyle="1" w:styleId="50">
    <w:name w:val="WPSOffice手动目录 1"/>
    <w:autoRedefine/>
    <w:qFormat/>
    <w:uiPriority w:val="0"/>
    <w:rPr>
      <w:rFonts w:ascii="Times New Roman" w:hAnsi="Times New Roman" w:eastAsia="宋体" w:cs="Times New Roman"/>
      <w:lang w:val="en-US" w:eastAsia="zh-CN" w:bidi="ar-SA"/>
    </w:rPr>
  </w:style>
  <w:style w:type="paragraph" w:customStyle="1" w:styleId="51">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52">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53">
    <w:name w:val="修订3"/>
    <w:autoRedefine/>
    <w:qFormat/>
    <w:uiPriority w:val="99"/>
    <w:rPr>
      <w:rFonts w:ascii="宋体" w:hAnsi="宋体" w:eastAsia="宋体" w:cs="宋体"/>
      <w:color w:val="000000"/>
      <w:sz w:val="21"/>
      <w:szCs w:val="21"/>
      <w:lang w:val="en-US" w:eastAsia="zh-CN" w:bidi="ar-SA"/>
    </w:rPr>
  </w:style>
  <w:style w:type="paragraph" w:customStyle="1" w:styleId="54">
    <w:name w:val="纯文本1"/>
    <w:basedOn w:val="1"/>
    <w:autoRedefine/>
    <w:qFormat/>
    <w:uiPriority w:val="0"/>
    <w:rPr>
      <w:rFonts w:hAnsi="Courier New" w:cs="Courier New"/>
    </w:rPr>
  </w:style>
  <w:style w:type="paragraph" w:customStyle="1" w:styleId="55">
    <w:name w:val="修订4"/>
    <w:autoRedefine/>
    <w:qFormat/>
    <w:uiPriority w:val="99"/>
    <w:rPr>
      <w:rFonts w:ascii="宋体" w:hAnsi="宋体" w:eastAsia="宋体" w:cs="宋体"/>
      <w:color w:val="000000"/>
      <w:sz w:val="21"/>
      <w:szCs w:val="21"/>
      <w:lang w:val="en-US" w:eastAsia="zh-CN" w:bidi="ar-SA"/>
    </w:rPr>
  </w:style>
  <w:style w:type="paragraph" w:customStyle="1" w:styleId="56">
    <w:name w:val="Table Paragraph"/>
    <w:basedOn w:val="1"/>
    <w:autoRedefine/>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97</Pages>
  <Words>53947</Words>
  <Characters>62820</Characters>
  <Lines>755</Lines>
  <Paragraphs>212</Paragraphs>
  <TotalTime>1</TotalTime>
  <ScaleCrop>false</ScaleCrop>
  <LinksUpToDate>false</LinksUpToDate>
  <CharactersWithSpaces>65260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2024-05-14T06:58:00Z</dcterms:created>
  <dc:creator>宫玉隆</dc:creator>
  <cp:lastModifiedBy>還愛我嗎?</cp:lastModifiedBy>
  <cp:lastPrinted>2024-05-14T09:31:00Z</cp:lastPrinted>
  <dcterms:modified xsi:type="dcterms:W3CDTF">2024-07-15T08:28:59Z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ACD0E05578B54A6F8DF70F84B45CE01C_13</vt:lpwstr>
  </property>
</Properties>
</file>