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cs="仿宋"/>
          <w:b/>
          <w:bCs/>
          <w:sz w:val="44"/>
          <w:szCs w:val="44"/>
          <w:highlight w:val="none"/>
        </w:rPr>
      </w:pPr>
      <w:r>
        <w:rPr>
          <w:rFonts w:hint="eastAsia" w:ascii="仿宋" w:hAnsi="仿宋" w:eastAsia="仿宋" w:cs="仿宋"/>
          <w:b/>
          <w:bCs/>
          <w:sz w:val="44"/>
          <w:szCs w:val="44"/>
          <w:highlight w:val="none"/>
        </w:rPr>
        <w:t xml:space="preserve"> 陇川县“互联网+成品油管理云平台”建设项目</w:t>
      </w: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spacing w:line="360" w:lineRule="auto"/>
        <w:jc w:val="center"/>
        <w:rPr>
          <w:rFonts w:ascii="仿宋" w:hAnsi="仿宋" w:eastAsia="仿宋" w:cs="仿宋"/>
          <w:b/>
          <w:bCs/>
          <w:sz w:val="84"/>
          <w:szCs w:val="84"/>
          <w:highlight w:val="none"/>
        </w:rPr>
      </w:pPr>
      <w:r>
        <w:rPr>
          <w:rFonts w:hint="eastAsia" w:ascii="仿宋" w:hAnsi="仿宋" w:eastAsia="仿宋" w:cs="仿宋"/>
          <w:b/>
          <w:bCs/>
          <w:sz w:val="84"/>
          <w:szCs w:val="84"/>
          <w:highlight w:val="none"/>
        </w:rPr>
        <w:t>招标文件</w:t>
      </w:r>
    </w:p>
    <w:p>
      <w:pPr>
        <w:rPr>
          <w:rFonts w:ascii="仿宋" w:hAnsi="仿宋" w:eastAsia="仿宋" w:cs="仿宋"/>
          <w:highlight w:val="none"/>
        </w:rPr>
      </w:pPr>
    </w:p>
    <w:p>
      <w:pPr>
        <w:pStyle w:val="2"/>
        <w:rPr>
          <w:rFonts w:ascii="仿宋" w:hAnsi="仿宋" w:eastAsia="仿宋" w:cs="仿宋"/>
          <w:highlight w:val="none"/>
        </w:rPr>
      </w:pPr>
    </w:p>
    <w:p>
      <w:pPr>
        <w:pStyle w:val="2"/>
        <w:rPr>
          <w:rFonts w:ascii="仿宋" w:hAnsi="仿宋" w:eastAsia="仿宋" w:cs="仿宋"/>
          <w:highlight w:val="none"/>
        </w:rPr>
      </w:pPr>
    </w:p>
    <w:p>
      <w:pPr>
        <w:pStyle w:val="2"/>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rPr>
          <w:rFonts w:ascii="仿宋" w:hAnsi="仿宋" w:eastAsia="仿宋" w:cs="仿宋"/>
          <w:highlight w:val="none"/>
        </w:rPr>
      </w:pPr>
    </w:p>
    <w:p>
      <w:pPr>
        <w:pStyle w:val="2"/>
        <w:rPr>
          <w:rFonts w:ascii="仿宋" w:hAnsi="仿宋" w:eastAsia="仿宋" w:cs="仿宋"/>
          <w:highlight w:val="none"/>
        </w:rPr>
      </w:pPr>
    </w:p>
    <w:p>
      <w:pPr>
        <w:spacing w:line="720" w:lineRule="auto"/>
        <w:ind w:firstLine="301" w:firstLineChars="100"/>
        <w:rPr>
          <w:rFonts w:ascii="仿宋" w:hAnsi="仿宋" w:eastAsia="仿宋" w:cs="仿宋"/>
          <w:b/>
          <w:sz w:val="30"/>
          <w:szCs w:val="30"/>
          <w:highlight w:val="none"/>
        </w:rPr>
      </w:pPr>
      <w:r>
        <w:rPr>
          <w:rFonts w:hint="eastAsia" w:ascii="仿宋" w:hAnsi="仿宋" w:eastAsia="仿宋" w:cs="仿宋"/>
          <w:b/>
          <w:sz w:val="30"/>
          <w:szCs w:val="30"/>
          <w:highlight w:val="none"/>
        </w:rPr>
        <w:t>项目编号：DHZC2024-G3-00462-DHYH-0030</w:t>
      </w:r>
    </w:p>
    <w:p>
      <w:pPr>
        <w:spacing w:line="720" w:lineRule="auto"/>
        <w:ind w:firstLine="301" w:firstLineChars="100"/>
        <w:rPr>
          <w:rFonts w:ascii="仿宋" w:hAnsi="仿宋" w:eastAsia="仿宋" w:cs="仿宋"/>
          <w:b/>
          <w:sz w:val="30"/>
          <w:szCs w:val="30"/>
          <w:highlight w:val="none"/>
        </w:rPr>
      </w:pPr>
      <w:r>
        <w:rPr>
          <w:rFonts w:hint="eastAsia" w:ascii="仿宋" w:hAnsi="仿宋" w:eastAsia="仿宋" w:cs="仿宋"/>
          <w:b/>
          <w:sz w:val="30"/>
          <w:szCs w:val="30"/>
          <w:highlight w:val="none"/>
        </w:rPr>
        <w:t>采购单位：</w:t>
      </w:r>
      <w:r>
        <w:rPr>
          <w:rFonts w:hint="eastAsia" w:ascii="仿宋" w:hAnsi="仿宋" w:eastAsia="仿宋" w:cs="仿宋"/>
          <w:b/>
          <w:sz w:val="32"/>
          <w:szCs w:val="32"/>
          <w:highlight w:val="none"/>
        </w:rPr>
        <w:t>陇川县工业和商务科技局</w:t>
      </w:r>
    </w:p>
    <w:p>
      <w:pPr>
        <w:spacing w:line="720" w:lineRule="auto"/>
        <w:ind w:firstLine="301" w:firstLineChars="100"/>
        <w:rPr>
          <w:rFonts w:ascii="仿宋" w:hAnsi="仿宋" w:eastAsia="仿宋" w:cs="仿宋"/>
          <w:b/>
          <w:sz w:val="32"/>
          <w:szCs w:val="32"/>
          <w:highlight w:val="none"/>
        </w:rPr>
      </w:pPr>
      <w:r>
        <w:rPr>
          <w:rFonts w:hint="eastAsia" w:ascii="仿宋" w:hAnsi="仿宋" w:eastAsia="仿宋" w:cs="仿宋"/>
          <w:b/>
          <w:sz w:val="30"/>
          <w:szCs w:val="30"/>
          <w:highlight w:val="none"/>
        </w:rPr>
        <w:t>采购代理机构：</w:t>
      </w:r>
      <w:r>
        <w:rPr>
          <w:rFonts w:hint="eastAsia" w:ascii="仿宋" w:hAnsi="仿宋" w:eastAsia="仿宋" w:cs="仿宋"/>
          <w:b/>
          <w:sz w:val="32"/>
          <w:szCs w:val="32"/>
          <w:highlight w:val="none"/>
        </w:rPr>
        <w:t>德宏裕豪招标咨询有限公司</w:t>
      </w:r>
    </w:p>
    <w:p>
      <w:pPr>
        <w:spacing w:line="720" w:lineRule="auto"/>
        <w:ind w:firstLine="321" w:firstLineChars="100"/>
        <w:rPr>
          <w:rFonts w:ascii="仿宋" w:hAnsi="仿宋" w:eastAsia="仿宋" w:cs="仿宋"/>
          <w:b/>
          <w:sz w:val="32"/>
          <w:szCs w:val="32"/>
          <w:highlight w:val="none"/>
        </w:rPr>
        <w:sectPr>
          <w:headerReference r:id="rId3" w:type="default"/>
          <w:footerReference r:id="rId4" w:type="default"/>
          <w:pgSz w:w="11905" w:h="16838"/>
          <w:pgMar w:top="1304" w:right="1327" w:bottom="1304" w:left="1327" w:header="851" w:footer="794" w:gutter="0"/>
          <w:pgNumType w:fmt="numberInDash" w:start="1"/>
          <w:cols w:space="0" w:num="1"/>
          <w:docGrid w:linePitch="312" w:charSpace="0"/>
        </w:sectPr>
      </w:pPr>
      <w:r>
        <w:rPr>
          <w:rFonts w:hint="eastAsia" w:ascii="仿宋" w:hAnsi="仿宋" w:eastAsia="仿宋" w:cs="仿宋"/>
          <w:b/>
          <w:sz w:val="32"/>
          <w:szCs w:val="32"/>
          <w:highlight w:val="none"/>
        </w:rPr>
        <w:t>日 期：2024年8月</w:t>
      </w:r>
    </w:p>
    <w:p>
      <w:pPr>
        <w:pageBreakBefore/>
        <w:widowControl/>
        <w:kinsoku w:val="0"/>
        <w:autoSpaceDE w:val="0"/>
        <w:autoSpaceDN w:val="0"/>
        <w:adjustRightInd w:val="0"/>
        <w:snapToGrid w:val="0"/>
        <w:spacing w:before="624" w:beforeLines="200" w:line="226" w:lineRule="auto"/>
        <w:jc w:val="center"/>
        <w:textAlignment w:val="baseline"/>
        <w:rPr>
          <w:rFonts w:ascii="仿宋" w:hAnsi="仿宋" w:eastAsia="仿宋" w:cs="仿宋"/>
          <w:b/>
          <w:bCs/>
          <w:sz w:val="47"/>
          <w:szCs w:val="47"/>
          <w:highlight w:val="none"/>
        </w:rPr>
      </w:pPr>
      <w:r>
        <w:rPr>
          <w:rFonts w:hint="eastAsia" w:ascii="仿宋" w:hAnsi="仿宋" w:eastAsia="仿宋" w:cs="仿宋"/>
          <w:b/>
          <w:bCs/>
          <w:spacing w:val="8"/>
          <w:sz w:val="47"/>
          <w:szCs w:val="47"/>
          <w:highlight w:val="none"/>
        </w:rPr>
        <w:t>注</w:t>
      </w:r>
      <w:r>
        <w:rPr>
          <w:rFonts w:hint="eastAsia" w:ascii="仿宋" w:hAnsi="仿宋" w:eastAsia="仿宋" w:cs="仿宋"/>
          <w:b/>
          <w:bCs/>
          <w:spacing w:val="6"/>
          <w:sz w:val="47"/>
          <w:szCs w:val="47"/>
          <w:highlight w:val="none"/>
        </w:rPr>
        <w:t>意事项</w:t>
      </w:r>
    </w:p>
    <w:p>
      <w:pPr>
        <w:spacing w:line="520" w:lineRule="exact"/>
        <w:ind w:firstLine="472" w:firstLineChars="196"/>
        <w:jc w:val="left"/>
        <w:rPr>
          <w:rFonts w:ascii="仿宋" w:hAnsi="仿宋" w:eastAsia="仿宋" w:cs="仿宋"/>
          <w:b/>
          <w:highlight w:val="none"/>
        </w:rPr>
      </w:pPr>
      <w:r>
        <w:rPr>
          <w:rFonts w:hint="eastAsia" w:ascii="仿宋" w:hAnsi="仿宋" w:eastAsia="仿宋" w:cs="仿宋"/>
          <w:b/>
          <w:highlight w:val="none"/>
        </w:rPr>
        <w:t>1.本项目为不见面开标，供应商无需到达现场；</w:t>
      </w:r>
    </w:p>
    <w:p>
      <w:pPr>
        <w:spacing w:line="520" w:lineRule="exact"/>
        <w:ind w:firstLine="472" w:firstLineChars="196"/>
        <w:jc w:val="left"/>
        <w:rPr>
          <w:rFonts w:ascii="仿宋" w:hAnsi="仿宋" w:eastAsia="仿宋" w:cs="仿宋"/>
          <w:b/>
          <w:highlight w:val="none"/>
        </w:rPr>
      </w:pPr>
      <w:r>
        <w:rPr>
          <w:rFonts w:hint="eastAsia" w:ascii="仿宋" w:hAnsi="仿宋" w:eastAsia="仿宋" w:cs="仿宋"/>
          <w:b/>
          <w:highlight w:val="none"/>
        </w:rPr>
        <w:t>2.本项目实行网上投标，采用电子投标文件；</w:t>
      </w:r>
    </w:p>
    <w:p>
      <w:pPr>
        <w:spacing w:line="520" w:lineRule="exact"/>
        <w:ind w:firstLine="472" w:firstLineChars="196"/>
        <w:jc w:val="left"/>
        <w:rPr>
          <w:rFonts w:ascii="仿宋" w:hAnsi="仿宋" w:eastAsia="仿宋" w:cs="仿宋"/>
          <w:b/>
          <w:highlight w:val="none"/>
        </w:rPr>
      </w:pPr>
      <w:r>
        <w:rPr>
          <w:rFonts w:hint="eastAsia" w:ascii="仿宋" w:hAnsi="仿宋" w:eastAsia="仿宋" w:cs="仿宋"/>
          <w:b/>
          <w:highlight w:val="none"/>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pPr>
        <w:spacing w:line="520" w:lineRule="exact"/>
        <w:ind w:firstLine="472" w:firstLineChars="196"/>
        <w:jc w:val="left"/>
        <w:rPr>
          <w:rFonts w:ascii="仿宋" w:hAnsi="仿宋" w:eastAsia="仿宋" w:cs="仿宋"/>
          <w:b/>
          <w:highlight w:val="none"/>
        </w:rPr>
      </w:pPr>
      <w:r>
        <w:rPr>
          <w:rFonts w:hint="eastAsia" w:ascii="仿宋" w:hAnsi="仿宋" w:eastAsia="仿宋" w:cs="仿宋"/>
          <w:b/>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pPr>
        <w:widowControl/>
        <w:kinsoku w:val="0"/>
        <w:autoSpaceDE w:val="0"/>
        <w:autoSpaceDN w:val="0"/>
        <w:adjustRightInd w:val="0"/>
        <w:snapToGrid w:val="0"/>
        <w:spacing w:line="420" w:lineRule="atLeast"/>
        <w:ind w:firstLine="482" w:firstLineChars="200"/>
        <w:textAlignment w:val="baseline"/>
        <w:rPr>
          <w:rFonts w:ascii="仿宋" w:hAnsi="仿宋" w:eastAsia="仿宋" w:cs="仿宋"/>
          <w:highlight w:val="none"/>
        </w:rPr>
      </w:pPr>
      <w:r>
        <w:rPr>
          <w:rFonts w:hint="eastAsia" w:ascii="仿宋" w:hAnsi="仿宋" w:eastAsia="仿宋" w:cs="仿宋"/>
          <w:b/>
          <w:highlight w:val="none"/>
        </w:rPr>
        <w:t>5.网上递交：网上递交网址为政采云平台（https://www.zcygov.cn/），各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pPr>
        <w:widowControl/>
        <w:jc w:val="center"/>
        <w:rPr>
          <w:rFonts w:ascii="仿宋" w:hAnsi="仿宋" w:eastAsia="仿宋" w:cs="仿宋"/>
          <w:b/>
          <w:sz w:val="36"/>
          <w:szCs w:val="36"/>
          <w:highlight w:val="none"/>
        </w:rPr>
      </w:pPr>
    </w:p>
    <w:p>
      <w:pPr>
        <w:widowControl/>
        <w:jc w:val="center"/>
        <w:rPr>
          <w:rFonts w:ascii="仿宋" w:hAnsi="仿宋" w:eastAsia="仿宋" w:cs="仿宋"/>
          <w:b/>
          <w:sz w:val="36"/>
          <w:szCs w:val="36"/>
          <w:highlight w:val="none"/>
        </w:rPr>
      </w:pPr>
    </w:p>
    <w:p>
      <w:pPr>
        <w:widowControl/>
        <w:jc w:val="center"/>
        <w:rPr>
          <w:rFonts w:ascii="仿宋" w:hAnsi="仿宋" w:eastAsia="仿宋" w:cs="仿宋"/>
          <w:b/>
          <w:sz w:val="36"/>
          <w:szCs w:val="36"/>
          <w:highlight w:val="none"/>
        </w:rPr>
      </w:pPr>
    </w:p>
    <w:p>
      <w:pPr>
        <w:widowControl/>
        <w:jc w:val="center"/>
        <w:rPr>
          <w:rFonts w:ascii="仿宋" w:hAnsi="仿宋" w:eastAsia="仿宋" w:cs="仿宋"/>
          <w:b/>
          <w:sz w:val="36"/>
          <w:szCs w:val="36"/>
          <w:highlight w:val="none"/>
        </w:rPr>
      </w:pPr>
      <w:r>
        <w:rPr>
          <w:rFonts w:hint="eastAsia" w:ascii="仿宋" w:hAnsi="仿宋" w:eastAsia="仿宋" w:cs="仿宋"/>
          <w:b/>
          <w:sz w:val="36"/>
          <w:szCs w:val="36"/>
          <w:highlight w:val="none"/>
        </w:rPr>
        <w:t>目    录</w:t>
      </w:r>
    </w:p>
    <w:p>
      <w:pPr>
        <w:pStyle w:val="7"/>
        <w:rPr>
          <w:rFonts w:ascii="仿宋" w:hAnsi="仿宋" w:eastAsia="仿宋" w:cs="仿宋"/>
          <w:highlight w:val="none"/>
        </w:rPr>
      </w:pPr>
    </w:p>
    <w:p>
      <w:pPr>
        <w:pStyle w:val="25"/>
        <w:spacing w:before="156" w:after="156"/>
        <w:rPr>
          <w:rFonts w:ascii="仿宋" w:hAnsi="仿宋" w:eastAsia="仿宋" w:cs="仿宋"/>
          <w:b w:val="0"/>
          <w:sz w:val="32"/>
          <w:szCs w:val="32"/>
          <w:highlight w:val="none"/>
        </w:rPr>
      </w:pPr>
      <w:r>
        <w:rPr>
          <w:rFonts w:hint="eastAsia" w:ascii="仿宋" w:hAnsi="仿宋" w:eastAsia="仿宋" w:cs="仿宋"/>
          <w:b w:val="0"/>
          <w:highlight w:val="none"/>
        </w:rPr>
        <w:fldChar w:fldCharType="begin"/>
      </w:r>
      <w:r>
        <w:rPr>
          <w:rFonts w:hint="eastAsia" w:ascii="仿宋" w:hAnsi="仿宋" w:eastAsia="仿宋" w:cs="仿宋"/>
          <w:b w:val="0"/>
          <w:highlight w:val="none"/>
        </w:rPr>
        <w:instrText xml:space="preserve"> TOC \o "1-3" \h \z \u </w:instrText>
      </w:r>
      <w:r>
        <w:rPr>
          <w:rFonts w:hint="eastAsia" w:ascii="仿宋" w:hAnsi="仿宋" w:eastAsia="仿宋" w:cs="仿宋"/>
          <w:b w:val="0"/>
          <w:highlight w:val="none"/>
        </w:rPr>
        <w:fldChar w:fldCharType="separate"/>
      </w:r>
      <w:r>
        <w:rPr>
          <w:highlight w:val="none"/>
        </w:rPr>
        <w:fldChar w:fldCharType="begin"/>
      </w:r>
      <w:r>
        <w:rPr>
          <w:highlight w:val="none"/>
        </w:rPr>
        <w:instrText xml:space="preserve"> HYPERLINK \l "_Toc73290872" </w:instrText>
      </w:r>
      <w:r>
        <w:rPr>
          <w:highlight w:val="none"/>
        </w:rPr>
        <w:fldChar w:fldCharType="separate"/>
      </w:r>
      <w:r>
        <w:rPr>
          <w:rStyle w:val="37"/>
          <w:rFonts w:hint="eastAsia" w:ascii="仿宋" w:hAnsi="仿宋" w:eastAsia="仿宋" w:cs="仿宋"/>
          <w:b w:val="0"/>
          <w:color w:val="auto"/>
          <w:sz w:val="32"/>
          <w:szCs w:val="32"/>
          <w:highlight w:val="none"/>
        </w:rPr>
        <w:t>第一章 招 标 公 告</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_Toc73290872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4</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25"/>
        <w:spacing w:before="156" w:after="156"/>
        <w:rPr>
          <w:rFonts w:ascii="仿宋" w:hAnsi="仿宋" w:eastAsia="仿宋" w:cs="仿宋"/>
          <w:sz w:val="32"/>
          <w:szCs w:val="32"/>
          <w:highlight w:val="none"/>
        </w:rPr>
      </w:pPr>
      <w:r>
        <w:rPr>
          <w:highlight w:val="none"/>
        </w:rPr>
        <w:fldChar w:fldCharType="begin"/>
      </w:r>
      <w:r>
        <w:rPr>
          <w:highlight w:val="none"/>
        </w:rPr>
        <w:instrText xml:space="preserve"> HYPERLINK \l "_Toc73290882" </w:instrText>
      </w:r>
      <w:r>
        <w:rPr>
          <w:highlight w:val="none"/>
        </w:rPr>
        <w:fldChar w:fldCharType="separate"/>
      </w:r>
      <w:r>
        <w:rPr>
          <w:rStyle w:val="37"/>
          <w:rFonts w:hint="eastAsia" w:ascii="仿宋" w:hAnsi="仿宋" w:eastAsia="仿宋" w:cs="仿宋"/>
          <w:b w:val="0"/>
          <w:color w:val="auto"/>
          <w:sz w:val="32"/>
          <w:szCs w:val="32"/>
          <w:highlight w:val="none"/>
        </w:rPr>
        <w:t>第二章 投标人须知</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_Toc73290882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10</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25"/>
        <w:spacing w:before="156" w:after="156"/>
        <w:rPr>
          <w:rFonts w:ascii="仿宋" w:hAnsi="仿宋" w:eastAsia="仿宋" w:cs="仿宋"/>
          <w:b w:val="0"/>
          <w:sz w:val="32"/>
          <w:szCs w:val="32"/>
          <w:highlight w:val="none"/>
        </w:rPr>
      </w:pPr>
      <w:r>
        <w:rPr>
          <w:highlight w:val="none"/>
        </w:rPr>
        <w:fldChar w:fldCharType="begin"/>
      </w:r>
      <w:r>
        <w:rPr>
          <w:highlight w:val="none"/>
        </w:rPr>
        <w:instrText xml:space="preserve"> HYPERLINK \l "_Toc73290924" </w:instrText>
      </w:r>
      <w:r>
        <w:rPr>
          <w:highlight w:val="none"/>
        </w:rPr>
        <w:fldChar w:fldCharType="separate"/>
      </w:r>
      <w:r>
        <w:rPr>
          <w:rStyle w:val="37"/>
          <w:rFonts w:hint="eastAsia" w:ascii="仿宋" w:hAnsi="仿宋" w:eastAsia="仿宋" w:cs="仿宋"/>
          <w:b w:val="0"/>
          <w:color w:val="auto"/>
          <w:sz w:val="32"/>
          <w:szCs w:val="32"/>
          <w:highlight w:val="none"/>
        </w:rPr>
        <w:t>第三章 资格评审标准</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_Toc73290924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32</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25"/>
        <w:spacing w:before="156" w:after="156"/>
        <w:rPr>
          <w:rFonts w:ascii="仿宋" w:hAnsi="仿宋" w:eastAsia="仿宋" w:cs="仿宋"/>
          <w:b w:val="0"/>
          <w:sz w:val="32"/>
          <w:szCs w:val="32"/>
          <w:highlight w:val="none"/>
        </w:rPr>
      </w:pPr>
      <w:r>
        <w:rPr>
          <w:highlight w:val="none"/>
        </w:rPr>
        <w:fldChar w:fldCharType="begin"/>
      </w:r>
      <w:r>
        <w:rPr>
          <w:highlight w:val="none"/>
        </w:rPr>
        <w:instrText xml:space="preserve"> HYPERLINK \l "_Toc73290925" </w:instrText>
      </w:r>
      <w:r>
        <w:rPr>
          <w:highlight w:val="none"/>
        </w:rPr>
        <w:fldChar w:fldCharType="separate"/>
      </w:r>
      <w:r>
        <w:rPr>
          <w:rStyle w:val="37"/>
          <w:rFonts w:hint="eastAsia" w:ascii="仿宋" w:hAnsi="仿宋" w:eastAsia="仿宋" w:cs="仿宋"/>
          <w:b w:val="0"/>
          <w:color w:val="auto"/>
          <w:sz w:val="32"/>
          <w:szCs w:val="32"/>
          <w:highlight w:val="none"/>
        </w:rPr>
        <w:t>第四章 评标办法</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_Toc73290925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34</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25"/>
        <w:spacing w:before="156" w:after="156"/>
        <w:rPr>
          <w:rFonts w:ascii="仿宋" w:hAnsi="仿宋" w:eastAsia="仿宋" w:cs="仿宋"/>
          <w:b w:val="0"/>
          <w:sz w:val="32"/>
          <w:szCs w:val="32"/>
          <w:highlight w:val="none"/>
        </w:rPr>
      </w:pPr>
      <w:r>
        <w:rPr>
          <w:highlight w:val="none"/>
        </w:rPr>
        <w:fldChar w:fldCharType="begin"/>
      </w:r>
      <w:r>
        <w:rPr>
          <w:highlight w:val="none"/>
        </w:rPr>
        <w:instrText xml:space="preserve"> HYPERLINK \l "_Toc73290929" </w:instrText>
      </w:r>
      <w:r>
        <w:rPr>
          <w:highlight w:val="none"/>
        </w:rPr>
        <w:fldChar w:fldCharType="separate"/>
      </w:r>
      <w:r>
        <w:rPr>
          <w:rStyle w:val="37"/>
          <w:rFonts w:hint="eastAsia" w:ascii="仿宋" w:hAnsi="仿宋" w:eastAsia="仿宋" w:cs="仿宋"/>
          <w:b w:val="0"/>
          <w:color w:val="auto"/>
          <w:sz w:val="32"/>
          <w:szCs w:val="32"/>
          <w:highlight w:val="none"/>
        </w:rPr>
        <w:t>第五章 合同条款及格式</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_Toc73290929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37</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25"/>
        <w:spacing w:before="156" w:after="156"/>
        <w:rPr>
          <w:rFonts w:ascii="仿宋" w:hAnsi="仿宋" w:eastAsia="仿宋" w:cs="仿宋"/>
          <w:b w:val="0"/>
          <w:sz w:val="32"/>
          <w:szCs w:val="32"/>
          <w:highlight w:val="none"/>
        </w:rPr>
      </w:pPr>
      <w:r>
        <w:rPr>
          <w:highlight w:val="none"/>
        </w:rPr>
        <w:fldChar w:fldCharType="begin"/>
      </w:r>
      <w:r>
        <w:rPr>
          <w:highlight w:val="none"/>
        </w:rPr>
        <w:instrText xml:space="preserve"> HYPERLINK \l "_Toc73290945" </w:instrText>
      </w:r>
      <w:r>
        <w:rPr>
          <w:highlight w:val="none"/>
        </w:rPr>
        <w:fldChar w:fldCharType="separate"/>
      </w:r>
      <w:r>
        <w:rPr>
          <w:rStyle w:val="37"/>
          <w:rFonts w:hint="eastAsia" w:ascii="仿宋" w:hAnsi="仿宋" w:eastAsia="仿宋" w:cs="仿宋"/>
          <w:b w:val="0"/>
          <w:color w:val="auto"/>
          <w:sz w:val="32"/>
          <w:szCs w:val="32"/>
          <w:highlight w:val="none"/>
        </w:rPr>
        <w:t>第六章 采购内容及具体要求</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_Toc73290945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39</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25"/>
        <w:spacing w:before="156" w:after="156"/>
        <w:rPr>
          <w:rFonts w:ascii="仿宋" w:hAnsi="仿宋" w:eastAsia="仿宋" w:cs="仿宋"/>
          <w:b w:val="0"/>
          <w:sz w:val="32"/>
          <w:szCs w:val="32"/>
          <w:highlight w:val="none"/>
        </w:rPr>
      </w:pPr>
      <w:r>
        <w:rPr>
          <w:highlight w:val="none"/>
        </w:rPr>
        <w:fldChar w:fldCharType="begin"/>
      </w:r>
      <w:r>
        <w:rPr>
          <w:highlight w:val="none"/>
        </w:rPr>
        <w:instrText xml:space="preserve"> HYPERLINK \l "_Toc73290946" </w:instrText>
      </w:r>
      <w:r>
        <w:rPr>
          <w:highlight w:val="none"/>
        </w:rPr>
        <w:fldChar w:fldCharType="separate"/>
      </w:r>
      <w:r>
        <w:rPr>
          <w:rStyle w:val="37"/>
          <w:rFonts w:hint="eastAsia" w:ascii="仿宋" w:hAnsi="仿宋" w:eastAsia="仿宋" w:cs="仿宋"/>
          <w:b w:val="0"/>
          <w:color w:val="auto"/>
          <w:sz w:val="32"/>
          <w:szCs w:val="32"/>
          <w:highlight w:val="none"/>
        </w:rPr>
        <w:t>第七章  投标文件格式</w:t>
      </w:r>
      <w:r>
        <w:rPr>
          <w:rFonts w:hint="eastAsia" w:ascii="仿宋" w:hAnsi="仿宋" w:eastAsia="仿宋" w:cs="仿宋"/>
          <w:b w:val="0"/>
          <w:sz w:val="32"/>
          <w:szCs w:val="32"/>
          <w:highlight w:val="none"/>
        </w:rPr>
        <w:tab/>
      </w:r>
      <w:r>
        <w:rPr>
          <w:rFonts w:hint="eastAsia" w:ascii="仿宋" w:hAnsi="仿宋" w:eastAsia="仿宋" w:cs="仿宋"/>
          <w:b w:val="0"/>
          <w:sz w:val="32"/>
          <w:szCs w:val="32"/>
          <w:highlight w:val="none"/>
        </w:rPr>
        <w:fldChar w:fldCharType="begin"/>
      </w:r>
      <w:r>
        <w:rPr>
          <w:rFonts w:hint="eastAsia" w:ascii="仿宋" w:hAnsi="仿宋" w:eastAsia="仿宋" w:cs="仿宋"/>
          <w:b w:val="0"/>
          <w:sz w:val="32"/>
          <w:szCs w:val="32"/>
          <w:highlight w:val="none"/>
        </w:rPr>
        <w:instrText xml:space="preserve"> PAGEREF _Toc73290946 \h </w:instrText>
      </w:r>
      <w:r>
        <w:rPr>
          <w:rFonts w:hint="eastAsia" w:ascii="仿宋" w:hAnsi="仿宋" w:eastAsia="仿宋" w:cs="仿宋"/>
          <w:b w:val="0"/>
          <w:sz w:val="32"/>
          <w:szCs w:val="32"/>
          <w:highlight w:val="none"/>
        </w:rPr>
        <w:fldChar w:fldCharType="separate"/>
      </w:r>
      <w:r>
        <w:rPr>
          <w:rFonts w:hint="eastAsia" w:ascii="仿宋" w:hAnsi="仿宋" w:eastAsia="仿宋" w:cs="仿宋"/>
          <w:b w:val="0"/>
          <w:sz w:val="32"/>
          <w:szCs w:val="32"/>
          <w:highlight w:val="none"/>
        </w:rPr>
        <w:t>43</w:t>
      </w:r>
      <w:r>
        <w:rPr>
          <w:rFonts w:hint="eastAsia" w:ascii="仿宋" w:hAnsi="仿宋" w:eastAsia="仿宋" w:cs="仿宋"/>
          <w:b w:val="0"/>
          <w:sz w:val="32"/>
          <w:szCs w:val="32"/>
          <w:highlight w:val="none"/>
        </w:rPr>
        <w:fldChar w:fldCharType="end"/>
      </w:r>
      <w:r>
        <w:rPr>
          <w:rFonts w:hint="eastAsia" w:ascii="仿宋" w:hAnsi="仿宋" w:eastAsia="仿宋" w:cs="仿宋"/>
          <w:b w:val="0"/>
          <w:sz w:val="32"/>
          <w:szCs w:val="32"/>
          <w:highlight w:val="none"/>
        </w:rPr>
        <w:fldChar w:fldCharType="end"/>
      </w:r>
    </w:p>
    <w:p>
      <w:pPr>
        <w:pStyle w:val="17"/>
        <w:spacing w:line="240" w:lineRule="auto"/>
        <w:ind w:left="960"/>
        <w:rPr>
          <w:rFonts w:ascii="仿宋" w:hAnsi="仿宋" w:eastAsia="仿宋" w:cs="仿宋"/>
          <w:szCs w:val="22"/>
          <w:highlight w:val="none"/>
        </w:rPr>
      </w:pPr>
    </w:p>
    <w:p>
      <w:pPr>
        <w:tabs>
          <w:tab w:val="left" w:pos="6480"/>
        </w:tabs>
        <w:spacing w:before="156" w:beforeLines="50" w:after="156" w:afterLines="50" w:line="400" w:lineRule="exact"/>
        <w:ind w:right="26" w:rightChars="11"/>
        <w:jc w:val="center"/>
        <w:outlineLvl w:val="0"/>
        <w:rPr>
          <w:rFonts w:ascii="仿宋" w:hAnsi="仿宋" w:eastAsia="仿宋" w:cs="仿宋"/>
          <w:b/>
          <w:szCs w:val="21"/>
          <w:highlight w:val="none"/>
        </w:rPr>
      </w:pPr>
      <w:r>
        <w:rPr>
          <w:rFonts w:hint="eastAsia" w:ascii="仿宋" w:hAnsi="仿宋" w:eastAsia="仿宋" w:cs="仿宋"/>
          <w:szCs w:val="21"/>
          <w:highlight w:val="none"/>
        </w:rPr>
        <w:fldChar w:fldCharType="end"/>
      </w:r>
      <w:bookmarkStart w:id="0" w:name="_Toc319234558"/>
      <w:r>
        <w:rPr>
          <w:rFonts w:hint="eastAsia" w:ascii="仿宋" w:hAnsi="仿宋" w:eastAsia="仿宋" w:cs="仿宋"/>
          <w:b/>
          <w:sz w:val="36"/>
          <w:szCs w:val="36"/>
          <w:highlight w:val="none"/>
        </w:rPr>
        <w:br w:type="page"/>
      </w:r>
      <w:bookmarkEnd w:id="0"/>
      <w:bookmarkStart w:id="1" w:name="_Toc68712820"/>
      <w:bookmarkStart w:id="2" w:name="_Toc73290872"/>
      <w:r>
        <w:rPr>
          <w:rFonts w:hint="eastAsia" w:ascii="仿宋" w:hAnsi="仿宋" w:eastAsia="仿宋" w:cs="仿宋"/>
          <w:b/>
          <w:sz w:val="36"/>
          <w:szCs w:val="36"/>
          <w:highlight w:val="none"/>
        </w:rPr>
        <w:t>第一章 招 标 公 告</w:t>
      </w:r>
      <w:bookmarkEnd w:id="1"/>
      <w:bookmarkEnd w:id="2"/>
    </w:p>
    <w:p>
      <w:pPr>
        <w:pBdr>
          <w:top w:val="single" w:color="auto" w:sz="4" w:space="1"/>
          <w:left w:val="single" w:color="auto" w:sz="4" w:space="4"/>
          <w:bottom w:val="single" w:color="auto" w:sz="4" w:space="1"/>
          <w:right w:val="single" w:color="auto" w:sz="4" w:space="4"/>
        </w:pBdr>
        <w:spacing w:line="460" w:lineRule="exact"/>
        <w:ind w:firstLine="480" w:firstLineChars="200"/>
        <w:rPr>
          <w:rFonts w:ascii="仿宋" w:hAnsi="仿宋" w:eastAsia="仿宋" w:cs="仿宋"/>
          <w:bCs/>
          <w:highlight w:val="none"/>
        </w:rPr>
      </w:pPr>
      <w:bookmarkStart w:id="3" w:name="_Toc73290875"/>
      <w:r>
        <w:rPr>
          <w:rFonts w:hint="eastAsia" w:ascii="仿宋" w:hAnsi="仿宋" w:eastAsia="仿宋" w:cs="仿宋"/>
          <w:highlight w:val="none"/>
          <w:u w:val="single"/>
        </w:rPr>
        <w:t xml:space="preserve"> 陇川县“互联网+成品油管理云平台”建设项目</w:t>
      </w:r>
      <w:r>
        <w:rPr>
          <w:rFonts w:hint="eastAsia" w:ascii="仿宋" w:hAnsi="仿宋" w:eastAsia="仿宋" w:cs="仿宋"/>
          <w:highlight w:val="none"/>
        </w:rPr>
        <w:t>的潜在投标人应在政采云平台（https://www.zcygov.cn/）获取招标文件，并于</w:t>
      </w:r>
      <w:r>
        <w:rPr>
          <w:rFonts w:hint="eastAsia" w:ascii="仿宋" w:hAnsi="仿宋" w:eastAsia="仿宋" w:cs="仿宋"/>
          <w:highlight w:val="none"/>
          <w:u w:val="single"/>
        </w:rPr>
        <w:t xml:space="preserve"> 2024</w:t>
      </w:r>
      <w:r>
        <w:rPr>
          <w:rFonts w:hint="eastAsia" w:ascii="仿宋" w:hAnsi="仿宋" w:eastAsia="仿宋" w:cs="仿宋"/>
          <w:bCs/>
          <w:highlight w:val="none"/>
          <w:u w:val="single"/>
        </w:rPr>
        <w:t>年</w:t>
      </w:r>
      <w:r>
        <w:rPr>
          <w:rFonts w:hint="eastAsia" w:ascii="仿宋" w:hAnsi="仿宋" w:eastAsia="仿宋" w:cs="仿宋"/>
          <w:bCs/>
          <w:highlight w:val="none"/>
          <w:u w:val="single"/>
          <w:lang w:val="en-US" w:eastAsia="zh-CN"/>
        </w:rPr>
        <w:t>9</w:t>
      </w:r>
      <w:r>
        <w:rPr>
          <w:rFonts w:hint="eastAsia" w:ascii="仿宋" w:hAnsi="仿宋" w:eastAsia="仿宋" w:cs="仿宋"/>
          <w:bCs/>
          <w:highlight w:val="none"/>
          <w:u w:val="single"/>
        </w:rPr>
        <w:t xml:space="preserve">月 </w:t>
      </w:r>
      <w:r>
        <w:rPr>
          <w:rFonts w:hint="eastAsia" w:ascii="仿宋" w:hAnsi="仿宋" w:eastAsia="仿宋" w:cs="仿宋"/>
          <w:bCs/>
          <w:highlight w:val="none"/>
          <w:u w:val="single"/>
          <w:lang w:val="en-US" w:eastAsia="zh-CN"/>
        </w:rPr>
        <w:t>3</w:t>
      </w:r>
      <w:r>
        <w:rPr>
          <w:rFonts w:hint="eastAsia" w:ascii="仿宋" w:hAnsi="仿宋" w:eastAsia="仿宋" w:cs="仿宋"/>
          <w:bCs/>
          <w:highlight w:val="none"/>
          <w:u w:val="single"/>
        </w:rPr>
        <w:t xml:space="preserve"> 日9点00分（</w:t>
      </w:r>
      <w:r>
        <w:rPr>
          <w:rFonts w:hint="eastAsia" w:ascii="仿宋" w:hAnsi="仿宋" w:eastAsia="仿宋" w:cs="仿宋"/>
          <w:bCs/>
          <w:highlight w:val="none"/>
        </w:rPr>
        <w:t>北京时间）前递交投标文件</w:t>
      </w:r>
      <w:r>
        <w:rPr>
          <w:rFonts w:hint="eastAsia" w:ascii="仿宋" w:hAnsi="仿宋" w:eastAsia="仿宋" w:cs="仿宋"/>
          <w:highlight w:val="none"/>
        </w:rPr>
        <w:t>。</w:t>
      </w:r>
    </w:p>
    <w:p>
      <w:pPr>
        <w:pStyle w:val="5"/>
        <w:spacing w:before="312" w:beforeLines="100" w:after="0"/>
        <w:rPr>
          <w:rFonts w:hint="default" w:ascii="仿宋" w:hAnsi="仿宋" w:eastAsia="仿宋" w:cs="仿宋"/>
          <w:sz w:val="24"/>
          <w:szCs w:val="24"/>
          <w:highlight w:val="none"/>
        </w:rPr>
      </w:pPr>
      <w:r>
        <w:rPr>
          <w:rFonts w:ascii="仿宋" w:hAnsi="仿宋" w:eastAsia="仿宋" w:cs="仿宋"/>
          <w:sz w:val="24"/>
          <w:szCs w:val="24"/>
          <w:highlight w:val="none"/>
        </w:rPr>
        <w:t>一、项目基本情况</w:t>
      </w:r>
      <w:bookmarkEnd w:id="3"/>
    </w:p>
    <w:p>
      <w:pPr>
        <w:pStyle w:val="2"/>
        <w:spacing w:line="480" w:lineRule="auto"/>
        <w:ind w:firstLine="482" w:firstLineChars="200"/>
        <w:rPr>
          <w:rFonts w:ascii="仿宋" w:hAnsi="仿宋" w:eastAsia="仿宋" w:cs="仿宋"/>
          <w:highlight w:val="none"/>
        </w:rPr>
      </w:pPr>
      <w:bookmarkStart w:id="4" w:name="_Toc68712824"/>
      <w:bookmarkStart w:id="5" w:name="_Toc1342"/>
      <w:bookmarkStart w:id="6" w:name="_Toc27236553"/>
      <w:bookmarkStart w:id="7" w:name="_Toc27223520"/>
      <w:bookmarkStart w:id="8" w:name="_Toc30077"/>
      <w:bookmarkStart w:id="9" w:name="_Toc246238640"/>
      <w:bookmarkStart w:id="10" w:name="_Toc184635054"/>
      <w:bookmarkStart w:id="11" w:name="_Toc7442"/>
      <w:bookmarkStart w:id="12" w:name="_Toc22979"/>
      <w:bookmarkStart w:id="13" w:name="_Toc254656444"/>
      <w:bookmarkStart w:id="14" w:name="_Toc7048"/>
      <w:r>
        <w:rPr>
          <w:rFonts w:hint="eastAsia" w:ascii="仿宋" w:hAnsi="仿宋" w:eastAsia="仿宋" w:cs="仿宋"/>
          <w:b/>
          <w:bCs/>
          <w:highlight w:val="none"/>
        </w:rPr>
        <w:t>1.项目编号</w:t>
      </w:r>
      <w:r>
        <w:rPr>
          <w:rFonts w:hint="eastAsia" w:ascii="仿宋" w:hAnsi="仿宋" w:eastAsia="仿宋" w:cs="仿宋"/>
          <w:highlight w:val="none"/>
        </w:rPr>
        <w:t>：DHZC2024-G3-00462-DHYH-0030</w:t>
      </w:r>
      <w:bookmarkStart w:id="123" w:name="_GoBack"/>
      <w:bookmarkEnd w:id="123"/>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2.项目名称</w:t>
      </w:r>
      <w:r>
        <w:rPr>
          <w:rFonts w:hint="eastAsia" w:ascii="仿宋" w:hAnsi="仿宋" w:eastAsia="仿宋" w:cs="仿宋"/>
          <w:highlight w:val="none"/>
        </w:rPr>
        <w:t>：陇川县“互联网+成品油管理云平台”建设项目；</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3.采购预算</w:t>
      </w:r>
      <w:r>
        <w:rPr>
          <w:rFonts w:hint="eastAsia" w:ascii="仿宋" w:hAnsi="仿宋" w:eastAsia="仿宋" w:cs="仿宋"/>
          <w:highlight w:val="none"/>
        </w:rPr>
        <w:t>：150万元（三年）；</w:t>
      </w:r>
    </w:p>
    <w:p>
      <w:pPr>
        <w:rPr>
          <w:rFonts w:ascii="仿宋" w:hAnsi="仿宋" w:eastAsia="仿宋" w:cs="仿宋"/>
          <w:highlight w:val="none"/>
        </w:rPr>
      </w:pPr>
      <w:r>
        <w:rPr>
          <w:rFonts w:hint="eastAsia" w:ascii="仿宋" w:hAnsi="仿宋" w:eastAsia="仿宋" w:cs="仿宋"/>
          <w:highlight w:val="none"/>
        </w:rPr>
        <w:t xml:space="preserve">  </w:t>
      </w:r>
      <w:r>
        <w:rPr>
          <w:rFonts w:hint="eastAsia" w:ascii="仿宋" w:hAnsi="仿宋" w:eastAsia="仿宋" w:cs="仿宋"/>
          <w:b/>
          <w:bCs/>
          <w:highlight w:val="none"/>
        </w:rPr>
        <w:t xml:space="preserve">  4.最高限价：</w:t>
      </w:r>
      <w:r>
        <w:rPr>
          <w:rFonts w:hint="eastAsia" w:ascii="仿宋" w:hAnsi="仿宋" w:eastAsia="仿宋" w:cs="仿宋"/>
          <w:highlight w:val="none"/>
        </w:rPr>
        <w:t>150万元（三年）；</w:t>
      </w:r>
    </w:p>
    <w:p>
      <w:pPr>
        <w:spacing w:line="500" w:lineRule="exact"/>
        <w:ind w:firstLine="482" w:firstLineChars="200"/>
        <w:rPr>
          <w:rFonts w:ascii="仿宋" w:hAnsi="仿宋" w:eastAsia="仿宋" w:cs="仿宋"/>
          <w:highlight w:val="none"/>
        </w:rPr>
      </w:pPr>
      <w:r>
        <w:rPr>
          <w:rFonts w:hint="eastAsia" w:ascii="仿宋" w:hAnsi="仿宋" w:eastAsia="仿宋" w:cs="仿宋"/>
          <w:b/>
          <w:bCs/>
          <w:highlight w:val="none"/>
        </w:rPr>
        <w:t>5.采购内容</w:t>
      </w:r>
      <w:r>
        <w:rPr>
          <w:rFonts w:hint="eastAsia" w:ascii="仿宋" w:hAnsi="仿宋" w:eastAsia="仿宋" w:cs="仿宋"/>
          <w:highlight w:val="none"/>
        </w:rPr>
        <w:t>：</w:t>
      </w:r>
      <w:r>
        <w:rPr>
          <w:rFonts w:hint="eastAsia" w:ascii="仿宋" w:hAnsi="仿宋" w:eastAsia="仿宋" w:cs="仿宋"/>
          <w:highlight w:val="none"/>
        </w:rPr>
        <w:t>由第三方服务机构在全县民营加油站对油罐液位仪及加油机进行数据采集服务，并由第三方服务机构搭建实时数据监控“云平台”，将数据实时传输到云平台，实现对民营加油站成品油“进、销、存”全环节闭环式管理，各成员单位凭账号密码登录查询相关企业数据，根据部门承担的职责，开展相应工作。具体内容详见第六章采购需求。</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6.合同履行期限</w:t>
      </w:r>
      <w:r>
        <w:rPr>
          <w:rFonts w:hint="eastAsia" w:ascii="仿宋" w:hAnsi="仿宋" w:eastAsia="仿宋" w:cs="仿宋"/>
          <w:highlight w:val="none"/>
        </w:rPr>
        <w:t>：服务期限三年，合同一年一签，建设周期60日历天。</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7.实施地点</w:t>
      </w:r>
      <w:r>
        <w:rPr>
          <w:rFonts w:hint="eastAsia" w:ascii="仿宋" w:hAnsi="仿宋" w:eastAsia="仿宋" w:cs="仿宋"/>
          <w:highlight w:val="none"/>
        </w:rPr>
        <w:t>：陇川县行政辖区内。</w:t>
      </w:r>
    </w:p>
    <w:p>
      <w:pPr>
        <w:pStyle w:val="2"/>
        <w:spacing w:line="480" w:lineRule="auto"/>
        <w:ind w:firstLine="482" w:firstLineChars="200"/>
        <w:rPr>
          <w:rFonts w:ascii="仿宋" w:hAnsi="仿宋" w:eastAsia="仿宋" w:cs="仿宋"/>
          <w:highlight w:val="none"/>
        </w:rPr>
      </w:pPr>
      <w:r>
        <w:rPr>
          <w:rFonts w:hint="eastAsia" w:ascii="仿宋" w:hAnsi="仿宋" w:eastAsia="仿宋" w:cs="仿宋"/>
          <w:b/>
          <w:bCs/>
          <w:highlight w:val="none"/>
        </w:rPr>
        <w:t>8.本项目不接受联合体投标</w:t>
      </w:r>
      <w:r>
        <w:rPr>
          <w:rFonts w:hint="eastAsia" w:ascii="仿宋" w:hAnsi="仿宋" w:eastAsia="仿宋" w:cs="仿宋"/>
          <w:highlight w:val="none"/>
        </w:rPr>
        <w:t>。</w:t>
      </w:r>
    </w:p>
    <w:bookmarkEnd w:id="4"/>
    <w:bookmarkEnd w:id="5"/>
    <w:bookmarkEnd w:id="6"/>
    <w:bookmarkEnd w:id="7"/>
    <w:bookmarkEnd w:id="8"/>
    <w:bookmarkEnd w:id="9"/>
    <w:bookmarkEnd w:id="10"/>
    <w:bookmarkEnd w:id="11"/>
    <w:bookmarkEnd w:id="12"/>
    <w:bookmarkEnd w:id="13"/>
    <w:bookmarkEnd w:id="14"/>
    <w:p>
      <w:pPr>
        <w:pStyle w:val="5"/>
        <w:spacing w:before="312" w:beforeLines="100" w:after="0"/>
        <w:rPr>
          <w:rFonts w:hint="default" w:ascii="仿宋" w:hAnsi="仿宋" w:eastAsia="仿宋" w:cs="仿宋"/>
          <w:sz w:val="24"/>
          <w:szCs w:val="24"/>
          <w:highlight w:val="none"/>
        </w:rPr>
      </w:pPr>
      <w:bookmarkStart w:id="15" w:name="_Toc73290876"/>
      <w:r>
        <w:rPr>
          <w:rFonts w:ascii="仿宋" w:hAnsi="仿宋" w:eastAsia="仿宋" w:cs="仿宋"/>
          <w:sz w:val="24"/>
          <w:szCs w:val="24"/>
          <w:highlight w:val="none"/>
        </w:rPr>
        <w:t>二、申请人的资格要求：</w:t>
      </w:r>
      <w:bookmarkEnd w:id="15"/>
    </w:p>
    <w:p>
      <w:pPr>
        <w:spacing w:line="480" w:lineRule="auto"/>
        <w:ind w:firstLine="482" w:firstLineChars="200"/>
        <w:rPr>
          <w:rFonts w:ascii="仿宋" w:hAnsi="仿宋" w:eastAsia="仿宋" w:cs="仿宋"/>
          <w:kern w:val="0"/>
          <w:highlight w:val="none"/>
        </w:rPr>
      </w:pPr>
      <w:bookmarkStart w:id="16" w:name="_Toc254656446"/>
      <w:bookmarkStart w:id="17" w:name="_Toc73290877"/>
      <w:r>
        <w:rPr>
          <w:rFonts w:hint="eastAsia" w:ascii="仿宋" w:hAnsi="仿宋" w:eastAsia="仿宋" w:cs="仿宋"/>
          <w:b/>
          <w:bCs/>
          <w:highlight w:val="none"/>
          <w:shd w:val="clear" w:color="auto" w:fill="FFFFFF"/>
        </w:rPr>
        <w:t>2.1</w:t>
      </w:r>
      <w:r>
        <w:rPr>
          <w:rFonts w:hint="eastAsia" w:ascii="仿宋" w:hAnsi="仿宋" w:eastAsia="仿宋" w:cs="仿宋"/>
          <w:b/>
          <w:bCs/>
          <w:kern w:val="0"/>
          <w:highlight w:val="none"/>
        </w:rPr>
        <w:t>投标人应符合《中华人民共和国政府采购法》第二十二条规定：</w:t>
      </w:r>
    </w:p>
    <w:p>
      <w:pPr>
        <w:spacing w:line="480" w:lineRule="auto"/>
        <w:ind w:firstLine="482" w:firstLineChars="200"/>
        <w:rPr>
          <w:rFonts w:ascii="仿宋" w:hAnsi="仿宋" w:eastAsia="仿宋" w:cs="仿宋"/>
          <w:kern w:val="0"/>
          <w:highlight w:val="none"/>
          <w:lang w:val="zh-CN"/>
        </w:rPr>
      </w:pPr>
      <w:r>
        <w:rPr>
          <w:rFonts w:hint="eastAsia" w:ascii="仿宋" w:hAnsi="仿宋" w:eastAsia="仿宋" w:cs="仿宋"/>
          <w:b/>
          <w:bCs/>
          <w:highlight w:val="none"/>
          <w:shd w:val="clear" w:color="auto" w:fill="FFFFFF"/>
        </w:rPr>
        <w:t>2.11</w:t>
      </w:r>
      <w:r>
        <w:rPr>
          <w:rFonts w:hint="eastAsia" w:ascii="仿宋" w:hAnsi="仿宋" w:eastAsia="仿宋" w:cs="仿宋"/>
          <w:b/>
          <w:bCs/>
          <w:kern w:val="0"/>
          <w:highlight w:val="none"/>
        </w:rPr>
        <w:t>营业执照</w:t>
      </w:r>
      <w:r>
        <w:rPr>
          <w:rFonts w:hint="eastAsia" w:ascii="仿宋" w:hAnsi="仿宋" w:eastAsia="仿宋" w:cs="仿宋"/>
          <w:kern w:val="0"/>
          <w:highlight w:val="none"/>
        </w:rPr>
        <w:t>：投标供应商须具备独立企业（事业）法人或其它组织或自然人, 具有有效的营业执照或其他法定凭证，若为自然人的提供自然人的身份证明。</w:t>
      </w:r>
      <w:r>
        <w:rPr>
          <w:rFonts w:hint="eastAsia" w:ascii="仿宋" w:hAnsi="仿宋" w:eastAsia="仿宋" w:cs="仿宋"/>
          <w:kern w:val="0"/>
          <w:highlight w:val="none"/>
          <w:lang w:val="zh-CN"/>
        </w:rPr>
        <w:t>；</w:t>
      </w:r>
    </w:p>
    <w:p>
      <w:pPr>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2.12</w:t>
      </w:r>
      <w:r>
        <w:rPr>
          <w:rFonts w:hint="eastAsia" w:ascii="仿宋" w:hAnsi="仿宋" w:eastAsia="仿宋" w:cs="仿宋"/>
          <w:b/>
          <w:bCs/>
          <w:kern w:val="0"/>
          <w:highlight w:val="none"/>
        </w:rPr>
        <w:t>财务状况：</w:t>
      </w:r>
      <w:r>
        <w:rPr>
          <w:rFonts w:hint="eastAsia" w:ascii="仿宋" w:hAnsi="仿宋" w:eastAsia="仿宋" w:cs="仿宋"/>
          <w:kern w:val="0"/>
          <w:highlight w:val="none"/>
        </w:rPr>
        <w:t>提供 2022年或2023年经第三方审计的财务报告 (至少包含资产负债表、利润表、现金流量表) ，未经审计的提供企业内部自行编制的财务报表，企业成立不满1年的无需提供</w:t>
      </w:r>
      <w:r>
        <w:rPr>
          <w:rFonts w:hint="eastAsia" w:ascii="仿宋" w:hAnsi="仿宋" w:eastAsia="仿宋" w:cs="仿宋"/>
          <w:highlight w:val="none"/>
        </w:rPr>
        <w:t>；</w:t>
      </w:r>
    </w:p>
    <w:p>
      <w:pPr>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2.13</w:t>
      </w:r>
      <w:r>
        <w:rPr>
          <w:rFonts w:hint="eastAsia" w:ascii="仿宋" w:hAnsi="仿宋" w:eastAsia="仿宋" w:cs="仿宋"/>
          <w:b/>
          <w:bCs/>
          <w:kern w:val="0"/>
          <w:highlight w:val="none"/>
        </w:rPr>
        <w:t>税收要求：</w:t>
      </w:r>
      <w:r>
        <w:rPr>
          <w:rFonts w:hint="eastAsia" w:ascii="仿宋" w:hAnsi="仿宋" w:eastAsia="仿宋" w:cs="仿宋"/>
          <w:kern w:val="0"/>
          <w:highlight w:val="none"/>
        </w:rPr>
        <w:t>提供投标人缴税所属时间在2023年01月至本项目投标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s="仿宋"/>
          <w:highlight w:val="none"/>
        </w:rPr>
        <w:t>成立未满1个月的无需提供</w:t>
      </w:r>
      <w:r>
        <w:rPr>
          <w:rFonts w:hint="eastAsia" w:ascii="仿宋" w:hAnsi="仿宋" w:eastAsia="仿宋" w:cs="仿宋"/>
          <w:kern w:val="0"/>
          <w:highlight w:val="none"/>
        </w:rPr>
        <w:t>；</w:t>
      </w:r>
    </w:p>
    <w:p>
      <w:pPr>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2.14</w:t>
      </w:r>
      <w:r>
        <w:rPr>
          <w:rFonts w:hint="eastAsia" w:ascii="仿宋" w:hAnsi="仿宋" w:eastAsia="仿宋" w:cs="仿宋"/>
          <w:b/>
          <w:bCs/>
          <w:kern w:val="0"/>
          <w:highlight w:val="none"/>
        </w:rPr>
        <w:t>社保要求：</w:t>
      </w:r>
      <w:r>
        <w:rPr>
          <w:rFonts w:hint="eastAsia" w:ascii="仿宋" w:hAnsi="仿宋" w:eastAsia="仿宋" w:cs="仿宋"/>
          <w:kern w:val="0"/>
          <w:highlight w:val="none"/>
        </w:rPr>
        <w:t>提供投标人缴费所属时间在2023年01月至本项目投标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s="仿宋"/>
          <w:highlight w:val="none"/>
        </w:rPr>
        <w:t>成立未满1个月的无需提供</w:t>
      </w:r>
      <w:r>
        <w:rPr>
          <w:rFonts w:hint="eastAsia" w:ascii="仿宋" w:hAnsi="仿宋" w:eastAsia="仿宋" w:cs="仿宋"/>
          <w:kern w:val="0"/>
          <w:highlight w:val="none"/>
        </w:rPr>
        <w:t>；</w:t>
      </w:r>
    </w:p>
    <w:p>
      <w:pPr>
        <w:widowControl/>
        <w:spacing w:line="480" w:lineRule="auto"/>
        <w:ind w:firstLine="482" w:firstLineChars="200"/>
        <w:rPr>
          <w:rFonts w:ascii="仿宋" w:hAnsi="仿宋" w:eastAsia="仿宋" w:cs="仿宋"/>
          <w:kern w:val="0"/>
          <w:highlight w:val="none"/>
        </w:rPr>
      </w:pPr>
      <w:r>
        <w:rPr>
          <w:rFonts w:hint="eastAsia" w:ascii="仿宋" w:hAnsi="仿宋" w:eastAsia="仿宋" w:cs="仿宋"/>
          <w:b/>
          <w:bCs/>
          <w:highlight w:val="none"/>
          <w:shd w:val="clear" w:color="auto" w:fill="FFFFFF"/>
        </w:rPr>
        <w:t>2.15</w:t>
      </w:r>
      <w:r>
        <w:rPr>
          <w:rFonts w:hint="eastAsia" w:ascii="仿宋" w:hAnsi="仿宋" w:eastAsia="仿宋" w:cs="仿宋"/>
          <w:b/>
          <w:bCs/>
          <w:kern w:val="0"/>
          <w:highlight w:val="none"/>
        </w:rPr>
        <w:t>无重大违法记录声明：</w:t>
      </w:r>
      <w:r>
        <w:rPr>
          <w:rFonts w:hint="eastAsia" w:ascii="仿宋" w:hAnsi="仿宋" w:eastAsia="仿宋" w:cs="仿宋"/>
          <w:kern w:val="0"/>
          <w:highlight w:val="none"/>
        </w:rPr>
        <w:t>参加此次投标活动前 3 年内，在经营活动中没有重大违法记录的书面声明；</w:t>
      </w:r>
    </w:p>
    <w:p>
      <w:pPr>
        <w:spacing w:line="480" w:lineRule="auto"/>
        <w:ind w:firstLine="482" w:firstLineChars="200"/>
        <w:rPr>
          <w:rFonts w:ascii="仿宋" w:hAnsi="仿宋" w:eastAsia="仿宋" w:cs="仿宋"/>
          <w:b/>
          <w:bCs/>
          <w:kern w:val="0"/>
          <w:highlight w:val="none"/>
        </w:rPr>
      </w:pPr>
      <w:r>
        <w:rPr>
          <w:rFonts w:hint="eastAsia" w:ascii="仿宋" w:hAnsi="仿宋" w:eastAsia="仿宋" w:cs="仿宋"/>
          <w:b/>
          <w:bCs/>
          <w:highlight w:val="none"/>
          <w:shd w:val="clear" w:color="auto" w:fill="FFFFFF"/>
        </w:rPr>
        <w:t>2.16</w:t>
      </w:r>
      <w:r>
        <w:rPr>
          <w:rFonts w:hint="eastAsia" w:ascii="仿宋" w:hAnsi="仿宋" w:eastAsia="仿宋" w:cs="仿宋"/>
          <w:b/>
          <w:bCs/>
          <w:kern w:val="0"/>
          <w:highlight w:val="none"/>
        </w:rPr>
        <w:t>信誉要求：</w:t>
      </w:r>
    </w:p>
    <w:p>
      <w:pPr>
        <w:widowControl/>
        <w:spacing w:line="480" w:lineRule="auto"/>
        <w:ind w:firstLine="480" w:firstLineChars="200"/>
        <w:rPr>
          <w:rFonts w:ascii="仿宋" w:hAnsi="仿宋" w:eastAsia="仿宋" w:cs="仿宋"/>
          <w:highlight w:val="none"/>
        </w:rPr>
      </w:pPr>
      <w:r>
        <w:rPr>
          <w:rFonts w:hint="eastAsia" w:ascii="仿宋" w:hAnsi="仿宋" w:eastAsia="仿宋" w:cs="仿宋"/>
          <w:highlight w:val="none"/>
          <w:lang w:bidi="ar"/>
        </w:rPr>
        <w:t>投标人</w:t>
      </w:r>
      <w:r>
        <w:rPr>
          <w:rFonts w:hint="eastAsia" w:ascii="仿宋" w:hAnsi="仿宋" w:eastAsia="仿宋" w:cs="仿宋"/>
          <w:highlight w:val="none"/>
        </w:rPr>
        <w:t>及法定代表人在“信用中国”未被列入失信被执行人名单；</w:t>
      </w:r>
      <w:r>
        <w:rPr>
          <w:rFonts w:hint="eastAsia" w:ascii="仿宋" w:hAnsi="仿宋" w:eastAsia="仿宋" w:cs="仿宋"/>
          <w:spacing w:val="-4"/>
          <w:kern w:val="0"/>
          <w:highlight w:val="none"/>
        </w:rPr>
        <w:t>投标人</w:t>
      </w:r>
      <w:r>
        <w:rPr>
          <w:rFonts w:hint="eastAsia" w:ascii="仿宋" w:hAnsi="仿宋" w:eastAsia="仿宋" w:cs="仿宋"/>
          <w:highlight w:val="none"/>
        </w:rPr>
        <w:t>在“信用中国”未被列入重大税收违法失信主体、在“中国政府采购网”中未被列入：政府采购严重违法失信行为记录名单。</w:t>
      </w:r>
      <w:r>
        <w:rPr>
          <w:rFonts w:hint="eastAsia" w:ascii="仿宋" w:hAnsi="仿宋" w:eastAsia="仿宋" w:cs="仿宋"/>
          <w:b/>
          <w:bCs/>
          <w:highlight w:val="none"/>
        </w:rPr>
        <w:t>（注：以上网站均由招标人或招标代理机构在开标时查询，若投标人被列入以上名单，视为不满足资格要求）</w:t>
      </w:r>
    </w:p>
    <w:p>
      <w:pPr>
        <w:spacing w:line="500" w:lineRule="exact"/>
        <w:ind w:firstLine="482" w:firstLineChars="200"/>
        <w:rPr>
          <w:rFonts w:ascii="仿宋" w:hAnsi="仿宋" w:eastAsia="仿宋" w:cs="仿宋"/>
          <w:b/>
          <w:bCs/>
          <w:highlight w:val="none"/>
          <w:shd w:val="clear" w:color="auto" w:fill="FFFFFF"/>
        </w:rPr>
      </w:pPr>
      <w:r>
        <w:rPr>
          <w:rFonts w:hint="eastAsia" w:ascii="仿宋" w:hAnsi="仿宋" w:eastAsia="仿宋" w:cs="仿宋"/>
          <w:b/>
          <w:bCs/>
          <w:highlight w:val="none"/>
          <w:shd w:val="clear" w:color="auto" w:fill="FFFFFF"/>
        </w:rPr>
        <w:t>2.2落实政府采购政策需满足的资格要求：</w:t>
      </w:r>
    </w:p>
    <w:p>
      <w:pPr>
        <w:spacing w:line="500" w:lineRule="exact"/>
        <w:ind w:firstLine="720" w:firstLineChars="300"/>
        <w:rPr>
          <w:rFonts w:ascii="仿宋" w:hAnsi="仿宋" w:eastAsia="仿宋" w:cs="仿宋"/>
          <w:highlight w:val="none"/>
        </w:rPr>
      </w:pPr>
      <w:r>
        <w:rPr>
          <w:rFonts w:hint="eastAsia" w:ascii="仿宋" w:hAnsi="仿宋" w:eastAsia="仿宋" w:cs="仿宋"/>
          <w:highlight w:val="none"/>
        </w:rPr>
        <w:t xml:space="preserve">(1)本项目非专门面向中小型企业采购；根据《关于进一步加大政府采购支持中小企业力度的通知》（财库〔2024〕19 号），对符合磋商文件要求的小型和微型企业给予价格扣除10%，用扣除后的价格参与评审；监狱企业及残疾人福利性单位视同小微企业。 </w:t>
      </w:r>
    </w:p>
    <w:p>
      <w:pPr>
        <w:spacing w:line="500" w:lineRule="exact"/>
        <w:ind w:firstLine="480" w:firstLineChars="200"/>
        <w:rPr>
          <w:rFonts w:ascii="仿宋" w:hAnsi="仿宋" w:eastAsia="仿宋" w:cs="仿宋"/>
          <w:highlight w:val="none"/>
          <w:shd w:val="clear" w:color="auto" w:fill="FFFFFF"/>
        </w:rPr>
      </w:pPr>
      <w:r>
        <w:rPr>
          <w:rFonts w:hint="eastAsia" w:ascii="仿宋" w:hAnsi="仿宋" w:eastAsia="仿宋" w:cs="仿宋"/>
          <w:highlight w:val="none"/>
        </w:rPr>
        <w:t>（2）根据《关于印发中小企业划型标准规定的通知》（工信部联企业〔2011〕300 号） 文件规定的划分标准，本项目对应的中小企业划分标准所属行业为：其他未列明行业</w:t>
      </w:r>
      <w:r>
        <w:rPr>
          <w:rFonts w:hint="eastAsia" w:ascii="仿宋" w:hAnsi="仿宋" w:eastAsia="仿宋" w:cs="仿宋"/>
          <w:highlight w:val="none"/>
          <w:shd w:val="clear" w:color="auto" w:fill="FFFFFF"/>
        </w:rPr>
        <w:t>。</w:t>
      </w:r>
    </w:p>
    <w:p>
      <w:pPr>
        <w:widowControl/>
        <w:spacing w:line="480" w:lineRule="auto"/>
        <w:ind w:left="240" w:leftChars="100"/>
        <w:rPr>
          <w:rFonts w:ascii="仿宋" w:hAnsi="仿宋" w:eastAsia="仿宋" w:cs="仿宋"/>
          <w:b/>
          <w:bCs/>
          <w:highlight w:val="none"/>
        </w:rPr>
      </w:pPr>
      <w:r>
        <w:rPr>
          <w:rFonts w:hint="eastAsia" w:ascii="仿宋" w:hAnsi="仿宋" w:eastAsia="仿宋" w:cs="仿宋"/>
          <w:b/>
          <w:bCs/>
          <w:highlight w:val="none"/>
          <w:shd w:val="clear" w:color="auto" w:fill="FFFFFF"/>
        </w:rPr>
        <w:t>2.3</w:t>
      </w:r>
      <w:r>
        <w:rPr>
          <w:rFonts w:hint="eastAsia" w:ascii="仿宋" w:hAnsi="仿宋" w:eastAsia="仿宋" w:cs="仿宋"/>
          <w:b/>
          <w:bCs/>
          <w:highlight w:val="none"/>
        </w:rPr>
        <w:t>特定资格条件：无。</w:t>
      </w:r>
    </w:p>
    <w:bookmarkEnd w:id="16"/>
    <w:bookmarkEnd w:id="17"/>
    <w:p>
      <w:pPr>
        <w:spacing w:line="500" w:lineRule="exact"/>
        <w:rPr>
          <w:rFonts w:ascii="仿宋" w:hAnsi="仿宋" w:eastAsia="仿宋" w:cs="仿宋"/>
          <w:b/>
          <w:bCs/>
          <w:highlight w:val="none"/>
        </w:rPr>
      </w:pPr>
      <w:r>
        <w:rPr>
          <w:rFonts w:hint="eastAsia" w:ascii="仿宋" w:hAnsi="仿宋" w:eastAsia="仿宋" w:cs="仿宋"/>
          <w:b/>
          <w:bCs/>
          <w:highlight w:val="none"/>
        </w:rPr>
        <w:t>2.4其它要求：</w:t>
      </w:r>
    </w:p>
    <w:p>
      <w:pPr>
        <w:spacing w:line="480" w:lineRule="auto"/>
        <w:ind w:firstLine="480" w:firstLineChars="200"/>
        <w:rPr>
          <w:rFonts w:ascii="仿宋" w:hAnsi="仿宋" w:eastAsia="仿宋" w:cs="仿宋"/>
          <w:kern w:val="0"/>
          <w:highlight w:val="none"/>
        </w:rPr>
      </w:pPr>
      <w:r>
        <w:rPr>
          <w:rFonts w:hint="eastAsia" w:ascii="仿宋" w:hAnsi="仿宋" w:eastAsia="仿宋" w:cs="仿宋"/>
          <w:kern w:val="0"/>
          <w:highlight w:val="none"/>
        </w:rPr>
        <w:t>单位负责人为同一人或者存在直接控股、管理关系的不同投标人，不得参加同一合同项下的政府采购活动。自行提供书面承诺并</w:t>
      </w:r>
      <w:r>
        <w:rPr>
          <w:rFonts w:hint="eastAsia" w:ascii="仿宋" w:hAnsi="仿宋" w:eastAsia="仿宋" w:cs="仿宋"/>
          <w:kern w:val="0"/>
          <w:highlight w:val="none"/>
          <w:lang w:val="zh-CN"/>
        </w:rPr>
        <w:t>加盖公章。</w:t>
      </w:r>
    </w:p>
    <w:p>
      <w:pPr>
        <w:spacing w:line="440" w:lineRule="exact"/>
        <w:jc w:val="left"/>
        <w:rPr>
          <w:rFonts w:ascii="仿宋" w:hAnsi="仿宋" w:eastAsia="仿宋" w:cs="仿宋"/>
          <w:b/>
          <w:highlight w:val="none"/>
        </w:rPr>
      </w:pPr>
      <w:r>
        <w:rPr>
          <w:rFonts w:hint="eastAsia" w:ascii="仿宋" w:hAnsi="仿宋" w:eastAsia="仿宋" w:cs="仿宋"/>
          <w:b/>
          <w:highlight w:val="none"/>
        </w:rPr>
        <w:t>三、获取招标文件</w:t>
      </w:r>
    </w:p>
    <w:p>
      <w:pPr>
        <w:spacing w:line="500" w:lineRule="exact"/>
        <w:ind w:firstLine="480" w:firstLineChars="200"/>
        <w:rPr>
          <w:rFonts w:ascii="仿宋" w:hAnsi="仿宋" w:eastAsia="仿宋" w:cs="仿宋"/>
          <w:highlight w:val="none"/>
        </w:rPr>
      </w:pPr>
      <w:bookmarkStart w:id="18" w:name="_Toc28359092"/>
      <w:bookmarkStart w:id="19" w:name="_Toc35393801"/>
      <w:bookmarkStart w:id="20" w:name="_Toc28359015"/>
      <w:bookmarkStart w:id="21" w:name="_Toc35393632"/>
      <w:bookmarkStart w:id="22" w:name="_Toc35393626"/>
      <w:bookmarkStart w:id="23" w:name="_Toc35393795"/>
      <w:r>
        <w:rPr>
          <w:rFonts w:hint="eastAsia" w:ascii="仿宋" w:hAnsi="仿宋" w:eastAsia="仿宋" w:cs="仿宋"/>
          <w:highlight w:val="none"/>
        </w:rPr>
        <w:t>1.时间：</w:t>
      </w:r>
      <w:r>
        <w:rPr>
          <w:rFonts w:hint="eastAsia" w:ascii="仿宋" w:hAnsi="仿宋" w:eastAsia="仿宋" w:cs="仿宋"/>
          <w:highlight w:val="none"/>
        </w:rPr>
        <w:t>2024年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13</w:t>
      </w:r>
      <w:r>
        <w:rPr>
          <w:rFonts w:hint="eastAsia" w:ascii="仿宋" w:hAnsi="仿宋" w:eastAsia="仿宋" w:cs="仿宋"/>
          <w:highlight w:val="none"/>
        </w:rPr>
        <w:t>日—2024年</w:t>
      </w:r>
      <w:r>
        <w:rPr>
          <w:rFonts w:hint="eastAsia" w:ascii="仿宋" w:hAnsi="仿宋" w:eastAsia="仿宋" w:cs="仿宋"/>
          <w:highlight w:val="none"/>
          <w:lang w:val="en-US" w:eastAsia="zh-CN"/>
        </w:rPr>
        <w:t>8</w:t>
      </w:r>
      <w:r>
        <w:rPr>
          <w:rFonts w:hint="eastAsia" w:ascii="仿宋" w:hAnsi="仿宋" w:eastAsia="仿宋" w:cs="仿宋"/>
          <w:highlight w:val="none"/>
        </w:rPr>
        <w:t>月</w:t>
      </w:r>
      <w:r>
        <w:rPr>
          <w:rFonts w:hint="eastAsia" w:ascii="仿宋" w:hAnsi="仿宋" w:eastAsia="仿宋" w:cs="仿宋"/>
          <w:highlight w:val="none"/>
          <w:lang w:val="en-US" w:eastAsia="zh-CN"/>
        </w:rPr>
        <w:t>19</w:t>
      </w:r>
      <w:r>
        <w:rPr>
          <w:rFonts w:hint="eastAsia" w:ascii="仿宋" w:hAnsi="仿宋" w:eastAsia="仿宋" w:cs="仿宋"/>
          <w:highlight w:val="none"/>
        </w:rPr>
        <w:t>日</w:t>
      </w:r>
      <w:r>
        <w:rPr>
          <w:rFonts w:hint="eastAsia" w:ascii="仿宋" w:hAnsi="仿宋" w:eastAsia="仿宋" w:cs="仿宋"/>
          <w:highlight w:val="none"/>
        </w:rPr>
        <w:t>，每天上午8:30至11:30，下午14:30至17:30（北京时间，法定节假日除外）；</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2.地点：政采云平台线上获取（https://www.zcygov.cn/）；</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3.方式：</w:t>
      </w:r>
      <w:r>
        <w:rPr>
          <w:rFonts w:hint="eastAsia" w:ascii="仿宋" w:hAnsi="仿宋" w:eastAsia="仿宋" w:cs="仿宋"/>
          <w:highlight w:val="none"/>
          <w:lang w:bidi="ar"/>
        </w:rPr>
        <w:t>有意参加投标的，需要在政采云平台办理数字证书（CA）。完成数字证书（CA）办理后，供应商需要在政采云平台绑定数字证书(CA)，并在平台上获取采购文件和其他相关采购资料。</w:t>
      </w:r>
    </w:p>
    <w:p>
      <w:pPr>
        <w:spacing w:line="500" w:lineRule="exact"/>
        <w:ind w:firstLine="540"/>
        <w:rPr>
          <w:rFonts w:ascii="仿宋" w:hAnsi="仿宋" w:eastAsia="仿宋" w:cs="仿宋"/>
          <w:highlight w:val="none"/>
          <w:lang w:bidi="ar"/>
        </w:rPr>
      </w:pPr>
      <w:r>
        <w:rPr>
          <w:rFonts w:hint="eastAsia" w:ascii="仿宋" w:hAnsi="仿宋" w:eastAsia="仿宋" w:cs="仿宋"/>
          <w:highlight w:val="none"/>
        </w:rPr>
        <w:t>注：</w:t>
      </w:r>
      <w:r>
        <w:rPr>
          <w:rFonts w:hint="eastAsia" w:ascii="仿宋" w:hAnsi="仿宋" w:eastAsia="仿宋" w:cs="仿宋"/>
          <w:highlight w:val="none"/>
          <w:lang w:bidi="ar"/>
        </w:rPr>
        <w:t>按上述要求获取文件的供应商视为合法获取了本项目采购文件，具备本项目的投标资格。</w:t>
      </w:r>
    </w:p>
    <w:p>
      <w:pPr>
        <w:spacing w:line="500" w:lineRule="exact"/>
        <w:ind w:firstLine="540"/>
        <w:rPr>
          <w:rFonts w:ascii="仿宋" w:hAnsi="仿宋" w:eastAsia="仿宋" w:cs="仿宋"/>
          <w:highlight w:val="none"/>
          <w:lang w:val="zh-CN" w:bidi="ar"/>
        </w:rPr>
      </w:pPr>
      <w:r>
        <w:rPr>
          <w:rFonts w:hint="eastAsia" w:ascii="仿宋" w:hAnsi="仿宋" w:eastAsia="仿宋" w:cs="仿宋"/>
          <w:highlight w:val="none"/>
          <w:lang w:val="zh-CN" w:bidi="ar"/>
        </w:rPr>
        <w:t>支持云南CA、云南壹证通CA，申请相关说明如下：</w:t>
      </w:r>
    </w:p>
    <w:p>
      <w:pPr>
        <w:spacing w:line="500" w:lineRule="exact"/>
        <w:ind w:firstLine="480" w:firstLineChars="200"/>
        <w:rPr>
          <w:rFonts w:ascii="仿宋" w:hAnsi="仿宋" w:eastAsia="仿宋" w:cs="仿宋"/>
          <w:highlight w:val="none"/>
          <w:lang w:val="zh-CN" w:bidi="ar"/>
        </w:rPr>
      </w:pPr>
      <w:r>
        <w:rPr>
          <w:rFonts w:hint="eastAsia" w:ascii="仿宋" w:hAnsi="仿宋" w:eastAsia="仿宋" w:cs="仿宋"/>
          <w:highlight w:val="none"/>
          <w:lang w:val="zh-CN" w:bidi="ar"/>
        </w:rPr>
        <w:t>云南CA申领链接：https://cap.yunnanca.net/login，请供应商自行注册办理，云南CA客服热线400-6727-666，</w:t>
      </w:r>
      <w:r>
        <w:rPr>
          <w:rFonts w:hint="eastAsia" w:ascii="仿宋" w:hAnsi="仿宋" w:eastAsia="仿宋" w:cs="仿宋"/>
          <w:kern w:val="0"/>
          <w:highlight w:val="none"/>
        </w:rPr>
        <w:t>紧急联系方式：15288315056</w:t>
      </w:r>
      <w:r>
        <w:rPr>
          <w:rFonts w:hint="eastAsia" w:ascii="仿宋" w:hAnsi="仿宋" w:eastAsia="仿宋" w:cs="仿宋"/>
          <w:highlight w:val="none"/>
          <w:lang w:val="zh-CN" w:bidi="ar"/>
        </w:rPr>
        <w:t xml:space="preserve">。 </w:t>
      </w:r>
    </w:p>
    <w:p>
      <w:pPr>
        <w:spacing w:line="500" w:lineRule="exact"/>
        <w:ind w:firstLine="540"/>
        <w:rPr>
          <w:rFonts w:ascii="仿宋" w:hAnsi="仿宋" w:eastAsia="仿宋" w:cs="仿宋"/>
          <w:highlight w:val="none"/>
          <w:lang w:val="zh-CN" w:bidi="ar"/>
        </w:rPr>
      </w:pPr>
      <w:r>
        <w:rPr>
          <w:rFonts w:hint="eastAsia" w:ascii="仿宋" w:hAnsi="仿宋" w:eastAsia="仿宋" w:cs="仿宋"/>
          <w:highlight w:val="none"/>
          <w:lang w:val="zh-CN" w:bidi="ar"/>
        </w:rPr>
        <w:t>云南壹证通CA申领链接：http://yzt.ynsmartcert.cn/登录名bszb（凭此登录名可直接登录）。云南壹证通CA客服热线：0871-67276028，</w:t>
      </w:r>
      <w:r>
        <w:rPr>
          <w:rFonts w:hint="eastAsia" w:ascii="仿宋" w:hAnsi="仿宋" w:eastAsia="仿宋" w:cs="仿宋"/>
          <w:kern w:val="0"/>
          <w:highlight w:val="none"/>
        </w:rPr>
        <w:t>壹证通CA紧急联系方式：19988166369</w:t>
      </w:r>
      <w:r>
        <w:rPr>
          <w:rFonts w:hint="eastAsia" w:ascii="仿宋" w:hAnsi="仿宋" w:eastAsia="仿宋" w:cs="仿宋"/>
          <w:highlight w:val="none"/>
          <w:lang w:val="zh-CN" w:bidi="ar"/>
        </w:rPr>
        <w:t>。</w:t>
      </w:r>
    </w:p>
    <w:p>
      <w:pPr>
        <w:spacing w:line="500" w:lineRule="exact"/>
        <w:ind w:firstLine="540"/>
        <w:rPr>
          <w:rFonts w:ascii="仿宋" w:hAnsi="仿宋" w:eastAsia="仿宋" w:cs="仿宋"/>
          <w:highlight w:val="none"/>
          <w:lang w:bidi="ar"/>
        </w:rPr>
      </w:pPr>
      <w:r>
        <w:rPr>
          <w:rFonts w:hint="eastAsia" w:ascii="仿宋" w:hAnsi="仿宋" w:eastAsia="仿宋" w:cs="仿宋"/>
          <w:highlight w:val="none"/>
          <w:lang w:bidi="ar"/>
        </w:rPr>
        <w:t>如果供应商之前已经注册并办理了企业数字证书（CA）</w:t>
      </w:r>
      <w:r>
        <w:rPr>
          <w:rFonts w:hint="eastAsia" w:ascii="仿宋" w:hAnsi="仿宋" w:eastAsia="仿宋" w:cs="仿宋"/>
          <w:highlight w:val="none"/>
          <w:lang w:val="zh-CN" w:bidi="ar"/>
        </w:rPr>
        <w:t>且证书处于有效期内的</w:t>
      </w:r>
      <w:r>
        <w:rPr>
          <w:rFonts w:hint="eastAsia" w:ascii="仿宋" w:hAnsi="仿宋" w:eastAsia="仿宋" w:cs="仿宋"/>
          <w:highlight w:val="none"/>
          <w:lang w:bidi="ar"/>
        </w:rPr>
        <w:t>，则可以直接进行绑定，无需重复办理（2022年1月1日前办理的云南 CA 需到云南CA办理处进行升级）。</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4.售价：</w:t>
      </w:r>
      <w:r>
        <w:rPr>
          <w:rFonts w:hint="eastAsia" w:ascii="仿宋" w:hAnsi="仿宋" w:eastAsia="仿宋" w:cs="仿宋"/>
          <w:highlight w:val="none"/>
          <w:lang w:bidi="ar"/>
        </w:rPr>
        <w:t>0元</w:t>
      </w:r>
      <w:r>
        <w:rPr>
          <w:rFonts w:hint="eastAsia" w:ascii="仿宋" w:hAnsi="仿宋" w:eastAsia="仿宋" w:cs="仿宋"/>
          <w:highlight w:val="none"/>
        </w:rPr>
        <w:t>。</w:t>
      </w:r>
    </w:p>
    <w:p>
      <w:pPr>
        <w:pStyle w:val="4"/>
        <w:spacing w:line="360" w:lineRule="auto"/>
        <w:rPr>
          <w:rFonts w:ascii="仿宋" w:hAnsi="仿宋" w:eastAsia="仿宋" w:cs="仿宋"/>
          <w:bCs w:val="0"/>
          <w:sz w:val="24"/>
          <w:szCs w:val="24"/>
          <w:highlight w:val="none"/>
        </w:rPr>
      </w:pPr>
      <w:r>
        <w:rPr>
          <w:rFonts w:hint="eastAsia" w:ascii="仿宋" w:hAnsi="仿宋" w:eastAsia="仿宋" w:cs="仿宋"/>
          <w:bCs w:val="0"/>
          <w:sz w:val="24"/>
          <w:szCs w:val="24"/>
          <w:highlight w:val="none"/>
        </w:rPr>
        <w:t>四、</w:t>
      </w:r>
      <w:bookmarkEnd w:id="18"/>
      <w:bookmarkEnd w:id="19"/>
      <w:bookmarkEnd w:id="20"/>
      <w:bookmarkEnd w:id="21"/>
      <w:r>
        <w:rPr>
          <w:rFonts w:hint="eastAsia" w:ascii="仿宋" w:hAnsi="仿宋" w:eastAsia="仿宋" w:cs="仿宋"/>
          <w:bCs w:val="0"/>
          <w:sz w:val="24"/>
          <w:szCs w:val="24"/>
          <w:highlight w:val="none"/>
        </w:rPr>
        <w:t>提交投标文件截止时间、开标时间和地点</w:t>
      </w:r>
    </w:p>
    <w:p>
      <w:pPr>
        <w:spacing w:line="360" w:lineRule="auto"/>
        <w:ind w:firstLine="240" w:firstLineChars="100"/>
        <w:rPr>
          <w:rFonts w:ascii="仿宋" w:hAnsi="仿宋" w:eastAsia="仿宋" w:cs="仿宋"/>
          <w:highlight w:val="none"/>
        </w:rPr>
      </w:pPr>
      <w:bookmarkStart w:id="24" w:name="_Toc28359016"/>
      <w:bookmarkStart w:id="25" w:name="_Toc35393802"/>
      <w:bookmarkStart w:id="26" w:name="_Toc28359093"/>
      <w:bookmarkStart w:id="27" w:name="_Toc35393633"/>
      <w:r>
        <w:rPr>
          <w:rFonts w:hint="eastAsia" w:ascii="仿宋" w:hAnsi="仿宋" w:eastAsia="仿宋" w:cs="仿宋"/>
          <w:highlight w:val="none"/>
        </w:rPr>
        <w:t>1.递交投标文件截止时间：</w:t>
      </w:r>
      <w:r>
        <w:rPr>
          <w:rFonts w:hint="eastAsia" w:ascii="仿宋" w:hAnsi="仿宋" w:eastAsia="仿宋" w:cs="仿宋"/>
          <w:highlight w:val="none"/>
        </w:rPr>
        <w:t>2024年</w:t>
      </w:r>
      <w:r>
        <w:rPr>
          <w:rFonts w:hint="eastAsia" w:ascii="仿宋" w:hAnsi="仿宋" w:eastAsia="仿宋" w:cs="仿宋"/>
          <w:highlight w:val="none"/>
          <w:lang w:val="en-US" w:eastAsia="zh-CN"/>
        </w:rPr>
        <w:t>9</w:t>
      </w:r>
      <w:r>
        <w:rPr>
          <w:rFonts w:hint="eastAsia" w:ascii="仿宋" w:hAnsi="仿宋" w:eastAsia="仿宋" w:cs="仿宋"/>
          <w:highlight w:val="none"/>
        </w:rPr>
        <w:t>月</w:t>
      </w:r>
      <w:r>
        <w:rPr>
          <w:rFonts w:hint="eastAsia" w:ascii="仿宋" w:hAnsi="仿宋" w:eastAsia="仿宋" w:cs="仿宋"/>
          <w:highlight w:val="none"/>
          <w:lang w:val="en-US" w:eastAsia="zh-CN"/>
        </w:rPr>
        <w:t>3</w:t>
      </w:r>
      <w:r>
        <w:rPr>
          <w:rFonts w:hint="eastAsia" w:ascii="仿宋" w:hAnsi="仿宋" w:eastAsia="仿宋" w:cs="仿宋"/>
          <w:highlight w:val="none"/>
        </w:rPr>
        <w:t>日09：00分</w:t>
      </w:r>
      <w:r>
        <w:rPr>
          <w:rFonts w:hint="eastAsia" w:ascii="仿宋" w:hAnsi="仿宋" w:eastAsia="仿宋" w:cs="仿宋"/>
          <w:highlight w:val="none"/>
        </w:rPr>
        <w:t>；</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2.开标时间：</w:t>
      </w:r>
      <w:r>
        <w:rPr>
          <w:rFonts w:hint="eastAsia" w:ascii="仿宋" w:hAnsi="仿宋" w:eastAsia="仿宋" w:cs="仿宋"/>
          <w:highlight w:val="none"/>
        </w:rPr>
        <w:t>2024年</w:t>
      </w:r>
      <w:r>
        <w:rPr>
          <w:rFonts w:hint="eastAsia" w:ascii="仿宋" w:hAnsi="仿宋" w:eastAsia="仿宋" w:cs="仿宋"/>
          <w:highlight w:val="none"/>
          <w:lang w:val="en-US" w:eastAsia="zh-CN"/>
        </w:rPr>
        <w:t>9</w:t>
      </w:r>
      <w:r>
        <w:rPr>
          <w:rFonts w:hint="eastAsia" w:ascii="仿宋" w:hAnsi="仿宋" w:eastAsia="仿宋" w:cs="仿宋"/>
          <w:highlight w:val="none"/>
        </w:rPr>
        <w:t>月</w:t>
      </w:r>
      <w:r>
        <w:rPr>
          <w:rFonts w:hint="eastAsia" w:ascii="仿宋" w:hAnsi="仿宋" w:eastAsia="仿宋" w:cs="仿宋"/>
          <w:highlight w:val="none"/>
          <w:lang w:val="en-US" w:eastAsia="zh-CN"/>
        </w:rPr>
        <w:t>3</w:t>
      </w:r>
      <w:r>
        <w:rPr>
          <w:rFonts w:hint="eastAsia" w:ascii="仿宋" w:hAnsi="仿宋" w:eastAsia="仿宋" w:cs="仿宋"/>
          <w:highlight w:val="none"/>
        </w:rPr>
        <w:t>日09：00分</w:t>
      </w:r>
      <w:r>
        <w:rPr>
          <w:rFonts w:hint="eastAsia" w:ascii="仿宋" w:hAnsi="仿宋" w:eastAsia="仿宋" w:cs="仿宋"/>
          <w:highlight w:val="none"/>
        </w:rPr>
        <w:t>；</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 xml:space="preserve">3.开标地点：政采云平台（http：//www.zcygov.cn）及陇川县章凤镇民族步行街18栋3号1号开标室； </w:t>
      </w:r>
    </w:p>
    <w:p>
      <w:pPr>
        <w:spacing w:line="360" w:lineRule="auto"/>
        <w:ind w:firstLine="241" w:firstLineChars="100"/>
        <w:rPr>
          <w:rFonts w:ascii="仿宋" w:hAnsi="仿宋" w:eastAsia="仿宋" w:cs="仿宋"/>
          <w:highlight w:val="none"/>
        </w:rPr>
      </w:pPr>
      <w:r>
        <w:rPr>
          <w:rFonts w:hint="eastAsia" w:ascii="仿宋" w:hAnsi="仿宋" w:eastAsia="仿宋" w:cs="仿宋"/>
          <w:b/>
          <w:bCs/>
          <w:highlight w:val="none"/>
        </w:rPr>
        <w:t>注：投标人登录政采云平台（http：//www.zcygov.cn）无需到现场开标，开标结束前请勿退出系统。</w:t>
      </w:r>
      <w:r>
        <w:rPr>
          <w:rFonts w:hint="eastAsia" w:ascii="仿宋" w:hAnsi="仿宋" w:eastAsia="仿宋" w:cs="仿宋"/>
          <w:highlight w:val="none"/>
        </w:rPr>
        <w:t>  </w:t>
      </w:r>
    </w:p>
    <w:bookmarkEnd w:id="24"/>
    <w:bookmarkEnd w:id="25"/>
    <w:bookmarkEnd w:id="26"/>
    <w:bookmarkEnd w:id="27"/>
    <w:p>
      <w:pPr>
        <w:spacing w:line="480" w:lineRule="auto"/>
        <w:jc w:val="left"/>
        <w:rPr>
          <w:rFonts w:ascii="仿宋" w:hAnsi="仿宋" w:eastAsia="仿宋" w:cs="仿宋"/>
          <w:b/>
          <w:kern w:val="0"/>
          <w:highlight w:val="none"/>
        </w:rPr>
      </w:pPr>
      <w:r>
        <w:rPr>
          <w:rFonts w:hint="eastAsia" w:ascii="仿宋" w:hAnsi="仿宋" w:eastAsia="仿宋" w:cs="仿宋"/>
          <w:b/>
          <w:kern w:val="0"/>
          <w:highlight w:val="none"/>
        </w:rPr>
        <w:t>五、公告期限</w:t>
      </w:r>
    </w:p>
    <w:p>
      <w:pPr>
        <w:spacing w:line="480" w:lineRule="auto"/>
        <w:ind w:firstLine="480" w:firstLineChars="200"/>
        <w:jc w:val="left"/>
        <w:rPr>
          <w:rFonts w:ascii="仿宋" w:hAnsi="仿宋" w:eastAsia="仿宋" w:cs="仿宋"/>
          <w:bCs/>
          <w:kern w:val="0"/>
          <w:highlight w:val="none"/>
        </w:rPr>
      </w:pPr>
      <w:r>
        <w:rPr>
          <w:rFonts w:hint="eastAsia" w:ascii="仿宋" w:hAnsi="仿宋" w:eastAsia="仿宋" w:cs="仿宋"/>
          <w:bCs/>
          <w:kern w:val="0"/>
          <w:highlight w:val="none"/>
        </w:rPr>
        <w:t>自本公告发布之日起5个工作日。</w:t>
      </w:r>
    </w:p>
    <w:p>
      <w:pPr>
        <w:spacing w:line="480" w:lineRule="auto"/>
        <w:jc w:val="left"/>
        <w:rPr>
          <w:rFonts w:ascii="仿宋" w:hAnsi="仿宋" w:eastAsia="仿宋" w:cs="仿宋"/>
          <w:b/>
          <w:kern w:val="0"/>
          <w:highlight w:val="none"/>
        </w:rPr>
      </w:pPr>
      <w:r>
        <w:rPr>
          <w:rFonts w:hint="eastAsia" w:ascii="仿宋" w:hAnsi="仿宋" w:eastAsia="仿宋" w:cs="仿宋"/>
          <w:b/>
          <w:kern w:val="0"/>
          <w:highlight w:val="none"/>
        </w:rPr>
        <w:t>六、其他补充事宜</w:t>
      </w:r>
      <w:bookmarkEnd w:id="22"/>
      <w:bookmarkEnd w:id="23"/>
    </w:p>
    <w:p>
      <w:pPr>
        <w:spacing w:line="360" w:lineRule="auto"/>
        <w:ind w:firstLine="241" w:firstLineChars="100"/>
        <w:jc w:val="left"/>
        <w:outlineLvl w:val="0"/>
        <w:rPr>
          <w:rFonts w:ascii="仿宋" w:hAnsi="仿宋" w:eastAsia="仿宋" w:cs="仿宋"/>
          <w:b/>
          <w:highlight w:val="none"/>
        </w:rPr>
      </w:pPr>
      <w:bookmarkStart w:id="28" w:name="_Toc35393796"/>
      <w:bookmarkStart w:id="29" w:name="_Toc28359008"/>
      <w:bookmarkStart w:id="30" w:name="_Toc35393627"/>
      <w:bookmarkStart w:id="31" w:name="_Toc28359085"/>
      <w:r>
        <w:rPr>
          <w:rFonts w:hint="eastAsia" w:ascii="仿宋" w:hAnsi="仿宋" w:eastAsia="仿宋" w:cs="仿宋"/>
          <w:b/>
          <w:highlight w:val="none"/>
        </w:rPr>
        <w:t>1.投标保证金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（1）投标保证金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☑要求递交投标保证金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□不要求递交投标保证金。</w:t>
      </w:r>
    </w:p>
    <w:p>
      <w:pPr>
        <w:pStyle w:val="14"/>
        <w:tabs>
          <w:tab w:val="left" w:pos="547"/>
        </w:tabs>
        <w:spacing w:after="0" w:line="500" w:lineRule="exact"/>
        <w:ind w:left="0" w:leftChars="0" w:firstLine="482"/>
        <w:jc w:val="left"/>
        <w:rPr>
          <w:rFonts w:ascii="仿宋" w:hAnsi="仿宋" w:eastAsia="仿宋" w:cs="仿宋"/>
          <w:sz w:val="24"/>
          <w:highlight w:val="none"/>
        </w:rPr>
      </w:pPr>
      <w:r>
        <w:rPr>
          <w:rFonts w:hint="eastAsia" w:ascii="仿宋" w:hAnsi="仿宋" w:eastAsia="仿宋" w:cs="仿宋"/>
          <w:b/>
          <w:bCs/>
          <w:sz w:val="24"/>
          <w:highlight w:val="none"/>
        </w:rPr>
        <w:t>保证金金额：10000.00元（壹万元整）。</w:t>
      </w:r>
    </w:p>
    <w:p>
      <w:pPr>
        <w:pStyle w:val="14"/>
        <w:spacing w:after="0" w:line="500" w:lineRule="exact"/>
        <w:ind w:left="0" w:leftChars="0" w:firstLine="480"/>
        <w:rPr>
          <w:rFonts w:ascii="仿宋" w:hAnsi="仿宋" w:eastAsia="仿宋" w:cs="仿宋"/>
          <w:sz w:val="24"/>
          <w:highlight w:val="none"/>
        </w:rPr>
      </w:pPr>
      <w:r>
        <w:rPr>
          <w:rFonts w:hint="eastAsia" w:ascii="仿宋" w:hAnsi="仿宋" w:eastAsia="仿宋" w:cs="仿宋"/>
          <w:kern w:val="0"/>
          <w:sz w:val="24"/>
          <w:highlight w:val="none"/>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pPr>
        <w:pStyle w:val="14"/>
        <w:spacing w:after="0" w:line="500" w:lineRule="exact"/>
        <w:ind w:left="0" w:leftChars="0" w:firstLine="480"/>
        <w:rPr>
          <w:rFonts w:ascii="仿宋" w:hAnsi="仿宋" w:eastAsia="仿宋" w:cs="仿宋"/>
          <w:sz w:val="24"/>
          <w:highlight w:val="none"/>
        </w:rPr>
      </w:pPr>
      <w:r>
        <w:rPr>
          <w:rFonts w:hint="eastAsia" w:ascii="仿宋" w:hAnsi="仿宋" w:eastAsia="仿宋" w:cs="仿宋"/>
          <w:sz w:val="24"/>
          <w:highlight w:val="none"/>
        </w:rPr>
        <w:t>（2）截止时间：递交投标文件截止时间；</w:t>
      </w:r>
    </w:p>
    <w:p>
      <w:pPr>
        <w:pStyle w:val="14"/>
        <w:spacing w:after="0" w:line="500" w:lineRule="exact"/>
        <w:ind w:left="0" w:leftChars="0" w:firstLine="480"/>
        <w:rPr>
          <w:rFonts w:ascii="仿宋" w:hAnsi="仿宋" w:eastAsia="仿宋" w:cs="仿宋"/>
          <w:sz w:val="24"/>
          <w:highlight w:val="none"/>
        </w:rPr>
      </w:pPr>
      <w:r>
        <w:rPr>
          <w:rFonts w:hint="eastAsia" w:ascii="仿宋" w:hAnsi="仿宋" w:eastAsia="仿宋" w:cs="仿宋"/>
          <w:sz w:val="24"/>
          <w:highlight w:val="none"/>
        </w:rPr>
        <w:t>（3）交纳形式：可以采用“银行转账”、“银行保函”、“投标保证保险”任一方式，其中采用“银行转账”方式的，投标人以支票、汇票、本票、网上银行支付等非现金形式汇入指定账户：</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账户名称：德宏裕豪招标咨询有限公司</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行    号：</w:t>
      </w:r>
      <w:r>
        <w:rPr>
          <w:rFonts w:hint="eastAsia" w:ascii="仿宋" w:hAnsi="仿宋" w:eastAsia="仿宋" w:cs="仿宋"/>
          <w:highlight w:val="none"/>
        </w:rPr>
        <w:t>402754500017</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开户银行：云南陇川农村商业银行股份有限公司同心路支行</w:t>
      </w:r>
    </w:p>
    <w:p>
      <w:pPr>
        <w:spacing w:line="500" w:lineRule="exact"/>
        <w:ind w:left="1094" w:leftChars="456"/>
        <w:rPr>
          <w:rFonts w:ascii="仿宋" w:hAnsi="仿宋" w:eastAsia="仿宋" w:cs="仿宋"/>
          <w:b/>
          <w:bCs/>
          <w:highlight w:val="none"/>
        </w:rPr>
      </w:pPr>
      <w:r>
        <w:rPr>
          <w:rFonts w:hint="eastAsia" w:ascii="仿宋" w:hAnsi="仿宋" w:eastAsia="仿宋" w:cs="仿宋"/>
          <w:b/>
          <w:bCs/>
          <w:highlight w:val="none"/>
        </w:rPr>
        <w:t>账     号：5600017386810012</w:t>
      </w:r>
    </w:p>
    <w:p>
      <w:pPr>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2.投标文件的递交：</w:t>
      </w:r>
      <w:r>
        <w:rPr>
          <w:rFonts w:hint="eastAsia" w:ascii="仿宋" w:hAnsi="仿宋" w:eastAsia="仿宋" w:cs="仿宋"/>
          <w:highlight w:val="none"/>
        </w:rPr>
        <w:t>网上递交，网址为政采云平台（https://www.zcygov.cn/），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pPr>
        <w:spacing w:line="360" w:lineRule="auto"/>
        <w:ind w:firstLine="241" w:firstLineChars="100"/>
        <w:rPr>
          <w:rFonts w:ascii="仿宋" w:hAnsi="仿宋" w:eastAsia="仿宋" w:cs="仿宋"/>
          <w:b/>
          <w:bCs/>
          <w:highlight w:val="none"/>
        </w:rPr>
      </w:pPr>
      <w:r>
        <w:rPr>
          <w:rFonts w:hint="eastAsia" w:ascii="仿宋" w:hAnsi="仿宋" w:eastAsia="仿宋" w:cs="仿宋"/>
          <w:b/>
          <w:bCs/>
          <w:highlight w:val="none"/>
        </w:rPr>
        <w:t>3.注意事项</w:t>
      </w:r>
    </w:p>
    <w:p>
      <w:pPr>
        <w:adjustRightInd w:val="0"/>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开标方式：（一）若供应商熟悉“政采云”相关投标程序，不到现场参加投标的，应提前在自有场地配置有音视频通话（带摄像头及话筒的电脑）功能的相应设备及稳定网络环境，并按“政采云”开标大厅中的提示完成采购活动。 （二）到现场参与投标的供应商，建议于响应文件提交截止时间前携带编制投标（响应）文件时的加密数字证书（CA）、具有摄像头及话筒的笔记本电脑至采购代理机构开标地点参与投标。（三）采购人宣布开启电子投标（响应）文件后，供应商登陆“政采云”开标大厅，使用供应商编制投标（响应）文件时的加密数字证书对投标（响应）文件进行解密。</w:t>
      </w:r>
    </w:p>
    <w:p>
      <w:pPr>
        <w:spacing w:line="480" w:lineRule="auto"/>
        <w:ind w:firstLine="241" w:firstLineChars="100"/>
        <w:rPr>
          <w:rFonts w:ascii="仿宋" w:hAnsi="仿宋" w:eastAsia="仿宋" w:cs="仿宋"/>
          <w:b/>
          <w:bCs/>
          <w:highlight w:val="none"/>
        </w:rPr>
      </w:pPr>
      <w:r>
        <w:rPr>
          <w:rFonts w:hint="eastAsia" w:ascii="仿宋" w:hAnsi="仿宋" w:eastAsia="仿宋" w:cs="仿宋"/>
          <w:b/>
          <w:bCs/>
          <w:highlight w:val="none"/>
        </w:rPr>
        <w:t>4.采购信息发布及结果公告网站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本公告在云南省政府采购网上发布；我公司对其他网站或媒体转载的公告及公告内容不承担任何责任。</w:t>
      </w:r>
    </w:p>
    <w:p>
      <w:pPr>
        <w:spacing w:line="480" w:lineRule="auto"/>
        <w:ind w:firstLine="241" w:firstLineChars="100"/>
        <w:rPr>
          <w:rFonts w:ascii="仿宋" w:hAnsi="仿宋" w:eastAsia="仿宋" w:cs="仿宋"/>
          <w:b/>
          <w:bCs/>
          <w:highlight w:val="none"/>
        </w:rPr>
      </w:pPr>
      <w:r>
        <w:rPr>
          <w:rFonts w:hint="eastAsia" w:ascii="仿宋" w:hAnsi="仿宋" w:eastAsia="仿宋" w:cs="仿宋"/>
          <w:b/>
          <w:bCs/>
          <w:highlight w:val="none"/>
        </w:rPr>
        <w:t>5.监督部门电话</w:t>
      </w:r>
    </w:p>
    <w:p>
      <w:pPr>
        <w:pStyle w:val="31"/>
        <w:spacing w:line="348" w:lineRule="auto"/>
        <w:ind w:left="0" w:firstLine="480" w:firstLineChars="200"/>
        <w:jc w:val="both"/>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行业监督部门及联系电话：陇川县财政局 0692-7172965 </w:t>
      </w:r>
    </w:p>
    <w:p>
      <w:pPr>
        <w:pStyle w:val="31"/>
        <w:spacing w:line="348" w:lineRule="auto"/>
        <w:ind w:left="0" w:firstLine="480" w:firstLineChars="200"/>
        <w:jc w:val="both"/>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纪检监督联系电话：0692-12388</w:t>
      </w:r>
    </w:p>
    <w:p>
      <w:pPr>
        <w:pStyle w:val="4"/>
        <w:spacing w:line="480" w:lineRule="auto"/>
        <w:rPr>
          <w:rFonts w:ascii="仿宋" w:hAnsi="仿宋" w:eastAsia="仿宋" w:cs="仿宋"/>
          <w:sz w:val="24"/>
          <w:szCs w:val="24"/>
          <w:highlight w:val="none"/>
        </w:rPr>
      </w:pPr>
      <w:r>
        <w:rPr>
          <w:rFonts w:hint="eastAsia" w:ascii="仿宋" w:hAnsi="仿宋" w:eastAsia="仿宋" w:cs="仿宋"/>
          <w:sz w:val="24"/>
          <w:szCs w:val="24"/>
          <w:highlight w:val="none"/>
        </w:rPr>
        <w:t>七、对本次招标提出询问，请按以下方式联系。</w:t>
      </w:r>
      <w:bookmarkEnd w:id="28"/>
      <w:bookmarkEnd w:id="29"/>
      <w:bookmarkEnd w:id="30"/>
      <w:bookmarkEnd w:id="31"/>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1.采购人信息</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 xml:space="preserve">名称：陇川县工业和商务科技局 </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地址：陇川县章凤镇勐宛南路20号</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联系方式：13988256899</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2.采购代理机构信息</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名称：德宏裕豪招标咨询有限公司</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地址：陇川县章凤镇民族步行街18幢3号</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联系方式：0692-7186998</w:t>
      </w:r>
    </w:p>
    <w:p>
      <w:pPr>
        <w:pStyle w:val="4"/>
        <w:spacing w:before="0" w:after="0" w:line="480" w:lineRule="auto"/>
        <w:ind w:firstLine="480" w:firstLineChars="200"/>
        <w:rPr>
          <w:rFonts w:ascii="仿宋" w:hAnsi="仿宋" w:eastAsia="仿宋" w:cs="仿宋"/>
          <w:b w:val="0"/>
          <w:sz w:val="24"/>
          <w:szCs w:val="24"/>
          <w:highlight w:val="none"/>
        </w:rPr>
      </w:pPr>
      <w:bookmarkStart w:id="32" w:name="_Toc35393808"/>
      <w:bookmarkStart w:id="33" w:name="_Toc28359021"/>
      <w:bookmarkStart w:id="34" w:name="_Toc35393639"/>
      <w:bookmarkStart w:id="35" w:name="_Toc28359098"/>
      <w:r>
        <w:rPr>
          <w:rFonts w:hint="eastAsia" w:ascii="仿宋" w:hAnsi="仿宋" w:eastAsia="仿宋" w:cs="仿宋"/>
          <w:b w:val="0"/>
          <w:sz w:val="24"/>
          <w:szCs w:val="24"/>
          <w:highlight w:val="none"/>
        </w:rPr>
        <w:t>3.项目联系方式</w:t>
      </w:r>
      <w:bookmarkEnd w:id="32"/>
      <w:bookmarkEnd w:id="33"/>
      <w:bookmarkEnd w:id="34"/>
      <w:bookmarkEnd w:id="35"/>
    </w:p>
    <w:p>
      <w:pPr>
        <w:pStyle w:val="18"/>
        <w:spacing w:line="480" w:lineRule="auto"/>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项目联系人：董先生（采购人）杨连智、寸待婷（采购代理机构）</w:t>
      </w:r>
    </w:p>
    <w:p>
      <w:pPr>
        <w:spacing w:line="360" w:lineRule="auto"/>
        <w:ind w:left="547" w:leftChars="228"/>
        <w:rPr>
          <w:rFonts w:ascii="仿宋" w:hAnsi="仿宋" w:eastAsia="仿宋" w:cs="仿宋"/>
          <w:b/>
          <w:sz w:val="21"/>
          <w:szCs w:val="21"/>
          <w:highlight w:val="none"/>
        </w:rPr>
      </w:pPr>
      <w:r>
        <w:rPr>
          <w:rFonts w:hint="eastAsia" w:ascii="仿宋" w:hAnsi="仿宋" w:eastAsia="仿宋" w:cs="仿宋"/>
          <w:highlight w:val="none"/>
        </w:rPr>
        <w:t>电话：13988256899（采购人）、</w:t>
      </w:r>
      <w:r>
        <w:rPr>
          <w:rFonts w:hint="eastAsia" w:ascii="仿宋" w:hAnsi="仿宋" w:eastAsia="仿宋" w:cs="仿宋"/>
          <w:bCs/>
          <w:highlight w:val="none"/>
        </w:rPr>
        <w:t>18869210599、15208813001</w:t>
      </w:r>
      <w:r>
        <w:rPr>
          <w:rFonts w:hint="eastAsia" w:ascii="仿宋" w:hAnsi="仿宋" w:eastAsia="仿宋" w:cs="仿宋"/>
          <w:highlight w:val="none"/>
        </w:rPr>
        <w:t>（采购代理机构</w:t>
      </w:r>
      <w:bookmarkStart w:id="36" w:name="_Toc73290882"/>
      <w:r>
        <w:rPr>
          <w:rFonts w:hint="eastAsia" w:ascii="仿宋" w:hAnsi="仿宋" w:eastAsia="仿宋" w:cs="仿宋"/>
          <w:highlight w:val="none"/>
        </w:rPr>
        <w:t>)</w:t>
      </w:r>
    </w:p>
    <w:p>
      <w:pPr>
        <w:pStyle w:val="7"/>
        <w:rPr>
          <w:rFonts w:ascii="仿宋" w:hAnsi="仿宋" w:eastAsia="仿宋" w:cs="仿宋"/>
          <w:b/>
          <w:sz w:val="21"/>
          <w:szCs w:val="21"/>
          <w:highlight w:val="none"/>
        </w:rPr>
      </w:pPr>
    </w:p>
    <w:p>
      <w:pPr>
        <w:spacing w:line="360" w:lineRule="auto"/>
        <w:rPr>
          <w:rFonts w:ascii="仿宋" w:hAnsi="仿宋" w:eastAsia="仿宋" w:cs="仿宋"/>
          <w:b/>
          <w:sz w:val="36"/>
          <w:szCs w:val="36"/>
          <w:highlight w:val="none"/>
        </w:rPr>
      </w:pPr>
    </w:p>
    <w:p>
      <w:pPr>
        <w:spacing w:line="360" w:lineRule="auto"/>
        <w:ind w:firstLine="2891" w:firstLineChars="800"/>
        <w:rPr>
          <w:rFonts w:ascii="仿宋" w:hAnsi="仿宋" w:eastAsia="仿宋" w:cs="仿宋"/>
          <w:b/>
          <w:sz w:val="36"/>
          <w:szCs w:val="36"/>
          <w:highlight w:val="none"/>
        </w:rPr>
      </w:pPr>
      <w:r>
        <w:rPr>
          <w:rFonts w:hint="eastAsia" w:ascii="仿宋" w:hAnsi="仿宋" w:eastAsia="仿宋" w:cs="仿宋"/>
          <w:b/>
          <w:sz w:val="36"/>
          <w:szCs w:val="36"/>
          <w:highlight w:val="none"/>
        </w:rPr>
        <w:t>第二章   投标人须知</w:t>
      </w:r>
      <w:bookmarkEnd w:id="36"/>
    </w:p>
    <w:p>
      <w:pPr>
        <w:spacing w:line="360" w:lineRule="auto"/>
        <w:ind w:left="-821" w:leftChars="-342" w:right="29" w:rightChars="12" w:firstLine="480" w:firstLineChars="200"/>
        <w:jc w:val="center"/>
        <w:rPr>
          <w:rFonts w:ascii="仿宋" w:hAnsi="仿宋" w:eastAsia="仿宋" w:cs="仿宋"/>
          <w:highlight w:val="none"/>
        </w:rPr>
      </w:pPr>
    </w:p>
    <w:p>
      <w:pPr>
        <w:spacing w:line="360" w:lineRule="auto"/>
        <w:ind w:left="-821" w:leftChars="-342" w:right="29" w:rightChars="12" w:firstLine="480" w:firstLineChars="200"/>
        <w:jc w:val="center"/>
        <w:rPr>
          <w:rFonts w:ascii="仿宋" w:hAnsi="仿宋" w:eastAsia="仿宋" w:cs="仿宋"/>
          <w:highlight w:val="none"/>
        </w:rPr>
      </w:pPr>
      <w:r>
        <w:rPr>
          <w:rFonts w:hint="eastAsia" w:ascii="仿宋" w:hAnsi="仿宋" w:eastAsia="仿宋" w:cs="仿宋"/>
          <w:highlight w:val="none"/>
        </w:rPr>
        <w:t>一、投标人须知前附表</w:t>
      </w:r>
    </w:p>
    <w:tbl>
      <w:tblPr>
        <w:tblStyle w:val="33"/>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955"/>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33" w:type="dxa"/>
            <w:vAlign w:val="center"/>
          </w:tcPr>
          <w:p>
            <w:pPr>
              <w:pStyle w:val="18"/>
              <w:spacing w:line="360" w:lineRule="auto"/>
              <w:jc w:val="center"/>
              <w:rPr>
                <w:rFonts w:ascii="仿宋" w:hAnsi="仿宋" w:eastAsia="仿宋" w:cs="仿宋"/>
                <w:b/>
                <w:color w:val="auto"/>
                <w:szCs w:val="24"/>
                <w:highlight w:val="none"/>
              </w:rPr>
            </w:pPr>
            <w:bookmarkStart w:id="37" w:name="_Toc518381283"/>
            <w:bookmarkStart w:id="38" w:name="_Toc245662188"/>
            <w:bookmarkStart w:id="39" w:name="_Toc185242428"/>
            <w:bookmarkStart w:id="40" w:name="_Toc293042886"/>
            <w:r>
              <w:rPr>
                <w:rFonts w:hint="eastAsia" w:ascii="仿宋" w:hAnsi="仿宋" w:eastAsia="仿宋" w:cs="仿宋"/>
                <w:b/>
                <w:color w:val="auto"/>
                <w:szCs w:val="24"/>
                <w:highlight w:val="none"/>
              </w:rPr>
              <w:t>条款号</w:t>
            </w:r>
          </w:p>
        </w:tc>
        <w:tc>
          <w:tcPr>
            <w:tcW w:w="1955" w:type="dxa"/>
            <w:vAlign w:val="center"/>
          </w:tcPr>
          <w:p>
            <w:pPr>
              <w:pStyle w:val="18"/>
              <w:spacing w:line="360" w:lineRule="auto"/>
              <w:jc w:val="center"/>
              <w:rPr>
                <w:rFonts w:ascii="仿宋" w:hAnsi="仿宋" w:eastAsia="仿宋" w:cs="仿宋"/>
                <w:b/>
                <w:color w:val="auto"/>
                <w:szCs w:val="24"/>
                <w:highlight w:val="none"/>
              </w:rPr>
            </w:pPr>
            <w:r>
              <w:rPr>
                <w:rFonts w:hint="eastAsia" w:ascii="仿宋" w:hAnsi="仿宋" w:eastAsia="仿宋" w:cs="仿宋"/>
                <w:b/>
                <w:color w:val="auto"/>
                <w:szCs w:val="24"/>
                <w:highlight w:val="none"/>
              </w:rPr>
              <w:t>条 款 名 称</w:t>
            </w:r>
          </w:p>
        </w:tc>
        <w:tc>
          <w:tcPr>
            <w:tcW w:w="6607" w:type="dxa"/>
            <w:vAlign w:val="center"/>
          </w:tcPr>
          <w:p>
            <w:pPr>
              <w:pStyle w:val="18"/>
              <w:spacing w:line="360" w:lineRule="auto"/>
              <w:jc w:val="center"/>
              <w:rPr>
                <w:rFonts w:ascii="仿宋" w:hAnsi="仿宋" w:eastAsia="仿宋" w:cs="仿宋"/>
                <w:b/>
                <w:color w:val="auto"/>
                <w:szCs w:val="24"/>
                <w:highlight w:val="none"/>
              </w:rPr>
            </w:pPr>
            <w:r>
              <w:rPr>
                <w:rFonts w:hint="eastAsia" w:ascii="仿宋" w:hAnsi="仿宋" w:eastAsia="仿宋" w:cs="仿宋"/>
                <w:b/>
                <w:color w:val="auto"/>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1.1.2</w:t>
            </w:r>
          </w:p>
        </w:tc>
        <w:tc>
          <w:tcPr>
            <w:tcW w:w="1955"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bCs/>
                <w:color w:val="auto"/>
                <w:szCs w:val="24"/>
                <w:highlight w:val="none"/>
              </w:rPr>
              <w:t>采购人</w:t>
            </w:r>
          </w:p>
        </w:tc>
        <w:tc>
          <w:tcPr>
            <w:tcW w:w="6607" w:type="dxa"/>
            <w:vAlign w:val="center"/>
          </w:tcPr>
          <w:p>
            <w:pPr>
              <w:spacing w:line="360" w:lineRule="auto"/>
              <w:rPr>
                <w:rFonts w:ascii="仿宋" w:hAnsi="仿宋" w:eastAsia="仿宋" w:cs="仿宋"/>
                <w:bCs/>
                <w:highlight w:val="none"/>
              </w:rPr>
            </w:pPr>
            <w:r>
              <w:rPr>
                <w:rFonts w:hint="eastAsia" w:ascii="仿宋" w:hAnsi="仿宋" w:eastAsia="仿宋" w:cs="仿宋"/>
                <w:highlight w:val="none"/>
              </w:rPr>
              <w:t xml:space="preserve">采购人：陇川县工业和商务科技局 </w:t>
            </w:r>
          </w:p>
          <w:p>
            <w:pPr>
              <w:spacing w:line="360" w:lineRule="auto"/>
              <w:rPr>
                <w:rFonts w:ascii="仿宋" w:hAnsi="仿宋" w:eastAsia="仿宋" w:cs="仿宋"/>
                <w:highlight w:val="none"/>
              </w:rPr>
            </w:pPr>
            <w:r>
              <w:rPr>
                <w:rFonts w:hint="eastAsia" w:ascii="仿宋" w:hAnsi="仿宋" w:eastAsia="仿宋" w:cs="仿宋"/>
                <w:bCs/>
                <w:highlight w:val="none"/>
              </w:rPr>
              <w:t>单位地址：</w:t>
            </w:r>
            <w:r>
              <w:rPr>
                <w:rFonts w:hint="eastAsia" w:ascii="仿宋" w:hAnsi="仿宋" w:eastAsia="仿宋" w:cs="仿宋"/>
                <w:highlight w:val="none"/>
              </w:rPr>
              <w:t>陇川县章凤镇勐宛南路20号</w:t>
            </w:r>
          </w:p>
          <w:p>
            <w:pPr>
              <w:spacing w:line="360" w:lineRule="auto"/>
              <w:rPr>
                <w:rFonts w:ascii="仿宋" w:hAnsi="仿宋" w:eastAsia="仿宋" w:cs="仿宋"/>
                <w:highlight w:val="none"/>
              </w:rPr>
            </w:pPr>
            <w:r>
              <w:rPr>
                <w:rFonts w:hint="eastAsia" w:ascii="仿宋" w:hAnsi="仿宋" w:eastAsia="仿宋" w:cs="仿宋"/>
                <w:highlight w:val="none"/>
              </w:rPr>
              <w:t>联系人及联系方式：董先生 13988256899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1.1.3</w:t>
            </w:r>
          </w:p>
        </w:tc>
        <w:tc>
          <w:tcPr>
            <w:tcW w:w="1955"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采购代理机构</w:t>
            </w:r>
          </w:p>
        </w:tc>
        <w:tc>
          <w:tcPr>
            <w:tcW w:w="6607" w:type="dxa"/>
            <w:vAlign w:val="center"/>
          </w:tcPr>
          <w:p>
            <w:pPr>
              <w:spacing w:line="360" w:lineRule="auto"/>
              <w:rPr>
                <w:rFonts w:ascii="仿宋" w:hAnsi="仿宋" w:eastAsia="仿宋" w:cs="仿宋"/>
                <w:bCs/>
                <w:highlight w:val="none"/>
              </w:rPr>
            </w:pPr>
            <w:r>
              <w:rPr>
                <w:rFonts w:hint="eastAsia" w:ascii="仿宋" w:hAnsi="仿宋" w:eastAsia="仿宋" w:cs="仿宋"/>
                <w:bCs/>
                <w:highlight w:val="none"/>
              </w:rPr>
              <w:t xml:space="preserve">采购代理机构：德宏裕豪招标咨询有限公司 </w:t>
            </w:r>
          </w:p>
          <w:p>
            <w:pPr>
              <w:spacing w:line="360" w:lineRule="auto"/>
              <w:rPr>
                <w:rFonts w:ascii="仿宋" w:hAnsi="仿宋" w:eastAsia="仿宋" w:cs="仿宋"/>
                <w:bCs/>
                <w:highlight w:val="none"/>
              </w:rPr>
            </w:pPr>
            <w:r>
              <w:rPr>
                <w:rFonts w:hint="eastAsia" w:ascii="仿宋" w:hAnsi="仿宋" w:eastAsia="仿宋" w:cs="仿宋"/>
                <w:bCs/>
                <w:highlight w:val="none"/>
              </w:rPr>
              <w:t>公司地址：</w:t>
            </w:r>
            <w:r>
              <w:rPr>
                <w:rFonts w:hint="eastAsia" w:ascii="仿宋" w:hAnsi="仿宋" w:eastAsia="仿宋" w:cs="仿宋"/>
                <w:highlight w:val="none"/>
              </w:rPr>
              <w:t>陇川县章凤镇民族步行街18幢3号</w:t>
            </w:r>
          </w:p>
          <w:p>
            <w:pPr>
              <w:spacing w:line="360" w:lineRule="auto"/>
              <w:rPr>
                <w:rFonts w:ascii="仿宋" w:hAnsi="仿宋" w:eastAsia="仿宋" w:cs="仿宋"/>
                <w:bCs/>
                <w:highlight w:val="none"/>
              </w:rPr>
            </w:pPr>
            <w:r>
              <w:rPr>
                <w:rFonts w:hint="eastAsia" w:ascii="仿宋" w:hAnsi="仿宋" w:eastAsia="仿宋" w:cs="仿宋"/>
                <w:bCs/>
                <w:highlight w:val="none"/>
              </w:rPr>
              <w:t>联系人及联系方式：杨连智、寸待婷、</w:t>
            </w:r>
          </w:p>
          <w:p>
            <w:pPr>
              <w:spacing w:line="360" w:lineRule="auto"/>
              <w:rPr>
                <w:rFonts w:ascii="仿宋" w:hAnsi="仿宋" w:eastAsia="仿宋" w:cs="仿宋"/>
                <w:highlight w:val="none"/>
              </w:rPr>
            </w:pPr>
            <w:r>
              <w:rPr>
                <w:rFonts w:hint="eastAsia" w:ascii="仿宋" w:hAnsi="仿宋" w:eastAsia="仿宋" w:cs="仿宋"/>
                <w:bCs/>
                <w:highlight w:val="none"/>
              </w:rPr>
              <w:t>18869210599、15208813001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1.1.4</w:t>
            </w:r>
          </w:p>
        </w:tc>
        <w:tc>
          <w:tcPr>
            <w:tcW w:w="1955" w:type="dxa"/>
            <w:vAlign w:val="center"/>
          </w:tcPr>
          <w:p>
            <w:pPr>
              <w:spacing w:line="360" w:lineRule="auto"/>
              <w:jc w:val="center"/>
              <w:rPr>
                <w:rFonts w:ascii="仿宋" w:hAnsi="仿宋" w:eastAsia="仿宋" w:cs="仿宋"/>
                <w:bCs/>
                <w:highlight w:val="none"/>
                <w:lang w:val="zh-CN"/>
              </w:rPr>
            </w:pPr>
            <w:r>
              <w:rPr>
                <w:rFonts w:hint="eastAsia" w:ascii="仿宋" w:hAnsi="仿宋" w:eastAsia="仿宋" w:cs="仿宋"/>
                <w:bCs/>
                <w:highlight w:val="none"/>
                <w:lang w:val="zh-CN"/>
              </w:rPr>
              <w:t>项目名称</w:t>
            </w:r>
          </w:p>
        </w:tc>
        <w:tc>
          <w:tcPr>
            <w:tcW w:w="6607" w:type="dxa"/>
            <w:vAlign w:val="center"/>
          </w:tcPr>
          <w:p>
            <w:pPr>
              <w:spacing w:line="360" w:lineRule="auto"/>
              <w:rPr>
                <w:rFonts w:ascii="仿宋" w:hAnsi="仿宋" w:eastAsia="仿宋" w:cs="仿宋"/>
                <w:bCs/>
                <w:highlight w:val="none"/>
                <w:lang w:val="zh-CN"/>
              </w:rPr>
            </w:pPr>
            <w:r>
              <w:rPr>
                <w:rFonts w:hint="eastAsia" w:ascii="仿宋" w:hAnsi="仿宋" w:eastAsia="仿宋" w:cs="仿宋"/>
                <w:highlight w:val="none"/>
              </w:rPr>
              <w:t>陇川县“互联网+成品油管理云平台”建设项目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1.2.1</w:t>
            </w:r>
          </w:p>
        </w:tc>
        <w:tc>
          <w:tcPr>
            <w:tcW w:w="1955"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资金落实情况</w:t>
            </w:r>
          </w:p>
        </w:tc>
        <w:tc>
          <w:tcPr>
            <w:tcW w:w="6607" w:type="dxa"/>
            <w:vAlign w:val="center"/>
          </w:tcPr>
          <w:p>
            <w:pPr>
              <w:pStyle w:val="18"/>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1.3.1</w:t>
            </w:r>
          </w:p>
        </w:tc>
        <w:tc>
          <w:tcPr>
            <w:tcW w:w="1955"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采购内容</w:t>
            </w:r>
          </w:p>
        </w:tc>
        <w:tc>
          <w:tcPr>
            <w:tcW w:w="6607" w:type="dxa"/>
            <w:vAlign w:val="center"/>
          </w:tcPr>
          <w:p>
            <w:pPr>
              <w:spacing w:line="360" w:lineRule="auto"/>
              <w:ind w:firstLine="480" w:firstLineChars="200"/>
              <w:rPr>
                <w:rFonts w:ascii="仿宋" w:hAnsi="仿宋" w:eastAsia="仿宋" w:cs="仿宋"/>
                <w:szCs w:val="21"/>
                <w:highlight w:val="none"/>
              </w:rPr>
            </w:pPr>
            <w:r>
              <w:rPr>
                <w:rFonts w:hint="eastAsia" w:ascii="仿宋" w:hAnsi="仿宋" w:eastAsia="仿宋" w:cs="仿宋"/>
                <w:highlight w:val="none"/>
              </w:rPr>
              <w:t>陇川县“互联网+成品油管理云平台”建设项目，</w:t>
            </w:r>
            <w:r>
              <w:rPr>
                <w:rFonts w:hint="eastAsia" w:ascii="仿宋" w:hAnsi="仿宋" w:eastAsia="仿宋" w:cs="仿宋"/>
                <w:szCs w:val="21"/>
                <w:highlight w:val="none"/>
              </w:rPr>
              <w:t>详见</w:t>
            </w:r>
            <w:r>
              <w:rPr>
                <w:rFonts w:hint="eastAsia" w:ascii="仿宋" w:hAnsi="仿宋" w:eastAsia="仿宋" w:cs="仿宋"/>
                <w:highlight w:val="none"/>
              </w:rPr>
              <w:t>第六章采购内容及具体要求</w:t>
            </w:r>
            <w:r>
              <w:rPr>
                <w:rFonts w:hint="eastAsia" w:ascii="仿宋" w:hAnsi="仿宋" w:eastAsia="仿宋" w:cs="仿宋"/>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1.3.2</w:t>
            </w:r>
          </w:p>
        </w:tc>
        <w:tc>
          <w:tcPr>
            <w:tcW w:w="1955"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合同履行期限</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服务期限3年，合同一年一签，建设周期60日历天；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1.4</w:t>
            </w:r>
          </w:p>
        </w:tc>
        <w:tc>
          <w:tcPr>
            <w:tcW w:w="1955" w:type="dxa"/>
            <w:vAlign w:val="center"/>
          </w:tcPr>
          <w:p>
            <w:pPr>
              <w:pStyle w:val="18"/>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投标人资格要求</w:t>
            </w:r>
          </w:p>
        </w:tc>
        <w:tc>
          <w:tcPr>
            <w:tcW w:w="6607" w:type="dxa"/>
            <w:vAlign w:val="center"/>
          </w:tcPr>
          <w:p>
            <w:pPr>
              <w:pStyle w:val="18"/>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符合招标文件第一章《招标公告》“二、投标人资格要求”；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1.9.2</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投标人提出问题的截止时间和方法</w:t>
            </w:r>
          </w:p>
        </w:tc>
        <w:tc>
          <w:tcPr>
            <w:tcW w:w="6607" w:type="dxa"/>
            <w:vAlign w:val="center"/>
          </w:tcPr>
          <w:p>
            <w:pPr>
              <w:autoSpaceDE w:val="0"/>
              <w:autoSpaceDN w:val="0"/>
              <w:adjustRightIn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投标截止时间10日前，所有获取了招标文件的潜在投标人登录政采云平台（https://www.zcygov.cn/），通过网络在线方式进行不署名提问。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1.9.3</w:t>
            </w:r>
          </w:p>
        </w:tc>
        <w:tc>
          <w:tcPr>
            <w:tcW w:w="1955" w:type="dxa"/>
            <w:vAlign w:val="center"/>
          </w:tcPr>
          <w:p>
            <w:pPr>
              <w:autoSpaceDE w:val="0"/>
              <w:autoSpaceDN w:val="0"/>
              <w:snapToGrid w:val="0"/>
              <w:spacing w:line="360" w:lineRule="auto"/>
              <w:jc w:val="center"/>
              <w:textAlignment w:val="bottom"/>
              <w:rPr>
                <w:rFonts w:ascii="仿宋" w:hAnsi="仿宋" w:eastAsia="仿宋" w:cs="仿宋"/>
                <w:highlight w:val="none"/>
              </w:rPr>
            </w:pPr>
            <w:r>
              <w:rPr>
                <w:rFonts w:hint="eastAsia" w:ascii="仿宋" w:hAnsi="仿宋" w:eastAsia="仿宋" w:cs="仿宋"/>
                <w:highlight w:val="none"/>
              </w:rPr>
              <w:t>招标文件澄清截止时间和方法</w:t>
            </w:r>
          </w:p>
        </w:tc>
        <w:tc>
          <w:tcPr>
            <w:tcW w:w="6607" w:type="dxa"/>
            <w:vAlign w:val="center"/>
          </w:tcPr>
          <w:p>
            <w:pPr>
              <w:autoSpaceDE w:val="0"/>
              <w:autoSpaceDN w:val="0"/>
              <w:adjustRightInd w:val="0"/>
              <w:spacing w:line="360" w:lineRule="auto"/>
              <w:ind w:firstLine="480" w:firstLineChars="200"/>
              <w:rPr>
                <w:rFonts w:ascii="仿宋" w:hAnsi="仿宋" w:eastAsia="仿宋" w:cs="仿宋"/>
                <w:szCs w:val="21"/>
                <w:highlight w:val="none"/>
              </w:rPr>
            </w:pPr>
            <w:r>
              <w:rPr>
                <w:rFonts w:hint="eastAsia" w:ascii="仿宋" w:hAnsi="仿宋" w:eastAsia="仿宋" w:cs="仿宋"/>
                <w:highlight w:val="none"/>
              </w:rPr>
              <w:t>标截止时间至少15日前，由采购人以补遗书方式按程序报有关主管部门备案后，提交云南省政府采购网统一通过网络向潜在投标人发布，且投标人不须回函确认，所有获取了招标文件的潜在投标人登录政采云平台（https://www.zcygov.cn/）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2.2.2</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投标截止时间</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u w:val="single"/>
              </w:rPr>
              <w:t>2024</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9</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3</w:t>
            </w:r>
            <w:r>
              <w:rPr>
                <w:rFonts w:hint="eastAsia" w:ascii="仿宋" w:hAnsi="仿宋" w:eastAsia="仿宋" w:cs="仿宋"/>
                <w:highlight w:val="none"/>
                <w:u w:val="single"/>
              </w:rPr>
              <w:t xml:space="preserve">  </w:t>
            </w:r>
            <w:r>
              <w:rPr>
                <w:rFonts w:hint="eastAsia" w:ascii="仿宋" w:hAnsi="仿宋" w:eastAsia="仿宋" w:cs="仿宋"/>
                <w:highlight w:val="none"/>
              </w:rPr>
              <w:t>日</w:t>
            </w:r>
            <w:r>
              <w:rPr>
                <w:rFonts w:hint="eastAsia" w:ascii="仿宋" w:hAnsi="仿宋" w:eastAsia="仿宋" w:cs="仿宋"/>
                <w:highlight w:val="none"/>
                <w:u w:val="single"/>
              </w:rPr>
              <w:t xml:space="preserve"> 09 </w:t>
            </w:r>
            <w:r>
              <w:rPr>
                <w:rFonts w:hint="eastAsia" w:ascii="仿宋" w:hAnsi="仿宋" w:eastAsia="仿宋" w:cs="仿宋"/>
                <w:highlight w:val="none"/>
              </w:rPr>
              <w:t>时</w:t>
            </w:r>
            <w:r>
              <w:rPr>
                <w:rFonts w:hint="eastAsia" w:ascii="仿宋" w:hAnsi="仿宋" w:eastAsia="仿宋" w:cs="仿宋"/>
                <w:highlight w:val="none"/>
                <w:u w:val="single"/>
              </w:rPr>
              <w:t xml:space="preserve"> 00 </w:t>
            </w:r>
            <w:r>
              <w:rPr>
                <w:rFonts w:hint="eastAsia" w:ascii="仿宋" w:hAnsi="仿宋" w:eastAsia="仿宋" w:cs="仿宋"/>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2.2.3</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投标人确认收到招标文件澄清的时间</w:t>
            </w:r>
          </w:p>
        </w:tc>
        <w:tc>
          <w:tcPr>
            <w:tcW w:w="6607" w:type="dxa"/>
            <w:vAlign w:val="center"/>
          </w:tcPr>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投标人自行登录登录政采云平台（https://www.zcygov.cn/）获取澄清，无须回复确认已收到该澄清。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2.3.2</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投标人确认收到招标文件修改的时间</w:t>
            </w:r>
          </w:p>
        </w:tc>
        <w:tc>
          <w:tcPr>
            <w:tcW w:w="6607" w:type="dxa"/>
            <w:vAlign w:val="center"/>
          </w:tcPr>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投标人自行登录登录政采云平台（https://www.zcygov.cn/）收取修改内容，无须回复确认已收到该修改。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3.3.1</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投标有效期</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自提交投标文件截止之日起90日历天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3.4</w:t>
            </w:r>
          </w:p>
        </w:tc>
        <w:tc>
          <w:tcPr>
            <w:tcW w:w="1955"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投标保证金</w:t>
            </w:r>
          </w:p>
        </w:tc>
        <w:tc>
          <w:tcPr>
            <w:tcW w:w="6607" w:type="dxa"/>
            <w:vAlign w:val="center"/>
          </w:tcPr>
          <w:p>
            <w:pPr>
              <w:widowControl/>
              <w:spacing w:line="360" w:lineRule="exact"/>
              <w:rPr>
                <w:rFonts w:ascii="仿宋" w:hAnsi="仿宋" w:eastAsia="仿宋" w:cs="仿宋"/>
                <w:kern w:val="0"/>
                <w:highlight w:val="none"/>
              </w:rPr>
            </w:pPr>
          </w:p>
          <w:p>
            <w:pPr>
              <w:spacing w:line="348" w:lineRule="auto"/>
              <w:rPr>
                <w:rFonts w:ascii="仿宋" w:hAnsi="仿宋" w:eastAsia="仿宋" w:cs="仿宋"/>
                <w:highlight w:val="none"/>
              </w:rPr>
            </w:pPr>
            <w:r>
              <w:rPr>
                <w:rFonts w:hint="eastAsia" w:ascii="仿宋" w:hAnsi="仿宋" w:eastAsia="仿宋" w:cs="仿宋"/>
                <w:highlight w:val="none"/>
              </w:rPr>
              <w:t>（1）投标保证金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☑要求递交投标保证金</w:t>
            </w:r>
          </w:p>
          <w:p>
            <w:pPr>
              <w:spacing w:line="348" w:lineRule="auto"/>
              <w:ind w:firstLine="480" w:firstLineChars="200"/>
              <w:rPr>
                <w:rFonts w:ascii="仿宋" w:hAnsi="仿宋" w:eastAsia="仿宋" w:cs="仿宋"/>
                <w:highlight w:val="none"/>
              </w:rPr>
            </w:pPr>
            <w:r>
              <w:rPr>
                <w:rFonts w:hint="eastAsia" w:ascii="仿宋" w:hAnsi="仿宋" w:eastAsia="仿宋" w:cs="仿宋"/>
                <w:highlight w:val="none"/>
              </w:rPr>
              <w:t>□不要求递交投标保证金。</w:t>
            </w:r>
          </w:p>
          <w:p>
            <w:pPr>
              <w:pStyle w:val="14"/>
              <w:tabs>
                <w:tab w:val="left" w:pos="547"/>
              </w:tabs>
              <w:spacing w:after="0" w:line="500" w:lineRule="exact"/>
              <w:ind w:left="0" w:leftChars="0" w:firstLine="482"/>
              <w:jc w:val="left"/>
              <w:rPr>
                <w:rFonts w:ascii="仿宋" w:hAnsi="仿宋" w:eastAsia="仿宋" w:cs="仿宋"/>
                <w:sz w:val="24"/>
                <w:highlight w:val="none"/>
              </w:rPr>
            </w:pPr>
            <w:r>
              <w:rPr>
                <w:rFonts w:hint="eastAsia" w:ascii="仿宋" w:hAnsi="仿宋" w:eastAsia="仿宋" w:cs="仿宋"/>
                <w:b/>
                <w:bCs/>
                <w:sz w:val="24"/>
                <w:highlight w:val="none"/>
              </w:rPr>
              <w:t>保证金金额：10000.00（壹万元整）。</w:t>
            </w:r>
          </w:p>
          <w:p>
            <w:pPr>
              <w:pStyle w:val="14"/>
              <w:spacing w:after="0" w:line="500" w:lineRule="exact"/>
              <w:ind w:left="0" w:leftChars="0" w:firstLine="480"/>
              <w:rPr>
                <w:rFonts w:ascii="仿宋" w:hAnsi="仿宋" w:eastAsia="仿宋" w:cs="仿宋"/>
                <w:sz w:val="24"/>
                <w:highlight w:val="none"/>
              </w:rPr>
            </w:pPr>
            <w:r>
              <w:rPr>
                <w:rFonts w:hint="eastAsia" w:ascii="仿宋" w:hAnsi="仿宋" w:eastAsia="仿宋" w:cs="仿宋"/>
                <w:kern w:val="0"/>
                <w:sz w:val="24"/>
                <w:highlight w:val="none"/>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pPr>
              <w:pStyle w:val="14"/>
              <w:spacing w:after="0" w:line="500" w:lineRule="exact"/>
              <w:ind w:left="0" w:leftChars="0" w:firstLine="0" w:firstLineChars="0"/>
              <w:rPr>
                <w:rFonts w:ascii="仿宋" w:hAnsi="仿宋" w:eastAsia="仿宋" w:cs="仿宋"/>
                <w:sz w:val="24"/>
                <w:highlight w:val="none"/>
              </w:rPr>
            </w:pPr>
            <w:r>
              <w:rPr>
                <w:rFonts w:hint="eastAsia" w:ascii="仿宋" w:hAnsi="仿宋" w:eastAsia="仿宋" w:cs="仿宋"/>
                <w:sz w:val="24"/>
                <w:highlight w:val="none"/>
              </w:rPr>
              <w:t>（2）截止时间：递交投标文件截止时间；</w:t>
            </w:r>
          </w:p>
          <w:p>
            <w:pPr>
              <w:pStyle w:val="14"/>
              <w:spacing w:after="0" w:line="500" w:lineRule="exact"/>
              <w:ind w:left="0" w:leftChars="0" w:firstLine="0" w:firstLineChars="0"/>
              <w:rPr>
                <w:rFonts w:ascii="仿宋" w:hAnsi="仿宋" w:eastAsia="仿宋" w:cs="仿宋"/>
                <w:sz w:val="24"/>
                <w:highlight w:val="none"/>
              </w:rPr>
            </w:pPr>
            <w:r>
              <w:rPr>
                <w:rFonts w:hint="eastAsia" w:ascii="仿宋" w:hAnsi="仿宋" w:eastAsia="仿宋" w:cs="仿宋"/>
                <w:sz w:val="24"/>
                <w:highlight w:val="none"/>
              </w:rPr>
              <w:t>（3）交纳形式：</w:t>
            </w:r>
          </w:p>
          <w:p>
            <w:pPr>
              <w:pStyle w:val="14"/>
              <w:spacing w:after="0" w:line="500" w:lineRule="exact"/>
              <w:ind w:left="0" w:leftChars="0" w:firstLine="480"/>
              <w:rPr>
                <w:rFonts w:ascii="仿宋" w:hAnsi="仿宋" w:eastAsia="仿宋" w:cs="仿宋"/>
                <w:sz w:val="24"/>
                <w:highlight w:val="none"/>
              </w:rPr>
            </w:pPr>
            <w:r>
              <w:rPr>
                <w:rFonts w:hint="eastAsia" w:ascii="仿宋" w:hAnsi="仿宋" w:eastAsia="仿宋" w:cs="仿宋"/>
                <w:sz w:val="24"/>
                <w:highlight w:val="none"/>
              </w:rPr>
              <w:t>可以采用“银行转账”、“银行保函”、“投标保证保险”任一方式，其中采用“银行转账”方式的，投标人以支票、汇票、本票、网上银行支付等非现金形式汇入指定账户：</w:t>
            </w:r>
          </w:p>
          <w:p>
            <w:pPr>
              <w:spacing w:line="500" w:lineRule="exact"/>
              <w:rPr>
                <w:rFonts w:ascii="仿宋" w:hAnsi="仿宋" w:eastAsia="仿宋" w:cs="仿宋"/>
                <w:b/>
                <w:bCs/>
                <w:highlight w:val="none"/>
              </w:rPr>
            </w:pPr>
            <w:r>
              <w:rPr>
                <w:rFonts w:hint="eastAsia" w:ascii="仿宋" w:hAnsi="仿宋" w:eastAsia="仿宋" w:cs="仿宋"/>
                <w:b/>
                <w:bCs/>
                <w:highlight w:val="none"/>
              </w:rPr>
              <w:t>账户名称：德宏裕豪招标咨询有限公司</w:t>
            </w:r>
          </w:p>
          <w:p>
            <w:pPr>
              <w:spacing w:line="500" w:lineRule="exact"/>
              <w:rPr>
                <w:rFonts w:ascii="仿宋" w:hAnsi="仿宋" w:eastAsia="仿宋" w:cs="仿宋"/>
                <w:b/>
                <w:bCs/>
                <w:highlight w:val="none"/>
              </w:rPr>
            </w:pPr>
            <w:r>
              <w:rPr>
                <w:rFonts w:hint="eastAsia" w:ascii="仿宋" w:hAnsi="仿宋" w:eastAsia="仿宋" w:cs="仿宋"/>
                <w:b/>
                <w:bCs/>
                <w:highlight w:val="none"/>
              </w:rPr>
              <w:t>行    号：402754500017</w:t>
            </w:r>
          </w:p>
          <w:p>
            <w:pPr>
              <w:spacing w:line="500" w:lineRule="exact"/>
              <w:rPr>
                <w:rFonts w:ascii="仿宋" w:hAnsi="仿宋" w:eastAsia="仿宋" w:cs="仿宋"/>
                <w:b/>
                <w:bCs/>
                <w:highlight w:val="none"/>
              </w:rPr>
            </w:pPr>
            <w:r>
              <w:rPr>
                <w:rFonts w:hint="eastAsia" w:ascii="仿宋" w:hAnsi="仿宋" w:eastAsia="仿宋" w:cs="仿宋"/>
                <w:b/>
                <w:bCs/>
                <w:highlight w:val="none"/>
              </w:rPr>
              <w:t>开户银行：云南陇川农村商业银行股份有限公司同心路支行</w:t>
            </w:r>
          </w:p>
          <w:p>
            <w:pPr>
              <w:spacing w:line="500" w:lineRule="exact"/>
              <w:rPr>
                <w:rFonts w:ascii="仿宋" w:hAnsi="仿宋" w:eastAsia="仿宋" w:cs="仿宋"/>
                <w:b/>
                <w:bCs/>
                <w:highlight w:val="none"/>
              </w:rPr>
            </w:pPr>
            <w:r>
              <w:rPr>
                <w:rFonts w:hint="eastAsia" w:ascii="仿宋" w:hAnsi="仿宋" w:eastAsia="仿宋" w:cs="仿宋"/>
                <w:b/>
                <w:bCs/>
                <w:highlight w:val="none"/>
              </w:rPr>
              <w:t>账  号：5600017386810012</w:t>
            </w:r>
          </w:p>
          <w:p>
            <w:pPr>
              <w:autoSpaceDE w:val="0"/>
              <w:autoSpaceDN w:val="0"/>
              <w:adjustRightInd w:val="0"/>
              <w:spacing w:line="360" w:lineRule="auto"/>
              <w:rPr>
                <w:rFonts w:ascii="仿宋" w:hAnsi="仿宋" w:eastAsia="仿宋" w:cs="仿宋"/>
                <w:highlight w:val="none"/>
              </w:rPr>
            </w:pPr>
            <w:r>
              <w:rPr>
                <w:rFonts w:hint="eastAsia" w:ascii="仿宋" w:hAnsi="仿宋" w:eastAsia="仿宋" w:cs="仿宋"/>
                <w:highlight w:val="none"/>
              </w:rPr>
              <w:t>注意事项：（一）投标保证金采用银行转账方式的，应以投标人名义提交且必须从投标人基本账户转出，不得以分支机构及其他名义提交。投标人应在投标截止时间前递交保证金并注明项目名称/包号或项目编号等信息，到账时间以实际到达已公布的项目银行账号时间为准，未在投标截止时间前到账的保证金视为未提交。</w:t>
            </w:r>
          </w:p>
          <w:p>
            <w:pPr>
              <w:autoSpaceDE w:val="0"/>
              <w:autoSpaceDN w:val="0"/>
              <w:adjustRightInd w:val="0"/>
              <w:spacing w:line="360" w:lineRule="auto"/>
              <w:rPr>
                <w:rFonts w:ascii="仿宋" w:hAnsi="仿宋" w:eastAsia="仿宋" w:cs="仿宋"/>
                <w:highlight w:val="none"/>
              </w:rPr>
            </w:pPr>
            <w:r>
              <w:rPr>
                <w:rFonts w:hint="eastAsia" w:ascii="仿宋" w:hAnsi="仿宋" w:eastAsia="仿宋" w:cs="仿宋"/>
                <w:highlight w:val="none"/>
              </w:rPr>
              <w:t>（二）投标保证金采用银行保函方式的，保函申请人应是投标人，受益人应是采购人，保证人应是投标人基本账号的开户银行。银行保函应正确填写受益人和申请人的全称，并与招标文件规定的项目名称相一致，以免造成投标无效。当投标人违反政府采购法律法规规章等规定且符合保证金不予退回情形的，由银行按照银行保函合同对采购人代偿投标保证金额。</w:t>
            </w:r>
          </w:p>
          <w:p>
            <w:pPr>
              <w:autoSpaceDE w:val="0"/>
              <w:autoSpaceDN w:val="0"/>
              <w:adjustRightInd w:val="0"/>
              <w:spacing w:line="360" w:lineRule="auto"/>
              <w:rPr>
                <w:rFonts w:ascii="仿宋" w:hAnsi="仿宋" w:eastAsia="仿宋" w:cs="仿宋"/>
                <w:highlight w:val="none"/>
              </w:rPr>
            </w:pPr>
            <w:r>
              <w:rPr>
                <w:rFonts w:hint="eastAsia" w:ascii="仿宋" w:hAnsi="仿宋" w:eastAsia="仿宋" w:cs="仿宋"/>
                <w:highlight w:val="none"/>
              </w:rPr>
              <w:t>（三）投标保证金采用电子保险保函方式的，在投标保证保险中，投标人为投保人，采购人为被保险人。当投标人违反法律法规且符合投标保证金不予退回情形的，由保险公司按照保险合同对采购人代偿投标保证金金额。</w:t>
            </w:r>
          </w:p>
          <w:p>
            <w:pPr>
              <w:pStyle w:val="15"/>
              <w:ind w:firstLine="240"/>
              <w:rPr>
                <w:rFonts w:ascii="仿宋" w:hAnsi="仿宋" w:eastAsia="仿宋" w:cs="仿宋"/>
                <w:sz w:val="24"/>
                <w:highlight w:val="none"/>
              </w:rPr>
            </w:pPr>
            <w:r>
              <w:rPr>
                <w:rFonts w:hint="eastAsia" w:ascii="仿宋" w:hAnsi="仿宋" w:eastAsia="仿宋" w:cs="仿宋"/>
                <w:sz w:val="24"/>
                <w:highlight w:val="none"/>
              </w:rPr>
              <w:t>有下列情形之一的，投标保证金将不予退还:</w:t>
            </w:r>
          </w:p>
          <w:p>
            <w:pPr>
              <w:pStyle w:val="15"/>
              <w:ind w:firstLine="240"/>
              <w:rPr>
                <w:rFonts w:ascii="仿宋" w:hAnsi="仿宋" w:eastAsia="仿宋" w:cs="仿宋"/>
                <w:sz w:val="24"/>
                <w:highlight w:val="none"/>
              </w:rPr>
            </w:pPr>
            <w:r>
              <w:rPr>
                <w:rFonts w:hint="eastAsia" w:ascii="仿宋" w:hAnsi="仿宋" w:eastAsia="仿宋" w:cs="仿宋"/>
                <w:sz w:val="24"/>
                <w:highlight w:val="none"/>
              </w:rPr>
              <w:t>(1)投标人串通投标或有视为串通投标情形之一的；</w:t>
            </w:r>
          </w:p>
          <w:p>
            <w:pPr>
              <w:pStyle w:val="15"/>
              <w:ind w:firstLine="240"/>
              <w:rPr>
                <w:rFonts w:ascii="仿宋" w:hAnsi="仿宋" w:eastAsia="仿宋" w:cs="仿宋"/>
                <w:sz w:val="24"/>
                <w:highlight w:val="none"/>
              </w:rPr>
            </w:pPr>
            <w:r>
              <w:rPr>
                <w:rFonts w:hint="eastAsia" w:ascii="仿宋" w:hAnsi="仿宋" w:eastAsia="仿宋" w:cs="仿宋"/>
                <w:sz w:val="24"/>
                <w:highlight w:val="none"/>
              </w:rPr>
              <w:t>(2)投标人提供虚假材料；</w:t>
            </w:r>
          </w:p>
          <w:p>
            <w:pPr>
              <w:pStyle w:val="15"/>
              <w:ind w:firstLine="240"/>
              <w:rPr>
                <w:rFonts w:ascii="仿宋" w:hAnsi="仿宋" w:eastAsia="仿宋" w:cs="仿宋"/>
                <w:sz w:val="24"/>
                <w:highlight w:val="none"/>
              </w:rPr>
            </w:pPr>
            <w:r>
              <w:rPr>
                <w:rFonts w:hint="eastAsia" w:ascii="仿宋" w:hAnsi="仿宋" w:eastAsia="仿宋" w:cs="仿宋"/>
                <w:sz w:val="24"/>
                <w:highlight w:val="none"/>
              </w:rPr>
              <w:t>(3)投标人采取不正当手段诋毁、排挤其他投标人；</w:t>
            </w:r>
          </w:p>
          <w:p>
            <w:pPr>
              <w:pStyle w:val="15"/>
              <w:ind w:firstLine="240"/>
              <w:rPr>
                <w:rFonts w:ascii="仿宋" w:hAnsi="仿宋" w:eastAsia="仿宋" w:cs="仿宋"/>
                <w:sz w:val="24"/>
                <w:highlight w:val="none"/>
              </w:rPr>
            </w:pPr>
            <w:r>
              <w:rPr>
                <w:rFonts w:hint="eastAsia" w:ascii="仿宋" w:hAnsi="仿宋" w:eastAsia="仿宋" w:cs="仿宋"/>
                <w:sz w:val="24"/>
                <w:highlight w:val="none"/>
              </w:rPr>
              <w:t>(4)投标截止时间后，投标人在投标有效期内撤销投标文件；</w:t>
            </w:r>
          </w:p>
          <w:p>
            <w:pPr>
              <w:pStyle w:val="15"/>
              <w:ind w:firstLine="240"/>
              <w:rPr>
                <w:rFonts w:ascii="仿宋" w:hAnsi="仿宋" w:eastAsia="仿宋" w:cs="仿宋"/>
                <w:sz w:val="24"/>
                <w:highlight w:val="none"/>
              </w:rPr>
            </w:pPr>
            <w:r>
              <w:rPr>
                <w:rFonts w:hint="eastAsia" w:ascii="仿宋" w:hAnsi="仿宋" w:eastAsia="仿宋" w:cs="仿宋"/>
                <w:sz w:val="24"/>
                <w:highlight w:val="none"/>
              </w:rPr>
              <w:t>(5)中标人有下列情形之一的：</w:t>
            </w:r>
          </w:p>
          <w:p>
            <w:pPr>
              <w:pStyle w:val="15"/>
              <w:ind w:firstLine="240"/>
              <w:rPr>
                <w:rFonts w:ascii="仿宋" w:hAnsi="仿宋" w:eastAsia="仿宋" w:cs="仿宋"/>
                <w:sz w:val="24"/>
                <w:highlight w:val="none"/>
              </w:rPr>
            </w:pPr>
            <w:r>
              <w:rPr>
                <w:rFonts w:hint="eastAsia" w:ascii="仿宋" w:hAnsi="仿宋" w:eastAsia="仿宋" w:cs="仿宋"/>
                <w:sz w:val="24"/>
                <w:highlight w:val="none"/>
              </w:rPr>
              <w:t>a.除不可抗力外，因中标人自身原因未在中标通知书要求的期限内与采购人签订政府采购合同；</w:t>
            </w:r>
          </w:p>
          <w:p>
            <w:pPr>
              <w:pStyle w:val="15"/>
              <w:ind w:firstLine="240"/>
              <w:rPr>
                <w:rFonts w:ascii="仿宋" w:hAnsi="仿宋" w:eastAsia="仿宋" w:cs="仿宋"/>
                <w:sz w:val="24"/>
                <w:highlight w:val="none"/>
              </w:rPr>
            </w:pPr>
            <w:r>
              <w:rPr>
                <w:rFonts w:hint="eastAsia" w:ascii="仿宋" w:hAnsi="仿宋" w:eastAsia="仿宋" w:cs="仿宋"/>
                <w:sz w:val="24"/>
                <w:highlight w:val="none"/>
              </w:rPr>
              <w:t>b.未按照招标文件、投标文件的约定签订政府采购合同或提交履约保证金。</w:t>
            </w:r>
          </w:p>
          <w:p>
            <w:pPr>
              <w:pStyle w:val="15"/>
              <w:ind w:firstLine="240"/>
              <w:rPr>
                <w:rFonts w:ascii="仿宋" w:hAnsi="仿宋" w:eastAsia="仿宋" w:cs="仿宋"/>
                <w:highlight w:val="none"/>
              </w:rPr>
            </w:pPr>
            <w:r>
              <w:rPr>
                <w:rFonts w:hint="eastAsia" w:ascii="仿宋" w:hAnsi="仿宋" w:eastAsia="仿宋" w:cs="仿宋"/>
                <w:sz w:val="24"/>
                <w:highlight w:val="none"/>
              </w:rPr>
              <w:t>注:若上述投标保证金不予退还情形给采购人(采购代理机构)造成损失，则投标人还要承担相应的赔偿责任。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3.4.3</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投标保证金</w:t>
            </w:r>
          </w:p>
          <w:p>
            <w:pPr>
              <w:spacing w:line="360" w:lineRule="auto"/>
              <w:jc w:val="center"/>
              <w:rPr>
                <w:rFonts w:ascii="仿宋" w:hAnsi="仿宋" w:eastAsia="仿宋" w:cs="仿宋"/>
                <w:highlight w:val="none"/>
              </w:rPr>
            </w:pPr>
            <w:r>
              <w:rPr>
                <w:rFonts w:hint="eastAsia" w:ascii="仿宋" w:hAnsi="仿宋" w:eastAsia="仿宋" w:cs="仿宋"/>
                <w:highlight w:val="none"/>
              </w:rPr>
              <w:t>的退还</w:t>
            </w:r>
          </w:p>
        </w:tc>
        <w:tc>
          <w:tcPr>
            <w:tcW w:w="6607" w:type="dxa"/>
            <w:vAlign w:val="center"/>
          </w:tcPr>
          <w:p>
            <w:pPr>
              <w:pStyle w:val="57"/>
              <w:spacing w:line="360" w:lineRule="auto"/>
              <w:rPr>
                <w:rFonts w:ascii="仿宋" w:hAnsi="仿宋" w:eastAsia="仿宋" w:cs="仿宋"/>
                <w:highlight w:val="none"/>
              </w:rPr>
            </w:pPr>
            <w:r>
              <w:rPr>
                <w:rFonts w:hint="eastAsia" w:ascii="仿宋" w:hAnsi="仿宋" w:eastAsia="仿宋" w:cs="仿宋"/>
                <w:highlight w:val="none"/>
              </w:rPr>
              <w:t>投标保证金退还到投标人的基本账户。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3.5</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资格审查资料</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按招标文件第一章《招标公告》“投标人资格要求”提供。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3.6</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投标文件格式</w:t>
            </w:r>
          </w:p>
        </w:tc>
        <w:tc>
          <w:tcPr>
            <w:tcW w:w="6607" w:type="dxa"/>
            <w:vAlign w:val="center"/>
          </w:tcPr>
          <w:p>
            <w:pPr>
              <w:pStyle w:val="73"/>
              <w:spacing w:line="360" w:lineRule="auto"/>
              <w:ind w:firstLine="0"/>
              <w:rPr>
                <w:rFonts w:ascii="仿宋" w:hAnsi="仿宋" w:eastAsia="仿宋" w:cs="仿宋"/>
                <w:highlight w:val="none"/>
              </w:rPr>
            </w:pPr>
            <w:r>
              <w:rPr>
                <w:rFonts w:hint="eastAsia" w:ascii="仿宋" w:hAnsi="仿宋" w:eastAsia="仿宋" w:cs="仿宋"/>
                <w:highlight w:val="none"/>
              </w:rPr>
              <w:t>投标文件全部采用电子文档。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3.6.4</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投标文件的</w:t>
            </w:r>
          </w:p>
          <w:p>
            <w:pPr>
              <w:spacing w:line="360" w:lineRule="auto"/>
              <w:jc w:val="center"/>
              <w:rPr>
                <w:rFonts w:ascii="仿宋" w:hAnsi="仿宋" w:eastAsia="仿宋" w:cs="仿宋"/>
                <w:highlight w:val="none"/>
              </w:rPr>
            </w:pPr>
            <w:r>
              <w:rPr>
                <w:rFonts w:hint="eastAsia" w:ascii="仿宋" w:hAnsi="仿宋" w:eastAsia="仿宋" w:cs="仿宋"/>
                <w:highlight w:val="none"/>
              </w:rPr>
              <w:t>签署</w:t>
            </w:r>
          </w:p>
        </w:tc>
        <w:tc>
          <w:tcPr>
            <w:tcW w:w="6607" w:type="dxa"/>
            <w:vAlign w:val="center"/>
          </w:tcPr>
          <w:p>
            <w:pPr>
              <w:spacing w:line="360" w:lineRule="auto"/>
              <w:ind w:firstLine="480" w:firstLineChars="200"/>
              <w:rPr>
                <w:rFonts w:ascii="仿宋" w:hAnsi="仿宋" w:eastAsia="仿宋" w:cs="仿宋"/>
                <w:highlight w:val="none"/>
              </w:rPr>
            </w:pPr>
            <w:r>
              <w:rPr>
                <w:rFonts w:hint="eastAsia" w:ascii="仿宋" w:hAnsi="仿宋" w:eastAsia="仿宋" w:cs="仿宋"/>
                <w:kern w:val="0"/>
                <w:highlight w:val="none"/>
              </w:rPr>
              <w:t>按照投标文件格式，采用单位电子公章及电子签名：在格式需要加盖电子公章及电子签名的地方进行电子签章，其余部分须逐页加盖电子公章。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3.6.5</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投标文件的</w:t>
            </w:r>
          </w:p>
          <w:p>
            <w:pPr>
              <w:spacing w:line="360" w:lineRule="auto"/>
              <w:jc w:val="center"/>
              <w:rPr>
                <w:rFonts w:ascii="仿宋" w:hAnsi="仿宋" w:eastAsia="仿宋" w:cs="仿宋"/>
                <w:highlight w:val="none"/>
              </w:rPr>
            </w:pPr>
            <w:r>
              <w:rPr>
                <w:rFonts w:hint="eastAsia" w:ascii="仿宋" w:hAnsi="仿宋" w:eastAsia="仿宋" w:cs="仿宋"/>
                <w:highlight w:val="none"/>
              </w:rPr>
              <w:t>提交</w:t>
            </w:r>
          </w:p>
        </w:tc>
        <w:tc>
          <w:tcPr>
            <w:tcW w:w="6607" w:type="dxa"/>
            <w:vAlign w:val="center"/>
          </w:tcPr>
          <w:p>
            <w:pPr>
              <w:adjustRightInd w:val="0"/>
              <w:snapToGrid w:val="0"/>
              <w:spacing w:line="360" w:lineRule="auto"/>
              <w:ind w:firstLine="482" w:firstLineChars="200"/>
              <w:rPr>
                <w:rFonts w:ascii="仿宋" w:hAnsi="仿宋" w:eastAsia="仿宋" w:cs="仿宋"/>
                <w:highlight w:val="none"/>
              </w:rPr>
            </w:pPr>
            <w:r>
              <w:rPr>
                <w:rFonts w:hint="eastAsia" w:ascii="仿宋" w:hAnsi="仿宋" w:eastAsia="仿宋" w:cs="仿宋"/>
                <w:b/>
                <w:kern w:val="0"/>
                <w:highlight w:val="none"/>
              </w:rPr>
              <w:t>网上递交：</w:t>
            </w:r>
            <w:r>
              <w:rPr>
                <w:rFonts w:hint="eastAsia" w:ascii="仿宋" w:hAnsi="仿宋" w:eastAsia="仿宋" w:cs="仿宋"/>
                <w:bCs/>
                <w:kern w:val="0"/>
                <w:highlight w:val="none"/>
              </w:rPr>
              <w:t>网址为政 云平台（https://www.zcygov.cn/），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r>
              <w:rPr>
                <w:rFonts w:hint="eastAsia" w:ascii="仿宋" w:hAnsi="仿宋" w:eastAsia="仿宋" w:cs="仿宋"/>
                <w:kern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4.1.1</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投标文件的密封</w:t>
            </w:r>
          </w:p>
        </w:tc>
        <w:tc>
          <w:tcPr>
            <w:tcW w:w="6607" w:type="dxa"/>
            <w:vAlign w:val="center"/>
          </w:tcPr>
          <w:p>
            <w:pPr>
              <w:spacing w:line="360" w:lineRule="auto"/>
              <w:jc w:val="left"/>
              <w:rPr>
                <w:rFonts w:ascii="仿宋" w:hAnsi="仿宋" w:eastAsia="仿宋" w:cs="仿宋"/>
                <w:highlight w:val="none"/>
              </w:rPr>
            </w:pPr>
            <w:r>
              <w:rPr>
                <w:rFonts w:hint="eastAsia" w:ascii="仿宋" w:hAnsi="仿宋" w:eastAsia="仿宋" w:cs="仿宋"/>
                <w:highlight w:val="none"/>
              </w:rPr>
              <w:t>网上递交的投标文件需要对投标文件进行加密。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5.1</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开标时间和地点</w:t>
            </w:r>
          </w:p>
        </w:tc>
        <w:tc>
          <w:tcPr>
            <w:tcW w:w="6607" w:type="dxa"/>
            <w:vAlign w:val="center"/>
          </w:tcPr>
          <w:p>
            <w:pPr>
              <w:spacing w:line="360" w:lineRule="auto"/>
              <w:jc w:val="left"/>
              <w:rPr>
                <w:rFonts w:ascii="仿宋" w:hAnsi="仿宋" w:eastAsia="仿宋" w:cs="仿宋"/>
                <w:highlight w:val="none"/>
              </w:rPr>
            </w:pPr>
            <w:r>
              <w:rPr>
                <w:rFonts w:hint="eastAsia" w:ascii="仿宋" w:hAnsi="仿宋" w:eastAsia="仿宋" w:cs="仿宋"/>
                <w:highlight w:val="none"/>
              </w:rPr>
              <w:t>开标时间：同投标截止时间</w:t>
            </w:r>
          </w:p>
          <w:p>
            <w:pPr>
              <w:spacing w:line="360" w:lineRule="auto"/>
              <w:jc w:val="left"/>
              <w:rPr>
                <w:rFonts w:ascii="仿宋" w:hAnsi="仿宋" w:eastAsia="仿宋" w:cs="仿宋"/>
                <w:highlight w:val="none"/>
              </w:rPr>
            </w:pPr>
            <w:r>
              <w:rPr>
                <w:rFonts w:hint="eastAsia" w:ascii="仿宋" w:hAnsi="仿宋" w:eastAsia="仿宋" w:cs="仿宋"/>
                <w:highlight w:val="none"/>
              </w:rPr>
              <w:t>开标地点：政采云平台（http：//www.zcygov.cn）及陇川县章凤镇民族步行街18栋3号1号开标室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5.2</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开标程序</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(1)宣布开标纪律；</w:t>
            </w:r>
          </w:p>
          <w:p>
            <w:pPr>
              <w:spacing w:line="360" w:lineRule="auto"/>
              <w:rPr>
                <w:rFonts w:ascii="仿宋" w:hAnsi="仿宋" w:eastAsia="仿宋" w:cs="仿宋"/>
                <w:highlight w:val="none"/>
              </w:rPr>
            </w:pPr>
            <w:r>
              <w:rPr>
                <w:rFonts w:hint="eastAsia" w:ascii="仿宋" w:hAnsi="仿宋" w:eastAsia="仿宋" w:cs="仿宋"/>
                <w:highlight w:val="none"/>
              </w:rPr>
              <w:t>(2)公布在投标截止时间前递交投标文件的投标人名称；</w:t>
            </w:r>
          </w:p>
          <w:p>
            <w:pPr>
              <w:spacing w:line="360" w:lineRule="auto"/>
              <w:rPr>
                <w:rFonts w:ascii="仿宋" w:hAnsi="仿宋" w:eastAsia="仿宋" w:cs="仿宋"/>
                <w:highlight w:val="none"/>
              </w:rPr>
            </w:pPr>
            <w:r>
              <w:rPr>
                <w:rFonts w:hint="eastAsia" w:ascii="仿宋" w:hAnsi="仿宋" w:eastAsia="仿宋" w:cs="仿宋"/>
                <w:highlight w:val="none"/>
              </w:rPr>
              <w:t>(3)按照电子招标投标交易、平台自动提取所有投标人的顺序当众开标，依次导入有效投标人的电子投标文件同时，由投标人对网上递交已加密的投标文件，解密完成后，公布投标人名称、标段名称、投标报价及其他内容，并记录在案。因投标人原因造成投标文件未解密的，视为撤销其投标文件；</w:t>
            </w:r>
          </w:p>
          <w:p>
            <w:pPr>
              <w:spacing w:line="360" w:lineRule="auto"/>
              <w:rPr>
                <w:rFonts w:ascii="仿宋" w:hAnsi="仿宋" w:eastAsia="仿宋" w:cs="仿宋"/>
                <w:highlight w:val="none"/>
              </w:rPr>
            </w:pPr>
            <w:r>
              <w:rPr>
                <w:rFonts w:hint="eastAsia" w:ascii="仿宋" w:hAnsi="仿宋" w:eastAsia="仿宋" w:cs="仿宋"/>
                <w:highlight w:val="none"/>
              </w:rPr>
              <w:t>(4)投标人代表、采购人代表、监标人、记录人等有关人员在开标记录上签字确认；</w:t>
            </w:r>
          </w:p>
          <w:p>
            <w:pPr>
              <w:spacing w:line="360" w:lineRule="auto"/>
              <w:rPr>
                <w:rFonts w:ascii="仿宋" w:hAnsi="仿宋" w:eastAsia="仿宋" w:cs="仿宋"/>
                <w:highlight w:val="none"/>
              </w:rPr>
            </w:pPr>
            <w:r>
              <w:rPr>
                <w:rFonts w:hint="eastAsia" w:ascii="仿宋" w:hAnsi="仿宋" w:eastAsia="仿宋" w:cs="仿宋"/>
                <w:highlight w:val="none"/>
              </w:rPr>
              <w:t>(5)开标结束。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6.1</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评标委员会</w:t>
            </w:r>
          </w:p>
          <w:p>
            <w:pPr>
              <w:spacing w:line="360" w:lineRule="auto"/>
              <w:jc w:val="center"/>
              <w:rPr>
                <w:rFonts w:ascii="仿宋" w:hAnsi="仿宋" w:eastAsia="仿宋" w:cs="仿宋"/>
                <w:highlight w:val="none"/>
              </w:rPr>
            </w:pPr>
            <w:r>
              <w:rPr>
                <w:rFonts w:hint="eastAsia" w:ascii="仿宋" w:hAnsi="仿宋" w:eastAsia="仿宋" w:cs="仿宋"/>
                <w:highlight w:val="none"/>
              </w:rPr>
              <w:t>的组建</w:t>
            </w:r>
          </w:p>
        </w:tc>
        <w:tc>
          <w:tcPr>
            <w:tcW w:w="6607" w:type="dxa"/>
            <w:vAlign w:val="center"/>
          </w:tcPr>
          <w:p>
            <w:pPr>
              <w:spacing w:line="360" w:lineRule="auto"/>
              <w:rPr>
                <w:rFonts w:ascii="仿宋" w:hAnsi="仿宋" w:eastAsia="仿宋" w:cs="仿宋"/>
                <w:kern w:val="0"/>
                <w:highlight w:val="none"/>
              </w:rPr>
            </w:pPr>
            <w:r>
              <w:rPr>
                <w:rFonts w:hint="eastAsia" w:ascii="仿宋" w:hAnsi="仿宋" w:eastAsia="仿宋" w:cs="仿宋"/>
                <w:kern w:val="0"/>
                <w:highlight w:val="none"/>
              </w:rPr>
              <w:t>评标委员会人数：5人及以上单数。</w:t>
            </w:r>
          </w:p>
          <w:p>
            <w:pPr>
              <w:spacing w:line="360" w:lineRule="auto"/>
              <w:rPr>
                <w:rFonts w:ascii="仿宋" w:hAnsi="仿宋" w:eastAsia="仿宋" w:cs="仿宋"/>
                <w:kern w:val="0"/>
                <w:highlight w:val="none"/>
              </w:rPr>
            </w:pPr>
            <w:r>
              <w:rPr>
                <w:rFonts w:hint="eastAsia" w:ascii="仿宋" w:hAnsi="仿宋" w:eastAsia="仿宋" w:cs="仿宋"/>
                <w:kern w:val="0"/>
                <w:highlight w:val="none"/>
              </w:rPr>
              <w:t>评标专家确定方式：在云南省政府采购网专家抽取系统中随机抽取4人，采购人代表1人，共5人组成评标委员会。</w:t>
            </w:r>
          </w:p>
          <w:p>
            <w:pPr>
              <w:spacing w:line="360" w:lineRule="auto"/>
              <w:rPr>
                <w:rFonts w:ascii="仿宋" w:hAnsi="仿宋" w:eastAsia="仿宋" w:cs="仿宋"/>
                <w:kern w:val="0"/>
                <w:highlight w:val="none"/>
              </w:rPr>
            </w:pPr>
            <w:r>
              <w:rPr>
                <w:rFonts w:hint="eastAsia" w:ascii="仿宋" w:hAnsi="仿宋" w:eastAsia="仿宋" w:cs="仿宋"/>
                <w:kern w:val="0"/>
                <w:highlight w:val="none"/>
              </w:rPr>
              <w:t>注：特殊情况经审批后确定。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6.3</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评标办法</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7.1</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是否授权评标委员会确定中标人</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否，评标委员会推荐中标候选人的人数为：3（前三名）。采购人依据评标委员会推荐的中标候选人排序确定第一中标候选人为本项目的中标人。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bCs/>
                <w:color w:val="auto"/>
                <w:highlight w:val="none"/>
              </w:rPr>
              <w:t>7.3</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履约保证金</w:t>
            </w:r>
          </w:p>
        </w:tc>
        <w:tc>
          <w:tcPr>
            <w:tcW w:w="6607" w:type="dxa"/>
            <w:vAlign w:val="center"/>
          </w:tcPr>
          <w:p>
            <w:pPr>
              <w:spacing w:line="360" w:lineRule="auto"/>
              <w:rPr>
                <w:rFonts w:ascii="仿宋" w:hAnsi="仿宋" w:eastAsia="仿宋" w:cs="仿宋"/>
                <w:highlight w:val="none"/>
              </w:rPr>
            </w:pPr>
            <w:r>
              <w:rPr>
                <w:rFonts w:hint="eastAsia" w:ascii="仿宋" w:hAnsi="仿宋" w:eastAsia="仿宋" w:cs="仿宋"/>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10</w:t>
            </w:r>
          </w:p>
        </w:tc>
        <w:tc>
          <w:tcPr>
            <w:tcW w:w="8562" w:type="dxa"/>
            <w:gridSpan w:val="2"/>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10.2</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评标结果公示</w:t>
            </w:r>
          </w:p>
        </w:tc>
        <w:tc>
          <w:tcPr>
            <w:tcW w:w="6607" w:type="dxa"/>
            <w:vAlign w:val="center"/>
          </w:tcPr>
          <w:p>
            <w:pPr>
              <w:pStyle w:val="14"/>
              <w:spacing w:after="0" w:line="500" w:lineRule="exact"/>
              <w:ind w:left="0" w:leftChars="0" w:firstLine="480"/>
              <w:rPr>
                <w:rFonts w:ascii="仿宋" w:hAnsi="仿宋" w:eastAsia="仿宋" w:cs="仿宋"/>
                <w:sz w:val="24"/>
                <w:highlight w:val="none"/>
              </w:rPr>
            </w:pPr>
            <w:r>
              <w:rPr>
                <w:rFonts w:hint="eastAsia" w:ascii="仿宋" w:hAnsi="仿宋" w:eastAsia="仿宋" w:cs="仿宋"/>
                <w:sz w:val="24"/>
                <w:highlight w:val="none"/>
              </w:rPr>
              <w:t>采购人将中标人的情况在本招标项目招标公告发布的同一媒介上予以公示，中标公告期限为1个工作日。在公告中标结果的同时，招标人或者招标代理机构应当向中标人发出中标通知书。中标通知书发出后，招标人不得违法改变中标结果，中标人无正当理由不得放弃中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10.3</w:t>
            </w:r>
          </w:p>
        </w:tc>
        <w:tc>
          <w:tcPr>
            <w:tcW w:w="1955"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重新招标的其他情形</w:t>
            </w:r>
          </w:p>
        </w:tc>
        <w:tc>
          <w:tcPr>
            <w:tcW w:w="6607" w:type="dxa"/>
            <w:vAlign w:val="center"/>
          </w:tcPr>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除投标人须知正文第8条规定的情形外，除非已经产生中标候选人，在投标有效期内同意延长投标有效期的投标人少于三个的，采购人应当依法重新招标。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5" w:hRule="atLeast"/>
          <w:jc w:val="center"/>
        </w:trPr>
        <w:tc>
          <w:tcPr>
            <w:tcW w:w="1133"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10.5</w:t>
            </w:r>
          </w:p>
        </w:tc>
        <w:tc>
          <w:tcPr>
            <w:tcW w:w="1955" w:type="dxa"/>
            <w:vAlign w:val="center"/>
          </w:tcPr>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投标费用</w:t>
            </w:r>
          </w:p>
        </w:tc>
        <w:tc>
          <w:tcPr>
            <w:tcW w:w="6607" w:type="dxa"/>
            <w:vAlign w:val="center"/>
          </w:tcPr>
          <w:p>
            <w:pPr>
              <w:spacing w:line="500" w:lineRule="exact"/>
              <w:ind w:firstLine="240" w:firstLineChars="100"/>
              <w:rPr>
                <w:rFonts w:ascii="仿宋" w:hAnsi="仿宋" w:eastAsia="仿宋" w:cs="仿宋"/>
                <w:highlight w:val="none"/>
              </w:rPr>
            </w:pPr>
            <w:r>
              <w:rPr>
                <w:rFonts w:hint="eastAsia" w:ascii="仿宋" w:hAnsi="仿宋" w:eastAsia="仿宋" w:cs="仿宋"/>
                <w:highlight w:val="none"/>
              </w:rPr>
              <w:drawing>
                <wp:anchor distT="0" distB="0" distL="114300" distR="114300" simplePos="0" relativeHeight="251659264" behindDoc="1" locked="0" layoutInCell="1" allowOverlap="1">
                  <wp:simplePos x="0" y="0"/>
                  <wp:positionH relativeFrom="column">
                    <wp:posOffset>-5080</wp:posOffset>
                  </wp:positionH>
                  <wp:positionV relativeFrom="paragraph">
                    <wp:posOffset>1289685</wp:posOffset>
                  </wp:positionV>
                  <wp:extent cx="4053840" cy="3091180"/>
                  <wp:effectExtent l="0" t="0" r="10160" b="7620"/>
                  <wp:wrapTight wrapText="bothSides">
                    <wp:wrapPolygon>
                      <wp:start x="0" y="0"/>
                      <wp:lineTo x="0" y="21476"/>
                      <wp:lineTo x="21519" y="21476"/>
                      <wp:lineTo x="21519" y="0"/>
                      <wp:lineTo x="0" y="0"/>
                    </wp:wrapPolygon>
                  </wp:wrapTight>
                  <wp:docPr id="1" name="图片 1" descr="171294155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12941555598"/>
                          <pic:cNvPicPr>
                            <a:picLocks noChangeAspect="1"/>
                          </pic:cNvPicPr>
                        </pic:nvPicPr>
                        <pic:blipFill>
                          <a:blip r:embed="rId10"/>
                          <a:stretch>
                            <a:fillRect/>
                          </a:stretch>
                        </pic:blipFill>
                        <pic:spPr>
                          <a:xfrm>
                            <a:off x="0" y="0"/>
                            <a:ext cx="4053840" cy="3091180"/>
                          </a:xfrm>
                          <a:prstGeom prst="rect">
                            <a:avLst/>
                          </a:prstGeom>
                        </pic:spPr>
                      </pic:pic>
                    </a:graphicData>
                  </a:graphic>
                </wp:anchor>
              </w:drawing>
            </w:r>
            <w:r>
              <w:rPr>
                <w:rFonts w:hint="eastAsia" w:ascii="仿宋" w:hAnsi="仿宋" w:eastAsia="仿宋" w:cs="仿宋"/>
                <w:highlight w:val="none"/>
              </w:rPr>
              <w:t>（1）中标服务费根据“政府采购代理机构管理暂行办法”的规定，由中标人向采购代理机构支付，中标服务费按《云南省建设工程招标代理服务收费指导意见（试行）》云建招协〔2023〕51号，计算后收取，标准如下：</w:t>
            </w:r>
          </w:p>
          <w:p>
            <w:pPr>
              <w:spacing w:line="500" w:lineRule="exact"/>
              <w:ind w:firstLine="480" w:firstLineChars="200"/>
              <w:rPr>
                <w:rFonts w:ascii="仿宋" w:hAnsi="仿宋" w:eastAsia="仿宋" w:cs="仿宋"/>
                <w:highlight w:val="none"/>
              </w:rPr>
            </w:pPr>
            <w:r>
              <w:rPr>
                <w:rFonts w:hint="eastAsia" w:ascii="仿宋" w:hAnsi="仿宋" w:eastAsia="仿宋" w:cs="仿宋"/>
                <w:highlight w:val="none"/>
              </w:rPr>
              <w:t>说明:招标代理服务收费按差额定率累进法计算以单个项目(或标段)中标通知书的中标金额为计算基数。中标金额大于50万时，50万元以内的固定收费金额不参与累进，直接以50-100万元(含)的费率进行计算。中标服务费向中标人收取，中标人应在领取“中标通知书”前向采购代理机构一次付清。</w:t>
            </w:r>
          </w:p>
          <w:p>
            <w:pPr>
              <w:pStyle w:val="14"/>
              <w:spacing w:after="0" w:line="500" w:lineRule="exact"/>
              <w:ind w:left="0" w:leftChars="0" w:firstLine="0" w:firstLineChars="0"/>
              <w:rPr>
                <w:rFonts w:ascii="仿宋" w:hAnsi="仿宋" w:eastAsia="仿宋" w:cs="仿宋"/>
                <w:sz w:val="24"/>
                <w:highlight w:val="none"/>
              </w:rPr>
            </w:pPr>
            <w:r>
              <w:rPr>
                <w:rFonts w:hint="eastAsia" w:ascii="仿宋" w:hAnsi="仿宋" w:eastAsia="仿宋" w:cs="仿宋"/>
                <w:sz w:val="24"/>
                <w:highlight w:val="none"/>
              </w:rPr>
              <w:t>（2）投标人应承担其参加本投标活动编制投标文件与递交投标文件所涉及的一切费用。</w:t>
            </w:r>
          </w:p>
        </w:tc>
      </w:tr>
    </w:tbl>
    <w:p>
      <w:pPr>
        <w:widowControl/>
        <w:rPr>
          <w:rFonts w:ascii="仿宋" w:hAnsi="仿宋" w:eastAsia="仿宋" w:cs="仿宋"/>
          <w:b/>
          <w:sz w:val="32"/>
          <w:highlight w:val="none"/>
        </w:rPr>
      </w:pPr>
    </w:p>
    <w:p>
      <w:pPr>
        <w:widowControl/>
        <w:jc w:val="center"/>
        <w:rPr>
          <w:rFonts w:ascii="仿宋" w:hAnsi="仿宋" w:eastAsia="仿宋" w:cs="仿宋"/>
          <w:b/>
          <w:sz w:val="32"/>
          <w:highlight w:val="none"/>
        </w:rPr>
      </w:pPr>
    </w:p>
    <w:p>
      <w:pPr>
        <w:pStyle w:val="15"/>
        <w:ind w:firstLine="321"/>
        <w:rPr>
          <w:rFonts w:ascii="仿宋" w:hAnsi="仿宋" w:eastAsia="仿宋" w:cs="仿宋"/>
          <w:b/>
          <w:sz w:val="32"/>
          <w:highlight w:val="none"/>
        </w:rPr>
      </w:pPr>
    </w:p>
    <w:p>
      <w:pPr>
        <w:rPr>
          <w:rFonts w:ascii="仿宋" w:hAnsi="仿宋" w:eastAsia="仿宋" w:cs="仿宋"/>
          <w:highlight w:val="none"/>
        </w:rPr>
      </w:pPr>
    </w:p>
    <w:p>
      <w:pPr>
        <w:rPr>
          <w:rFonts w:ascii="仿宋" w:hAnsi="仿宋" w:eastAsia="仿宋" w:cs="仿宋"/>
          <w:highlight w:val="none"/>
        </w:rPr>
      </w:pPr>
    </w:p>
    <w:bookmarkEnd w:id="37"/>
    <w:p>
      <w:pPr>
        <w:spacing w:before="312" w:beforeLines="100" w:line="360" w:lineRule="auto"/>
        <w:jc w:val="center"/>
        <w:outlineLvl w:val="1"/>
        <w:rPr>
          <w:rFonts w:ascii="仿宋" w:hAnsi="仿宋" w:eastAsia="仿宋" w:cs="仿宋"/>
          <w:b/>
          <w:sz w:val="32"/>
          <w:highlight w:val="none"/>
        </w:rPr>
      </w:pPr>
      <w:bookmarkStart w:id="41" w:name="_Toc73290883"/>
      <w:bookmarkStart w:id="42" w:name="_Toc27317361"/>
      <w:r>
        <w:rPr>
          <w:rFonts w:hint="eastAsia" w:ascii="仿宋" w:hAnsi="仿宋" w:eastAsia="仿宋" w:cs="仿宋"/>
          <w:b/>
          <w:sz w:val="32"/>
          <w:highlight w:val="none"/>
        </w:rPr>
        <w:t>二、投标人须知正文部分</w:t>
      </w:r>
    </w:p>
    <w:bookmarkEnd w:id="38"/>
    <w:bookmarkEnd w:id="39"/>
    <w:bookmarkEnd w:id="40"/>
    <w:bookmarkEnd w:id="41"/>
    <w:bookmarkEnd w:id="42"/>
    <w:p>
      <w:pPr>
        <w:spacing w:line="360" w:lineRule="auto"/>
        <w:rPr>
          <w:rFonts w:ascii="仿宋" w:hAnsi="仿宋" w:eastAsia="仿宋" w:cs="仿宋"/>
          <w:b/>
          <w:bCs/>
          <w:highlight w:val="none"/>
        </w:rPr>
      </w:pPr>
      <w:bookmarkStart w:id="43" w:name="_Toc486885397"/>
      <w:bookmarkStart w:id="44" w:name="_Toc270694742"/>
      <w:bookmarkStart w:id="45" w:name="_Toc340046055"/>
      <w:r>
        <w:rPr>
          <w:rFonts w:hint="eastAsia" w:ascii="仿宋" w:hAnsi="仿宋" w:eastAsia="仿宋" w:cs="仿宋"/>
          <w:b/>
          <w:bCs/>
          <w:highlight w:val="none"/>
        </w:rPr>
        <w:t>1、总  则</w:t>
      </w:r>
      <w:bookmarkEnd w:id="43"/>
    </w:p>
    <w:p>
      <w:pPr>
        <w:pStyle w:val="18"/>
        <w:spacing w:line="360" w:lineRule="auto"/>
        <w:ind w:left="242" w:hanging="242" w:hangingChars="101"/>
        <w:jc w:val="left"/>
        <w:rPr>
          <w:rFonts w:ascii="仿宋" w:hAnsi="仿宋" w:eastAsia="仿宋" w:cs="仿宋"/>
          <w:bCs/>
          <w:color w:val="auto"/>
          <w:szCs w:val="24"/>
          <w:highlight w:val="none"/>
        </w:rPr>
      </w:pPr>
      <w:r>
        <w:rPr>
          <w:rFonts w:hint="eastAsia" w:ascii="仿宋" w:hAnsi="仿宋" w:eastAsia="仿宋" w:cs="仿宋"/>
          <w:bCs/>
          <w:color w:val="auto"/>
          <w:szCs w:val="24"/>
          <w:highlight w:val="none"/>
        </w:rPr>
        <w:t>1.1项目概括</w:t>
      </w:r>
    </w:p>
    <w:p>
      <w:pPr>
        <w:spacing w:line="360" w:lineRule="auto"/>
        <w:rPr>
          <w:rFonts w:ascii="仿宋" w:hAnsi="仿宋" w:eastAsia="仿宋" w:cs="仿宋"/>
          <w:highlight w:val="none"/>
        </w:rPr>
      </w:pPr>
      <w:r>
        <w:rPr>
          <w:rFonts w:hint="eastAsia" w:ascii="仿宋" w:hAnsi="仿宋" w:eastAsia="仿宋" w:cs="仿宋"/>
          <w:bCs/>
          <w:highlight w:val="none"/>
        </w:rPr>
        <w:t>1.1.1</w:t>
      </w:r>
      <w:r>
        <w:rPr>
          <w:rFonts w:hint="eastAsia" w:ascii="仿宋" w:hAnsi="仿宋" w:eastAsia="仿宋" w:cs="仿宋"/>
          <w:highlight w:val="none"/>
        </w:rPr>
        <w:t>根据《中华人民共和国政府采购法》、《政府采购货物和服务招标投标管理办法》（财政部87号令）等有关法律、法规，本招标项目已具备招标条件，现对其进行招标。</w:t>
      </w:r>
    </w:p>
    <w:p>
      <w:pPr>
        <w:pStyle w:val="18"/>
        <w:spacing w:line="360" w:lineRule="auto"/>
        <w:ind w:left="242" w:hanging="242" w:hangingChars="101"/>
        <w:jc w:val="left"/>
        <w:rPr>
          <w:rFonts w:ascii="仿宋" w:hAnsi="仿宋" w:eastAsia="仿宋" w:cs="仿宋"/>
          <w:color w:val="auto"/>
          <w:szCs w:val="24"/>
          <w:highlight w:val="none"/>
        </w:rPr>
      </w:pPr>
      <w:r>
        <w:rPr>
          <w:rFonts w:hint="eastAsia" w:ascii="仿宋" w:hAnsi="仿宋" w:eastAsia="仿宋" w:cs="仿宋"/>
          <w:bCs/>
          <w:color w:val="auto"/>
          <w:szCs w:val="24"/>
          <w:highlight w:val="none"/>
        </w:rPr>
        <w:t>1.1.2采购人：</w:t>
      </w:r>
      <w:r>
        <w:rPr>
          <w:rFonts w:hint="eastAsia" w:ascii="仿宋" w:hAnsi="仿宋" w:eastAsia="仿宋" w:cs="仿宋"/>
          <w:color w:val="auto"/>
          <w:szCs w:val="24"/>
          <w:highlight w:val="none"/>
        </w:rPr>
        <w:t>见投标人须知前附表。</w:t>
      </w:r>
    </w:p>
    <w:p>
      <w:pPr>
        <w:pStyle w:val="18"/>
        <w:spacing w:line="360" w:lineRule="auto"/>
        <w:ind w:left="242" w:hanging="242" w:hangingChars="101"/>
        <w:jc w:val="left"/>
        <w:rPr>
          <w:rFonts w:ascii="仿宋" w:hAnsi="仿宋" w:eastAsia="仿宋" w:cs="仿宋"/>
          <w:color w:val="auto"/>
          <w:szCs w:val="24"/>
          <w:highlight w:val="none"/>
        </w:rPr>
      </w:pPr>
      <w:r>
        <w:rPr>
          <w:rFonts w:hint="eastAsia" w:ascii="仿宋" w:hAnsi="仿宋" w:eastAsia="仿宋" w:cs="仿宋"/>
          <w:bCs/>
          <w:color w:val="auto"/>
          <w:szCs w:val="24"/>
          <w:highlight w:val="none"/>
        </w:rPr>
        <w:t>1.1.3采购代理机构：</w:t>
      </w:r>
      <w:r>
        <w:rPr>
          <w:rFonts w:hint="eastAsia" w:ascii="仿宋" w:hAnsi="仿宋" w:eastAsia="仿宋" w:cs="仿宋"/>
          <w:color w:val="auto"/>
          <w:szCs w:val="24"/>
          <w:highlight w:val="none"/>
        </w:rPr>
        <w:t>见投标人须知前附表。</w:t>
      </w:r>
    </w:p>
    <w:p>
      <w:pPr>
        <w:pStyle w:val="18"/>
        <w:spacing w:line="360" w:lineRule="auto"/>
        <w:ind w:left="242" w:hanging="242" w:hangingChars="101"/>
        <w:jc w:val="left"/>
        <w:rPr>
          <w:rFonts w:ascii="仿宋" w:hAnsi="仿宋" w:eastAsia="仿宋" w:cs="仿宋"/>
          <w:color w:val="auto"/>
          <w:szCs w:val="24"/>
          <w:highlight w:val="none"/>
        </w:rPr>
      </w:pPr>
      <w:r>
        <w:rPr>
          <w:rFonts w:hint="eastAsia" w:ascii="仿宋" w:hAnsi="仿宋" w:eastAsia="仿宋" w:cs="仿宋"/>
          <w:bCs/>
          <w:color w:val="auto"/>
          <w:szCs w:val="24"/>
          <w:highlight w:val="none"/>
        </w:rPr>
        <w:t>1.1.4</w:t>
      </w:r>
      <w:r>
        <w:rPr>
          <w:rFonts w:hint="eastAsia" w:ascii="仿宋" w:hAnsi="仿宋" w:eastAsia="仿宋" w:cs="仿宋"/>
          <w:color w:val="auto"/>
          <w:szCs w:val="24"/>
          <w:highlight w:val="none"/>
        </w:rPr>
        <w:t>项目名称见投标人须知前附表。</w:t>
      </w:r>
    </w:p>
    <w:p>
      <w:pPr>
        <w:pStyle w:val="18"/>
        <w:spacing w:line="360" w:lineRule="auto"/>
        <w:ind w:left="243" w:hanging="243" w:hangingChars="101"/>
        <w:jc w:val="left"/>
        <w:rPr>
          <w:rFonts w:ascii="仿宋" w:hAnsi="仿宋" w:eastAsia="仿宋" w:cs="仿宋"/>
          <w:b/>
          <w:color w:val="auto"/>
          <w:szCs w:val="24"/>
          <w:highlight w:val="none"/>
        </w:rPr>
      </w:pPr>
      <w:r>
        <w:rPr>
          <w:rFonts w:hint="eastAsia" w:ascii="仿宋" w:hAnsi="仿宋" w:eastAsia="仿宋" w:cs="仿宋"/>
          <w:b/>
          <w:color w:val="auto"/>
          <w:szCs w:val="24"/>
          <w:highlight w:val="none"/>
        </w:rPr>
        <w:t>1.2资金来源</w:t>
      </w:r>
    </w:p>
    <w:p>
      <w:pPr>
        <w:pStyle w:val="18"/>
        <w:spacing w:line="360" w:lineRule="auto"/>
        <w:ind w:left="242" w:hanging="242" w:hangingChars="101"/>
        <w:jc w:val="left"/>
        <w:rPr>
          <w:rFonts w:ascii="仿宋" w:hAnsi="仿宋" w:eastAsia="仿宋" w:cs="仿宋"/>
          <w:b/>
          <w:color w:val="auto"/>
          <w:szCs w:val="24"/>
          <w:highlight w:val="none"/>
        </w:rPr>
      </w:pPr>
      <w:r>
        <w:rPr>
          <w:rFonts w:hint="eastAsia" w:ascii="仿宋" w:hAnsi="仿宋" w:eastAsia="仿宋" w:cs="仿宋"/>
          <w:color w:val="auto"/>
          <w:szCs w:val="24"/>
          <w:highlight w:val="none"/>
        </w:rPr>
        <w:t>1.2.1本招标项目的资金落实情况：见投标人须知前附表。</w:t>
      </w:r>
    </w:p>
    <w:p>
      <w:pPr>
        <w:spacing w:line="360" w:lineRule="auto"/>
        <w:rPr>
          <w:rFonts w:ascii="仿宋" w:hAnsi="仿宋" w:eastAsia="仿宋" w:cs="仿宋"/>
          <w:b/>
          <w:highlight w:val="none"/>
        </w:rPr>
      </w:pPr>
      <w:r>
        <w:rPr>
          <w:rFonts w:hint="eastAsia" w:ascii="仿宋" w:hAnsi="仿宋" w:eastAsia="仿宋" w:cs="仿宋"/>
          <w:b/>
          <w:highlight w:val="none"/>
        </w:rPr>
        <w:t>1.3招标范围</w:t>
      </w:r>
    </w:p>
    <w:p>
      <w:pPr>
        <w:spacing w:line="360" w:lineRule="auto"/>
        <w:rPr>
          <w:rFonts w:ascii="仿宋" w:hAnsi="仿宋" w:eastAsia="仿宋" w:cs="仿宋"/>
          <w:highlight w:val="none"/>
        </w:rPr>
      </w:pPr>
      <w:r>
        <w:rPr>
          <w:rFonts w:hint="eastAsia" w:ascii="仿宋" w:hAnsi="仿宋" w:eastAsia="仿宋" w:cs="仿宋"/>
          <w:highlight w:val="none"/>
        </w:rPr>
        <w:t>1.3.1本项目采购内容：见投标人须知前附表。</w:t>
      </w:r>
    </w:p>
    <w:p>
      <w:pPr>
        <w:spacing w:line="360" w:lineRule="auto"/>
        <w:rPr>
          <w:rFonts w:ascii="仿宋" w:hAnsi="仿宋" w:eastAsia="仿宋" w:cs="仿宋"/>
          <w:highlight w:val="none"/>
        </w:rPr>
      </w:pPr>
      <w:r>
        <w:rPr>
          <w:rFonts w:hint="eastAsia" w:ascii="仿宋" w:hAnsi="仿宋" w:eastAsia="仿宋" w:cs="仿宋"/>
          <w:highlight w:val="none"/>
        </w:rPr>
        <w:t>1.3.2合同履行期限：见投标人须知前附表。</w:t>
      </w:r>
    </w:p>
    <w:p>
      <w:pPr>
        <w:spacing w:line="360" w:lineRule="auto"/>
        <w:rPr>
          <w:rFonts w:ascii="仿宋" w:hAnsi="仿宋" w:eastAsia="仿宋" w:cs="仿宋"/>
          <w:highlight w:val="none"/>
        </w:rPr>
      </w:pPr>
      <w:r>
        <w:rPr>
          <w:rFonts w:hint="eastAsia" w:ascii="仿宋" w:hAnsi="仿宋" w:eastAsia="仿宋" w:cs="仿宋"/>
          <w:highlight w:val="none"/>
        </w:rPr>
        <w:t>1.3.3服务标准：见投标人须知前附表。</w:t>
      </w:r>
    </w:p>
    <w:p>
      <w:pPr>
        <w:spacing w:line="360" w:lineRule="auto"/>
        <w:rPr>
          <w:rFonts w:ascii="仿宋" w:hAnsi="仿宋" w:eastAsia="仿宋" w:cs="仿宋"/>
          <w:b/>
          <w:highlight w:val="none"/>
        </w:rPr>
      </w:pPr>
      <w:r>
        <w:rPr>
          <w:rFonts w:hint="eastAsia" w:ascii="仿宋" w:hAnsi="仿宋" w:eastAsia="仿宋" w:cs="仿宋"/>
          <w:b/>
          <w:highlight w:val="none"/>
        </w:rPr>
        <w:t>1.4 投标人资格要求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详见招标文件第一章《招标公告》“二、投标人的资格要求”。</w:t>
      </w:r>
    </w:p>
    <w:p>
      <w:pPr>
        <w:spacing w:line="360" w:lineRule="auto"/>
        <w:rPr>
          <w:rFonts w:ascii="仿宋" w:hAnsi="仿宋" w:eastAsia="仿宋" w:cs="仿宋"/>
          <w:b/>
          <w:highlight w:val="none"/>
        </w:rPr>
      </w:pPr>
      <w:r>
        <w:rPr>
          <w:rFonts w:hint="eastAsia" w:ascii="仿宋" w:hAnsi="仿宋" w:eastAsia="仿宋" w:cs="仿宋"/>
          <w:b/>
          <w:highlight w:val="none"/>
        </w:rPr>
        <w:t>1.5费用承担</w:t>
      </w:r>
    </w:p>
    <w:p>
      <w:pPr>
        <w:spacing w:line="360" w:lineRule="auto"/>
        <w:rPr>
          <w:rFonts w:ascii="仿宋" w:hAnsi="仿宋" w:eastAsia="仿宋" w:cs="仿宋"/>
          <w:highlight w:val="none"/>
        </w:rPr>
      </w:pPr>
      <w:r>
        <w:rPr>
          <w:rFonts w:hint="eastAsia" w:ascii="仿宋" w:hAnsi="仿宋" w:eastAsia="仿宋" w:cs="仿宋"/>
          <w:highlight w:val="none"/>
        </w:rPr>
        <w:t>1.5.1投标人准备和参加投标活动发生的费用自理。</w:t>
      </w:r>
    </w:p>
    <w:p>
      <w:pPr>
        <w:spacing w:line="360" w:lineRule="auto"/>
        <w:rPr>
          <w:rFonts w:ascii="仿宋" w:hAnsi="仿宋" w:eastAsia="仿宋" w:cs="仿宋"/>
          <w:highlight w:val="none"/>
        </w:rPr>
      </w:pPr>
      <w:r>
        <w:rPr>
          <w:rFonts w:hint="eastAsia" w:ascii="仿宋" w:hAnsi="仿宋" w:eastAsia="仿宋" w:cs="仿宋"/>
          <w:highlight w:val="none"/>
        </w:rPr>
        <w:t xml:space="preserve">1.5.2招标代理服务费金额根据“政府采购代理机构管理暂行办法”的规定，由中标人向采购代理机构支付，中标服务费按《云南省建设工程招标代理服务收费指导意见（试行）》云建招协〔2023〕51号，计算后收取,由中标人向招标代理机构支付。 </w:t>
      </w:r>
    </w:p>
    <w:p>
      <w:pPr>
        <w:spacing w:line="360" w:lineRule="auto"/>
        <w:rPr>
          <w:rFonts w:ascii="仿宋" w:hAnsi="仿宋" w:eastAsia="仿宋" w:cs="仿宋"/>
          <w:b/>
          <w:highlight w:val="none"/>
        </w:rPr>
      </w:pPr>
      <w:r>
        <w:rPr>
          <w:rFonts w:hint="eastAsia" w:ascii="仿宋" w:hAnsi="仿宋" w:eastAsia="仿宋" w:cs="仿宋"/>
          <w:b/>
          <w:highlight w:val="none"/>
        </w:rPr>
        <w:t>1.6保密</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参与招标投标活动的各方应对招标文件和投标文件中的商业和技术等秘密保密，违者应对由此造成的后果承担法律责任。</w:t>
      </w:r>
    </w:p>
    <w:p>
      <w:pPr>
        <w:spacing w:line="360" w:lineRule="auto"/>
        <w:rPr>
          <w:rFonts w:ascii="仿宋" w:hAnsi="仿宋" w:eastAsia="仿宋" w:cs="仿宋"/>
          <w:b/>
          <w:highlight w:val="none"/>
        </w:rPr>
      </w:pPr>
      <w:r>
        <w:rPr>
          <w:rFonts w:hint="eastAsia" w:ascii="仿宋" w:hAnsi="仿宋" w:eastAsia="仿宋" w:cs="仿宋"/>
          <w:b/>
          <w:highlight w:val="none"/>
        </w:rPr>
        <w:t>1.7语言文字</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除专用术语外，与招标投标有关的语言均使用中文。必要时专用术语应附有中文注释。</w:t>
      </w:r>
    </w:p>
    <w:p>
      <w:pPr>
        <w:spacing w:line="360" w:lineRule="auto"/>
        <w:rPr>
          <w:rFonts w:ascii="仿宋" w:hAnsi="仿宋" w:eastAsia="仿宋" w:cs="仿宋"/>
          <w:b/>
          <w:highlight w:val="none"/>
        </w:rPr>
      </w:pPr>
      <w:r>
        <w:rPr>
          <w:rFonts w:hint="eastAsia" w:ascii="仿宋" w:hAnsi="仿宋" w:eastAsia="仿宋" w:cs="仿宋"/>
          <w:b/>
          <w:highlight w:val="none"/>
        </w:rPr>
        <w:t>1.8计量单位</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所有计量均采用中华人民共和国法定计量单位。</w:t>
      </w:r>
    </w:p>
    <w:p>
      <w:pPr>
        <w:spacing w:line="360" w:lineRule="auto"/>
        <w:rPr>
          <w:rFonts w:ascii="仿宋" w:hAnsi="仿宋" w:eastAsia="仿宋" w:cs="仿宋"/>
          <w:b/>
          <w:highlight w:val="none"/>
        </w:rPr>
      </w:pPr>
      <w:r>
        <w:rPr>
          <w:rFonts w:hint="eastAsia" w:ascii="仿宋" w:hAnsi="仿宋" w:eastAsia="仿宋" w:cs="仿宋"/>
          <w:b/>
          <w:highlight w:val="none"/>
        </w:rPr>
        <w:t>1.9投标预备会</w:t>
      </w:r>
    </w:p>
    <w:p>
      <w:pPr>
        <w:spacing w:line="360" w:lineRule="auto"/>
        <w:rPr>
          <w:rFonts w:ascii="仿宋" w:hAnsi="仿宋" w:eastAsia="仿宋" w:cs="仿宋"/>
          <w:highlight w:val="none"/>
        </w:rPr>
      </w:pPr>
      <w:r>
        <w:rPr>
          <w:rFonts w:hint="eastAsia" w:ascii="仿宋" w:hAnsi="仿宋" w:eastAsia="仿宋" w:cs="仿宋"/>
          <w:highlight w:val="none"/>
        </w:rPr>
        <w:t>1.9.1采购人不集中召开投标预备会，实行网上答疑。投标人若有疑问，需要采购人予以答疑，应以不署名的形式在“政采云”平台（http：//www.zcygov.cn）提出。</w:t>
      </w:r>
    </w:p>
    <w:p>
      <w:pPr>
        <w:spacing w:line="360" w:lineRule="auto"/>
        <w:rPr>
          <w:rFonts w:ascii="仿宋" w:hAnsi="仿宋" w:eastAsia="仿宋" w:cs="仿宋"/>
          <w:highlight w:val="none"/>
        </w:rPr>
      </w:pPr>
      <w:r>
        <w:rPr>
          <w:rFonts w:hint="eastAsia" w:ascii="仿宋" w:hAnsi="仿宋" w:eastAsia="仿宋" w:cs="仿宋"/>
          <w:highlight w:val="none"/>
        </w:rPr>
        <w:t>1.9.2投标人提出问题的截止时间和方法：见投标人须知前附表。</w:t>
      </w:r>
    </w:p>
    <w:p>
      <w:pPr>
        <w:spacing w:line="360" w:lineRule="auto"/>
        <w:rPr>
          <w:rFonts w:ascii="仿宋" w:hAnsi="仿宋" w:eastAsia="仿宋" w:cs="仿宋"/>
          <w:highlight w:val="none"/>
        </w:rPr>
      </w:pPr>
      <w:r>
        <w:rPr>
          <w:rFonts w:hint="eastAsia" w:ascii="仿宋" w:hAnsi="仿宋" w:eastAsia="仿宋" w:cs="仿宋"/>
          <w:highlight w:val="none"/>
        </w:rPr>
        <w:t>1.9.3采购人澄清的时间和方法：见投标人须知前附表。</w:t>
      </w:r>
    </w:p>
    <w:p>
      <w:pPr>
        <w:pStyle w:val="4"/>
        <w:spacing w:line="360" w:lineRule="auto"/>
        <w:jc w:val="left"/>
        <w:rPr>
          <w:rFonts w:ascii="仿宋" w:hAnsi="仿宋" w:eastAsia="仿宋" w:cs="仿宋"/>
          <w:sz w:val="24"/>
          <w:szCs w:val="24"/>
          <w:highlight w:val="none"/>
        </w:rPr>
      </w:pPr>
      <w:bookmarkStart w:id="46" w:name="_Toc393354831"/>
      <w:bookmarkStart w:id="47" w:name="_Toc486885398"/>
      <w:r>
        <w:rPr>
          <w:rFonts w:hint="eastAsia" w:ascii="仿宋" w:hAnsi="仿宋" w:eastAsia="仿宋" w:cs="仿宋"/>
          <w:sz w:val="24"/>
          <w:szCs w:val="24"/>
          <w:highlight w:val="none"/>
        </w:rPr>
        <w:t>2、招标文件</w:t>
      </w:r>
      <w:bookmarkEnd w:id="46"/>
      <w:bookmarkEnd w:id="47"/>
    </w:p>
    <w:p>
      <w:pPr>
        <w:pStyle w:val="5"/>
        <w:snapToGrid/>
        <w:spacing w:line="360" w:lineRule="auto"/>
        <w:rPr>
          <w:rFonts w:hint="default" w:ascii="仿宋" w:hAnsi="仿宋" w:eastAsia="仿宋" w:cs="仿宋"/>
          <w:bCs/>
          <w:kern w:val="2"/>
          <w:sz w:val="24"/>
          <w:szCs w:val="24"/>
          <w:highlight w:val="none"/>
        </w:rPr>
      </w:pPr>
      <w:bookmarkStart w:id="48" w:name="_Toc18287379"/>
      <w:r>
        <w:rPr>
          <w:rFonts w:ascii="仿宋" w:hAnsi="仿宋" w:eastAsia="仿宋" w:cs="仿宋"/>
          <w:bCs/>
          <w:kern w:val="2"/>
          <w:sz w:val="24"/>
          <w:szCs w:val="24"/>
          <w:highlight w:val="none"/>
        </w:rPr>
        <w:t>2.1招标文件编制依据</w:t>
      </w:r>
      <w:bookmarkEnd w:id="48"/>
    </w:p>
    <w:p>
      <w:pPr>
        <w:spacing w:line="360" w:lineRule="auto"/>
        <w:ind w:firstLine="480" w:firstLineChars="200"/>
        <w:rPr>
          <w:rFonts w:ascii="仿宋" w:hAnsi="仿宋" w:eastAsia="仿宋" w:cs="仿宋"/>
          <w:b/>
          <w:bCs/>
          <w:highlight w:val="none"/>
        </w:rPr>
      </w:pPr>
      <w:r>
        <w:rPr>
          <w:rFonts w:hint="eastAsia" w:ascii="仿宋" w:hAnsi="仿宋" w:eastAsia="仿宋" w:cs="仿宋"/>
          <w:highlight w:val="none"/>
        </w:rPr>
        <w:t>本项目招标文件根据《中华人民共和国政府采购法》、《中华人民共和国政府采购法实施条例》、《政府采购货物和服务招标投标管理办法》（财政部令第87号）等有关法律、法规编制，解释权属于采购人、采购代理机构。</w:t>
      </w:r>
    </w:p>
    <w:p>
      <w:pPr>
        <w:pStyle w:val="18"/>
        <w:spacing w:line="360" w:lineRule="auto"/>
        <w:rPr>
          <w:rFonts w:ascii="仿宋" w:hAnsi="仿宋" w:eastAsia="仿宋" w:cs="仿宋"/>
          <w:b/>
          <w:bCs/>
          <w:color w:val="auto"/>
          <w:szCs w:val="24"/>
          <w:highlight w:val="none"/>
        </w:rPr>
      </w:pPr>
      <w:r>
        <w:rPr>
          <w:rFonts w:hint="eastAsia" w:ascii="仿宋" w:hAnsi="仿宋" w:eastAsia="仿宋" w:cs="仿宋"/>
          <w:b/>
          <w:bCs/>
          <w:color w:val="auto"/>
          <w:szCs w:val="24"/>
          <w:highlight w:val="none"/>
        </w:rPr>
        <w:t>2.2招标文件构成</w:t>
      </w:r>
    </w:p>
    <w:p>
      <w:pPr>
        <w:spacing w:line="360" w:lineRule="auto"/>
        <w:rPr>
          <w:rFonts w:ascii="仿宋" w:hAnsi="仿宋" w:eastAsia="仿宋" w:cs="仿宋"/>
          <w:highlight w:val="none"/>
        </w:rPr>
      </w:pPr>
      <w:r>
        <w:rPr>
          <w:rFonts w:hint="eastAsia" w:ascii="仿宋" w:hAnsi="仿宋" w:eastAsia="仿宋" w:cs="仿宋"/>
          <w:highlight w:val="none"/>
        </w:rPr>
        <w:t>2.2.1电子招标文件包括：招标公告、投标人须知、合同书样式及主要条款、投标文件格式、采购需求及评标办法。</w:t>
      </w:r>
    </w:p>
    <w:p>
      <w:pPr>
        <w:spacing w:line="360" w:lineRule="auto"/>
        <w:rPr>
          <w:rFonts w:ascii="仿宋" w:hAnsi="仿宋" w:eastAsia="仿宋" w:cs="仿宋"/>
          <w:highlight w:val="none"/>
        </w:rPr>
      </w:pPr>
      <w:r>
        <w:rPr>
          <w:rFonts w:hint="eastAsia" w:ascii="仿宋" w:hAnsi="仿宋" w:eastAsia="仿宋" w:cs="仿宋"/>
          <w:highlight w:val="none"/>
        </w:rPr>
        <w:t>2.2.2根据本章第2.3和第2.4款对招标文件所作的澄清、修改，构成招标文件的组成部分。</w:t>
      </w:r>
    </w:p>
    <w:p>
      <w:pPr>
        <w:spacing w:line="360" w:lineRule="auto"/>
        <w:rPr>
          <w:rFonts w:ascii="仿宋" w:hAnsi="仿宋" w:eastAsia="仿宋" w:cs="仿宋"/>
          <w:b/>
          <w:highlight w:val="none"/>
        </w:rPr>
      </w:pPr>
      <w:bookmarkStart w:id="49" w:name="_Toc486885399"/>
      <w:bookmarkStart w:id="50" w:name="_Toc393354832"/>
      <w:r>
        <w:rPr>
          <w:rFonts w:hint="eastAsia" w:ascii="仿宋" w:hAnsi="仿宋" w:eastAsia="仿宋" w:cs="仿宋"/>
          <w:b/>
          <w:highlight w:val="none"/>
        </w:rPr>
        <w:t>2.3招标文件的澄清</w:t>
      </w:r>
    </w:p>
    <w:p>
      <w:pPr>
        <w:spacing w:line="360" w:lineRule="auto"/>
        <w:rPr>
          <w:rFonts w:ascii="仿宋" w:hAnsi="仿宋" w:eastAsia="仿宋" w:cs="仿宋"/>
          <w:highlight w:val="none"/>
        </w:rPr>
      </w:pPr>
      <w:r>
        <w:rPr>
          <w:rFonts w:hint="eastAsia" w:ascii="仿宋" w:hAnsi="仿宋" w:eastAsia="仿宋" w:cs="仿宋"/>
          <w:highlight w:val="none"/>
        </w:rPr>
        <w:t>2.3.1同1.9.2的时间要求。投标人应仔细阅读和检查招标文件的全部内容。如发现缺页或附件不全，应及时向采购人提出，以便补齐。如有疑问，应在投标人须知前附表规定的时间前以在线不署名提交方式登录“政采云”平台（http：//www.zcygov.cn），要求采购人对招标文件予以澄清。</w:t>
      </w:r>
    </w:p>
    <w:p>
      <w:pPr>
        <w:spacing w:line="360" w:lineRule="auto"/>
        <w:rPr>
          <w:rFonts w:ascii="仿宋" w:hAnsi="仿宋" w:eastAsia="仿宋" w:cs="仿宋"/>
          <w:highlight w:val="none"/>
        </w:rPr>
      </w:pPr>
      <w:r>
        <w:rPr>
          <w:rFonts w:hint="eastAsia" w:ascii="仿宋" w:hAnsi="仿宋" w:eastAsia="仿宋" w:cs="仿宋"/>
          <w:highlight w:val="none"/>
        </w:rPr>
        <w:t>2.3.2投标截止时间：见投标人须知前附表。</w:t>
      </w:r>
    </w:p>
    <w:p>
      <w:pPr>
        <w:spacing w:line="360" w:lineRule="auto"/>
        <w:rPr>
          <w:rFonts w:ascii="仿宋" w:hAnsi="仿宋" w:eastAsia="仿宋" w:cs="仿宋"/>
          <w:highlight w:val="none"/>
        </w:rPr>
      </w:pPr>
      <w:r>
        <w:rPr>
          <w:rFonts w:hint="eastAsia" w:ascii="仿宋" w:hAnsi="仿宋" w:eastAsia="仿宋" w:cs="仿宋"/>
          <w:highlight w:val="none"/>
        </w:rPr>
        <w:t>2.3.3招标澄清和补遗全部通过网络送达，请投标人在开标截止日前，务必查询网站信息，投标人自行登录“政采云”平台（http：//www.zcygov.cn）获取澄清，无须回复确认已收到该澄清。</w:t>
      </w:r>
    </w:p>
    <w:p>
      <w:pPr>
        <w:spacing w:line="360" w:lineRule="auto"/>
        <w:rPr>
          <w:rFonts w:ascii="仿宋" w:hAnsi="仿宋" w:eastAsia="仿宋" w:cs="仿宋"/>
          <w:b/>
          <w:highlight w:val="none"/>
        </w:rPr>
      </w:pPr>
      <w:r>
        <w:rPr>
          <w:rFonts w:hint="eastAsia" w:ascii="仿宋" w:hAnsi="仿宋" w:eastAsia="仿宋" w:cs="仿宋"/>
          <w:b/>
          <w:highlight w:val="none"/>
        </w:rPr>
        <w:t>2.4招标文件的修改</w:t>
      </w:r>
    </w:p>
    <w:p>
      <w:pPr>
        <w:spacing w:line="360" w:lineRule="auto"/>
        <w:rPr>
          <w:rFonts w:ascii="仿宋" w:hAnsi="仿宋" w:eastAsia="仿宋" w:cs="仿宋"/>
          <w:highlight w:val="none"/>
        </w:rPr>
      </w:pPr>
      <w:r>
        <w:rPr>
          <w:rFonts w:hint="eastAsia" w:ascii="仿宋" w:hAnsi="仿宋" w:eastAsia="仿宋" w:cs="仿宋"/>
          <w:highlight w:val="none"/>
        </w:rPr>
        <w:t>2.4.1在投标截止时间15天前，确需要变更招标文件内容的，采购人可主动或在解答投标人提出的澄清问题时对招标文件进行修改，并同时报主管部门备案。招标文件的修改将在“政采云”平台（http：//www.zcygov.cn）发布及政府采购网，招标文件的修改作为招标文件的组成部分，并具有约束力。</w:t>
      </w:r>
    </w:p>
    <w:p>
      <w:pPr>
        <w:spacing w:line="360" w:lineRule="auto"/>
        <w:rPr>
          <w:rFonts w:ascii="仿宋" w:hAnsi="仿宋" w:eastAsia="仿宋" w:cs="仿宋"/>
          <w:highlight w:val="none"/>
        </w:rPr>
      </w:pPr>
      <w:r>
        <w:rPr>
          <w:rFonts w:hint="eastAsia" w:ascii="仿宋" w:hAnsi="仿宋" w:eastAsia="仿宋" w:cs="仿宋"/>
          <w:highlight w:val="none"/>
        </w:rPr>
        <w:t>2.4.2投标人自行登录“政采云”平台（http：//www.zcygov.cn）收取修改内容，无须回复确认已收到该修改。投标人应在截标时间前随时查看“政采云”平台（http：//www.zcygov.cn）及政府采购网中有关该工程招标文件的答疑、补遗内容。否则，由此引起的投标损失自负。</w:t>
      </w:r>
    </w:p>
    <w:p>
      <w:pPr>
        <w:spacing w:line="360" w:lineRule="auto"/>
        <w:rPr>
          <w:rFonts w:ascii="仿宋" w:hAnsi="仿宋" w:eastAsia="仿宋" w:cs="仿宋"/>
          <w:highlight w:val="none"/>
        </w:rPr>
      </w:pPr>
      <w:r>
        <w:rPr>
          <w:rFonts w:hint="eastAsia" w:ascii="仿宋" w:hAnsi="仿宋" w:eastAsia="仿宋" w:cs="仿宋"/>
          <w:highlight w:val="none"/>
        </w:rPr>
        <w:t>2.4.3招标文件、招标文件澄清、招标文件修改文件内容均以网上发布的为准，当招标文件、招标文件澄清、招标文件修改文件内容相互矛盾时，以最后发出的为准。</w:t>
      </w:r>
    </w:p>
    <w:p>
      <w:pPr>
        <w:pStyle w:val="4"/>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3、投标文件</w:t>
      </w:r>
      <w:bookmarkEnd w:id="49"/>
      <w:bookmarkEnd w:id="50"/>
    </w:p>
    <w:p>
      <w:pPr>
        <w:spacing w:line="360" w:lineRule="auto"/>
        <w:rPr>
          <w:rFonts w:ascii="仿宋" w:hAnsi="仿宋" w:eastAsia="仿宋" w:cs="仿宋"/>
          <w:b/>
          <w:highlight w:val="none"/>
        </w:rPr>
      </w:pPr>
      <w:r>
        <w:rPr>
          <w:rFonts w:hint="eastAsia" w:ascii="仿宋" w:hAnsi="仿宋" w:eastAsia="仿宋" w:cs="仿宋"/>
          <w:b/>
          <w:highlight w:val="none"/>
        </w:rPr>
        <w:t>3.1 投标文件的组成</w:t>
      </w:r>
    </w:p>
    <w:p>
      <w:pPr>
        <w:spacing w:line="360" w:lineRule="auto"/>
        <w:rPr>
          <w:rFonts w:ascii="仿宋" w:hAnsi="仿宋" w:eastAsia="仿宋" w:cs="仿宋"/>
          <w:highlight w:val="none"/>
        </w:rPr>
      </w:pPr>
      <w:r>
        <w:rPr>
          <w:rFonts w:hint="eastAsia" w:ascii="仿宋" w:hAnsi="仿宋" w:eastAsia="仿宋" w:cs="仿宋"/>
          <w:highlight w:val="none"/>
        </w:rPr>
        <w:t>3.1.1投标人编写的投标文件应由资格审查部分、技术商务部分构成，并按第七章《投标文件格式》要求填写。</w:t>
      </w:r>
    </w:p>
    <w:p>
      <w:pPr>
        <w:spacing w:line="360" w:lineRule="auto"/>
        <w:rPr>
          <w:rFonts w:ascii="仿宋" w:hAnsi="仿宋" w:eastAsia="仿宋" w:cs="仿宋"/>
          <w:b/>
          <w:highlight w:val="none"/>
        </w:rPr>
      </w:pPr>
      <w:r>
        <w:rPr>
          <w:rFonts w:hint="eastAsia" w:ascii="仿宋" w:hAnsi="仿宋" w:eastAsia="仿宋" w:cs="仿宋"/>
          <w:highlight w:val="none"/>
        </w:rPr>
        <w:t>3.1.2投标文件全部采用电子文档；在编制技术标投标文件时，粘贴图片使用JPG格式的文件，并且每张图片的分辩率应小于100dpi，最终的每份标书文件所占用的磁盘空间必须小于100M。</w:t>
      </w:r>
    </w:p>
    <w:p>
      <w:pPr>
        <w:spacing w:line="360" w:lineRule="auto"/>
        <w:rPr>
          <w:rFonts w:ascii="仿宋" w:hAnsi="仿宋" w:eastAsia="仿宋" w:cs="仿宋"/>
          <w:b/>
          <w:highlight w:val="none"/>
        </w:rPr>
      </w:pPr>
      <w:r>
        <w:rPr>
          <w:rFonts w:hint="eastAsia" w:ascii="仿宋" w:hAnsi="仿宋" w:eastAsia="仿宋" w:cs="仿宋"/>
          <w:b/>
          <w:highlight w:val="none"/>
        </w:rPr>
        <w:t>3.2报价部分</w:t>
      </w:r>
    </w:p>
    <w:p>
      <w:pPr>
        <w:spacing w:line="360" w:lineRule="auto"/>
        <w:rPr>
          <w:rFonts w:ascii="仿宋" w:hAnsi="仿宋" w:eastAsia="仿宋" w:cs="仿宋"/>
          <w:highlight w:val="none"/>
        </w:rPr>
      </w:pPr>
      <w:r>
        <w:rPr>
          <w:rFonts w:hint="eastAsia" w:ascii="仿宋" w:hAnsi="仿宋" w:eastAsia="仿宋" w:cs="仿宋"/>
          <w:highlight w:val="none"/>
        </w:rPr>
        <w:t>3.2.1在投标人须知前附表规定的投标有效期内，投标人不得要求撤销或修改其投标文件。</w:t>
      </w:r>
    </w:p>
    <w:p>
      <w:pPr>
        <w:spacing w:line="360" w:lineRule="auto"/>
        <w:rPr>
          <w:rFonts w:ascii="仿宋" w:hAnsi="仿宋" w:eastAsia="仿宋" w:cs="仿宋"/>
          <w:highlight w:val="none"/>
        </w:rPr>
      </w:pPr>
      <w:r>
        <w:rPr>
          <w:rFonts w:hint="eastAsia" w:ascii="仿宋" w:hAnsi="仿宋" w:eastAsia="仿宋" w:cs="仿宋"/>
          <w:highlight w:val="none"/>
        </w:rPr>
        <w:t>3.2.2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spacing w:line="360" w:lineRule="auto"/>
        <w:rPr>
          <w:rFonts w:ascii="仿宋" w:hAnsi="仿宋" w:eastAsia="仿宋" w:cs="仿宋"/>
          <w:b/>
          <w:highlight w:val="none"/>
        </w:rPr>
      </w:pPr>
      <w:r>
        <w:rPr>
          <w:rFonts w:hint="eastAsia" w:ascii="仿宋" w:hAnsi="仿宋" w:eastAsia="仿宋" w:cs="仿宋"/>
          <w:highlight w:val="none"/>
        </w:rPr>
        <w:t>3.2.3投标有效期为从提交投标文件截止之日起90日历天，投标人必须在投标函中注明有效期为从提交投标文件截止之日起90日历天，否则视为不响应招标文件。</w:t>
      </w:r>
    </w:p>
    <w:p>
      <w:pPr>
        <w:spacing w:line="360" w:lineRule="auto"/>
        <w:rPr>
          <w:rFonts w:ascii="仿宋" w:hAnsi="仿宋" w:eastAsia="仿宋" w:cs="仿宋"/>
          <w:b/>
          <w:highlight w:val="none"/>
        </w:rPr>
      </w:pPr>
      <w:r>
        <w:rPr>
          <w:rFonts w:hint="eastAsia" w:ascii="仿宋" w:hAnsi="仿宋" w:eastAsia="仿宋" w:cs="仿宋"/>
          <w:b/>
          <w:highlight w:val="none"/>
        </w:rPr>
        <w:t>3.3投标有效期</w:t>
      </w:r>
    </w:p>
    <w:p>
      <w:pPr>
        <w:spacing w:line="360" w:lineRule="auto"/>
        <w:rPr>
          <w:rFonts w:ascii="仿宋" w:hAnsi="仿宋" w:eastAsia="仿宋" w:cs="仿宋"/>
          <w:highlight w:val="none"/>
        </w:rPr>
      </w:pPr>
      <w:r>
        <w:rPr>
          <w:rFonts w:hint="eastAsia" w:ascii="仿宋" w:hAnsi="仿宋" w:eastAsia="仿宋" w:cs="仿宋"/>
          <w:highlight w:val="none"/>
        </w:rPr>
        <w:t>3.3.1在投标人须知前附表规定的投标有效期内，投标人不得要求撤销或修改其投标文件。</w:t>
      </w:r>
    </w:p>
    <w:p>
      <w:pPr>
        <w:spacing w:line="360" w:lineRule="auto"/>
        <w:rPr>
          <w:rFonts w:ascii="仿宋" w:hAnsi="仿宋" w:eastAsia="仿宋" w:cs="仿宋"/>
          <w:highlight w:val="none"/>
        </w:rPr>
      </w:pPr>
      <w:r>
        <w:rPr>
          <w:rFonts w:hint="eastAsia" w:ascii="仿宋" w:hAnsi="仿宋" w:eastAsia="仿宋" w:cs="仿宋"/>
          <w:highlight w:val="none"/>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spacing w:line="360" w:lineRule="auto"/>
        <w:rPr>
          <w:rFonts w:ascii="仿宋" w:hAnsi="仿宋" w:eastAsia="仿宋" w:cs="仿宋"/>
          <w:highlight w:val="none"/>
        </w:rPr>
      </w:pPr>
      <w:r>
        <w:rPr>
          <w:rFonts w:hint="eastAsia" w:ascii="仿宋" w:hAnsi="仿宋" w:eastAsia="仿宋" w:cs="仿宋"/>
          <w:highlight w:val="none"/>
        </w:rPr>
        <w:t>3.3.3投标有效期为从提交投标文件截止之日起90日历天。</w:t>
      </w:r>
    </w:p>
    <w:p>
      <w:pPr>
        <w:spacing w:line="360" w:lineRule="auto"/>
        <w:rPr>
          <w:rFonts w:ascii="仿宋" w:hAnsi="仿宋" w:eastAsia="仿宋" w:cs="仿宋"/>
          <w:b/>
          <w:highlight w:val="none"/>
        </w:rPr>
      </w:pPr>
      <w:r>
        <w:rPr>
          <w:rFonts w:hint="eastAsia" w:ascii="仿宋" w:hAnsi="仿宋" w:eastAsia="仿宋" w:cs="仿宋"/>
          <w:b/>
          <w:highlight w:val="none"/>
        </w:rPr>
        <w:t>3.4投标保证金</w:t>
      </w:r>
    </w:p>
    <w:p>
      <w:pPr>
        <w:spacing w:line="360" w:lineRule="auto"/>
        <w:rPr>
          <w:rFonts w:ascii="仿宋" w:hAnsi="仿宋" w:eastAsia="仿宋" w:cs="仿宋"/>
          <w:highlight w:val="none"/>
        </w:rPr>
      </w:pPr>
      <w:r>
        <w:rPr>
          <w:rFonts w:hint="eastAsia" w:ascii="仿宋" w:hAnsi="仿宋" w:eastAsia="仿宋" w:cs="仿宋"/>
          <w:highlight w:val="none"/>
        </w:rPr>
        <w:t>3.4.1投标人应按《投标人须知前附表》规定的金额、形式交纳投标保证金，投标保证金须在投标文件提交截止时间前从投标人基本账户缴纳到指定的账户，投标人未按照招标文件要求提交投标保证金的，投标无效。</w:t>
      </w:r>
    </w:p>
    <w:p>
      <w:pPr>
        <w:spacing w:line="360" w:lineRule="auto"/>
        <w:rPr>
          <w:rFonts w:ascii="仿宋" w:hAnsi="仿宋" w:eastAsia="仿宋" w:cs="仿宋"/>
          <w:highlight w:val="none"/>
        </w:rPr>
      </w:pPr>
      <w:r>
        <w:rPr>
          <w:rFonts w:hint="eastAsia" w:ascii="仿宋" w:hAnsi="仿宋" w:eastAsia="仿宋" w:cs="仿宋"/>
          <w:highlight w:val="none"/>
        </w:rPr>
        <w:t>3.4.2投标人不按本章第3.4.1项要求提交投标保证金，其投标文件作废标处理。</w:t>
      </w:r>
    </w:p>
    <w:p>
      <w:pPr>
        <w:spacing w:line="360" w:lineRule="auto"/>
        <w:rPr>
          <w:rFonts w:ascii="仿宋" w:hAnsi="仿宋" w:eastAsia="仿宋" w:cs="仿宋"/>
          <w:highlight w:val="none"/>
        </w:rPr>
      </w:pPr>
      <w:r>
        <w:rPr>
          <w:rFonts w:hint="eastAsia" w:ascii="仿宋" w:hAnsi="仿宋" w:eastAsia="仿宋" w:cs="仿宋"/>
          <w:highlight w:val="none"/>
        </w:rPr>
        <w:t>3.4.3投标保证金退还到投标人的基本账户。</w:t>
      </w:r>
    </w:p>
    <w:p>
      <w:pPr>
        <w:pStyle w:val="31"/>
        <w:shd w:val="clear" w:color="auto" w:fill="FFFFFF"/>
        <w:spacing w:line="360" w:lineRule="auto"/>
        <w:ind w:left="0"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3.4.4投标人在投标截止时间前撤回已提交的投标文件的，采购人或者采购代理机构应当自收到投标人书面撤回通知之日起5个工作日内，退还已收取的投标保证金，但因投标人自身原因导致无法及时退还的除外。采购人或者采购代理机构应当自中标通知书发出之日起5个工作日内退还未中标人的投标保证金，自采购合同签订之日起5个工作日内退还中标人的投标保证金。采购人或者采购代理机构逾期退还投标保证金的，除应当退还投标保证金本金外，还应当按中国人民银行同期贷款基准利率上浮20%后的利率支付超期资金占用费，但因投标人自身原因导致无法及时退还的除外。</w:t>
      </w:r>
    </w:p>
    <w:p>
      <w:pPr>
        <w:pStyle w:val="31"/>
        <w:widowControl w:val="0"/>
        <w:shd w:val="clear" w:color="auto" w:fill="FFFFFF"/>
        <w:spacing w:before="0" w:after="0" w:line="360" w:lineRule="auto"/>
        <w:ind w:left="0"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3.4.5 有下列情形之一的，投标保证金将不予退还：</w:t>
      </w:r>
    </w:p>
    <w:p>
      <w:pPr>
        <w:pStyle w:val="31"/>
        <w:widowControl w:val="0"/>
        <w:shd w:val="clear" w:color="auto" w:fill="FFFFFF"/>
        <w:spacing w:before="0" w:after="0" w:line="480" w:lineRule="auto"/>
        <w:ind w:left="0" w:right="601"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①开标后,投标方撤回其投标书的；</w:t>
      </w:r>
    </w:p>
    <w:p>
      <w:pPr>
        <w:pStyle w:val="31"/>
        <w:widowControl w:val="0"/>
        <w:shd w:val="clear" w:color="auto" w:fill="FFFFFF"/>
        <w:spacing w:before="0" w:after="0" w:line="480" w:lineRule="auto"/>
        <w:ind w:left="0" w:right="601"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②中标通知书发出后，中标方不签订合同或放弃中标权的；</w:t>
      </w:r>
    </w:p>
    <w:p>
      <w:pPr>
        <w:pStyle w:val="31"/>
        <w:widowControl w:val="0"/>
        <w:shd w:val="clear" w:color="auto" w:fill="FFFFFF"/>
        <w:spacing w:before="0" w:after="0" w:line="480" w:lineRule="auto"/>
        <w:ind w:left="0" w:right="601"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③由于中标方的原因致使合同无法履行的；</w:t>
      </w:r>
    </w:p>
    <w:p>
      <w:pPr>
        <w:pStyle w:val="31"/>
        <w:widowControl w:val="0"/>
        <w:shd w:val="clear" w:color="auto" w:fill="FFFFFF"/>
        <w:spacing w:before="0" w:after="0" w:line="480" w:lineRule="auto"/>
        <w:ind w:left="0" w:right="601"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④投标方提供虚假资料的；</w:t>
      </w:r>
    </w:p>
    <w:p>
      <w:pPr>
        <w:pStyle w:val="31"/>
        <w:widowControl w:val="0"/>
        <w:shd w:val="clear" w:color="auto" w:fill="FFFFFF"/>
        <w:spacing w:before="0" w:after="0" w:line="480" w:lineRule="auto"/>
        <w:ind w:left="0" w:right="601"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⑤投标方有围标、串标行为的；</w:t>
      </w:r>
    </w:p>
    <w:p>
      <w:pPr>
        <w:pStyle w:val="31"/>
        <w:widowControl w:val="0"/>
        <w:shd w:val="clear" w:color="auto" w:fill="FFFFFF"/>
        <w:spacing w:before="0" w:after="0" w:line="480" w:lineRule="auto"/>
        <w:ind w:left="0" w:right="601"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⑥招标文件规定的其它情形。</w:t>
      </w:r>
    </w:p>
    <w:p>
      <w:pPr>
        <w:pStyle w:val="31"/>
        <w:widowControl w:val="0"/>
        <w:shd w:val="clear" w:color="auto" w:fill="FFFFFF"/>
        <w:spacing w:before="0" w:after="0" w:line="360" w:lineRule="auto"/>
        <w:ind w:left="0" w:firstLine="0"/>
        <w:rPr>
          <w:rFonts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3.4.6投标人在招投标活动中被认定为围标、串通投标行为的将没收其投标保证金。</w:t>
      </w:r>
    </w:p>
    <w:p>
      <w:pPr>
        <w:pStyle w:val="31"/>
        <w:widowControl w:val="0"/>
        <w:shd w:val="clear" w:color="auto" w:fill="FFFFFF"/>
        <w:spacing w:before="0" w:after="0" w:line="360" w:lineRule="auto"/>
        <w:ind w:left="0" w:firstLine="0"/>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3.5资格审查资料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详见招标文件第一章《招标公告》“二、投标人的资格要求”。</w:t>
      </w:r>
    </w:p>
    <w:p>
      <w:pPr>
        <w:spacing w:line="360" w:lineRule="auto"/>
        <w:rPr>
          <w:rFonts w:ascii="仿宋" w:hAnsi="仿宋" w:eastAsia="仿宋" w:cs="仿宋"/>
          <w:b/>
          <w:highlight w:val="none"/>
        </w:rPr>
      </w:pPr>
      <w:r>
        <w:rPr>
          <w:rFonts w:hint="eastAsia" w:ascii="仿宋" w:hAnsi="仿宋" w:eastAsia="仿宋" w:cs="仿宋"/>
          <w:b/>
          <w:highlight w:val="none"/>
        </w:rPr>
        <w:t>3.6投标文件的编制</w:t>
      </w:r>
    </w:p>
    <w:p>
      <w:pPr>
        <w:pStyle w:val="73"/>
        <w:spacing w:line="360" w:lineRule="auto"/>
        <w:ind w:firstLine="0"/>
        <w:rPr>
          <w:rFonts w:ascii="仿宋" w:hAnsi="仿宋" w:eastAsia="仿宋" w:cs="仿宋"/>
          <w:kern w:val="2"/>
          <w:highlight w:val="none"/>
        </w:rPr>
      </w:pPr>
      <w:r>
        <w:rPr>
          <w:rFonts w:hint="eastAsia" w:ascii="仿宋" w:hAnsi="仿宋" w:eastAsia="仿宋" w:cs="仿宋"/>
          <w:kern w:val="2"/>
          <w:highlight w:val="none"/>
        </w:rPr>
        <w:t>3.6.1供应商将政采云电子交易客户端下载、安装完成后，可通过账号密码或CA登录客户端进行投标文件的制作。在使用政采云投标客户端时，建议使用WIN7（64位）及以上操作系统。客户端请至政采云网站（https://edu.zcygov.cn/luban/yunnan-dzjy-gys）进行查看下载，如有问题可拨打政采云客户服务热线95763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pPr>
        <w:spacing w:line="360" w:lineRule="auto"/>
        <w:rPr>
          <w:rFonts w:ascii="仿宋" w:hAnsi="仿宋" w:eastAsia="仿宋" w:cs="仿宋"/>
          <w:highlight w:val="none"/>
        </w:rPr>
      </w:pPr>
      <w:r>
        <w:rPr>
          <w:rFonts w:hint="eastAsia" w:ascii="仿宋" w:hAnsi="仿宋" w:eastAsia="仿宋" w:cs="仿宋"/>
          <w:highlight w:val="none"/>
        </w:rPr>
        <w:t>3.6.2如投标人提交的电子标书不符合3.6.1要求或开标时无法读取导入或解密，其投标文件将不予受理。</w:t>
      </w:r>
    </w:p>
    <w:p>
      <w:pPr>
        <w:spacing w:line="360" w:lineRule="auto"/>
        <w:rPr>
          <w:rFonts w:ascii="仿宋" w:hAnsi="仿宋" w:eastAsia="仿宋" w:cs="仿宋"/>
          <w:highlight w:val="none"/>
        </w:rPr>
      </w:pPr>
      <w:r>
        <w:rPr>
          <w:rFonts w:hint="eastAsia" w:ascii="仿宋" w:hAnsi="仿宋" w:eastAsia="仿宋" w:cs="仿宋"/>
          <w:highlight w:val="none"/>
        </w:rPr>
        <w:t>3.6.3投标文件应当对招标文件有关合同履行期限、投标有效期、服务要求、招标范围等实质性内容作出响应。</w:t>
      </w:r>
    </w:p>
    <w:p>
      <w:pPr>
        <w:spacing w:line="360" w:lineRule="auto"/>
        <w:rPr>
          <w:rFonts w:ascii="仿宋" w:hAnsi="仿宋" w:eastAsia="仿宋" w:cs="仿宋"/>
          <w:highlight w:val="none"/>
        </w:rPr>
      </w:pPr>
      <w:r>
        <w:rPr>
          <w:rFonts w:hint="eastAsia" w:ascii="仿宋" w:hAnsi="仿宋" w:eastAsia="仿宋" w:cs="仿宋"/>
          <w:highlight w:val="none"/>
        </w:rPr>
        <w:t>3.6.4投标文件的签署：见投标人须知前附表。</w:t>
      </w:r>
    </w:p>
    <w:p>
      <w:pPr>
        <w:spacing w:line="360" w:lineRule="auto"/>
        <w:rPr>
          <w:rFonts w:ascii="仿宋" w:hAnsi="仿宋" w:eastAsia="仿宋" w:cs="仿宋"/>
          <w:highlight w:val="none"/>
        </w:rPr>
      </w:pPr>
      <w:r>
        <w:rPr>
          <w:rFonts w:hint="eastAsia" w:ascii="仿宋" w:hAnsi="仿宋" w:eastAsia="仿宋" w:cs="仿宋"/>
          <w:highlight w:val="none"/>
        </w:rPr>
        <w:t>3.6.5投标文件的提交：见投标人须知前附表。</w:t>
      </w:r>
    </w:p>
    <w:p>
      <w:pPr>
        <w:spacing w:line="360" w:lineRule="auto"/>
        <w:rPr>
          <w:rFonts w:ascii="仿宋" w:hAnsi="仿宋" w:eastAsia="仿宋" w:cs="仿宋"/>
          <w:b/>
          <w:highlight w:val="none"/>
        </w:rPr>
      </w:pPr>
      <w:r>
        <w:rPr>
          <w:rFonts w:hint="eastAsia" w:ascii="仿宋" w:hAnsi="仿宋" w:eastAsia="仿宋" w:cs="仿宋"/>
          <w:b/>
          <w:highlight w:val="none"/>
        </w:rPr>
        <w:t>4.投标</w:t>
      </w:r>
    </w:p>
    <w:p>
      <w:pPr>
        <w:spacing w:line="360" w:lineRule="auto"/>
        <w:rPr>
          <w:rFonts w:ascii="仿宋" w:hAnsi="仿宋" w:eastAsia="仿宋" w:cs="仿宋"/>
          <w:b/>
          <w:highlight w:val="none"/>
        </w:rPr>
      </w:pPr>
      <w:r>
        <w:rPr>
          <w:rFonts w:hint="eastAsia" w:ascii="仿宋" w:hAnsi="仿宋" w:eastAsia="仿宋" w:cs="仿宋"/>
          <w:b/>
          <w:highlight w:val="none"/>
        </w:rPr>
        <w:t>4.1投标文件的标记</w:t>
      </w:r>
    </w:p>
    <w:p>
      <w:pPr>
        <w:spacing w:line="360" w:lineRule="auto"/>
        <w:rPr>
          <w:rFonts w:ascii="仿宋" w:hAnsi="仿宋" w:eastAsia="仿宋" w:cs="仿宋"/>
          <w:highlight w:val="none"/>
        </w:rPr>
      </w:pPr>
      <w:r>
        <w:rPr>
          <w:rFonts w:hint="eastAsia" w:ascii="仿宋" w:hAnsi="仿宋" w:eastAsia="仿宋" w:cs="仿宋"/>
          <w:highlight w:val="none"/>
        </w:rPr>
        <w:t>4.1.1网上递交的投标文件需要对投标文件进行加密。</w:t>
      </w:r>
    </w:p>
    <w:p>
      <w:pPr>
        <w:spacing w:line="360" w:lineRule="auto"/>
        <w:rPr>
          <w:rFonts w:ascii="仿宋" w:hAnsi="仿宋" w:eastAsia="仿宋" w:cs="仿宋"/>
          <w:highlight w:val="none"/>
        </w:rPr>
      </w:pPr>
      <w:r>
        <w:rPr>
          <w:rFonts w:hint="eastAsia" w:ascii="仿宋" w:hAnsi="仿宋" w:eastAsia="仿宋" w:cs="仿宋"/>
          <w:highlight w:val="none"/>
        </w:rPr>
        <w:t>4.1.2未按本章第4.1.1项，采购人不予受理。</w:t>
      </w:r>
    </w:p>
    <w:p>
      <w:pPr>
        <w:spacing w:line="360" w:lineRule="auto"/>
        <w:rPr>
          <w:rFonts w:ascii="仿宋" w:hAnsi="仿宋" w:eastAsia="仿宋" w:cs="仿宋"/>
          <w:b/>
          <w:highlight w:val="none"/>
        </w:rPr>
      </w:pPr>
      <w:r>
        <w:rPr>
          <w:rFonts w:hint="eastAsia" w:ascii="仿宋" w:hAnsi="仿宋" w:eastAsia="仿宋" w:cs="仿宋"/>
          <w:b/>
          <w:highlight w:val="none"/>
        </w:rPr>
        <w:t>4.2投标文件的递交</w:t>
      </w:r>
    </w:p>
    <w:p>
      <w:pPr>
        <w:spacing w:line="360" w:lineRule="auto"/>
        <w:rPr>
          <w:rFonts w:ascii="仿宋" w:hAnsi="仿宋" w:eastAsia="仿宋" w:cs="仿宋"/>
          <w:highlight w:val="none"/>
        </w:rPr>
      </w:pPr>
      <w:r>
        <w:rPr>
          <w:rFonts w:hint="eastAsia" w:ascii="仿宋" w:hAnsi="仿宋" w:eastAsia="仿宋" w:cs="仿宋"/>
          <w:highlight w:val="none"/>
        </w:rPr>
        <w:t>4.2.1投标人应在本章第2.2.2项规定的投标截止时间前递交投标文件。</w:t>
      </w:r>
    </w:p>
    <w:p>
      <w:pPr>
        <w:spacing w:line="360" w:lineRule="auto"/>
        <w:rPr>
          <w:rFonts w:ascii="仿宋" w:hAnsi="仿宋" w:eastAsia="仿宋" w:cs="仿宋"/>
          <w:highlight w:val="none"/>
        </w:rPr>
      </w:pPr>
      <w:r>
        <w:rPr>
          <w:rFonts w:hint="eastAsia" w:ascii="仿宋" w:hAnsi="仿宋" w:eastAsia="仿宋" w:cs="仿宋"/>
          <w:highlight w:val="none"/>
        </w:rPr>
        <w:t>4.2.2网上上传投标文件：登录“政采云”平台（http：//www.zcygov.cn），根据拟要投标的项目，按照网上投标系统要求上传投标文件，并完成最后的“确认并签名”，表明投标人网上上传投标文件成功。</w:t>
      </w:r>
    </w:p>
    <w:p>
      <w:pPr>
        <w:spacing w:line="360" w:lineRule="auto"/>
        <w:rPr>
          <w:rFonts w:ascii="仿宋" w:hAnsi="仿宋" w:eastAsia="仿宋" w:cs="仿宋"/>
          <w:highlight w:val="none"/>
        </w:rPr>
      </w:pPr>
      <w:r>
        <w:rPr>
          <w:rFonts w:hint="eastAsia" w:ascii="仿宋" w:hAnsi="仿宋" w:eastAsia="仿宋" w:cs="仿宋"/>
          <w:highlight w:val="none"/>
        </w:rPr>
        <w:t>4.2.3除投标人须知前附表另有规定外，投标人所递交的投标文件不予退还。</w:t>
      </w:r>
    </w:p>
    <w:p>
      <w:pPr>
        <w:spacing w:line="360" w:lineRule="auto"/>
        <w:rPr>
          <w:rFonts w:ascii="仿宋" w:hAnsi="仿宋" w:eastAsia="仿宋" w:cs="仿宋"/>
          <w:highlight w:val="none"/>
        </w:rPr>
      </w:pPr>
      <w:r>
        <w:rPr>
          <w:rFonts w:hint="eastAsia" w:ascii="仿宋" w:hAnsi="仿宋" w:eastAsia="仿宋" w:cs="仿宋"/>
          <w:highlight w:val="none"/>
        </w:rPr>
        <w:t>4.2.4投标人在提交投标文件截止时间前，首先应将电子投标文件上传到“政采云”平台（http：//www.zcygov.cn），如果投标人没有按规定网上递交电子投标文件，视为投标无效。</w:t>
      </w:r>
    </w:p>
    <w:p>
      <w:pPr>
        <w:spacing w:line="360" w:lineRule="auto"/>
        <w:rPr>
          <w:rFonts w:ascii="仿宋" w:hAnsi="仿宋" w:eastAsia="仿宋" w:cs="仿宋"/>
          <w:b/>
          <w:highlight w:val="none"/>
        </w:rPr>
      </w:pPr>
      <w:r>
        <w:rPr>
          <w:rFonts w:hint="eastAsia" w:ascii="仿宋" w:hAnsi="仿宋" w:eastAsia="仿宋" w:cs="仿宋"/>
          <w:b/>
          <w:highlight w:val="none"/>
        </w:rPr>
        <w:t>4.3投标文件的修改与撤回</w:t>
      </w:r>
    </w:p>
    <w:p>
      <w:pPr>
        <w:spacing w:line="360" w:lineRule="auto"/>
        <w:rPr>
          <w:rFonts w:ascii="仿宋" w:hAnsi="仿宋" w:eastAsia="仿宋" w:cs="仿宋"/>
          <w:highlight w:val="none"/>
        </w:rPr>
      </w:pPr>
      <w:r>
        <w:rPr>
          <w:rFonts w:hint="eastAsia" w:ascii="仿宋" w:hAnsi="仿宋" w:eastAsia="仿宋" w:cs="仿宋"/>
          <w:highlight w:val="none"/>
        </w:rPr>
        <w:t>4.3.1在本章第2.2.2项规定的投标截止时间前，投标人可以修改或撤回已在网上递交的投标文件，无须书面形式通知采购人。</w:t>
      </w:r>
    </w:p>
    <w:p>
      <w:pPr>
        <w:spacing w:line="360" w:lineRule="auto"/>
        <w:rPr>
          <w:rFonts w:ascii="仿宋" w:hAnsi="仿宋" w:eastAsia="仿宋" w:cs="仿宋"/>
          <w:b/>
          <w:highlight w:val="none"/>
        </w:rPr>
      </w:pPr>
      <w:r>
        <w:rPr>
          <w:rFonts w:hint="eastAsia" w:ascii="仿宋" w:hAnsi="仿宋" w:eastAsia="仿宋" w:cs="仿宋"/>
          <w:highlight w:val="none"/>
        </w:rPr>
        <w:t>4.3.2修改的投标文件应按照本章第3条、第4条规定进行编制和提交。</w:t>
      </w:r>
    </w:p>
    <w:p>
      <w:pPr>
        <w:spacing w:line="360" w:lineRule="auto"/>
        <w:rPr>
          <w:rFonts w:ascii="仿宋" w:hAnsi="仿宋" w:eastAsia="仿宋" w:cs="仿宋"/>
          <w:b/>
          <w:highlight w:val="none"/>
        </w:rPr>
      </w:pPr>
      <w:r>
        <w:rPr>
          <w:rFonts w:hint="eastAsia" w:ascii="仿宋" w:hAnsi="仿宋" w:eastAsia="仿宋" w:cs="仿宋"/>
          <w:b/>
          <w:highlight w:val="none"/>
        </w:rPr>
        <w:t>5.开标</w:t>
      </w:r>
    </w:p>
    <w:p>
      <w:pPr>
        <w:spacing w:line="360" w:lineRule="auto"/>
        <w:rPr>
          <w:rFonts w:ascii="仿宋" w:hAnsi="仿宋" w:eastAsia="仿宋" w:cs="仿宋"/>
          <w:b/>
          <w:highlight w:val="none"/>
        </w:rPr>
      </w:pPr>
      <w:r>
        <w:rPr>
          <w:rFonts w:hint="eastAsia" w:ascii="仿宋" w:hAnsi="仿宋" w:eastAsia="仿宋" w:cs="仿宋"/>
          <w:b/>
          <w:highlight w:val="none"/>
        </w:rPr>
        <w:t>5.1开标时间和地点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采购人在本章第2.2.2项规定的投标截止时间（开标时间）和投标人须知前附表规定的地点公开开标，并邀请所有投标人的法定代表人或其委托代理人准时参加。</w:t>
      </w:r>
    </w:p>
    <w:p>
      <w:pPr>
        <w:spacing w:line="360" w:lineRule="auto"/>
        <w:rPr>
          <w:rFonts w:ascii="仿宋" w:hAnsi="仿宋" w:eastAsia="仿宋" w:cs="仿宋"/>
          <w:b/>
          <w:highlight w:val="none"/>
        </w:rPr>
      </w:pPr>
      <w:r>
        <w:rPr>
          <w:rFonts w:hint="eastAsia" w:ascii="仿宋" w:hAnsi="仿宋" w:eastAsia="仿宋" w:cs="仿宋"/>
          <w:b/>
          <w:highlight w:val="none"/>
        </w:rPr>
        <w:t>5.2开标程序</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主持人按下列程序进行开标：</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(1)宣布开标纪律；</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(2)公布在投标截止时间前递交投标文件的投标人名称；</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按照电子招标投标交易平台自动提取所有投标人的顺序当众开标，依次导入有效投标人的电子投标文件同时，由投标人对网上递交已加密的投标文件，解密完成后，公布投标人名称、标段名称、投标保证金的递交情况、投标报价及其他内容，并记录在案。因投标人原因造成投标文件未解密的，视为撤销其投标文件；</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(4)投标人代表、采购人代表、监标人、记录人等有关人员在开标记录上签字确认；</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(5)开标结束。</w:t>
      </w:r>
    </w:p>
    <w:p>
      <w:pPr>
        <w:spacing w:line="360" w:lineRule="auto"/>
        <w:rPr>
          <w:rFonts w:ascii="仿宋" w:hAnsi="仿宋" w:eastAsia="仿宋" w:cs="仿宋"/>
          <w:b/>
          <w:highlight w:val="none"/>
        </w:rPr>
      </w:pPr>
      <w:r>
        <w:rPr>
          <w:rFonts w:hint="eastAsia" w:ascii="仿宋" w:hAnsi="仿宋" w:eastAsia="仿宋" w:cs="仿宋"/>
          <w:b/>
          <w:highlight w:val="none"/>
        </w:rPr>
        <w:t>5.3投标文件不予受理情形</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投标文件有下列情形之一的，采购人不予受理：</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(1)没有对投标文件进行加密的；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(2)投标人提交的电子标书格式不符合3.6.1项要求的。</w:t>
      </w:r>
    </w:p>
    <w:p>
      <w:pPr>
        <w:spacing w:line="360" w:lineRule="auto"/>
        <w:rPr>
          <w:rFonts w:ascii="仿宋" w:hAnsi="仿宋" w:eastAsia="仿宋" w:cs="仿宋"/>
          <w:b/>
          <w:highlight w:val="none"/>
        </w:rPr>
      </w:pPr>
      <w:r>
        <w:rPr>
          <w:rFonts w:hint="eastAsia" w:ascii="仿宋" w:hAnsi="仿宋" w:eastAsia="仿宋" w:cs="仿宋"/>
          <w:b/>
          <w:highlight w:val="none"/>
        </w:rPr>
        <w:t>5.4投标人存在下列情况之一的，投标无效:</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(1)未按照招标文件的规定提交投标保证金的；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(2)投标文件未按招标文件要求签署、盖章的；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(3)不具备招标文件中规定的资格要求的；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(4)报价超过招标文件中规定的预算金额或者最高限价的；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(5)投标文件含有采购人不能接受的附加条件的；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(6)法律、法规和招标文件规定的其他无效情形。</w:t>
      </w:r>
    </w:p>
    <w:p>
      <w:pPr>
        <w:spacing w:line="360" w:lineRule="auto"/>
        <w:rPr>
          <w:rFonts w:ascii="仿宋" w:hAnsi="仿宋" w:eastAsia="仿宋" w:cs="仿宋"/>
          <w:b/>
          <w:highlight w:val="none"/>
        </w:rPr>
      </w:pPr>
      <w:r>
        <w:rPr>
          <w:rFonts w:hint="eastAsia" w:ascii="仿宋" w:hAnsi="仿宋" w:eastAsia="仿宋" w:cs="仿宋"/>
          <w:b/>
          <w:highlight w:val="none"/>
        </w:rPr>
        <w:t>5.5有下列情形之一的，视为投标人串通投标，其投标无效：</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(1)同投标人的投标文件由同一单位或者个人编制;</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(2)不同投标人委托同一单位或者个人办理投标事宜;</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(3)不同投标人的投标文件载明的项目管理成员或者联系人员为同一人;</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(4)不同投标人的投标文件相互混装;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(5)不同投标人的投标保证金从同一单位或者个人的账户转出。</w:t>
      </w:r>
    </w:p>
    <w:p>
      <w:pPr>
        <w:spacing w:line="360" w:lineRule="auto"/>
        <w:rPr>
          <w:rFonts w:ascii="仿宋" w:hAnsi="仿宋" w:eastAsia="仿宋" w:cs="仿宋"/>
          <w:b/>
          <w:highlight w:val="none"/>
        </w:rPr>
      </w:pPr>
      <w:r>
        <w:rPr>
          <w:rFonts w:hint="eastAsia" w:ascii="仿宋" w:hAnsi="仿宋" w:eastAsia="仿宋" w:cs="仿宋"/>
          <w:b/>
          <w:highlight w:val="none"/>
        </w:rPr>
        <w:t>6.评标</w:t>
      </w:r>
    </w:p>
    <w:p>
      <w:pPr>
        <w:spacing w:line="360" w:lineRule="auto"/>
        <w:rPr>
          <w:rFonts w:ascii="仿宋" w:hAnsi="仿宋" w:eastAsia="仿宋" w:cs="仿宋"/>
          <w:b/>
          <w:highlight w:val="none"/>
        </w:rPr>
      </w:pPr>
      <w:r>
        <w:rPr>
          <w:rFonts w:hint="eastAsia" w:ascii="仿宋" w:hAnsi="仿宋" w:eastAsia="仿宋" w:cs="仿宋"/>
          <w:b/>
          <w:highlight w:val="none"/>
        </w:rPr>
        <w:t>6.1评标委员会</w:t>
      </w:r>
    </w:p>
    <w:p>
      <w:pPr>
        <w:spacing w:line="360" w:lineRule="auto"/>
        <w:rPr>
          <w:rFonts w:ascii="仿宋" w:hAnsi="仿宋" w:eastAsia="仿宋" w:cs="仿宋"/>
          <w:highlight w:val="none"/>
        </w:rPr>
      </w:pPr>
      <w:r>
        <w:rPr>
          <w:rFonts w:hint="eastAsia" w:ascii="仿宋" w:hAnsi="仿宋" w:eastAsia="仿宋" w:cs="仿宋"/>
          <w:highlight w:val="none"/>
        </w:rPr>
        <w:t>6.1.1评标由采购人依法组建的评标委员会负责。评标委员会成员人数的确定方式见投标人须知前附表。</w:t>
      </w:r>
    </w:p>
    <w:p>
      <w:pPr>
        <w:spacing w:line="360" w:lineRule="auto"/>
        <w:rPr>
          <w:rFonts w:ascii="仿宋" w:hAnsi="仿宋" w:eastAsia="仿宋" w:cs="仿宋"/>
          <w:highlight w:val="none"/>
        </w:rPr>
      </w:pPr>
      <w:r>
        <w:rPr>
          <w:rFonts w:hint="eastAsia" w:ascii="仿宋" w:hAnsi="仿宋" w:eastAsia="仿宋" w:cs="仿宋"/>
          <w:highlight w:val="none"/>
        </w:rPr>
        <w:t>6.1.2评标委员会成员有下列情形之一的，应当回避：</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(1)投标人或投标人的主要负责人的近亲属；</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(2)项目主管部门或者行政监督部门的人员；</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(3)与投标人有经济利益关系，可能影响对投标公正评审的；</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(4)曾因在招标、评标以及其他与招标投标有关活动中从事违法行为而受过行政处罚或刑事处罚的。</w:t>
      </w:r>
    </w:p>
    <w:p>
      <w:pPr>
        <w:spacing w:line="360" w:lineRule="auto"/>
        <w:rPr>
          <w:rFonts w:ascii="仿宋" w:hAnsi="仿宋" w:eastAsia="仿宋" w:cs="仿宋"/>
          <w:b/>
          <w:highlight w:val="none"/>
        </w:rPr>
      </w:pPr>
      <w:r>
        <w:rPr>
          <w:rFonts w:hint="eastAsia" w:ascii="仿宋" w:hAnsi="仿宋" w:eastAsia="仿宋" w:cs="仿宋"/>
          <w:b/>
          <w:highlight w:val="none"/>
        </w:rPr>
        <w:t>6.2评标原则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评标活动遵循公平、公正、科学和择优的原则。</w:t>
      </w:r>
    </w:p>
    <w:p>
      <w:pPr>
        <w:spacing w:line="360" w:lineRule="auto"/>
        <w:rPr>
          <w:rFonts w:ascii="仿宋" w:hAnsi="仿宋" w:eastAsia="仿宋" w:cs="仿宋"/>
          <w:b/>
          <w:highlight w:val="none"/>
        </w:rPr>
      </w:pPr>
      <w:r>
        <w:rPr>
          <w:rFonts w:hint="eastAsia" w:ascii="仿宋" w:hAnsi="仿宋" w:eastAsia="仿宋" w:cs="仿宋"/>
          <w:b/>
          <w:highlight w:val="none"/>
        </w:rPr>
        <w:t>6.3评标</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评标委员会按照第四章“评标办法”规定的方法、评审因素、标准和程序对投标文件进行评审。第四章“评标办法”没有规定的方法、评审因素和标准，不作为评标依据。</w:t>
      </w:r>
    </w:p>
    <w:p>
      <w:pPr>
        <w:spacing w:line="360" w:lineRule="auto"/>
        <w:rPr>
          <w:rFonts w:ascii="仿宋" w:hAnsi="仿宋" w:eastAsia="仿宋" w:cs="仿宋"/>
          <w:b/>
          <w:highlight w:val="none"/>
        </w:rPr>
      </w:pPr>
      <w:r>
        <w:rPr>
          <w:rFonts w:hint="eastAsia" w:ascii="仿宋" w:hAnsi="仿宋" w:eastAsia="仿宋" w:cs="仿宋"/>
          <w:b/>
          <w:highlight w:val="none"/>
        </w:rPr>
        <w:t>7.合同授予</w:t>
      </w:r>
    </w:p>
    <w:p>
      <w:pPr>
        <w:spacing w:line="360" w:lineRule="auto"/>
        <w:rPr>
          <w:rFonts w:ascii="仿宋" w:hAnsi="仿宋" w:eastAsia="仿宋" w:cs="仿宋"/>
          <w:b/>
          <w:highlight w:val="none"/>
        </w:rPr>
      </w:pPr>
      <w:r>
        <w:rPr>
          <w:rFonts w:hint="eastAsia" w:ascii="仿宋" w:hAnsi="仿宋" w:eastAsia="仿宋" w:cs="仿宋"/>
          <w:b/>
          <w:highlight w:val="none"/>
        </w:rPr>
        <w:t>7.1定标方式</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除投标人须知前附表规定评标委员会直接确定中标人外，采购人依据评标委员会推荐的中标候选人确定中标人，评标委员会推荐中标候选人的人数见投标人须知前附表。</w:t>
      </w:r>
    </w:p>
    <w:p>
      <w:pPr>
        <w:spacing w:line="360" w:lineRule="auto"/>
        <w:rPr>
          <w:rFonts w:ascii="仿宋" w:hAnsi="仿宋" w:eastAsia="仿宋" w:cs="仿宋"/>
          <w:b/>
          <w:highlight w:val="none"/>
        </w:rPr>
      </w:pPr>
      <w:r>
        <w:rPr>
          <w:rFonts w:hint="eastAsia" w:ascii="仿宋" w:hAnsi="仿宋" w:eastAsia="仿宋" w:cs="仿宋"/>
          <w:b/>
          <w:highlight w:val="none"/>
        </w:rPr>
        <w:t>7.2中标通知</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在本章第3.3款规定的投标有效期内，采购人以书面形式向中标人发出中标通知书，同时将中标结果通知未中标的投标人。</w:t>
      </w:r>
    </w:p>
    <w:p>
      <w:pPr>
        <w:spacing w:line="360" w:lineRule="auto"/>
        <w:rPr>
          <w:rFonts w:ascii="仿宋" w:hAnsi="仿宋" w:eastAsia="仿宋" w:cs="仿宋"/>
          <w:b/>
          <w:highlight w:val="none"/>
        </w:rPr>
      </w:pPr>
      <w:r>
        <w:rPr>
          <w:rFonts w:hint="eastAsia" w:ascii="仿宋" w:hAnsi="仿宋" w:eastAsia="仿宋" w:cs="仿宋"/>
          <w:b/>
          <w:highlight w:val="none"/>
        </w:rPr>
        <w:t>7.3履约担保</w:t>
      </w:r>
    </w:p>
    <w:p>
      <w:pPr>
        <w:spacing w:line="360" w:lineRule="auto"/>
        <w:rPr>
          <w:rFonts w:ascii="仿宋" w:hAnsi="仿宋" w:eastAsia="仿宋" w:cs="仿宋"/>
          <w:highlight w:val="none"/>
        </w:rPr>
      </w:pPr>
      <w:r>
        <w:rPr>
          <w:rFonts w:hint="eastAsia" w:ascii="仿宋" w:hAnsi="仿宋" w:eastAsia="仿宋" w:cs="仿宋"/>
          <w:highlight w:val="none"/>
        </w:rPr>
        <w:t>7.3.1签订合同前，中标人应按《投标人须知前附表》上确定的履约保证金的金额及形式，向采购人提交履约保证金。否则，视为放弃中标项目，投标保证金将不予退还。</w:t>
      </w:r>
    </w:p>
    <w:p>
      <w:pPr>
        <w:spacing w:line="360" w:lineRule="auto"/>
        <w:rPr>
          <w:rFonts w:ascii="仿宋" w:hAnsi="仿宋" w:eastAsia="仿宋" w:cs="仿宋"/>
          <w:highlight w:val="none"/>
        </w:rPr>
      </w:pPr>
      <w:r>
        <w:rPr>
          <w:rFonts w:hint="eastAsia" w:ascii="仿宋" w:hAnsi="仿宋" w:eastAsia="仿宋" w:cs="仿宋"/>
          <w:highlight w:val="none"/>
        </w:rPr>
        <w:t>7.3.2中标人不能按本章第7.3.1项要求提交履约担保的，视为放弃中标，其投标保证金不予退还。</w:t>
      </w:r>
    </w:p>
    <w:p>
      <w:pPr>
        <w:spacing w:line="360" w:lineRule="auto"/>
        <w:rPr>
          <w:rFonts w:ascii="仿宋" w:hAnsi="仿宋" w:eastAsia="仿宋" w:cs="仿宋"/>
          <w:highlight w:val="none"/>
        </w:rPr>
      </w:pPr>
      <w:r>
        <w:rPr>
          <w:rFonts w:hint="eastAsia" w:ascii="仿宋" w:hAnsi="仿宋" w:eastAsia="仿宋" w:cs="仿宋"/>
          <w:highlight w:val="none"/>
        </w:rPr>
        <w:t>7.3.3签订合同后，如中标人不按双方签订合同约定履约，则没收其全部投标保证金，给采购人造成的损失超过数额的，中标人还应当对超过部分予以赔偿。</w:t>
      </w:r>
    </w:p>
    <w:p>
      <w:pPr>
        <w:spacing w:line="360" w:lineRule="auto"/>
        <w:rPr>
          <w:rFonts w:ascii="仿宋" w:hAnsi="仿宋" w:eastAsia="仿宋" w:cs="仿宋"/>
          <w:b/>
          <w:highlight w:val="none"/>
        </w:rPr>
      </w:pPr>
      <w:r>
        <w:rPr>
          <w:rFonts w:hint="eastAsia" w:ascii="仿宋" w:hAnsi="仿宋" w:eastAsia="仿宋" w:cs="仿宋"/>
          <w:b/>
          <w:highlight w:val="none"/>
        </w:rPr>
        <w:t>7.4签订合同</w:t>
      </w:r>
    </w:p>
    <w:p>
      <w:pPr>
        <w:spacing w:line="360" w:lineRule="auto"/>
        <w:rPr>
          <w:rFonts w:ascii="仿宋" w:hAnsi="仿宋" w:eastAsia="仿宋" w:cs="仿宋"/>
          <w:highlight w:val="none"/>
        </w:rPr>
      </w:pPr>
      <w:r>
        <w:rPr>
          <w:rFonts w:hint="eastAsia" w:ascii="仿宋" w:hAnsi="仿宋" w:eastAsia="仿宋" w:cs="仿宋"/>
          <w:highlight w:val="none"/>
        </w:rPr>
        <w:t>7.4.1采购人和中标人应当自中标通知书发出之日起30日历天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pPr>
        <w:spacing w:line="360" w:lineRule="auto"/>
        <w:rPr>
          <w:rFonts w:ascii="仿宋" w:hAnsi="仿宋" w:eastAsia="仿宋" w:cs="仿宋"/>
          <w:b/>
          <w:highlight w:val="none"/>
        </w:rPr>
      </w:pPr>
      <w:r>
        <w:rPr>
          <w:rFonts w:hint="eastAsia" w:ascii="仿宋" w:hAnsi="仿宋" w:eastAsia="仿宋" w:cs="仿宋"/>
          <w:highlight w:val="none"/>
        </w:rPr>
        <w:t>7.4.2发出中标通知书后，采购人无正当理由拒签合同的，采购人向中标人退还投标保证金；给中标人造成损失的，还应当赔偿损失。</w:t>
      </w:r>
    </w:p>
    <w:p>
      <w:pPr>
        <w:spacing w:line="360" w:lineRule="auto"/>
        <w:rPr>
          <w:rFonts w:ascii="仿宋" w:hAnsi="仿宋" w:eastAsia="仿宋" w:cs="仿宋"/>
          <w:b/>
          <w:highlight w:val="none"/>
        </w:rPr>
      </w:pPr>
      <w:bookmarkStart w:id="51" w:name="_Toc18287376"/>
      <w:bookmarkStart w:id="52" w:name="_Toc17342"/>
      <w:bookmarkStart w:id="53" w:name="_Toc24696"/>
      <w:bookmarkStart w:id="54" w:name="_Toc14603866"/>
      <w:bookmarkStart w:id="55" w:name="_Toc489197815"/>
      <w:bookmarkStart w:id="56" w:name="_Toc489145711"/>
      <w:bookmarkStart w:id="57" w:name="_Toc23478"/>
      <w:r>
        <w:rPr>
          <w:rFonts w:hint="eastAsia" w:ascii="仿宋" w:hAnsi="仿宋" w:eastAsia="仿宋" w:cs="仿宋"/>
          <w:b/>
          <w:highlight w:val="none"/>
        </w:rPr>
        <w:t>8.重新招标</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有下列情形之一的，采购人将重新招标：</w:t>
      </w:r>
    </w:p>
    <w:p>
      <w:pPr>
        <w:spacing w:line="360" w:lineRule="auto"/>
        <w:ind w:firstLine="240" w:firstLineChars="100"/>
        <w:rPr>
          <w:rFonts w:ascii="仿宋" w:hAnsi="仿宋" w:eastAsia="仿宋" w:cs="仿宋"/>
          <w:highlight w:val="none"/>
        </w:rPr>
      </w:pPr>
      <w:r>
        <w:rPr>
          <w:rFonts w:hint="eastAsia" w:ascii="仿宋" w:hAnsi="仿宋" w:eastAsia="仿宋" w:cs="仿宋"/>
          <w:highlight w:val="none"/>
        </w:rPr>
        <w:t>(1)投标截止时间止，投标人少于3个的；</w:t>
      </w:r>
    </w:p>
    <w:p>
      <w:pPr>
        <w:spacing w:line="360" w:lineRule="auto"/>
        <w:ind w:firstLine="240" w:firstLineChars="100"/>
        <w:rPr>
          <w:rFonts w:ascii="仿宋" w:hAnsi="仿宋" w:eastAsia="仿宋" w:cs="仿宋"/>
          <w:b/>
          <w:highlight w:val="none"/>
        </w:rPr>
      </w:pPr>
      <w:r>
        <w:rPr>
          <w:rFonts w:hint="eastAsia" w:ascii="仿宋" w:hAnsi="仿宋" w:eastAsia="仿宋" w:cs="仿宋"/>
          <w:highlight w:val="none"/>
        </w:rPr>
        <w:t>(2)经评标委员会评审后否决所有投标的。</w:t>
      </w:r>
    </w:p>
    <w:bookmarkEnd w:id="51"/>
    <w:bookmarkEnd w:id="52"/>
    <w:bookmarkEnd w:id="53"/>
    <w:bookmarkEnd w:id="54"/>
    <w:bookmarkEnd w:id="55"/>
    <w:bookmarkEnd w:id="56"/>
    <w:bookmarkEnd w:id="57"/>
    <w:p>
      <w:pPr>
        <w:spacing w:line="360" w:lineRule="auto"/>
        <w:rPr>
          <w:rFonts w:ascii="仿宋" w:hAnsi="仿宋" w:eastAsia="仿宋" w:cs="仿宋"/>
          <w:b/>
          <w:highlight w:val="none"/>
        </w:rPr>
      </w:pPr>
      <w:r>
        <w:rPr>
          <w:rFonts w:hint="eastAsia" w:ascii="仿宋" w:hAnsi="仿宋" w:eastAsia="仿宋" w:cs="仿宋"/>
          <w:b/>
          <w:highlight w:val="none"/>
        </w:rPr>
        <w:t>9.纪律和监督</w:t>
      </w:r>
    </w:p>
    <w:p>
      <w:pPr>
        <w:spacing w:line="360" w:lineRule="auto"/>
        <w:rPr>
          <w:rFonts w:ascii="仿宋" w:hAnsi="仿宋" w:eastAsia="仿宋" w:cs="仿宋"/>
          <w:b/>
          <w:highlight w:val="none"/>
        </w:rPr>
      </w:pPr>
      <w:r>
        <w:rPr>
          <w:rFonts w:hint="eastAsia" w:ascii="仿宋" w:hAnsi="仿宋" w:eastAsia="仿宋" w:cs="仿宋"/>
          <w:b/>
          <w:highlight w:val="none"/>
        </w:rPr>
        <w:t>9.1对采购人的纪律要求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采购人不得泄漏招标投标活动中应当保密的情况和资料，不得与投标人串通损害国家利益、社会公共利益或者他人合法权益。</w:t>
      </w:r>
    </w:p>
    <w:p>
      <w:pPr>
        <w:spacing w:line="360" w:lineRule="auto"/>
        <w:rPr>
          <w:rFonts w:ascii="仿宋" w:hAnsi="仿宋" w:eastAsia="仿宋" w:cs="仿宋"/>
          <w:b/>
          <w:highlight w:val="none"/>
        </w:rPr>
      </w:pPr>
      <w:r>
        <w:rPr>
          <w:rFonts w:hint="eastAsia" w:ascii="仿宋" w:hAnsi="仿宋" w:eastAsia="仿宋" w:cs="仿宋"/>
          <w:b/>
          <w:highlight w:val="none"/>
        </w:rPr>
        <w:t>9.2对投标人的纪律要求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pPr>
        <w:spacing w:line="360" w:lineRule="auto"/>
        <w:rPr>
          <w:rFonts w:ascii="仿宋" w:hAnsi="仿宋" w:eastAsia="仿宋" w:cs="仿宋"/>
          <w:b/>
          <w:highlight w:val="none"/>
        </w:rPr>
      </w:pPr>
      <w:r>
        <w:rPr>
          <w:rFonts w:hint="eastAsia" w:ascii="仿宋" w:hAnsi="仿宋" w:eastAsia="仿宋" w:cs="仿宋"/>
          <w:b/>
          <w:highlight w:val="none"/>
        </w:rPr>
        <w:t>9.3对评标委员会成员的纪律要求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评标办法”没有规定的评审因素和标准进行评标。</w:t>
      </w:r>
    </w:p>
    <w:p>
      <w:pPr>
        <w:spacing w:line="360" w:lineRule="auto"/>
        <w:rPr>
          <w:rFonts w:ascii="仿宋" w:hAnsi="仿宋" w:eastAsia="仿宋" w:cs="仿宋"/>
          <w:b/>
          <w:highlight w:val="none"/>
        </w:rPr>
      </w:pPr>
      <w:r>
        <w:rPr>
          <w:rFonts w:hint="eastAsia" w:ascii="仿宋" w:hAnsi="仿宋" w:eastAsia="仿宋" w:cs="仿宋"/>
          <w:b/>
          <w:highlight w:val="none"/>
        </w:rPr>
        <w:t>9.4对与评标活动有关的工作人员的纪律要求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spacing w:line="360" w:lineRule="auto"/>
        <w:rPr>
          <w:rFonts w:ascii="仿宋" w:hAnsi="仿宋" w:eastAsia="仿宋" w:cs="仿宋"/>
          <w:b/>
          <w:highlight w:val="none"/>
        </w:rPr>
      </w:pPr>
      <w:r>
        <w:rPr>
          <w:rFonts w:hint="eastAsia" w:ascii="仿宋" w:hAnsi="仿宋" w:eastAsia="仿宋" w:cs="仿宋"/>
          <w:b/>
          <w:highlight w:val="none"/>
        </w:rPr>
        <w:t>9.5质疑、投诉</w:t>
      </w:r>
    </w:p>
    <w:p>
      <w:pPr>
        <w:pStyle w:val="5"/>
        <w:numPr>
          <w:ilvl w:val="2"/>
          <w:numId w:val="0"/>
        </w:numPr>
        <w:spacing w:line="400" w:lineRule="exact"/>
        <w:rPr>
          <w:rFonts w:hint="default" w:ascii="仿宋" w:hAnsi="仿宋" w:eastAsia="仿宋" w:cs="仿宋"/>
          <w:sz w:val="24"/>
          <w:szCs w:val="24"/>
          <w:highlight w:val="none"/>
        </w:rPr>
      </w:pPr>
      <w:r>
        <w:rPr>
          <w:rFonts w:ascii="仿宋" w:hAnsi="仿宋" w:eastAsia="仿宋" w:cs="仿宋"/>
          <w:sz w:val="24"/>
          <w:szCs w:val="24"/>
          <w:highlight w:val="none"/>
        </w:rPr>
        <w:t>质疑接收</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投标人认为招标文件、招标过程和中标结果使自己的权益受到损害的，可以在知道或者应知其权益受到损害之日起7个工作日内，根据《中华人民共和国政府采购法》、《中华人民共和国政府采购法实施条例》和《政府采购质疑和投诉办法》的有关规定，依法向采购人或其委托的采购代理机构提出质疑。</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“知道或者应知其权益受到损害之日”是指：</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（1）对可以质疑的采购文件提出质疑的，为收到采购文件之日或者采购文件公告期限届满之日；</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（2）对采购过程提出质疑的，为各采购程序环节结束之日；</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（3）对中标或者成交结果提出质疑的，为中标或者成交结果公告期限届满之日。</w:t>
      </w:r>
    </w:p>
    <w:p>
      <w:pPr>
        <w:wordWrap w:val="0"/>
        <w:spacing w:line="520" w:lineRule="exact"/>
        <w:ind w:firstLine="480" w:firstLineChars="200"/>
        <w:rPr>
          <w:rFonts w:ascii="仿宋" w:hAnsi="仿宋" w:eastAsia="仿宋" w:cs="仿宋"/>
          <w:highlight w:val="none"/>
        </w:rPr>
      </w:pPr>
      <w:r>
        <w:rPr>
          <w:rFonts w:hint="eastAsia" w:ascii="仿宋" w:hAnsi="仿宋" w:eastAsia="仿宋" w:cs="仿宋"/>
          <w:highlight w:val="none"/>
        </w:rPr>
        <w:t xml:space="preserve"> 质疑投标人应按照财政部制定的《政府采购质疑函范本》格式和《政府采购质疑和投诉办法》的要求，在法定质疑期内登录“政采云”平台（http：//www.zcygov.cn）提出质疑，</w:t>
      </w:r>
      <w:r>
        <w:rPr>
          <w:rFonts w:hint="eastAsia" w:ascii="仿宋" w:hAnsi="仿宋" w:eastAsia="仿宋" w:cs="仿宋"/>
          <w:b/>
          <w:bCs/>
          <w:highlight w:val="none"/>
        </w:rPr>
        <w:t>针对同一采购程序环节的质疑应一次性提出，且根据《电子招标投标办法》第七条和《政府采购质疑和投诉办法》第十一条的相关规定，（交易平台）是质疑的唯一途径，不接受其他人任何形式的质疑</w:t>
      </w:r>
      <w:r>
        <w:rPr>
          <w:rFonts w:hint="eastAsia" w:ascii="仿宋" w:hAnsi="仿宋" w:eastAsia="仿宋" w:cs="仿宋"/>
          <w:highlight w:val="none"/>
        </w:rPr>
        <w:t>。</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（1）投标人对招标文件中投标人参加本次政府采购活动应当具备的条件，招标项目技术、服务、商务及其他要求，评标细则及标准，和中标结果中关于资格审查提出询问或质疑的，向采购人提出；</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（2）投标人对除上述招标文件中的其他内容，采购过程及中标结果中（除资格审查）提出询问或质疑的，向交易中心提出；</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（3）投标人提出的询问，应当明确询问事项；</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（4）投标人应在法定质疑期内一次性提出针对同一采购程序环节的质疑。</w:t>
      </w:r>
    </w:p>
    <w:p>
      <w:pPr>
        <w:spacing w:line="520" w:lineRule="exact"/>
        <w:ind w:firstLine="482" w:firstLineChars="200"/>
        <w:rPr>
          <w:rFonts w:ascii="仿宋" w:hAnsi="仿宋" w:eastAsia="仿宋" w:cs="仿宋"/>
          <w:b/>
          <w:highlight w:val="none"/>
        </w:rPr>
      </w:pPr>
      <w:r>
        <w:rPr>
          <w:rFonts w:hint="eastAsia" w:ascii="仿宋" w:hAnsi="仿宋" w:eastAsia="仿宋" w:cs="仿宋"/>
          <w:b/>
          <w:highlight w:val="none"/>
        </w:rPr>
        <w:t>提出质疑的投标人（以下简称质疑投标人）应当是参与所质疑项目采购活动的投标人。</w:t>
      </w:r>
    </w:p>
    <w:p>
      <w:pPr>
        <w:spacing w:line="520" w:lineRule="exact"/>
        <w:ind w:firstLine="482" w:firstLineChars="200"/>
        <w:rPr>
          <w:rFonts w:ascii="仿宋" w:hAnsi="仿宋" w:eastAsia="仿宋" w:cs="仿宋"/>
          <w:highlight w:val="none"/>
        </w:rPr>
      </w:pPr>
      <w:r>
        <w:rPr>
          <w:rFonts w:hint="eastAsia" w:ascii="仿宋" w:hAnsi="仿宋" w:eastAsia="仿宋" w:cs="仿宋"/>
          <w:b/>
          <w:bCs/>
          <w:highlight w:val="none"/>
        </w:rPr>
        <w:t>潜在投标人已依法获取其可质疑的招标文件的，可以对该文件提出质疑。</w:t>
      </w:r>
      <w:r>
        <w:rPr>
          <w:rFonts w:hint="eastAsia" w:ascii="仿宋" w:hAnsi="仿宋" w:eastAsia="仿宋" w:cs="仿宋"/>
          <w:highlight w:val="none"/>
        </w:rPr>
        <w:t>对招标文件提出质疑的，应当在获取招标文件或者招标文件公告期限届满之日起7个工作日内提出。</w:t>
      </w:r>
    </w:p>
    <w:p>
      <w:pPr>
        <w:pStyle w:val="42"/>
        <w:widowControl w:val="0"/>
        <w:spacing w:line="52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投标人提出质疑应当提交质疑函和必要的证明材料。质疑函应当包括下列内容：</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（一）投标人的姓名或者名称、地址、邮编、联系人及联系电话；</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（二）质疑项目的名称、编号；</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（三）具体、明确的质疑事项和与质疑事项相关的请求；</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（四）事实依据；</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（五）必要的法律依据；</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（六）提出质疑的日期。</w:t>
      </w:r>
    </w:p>
    <w:p>
      <w:pPr>
        <w:spacing w:line="520" w:lineRule="exact"/>
        <w:ind w:firstLine="480" w:firstLineChars="200"/>
        <w:rPr>
          <w:rFonts w:ascii="仿宋" w:hAnsi="仿宋" w:eastAsia="仿宋" w:cs="仿宋"/>
          <w:highlight w:val="none"/>
        </w:rPr>
      </w:pPr>
      <w:r>
        <w:rPr>
          <w:rFonts w:hint="eastAsia" w:ascii="仿宋" w:hAnsi="仿宋" w:eastAsia="仿宋" w:cs="仿宋"/>
          <w:highlight w:val="none"/>
        </w:rPr>
        <w:t>投标人为自然人的，应当由本人签字；投标人为法人或者其他组织的，应当由法定代表人、主要负责人，或者其授权代表签字或者盖章，并加盖公章。</w:t>
      </w:r>
    </w:p>
    <w:p>
      <w:pPr>
        <w:pStyle w:val="5"/>
        <w:numPr>
          <w:ilvl w:val="2"/>
          <w:numId w:val="0"/>
        </w:numPr>
        <w:spacing w:line="400" w:lineRule="exact"/>
        <w:rPr>
          <w:rFonts w:hint="default" w:ascii="仿宋" w:hAnsi="仿宋" w:eastAsia="仿宋" w:cs="仿宋"/>
          <w:sz w:val="24"/>
          <w:szCs w:val="24"/>
          <w:highlight w:val="none"/>
        </w:rPr>
      </w:pPr>
      <w:r>
        <w:rPr>
          <w:rFonts w:ascii="仿宋" w:hAnsi="仿宋" w:eastAsia="仿宋" w:cs="仿宋"/>
          <w:sz w:val="24"/>
          <w:szCs w:val="24"/>
          <w:highlight w:val="none"/>
        </w:rPr>
        <w:t>投诉</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诉人必须首先经过质疑程序，质疑投标人对采购人、采购代理机构的答复不满意，或者采购人、采购代理机构未在规定时间内作出答复的，可以在答复期满后15个工作日内向本办法第六条规定的财政部门提起投诉。</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就本章12条规定事项投诉的，应当先向采购人提出质疑，质疑答复期间不计算在前款规定的期限内。</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投诉人投诉时,应当提交投诉书和必要的证明材料，并按照被投诉采购人、采购代理机构（以下简称被投诉人）和与投诉事项有关的投标人数量提供投诉书的副本。投诉书应当包括下列内容：</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（一）投诉人和被投诉人的姓名或者名称、通讯地址、邮编、联系人及联系电话；</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（二）质疑和质疑答复情况说明及相关证明材料；</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（三）具体、明确的投诉事项和与投诉事项相关的投诉请求；</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（四）事实依据；</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（五）法律依据；</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（六）提起投诉的日期。</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投诉人为自然人的，应当由本人签字；投诉人为法人或者其他组织的，应当由法定代表人、主要负责人，或者其授权代表签字或者盖章，并加盖公章。投诉书有关材料是外文的，投诉人应当同时提供其中文译本。</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投诉人提起投诉应当符合下列条件：</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（一）提起投诉前已依法进行质疑；</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（二）投诉书内容符合本办法的规定；</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（三）在投诉有效期限内提起投诉；</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（四）同一投诉事项未经财政部门投诉处理；</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（五）财政部规定的其他条件。</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投诉人不得以投诉为名排挤竞争对手，不得进行虚假、恶意投诉，阻碍采购投标活动的正常进行。</w:t>
      </w:r>
    </w:p>
    <w:p>
      <w:pPr>
        <w:pStyle w:val="42"/>
        <w:spacing w:line="400" w:lineRule="exact"/>
        <w:ind w:firstLine="480"/>
        <w:rPr>
          <w:rFonts w:ascii="仿宋" w:hAnsi="仿宋" w:eastAsia="仿宋" w:cs="仿宋"/>
          <w:spacing w:val="0"/>
          <w:szCs w:val="24"/>
          <w:highlight w:val="none"/>
        </w:rPr>
      </w:pPr>
      <w:r>
        <w:rPr>
          <w:rFonts w:hint="eastAsia" w:ascii="仿宋" w:hAnsi="仿宋" w:eastAsia="仿宋" w:cs="仿宋"/>
          <w:spacing w:val="0"/>
          <w:szCs w:val="24"/>
          <w:highlight w:val="none"/>
        </w:rPr>
        <w:t>投诉人可以直接投诉，也可以委托代理人办理投诉事务。代理人办理投诉事务时，应将授权委托书连同投诉书一并提交给行政监督部门。授权委托书应当明确有关委托代理权限和事项。</w:t>
      </w:r>
    </w:p>
    <w:p>
      <w:pPr>
        <w:spacing w:line="360" w:lineRule="auto"/>
        <w:rPr>
          <w:rFonts w:ascii="仿宋" w:hAnsi="仿宋" w:eastAsia="仿宋" w:cs="仿宋"/>
          <w:highlight w:val="none"/>
        </w:rPr>
      </w:pPr>
      <w:r>
        <w:rPr>
          <w:rFonts w:hint="eastAsia" w:ascii="仿宋" w:hAnsi="仿宋" w:eastAsia="仿宋" w:cs="仿宋"/>
          <w:highlight w:val="none"/>
        </w:rPr>
        <w:t>未尽事宜，按国家现行有关法律法规、中华人民共和国财政部令第94号--《政府采购质疑和投诉办法》的规定执行。</w:t>
      </w:r>
    </w:p>
    <w:p>
      <w:pPr>
        <w:spacing w:line="360" w:lineRule="auto"/>
        <w:rPr>
          <w:rFonts w:ascii="仿宋" w:hAnsi="仿宋" w:eastAsia="仿宋" w:cs="仿宋"/>
          <w:b/>
          <w:highlight w:val="none"/>
        </w:rPr>
      </w:pPr>
      <w:r>
        <w:rPr>
          <w:rFonts w:hint="eastAsia" w:ascii="仿宋" w:hAnsi="仿宋" w:eastAsia="仿宋" w:cs="仿宋"/>
          <w:b/>
          <w:highlight w:val="none"/>
        </w:rPr>
        <w:t>10.需要补充的其他内容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需要补充的其他内容：见投标人须知前附表。</w:t>
      </w:r>
    </w:p>
    <w:p>
      <w:pPr>
        <w:widowControl/>
        <w:spacing w:line="360" w:lineRule="auto"/>
        <w:jc w:val="left"/>
        <w:rPr>
          <w:rFonts w:ascii="仿宋" w:hAnsi="仿宋" w:eastAsia="仿宋" w:cs="仿宋"/>
          <w:b/>
          <w:highlight w:val="none"/>
        </w:rPr>
      </w:pPr>
      <w:r>
        <w:rPr>
          <w:rFonts w:hint="eastAsia" w:ascii="仿宋" w:hAnsi="仿宋" w:eastAsia="仿宋" w:cs="仿宋"/>
          <w:b/>
          <w:highlight w:val="none"/>
        </w:rPr>
        <w:t>11.政府采购政策</w:t>
      </w:r>
    </w:p>
    <w:p>
      <w:pPr>
        <w:widowControl/>
        <w:spacing w:line="360" w:lineRule="auto"/>
        <w:jc w:val="left"/>
        <w:rPr>
          <w:rFonts w:ascii="仿宋" w:hAnsi="仿宋" w:eastAsia="仿宋" w:cs="仿宋"/>
          <w:highlight w:val="none"/>
        </w:rPr>
      </w:pPr>
      <w:r>
        <w:rPr>
          <w:rFonts w:hint="eastAsia" w:ascii="仿宋" w:hAnsi="仿宋" w:eastAsia="仿宋" w:cs="仿宋"/>
          <w:b/>
          <w:bCs/>
          <w:kern w:val="0"/>
          <w:highlight w:val="none"/>
          <w:lang w:bidi="ar"/>
        </w:rPr>
        <w:t>11.1 中小企业</w:t>
      </w:r>
    </w:p>
    <w:p>
      <w:pPr>
        <w:spacing w:line="360" w:lineRule="auto"/>
        <w:rPr>
          <w:rFonts w:ascii="仿宋" w:hAnsi="仿宋" w:eastAsia="仿宋" w:cs="仿宋"/>
          <w:b/>
          <w:highlight w:val="none"/>
        </w:rPr>
      </w:pPr>
    </w:p>
    <w:p>
      <w:pPr>
        <w:widowControl/>
        <w:spacing w:line="360" w:lineRule="auto"/>
        <w:jc w:val="left"/>
        <w:rPr>
          <w:rFonts w:ascii="仿宋" w:hAnsi="仿宋" w:eastAsia="仿宋" w:cs="仿宋"/>
          <w:kern w:val="0"/>
          <w:highlight w:val="none"/>
          <w:lang w:bidi="ar"/>
        </w:rPr>
      </w:pPr>
      <w:r>
        <w:rPr>
          <w:rFonts w:hint="eastAsia" w:ascii="仿宋" w:hAnsi="仿宋" w:eastAsia="仿宋" w:cs="仿宋"/>
          <w:highlight w:val="none"/>
        </w:rPr>
        <w:t>11.1.1 根据《关于印发&lt;政府采购促进中小企业发展管理办法&gt;的通知》（财库〔2020〕 46 号）、《关于进一步加大政府采购支持中小企业力度的通知》（财库〔2022〕19 号）、 《云南省财政厅云南省工业和信息化厅关于落实政府采购促进中小企业发展政策意见的通知》（云财规〔2022〕13 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在政府采购活动中，供应商提供的货物、工程或者服务符合下列情形的，享受中小企业扶持政策： （一）可以判别为中小企业的情形 1.在货物采购项目中，货物由中小企业制造，即货物由中小企业生产且使用该中小企业商号或注册商标； 2.在工程采购项目中，工程由中小企业承建，即工程施工单位为中小企业； 3.在服务采购项目中，服务由中小企业承接，即提供服务的人员为中小企业依照《中 华人民共和国劳动合同法》订立劳动合同的从业人员。 （二）不应判别为中小（微）企业的情形 1.在货物采购项目中，供应商为中小企业，但所提供的货物为大型企业制造的，即货物由大型企业生产且使用大型企业商号或者注册商标的。不享受《办法》规定的中小企业</w:t>
      </w:r>
      <w:r>
        <w:rPr>
          <w:rFonts w:hint="eastAsia" w:ascii="仿宋" w:hAnsi="仿宋" w:eastAsia="仿宋" w:cs="仿宋"/>
          <w:kern w:val="0"/>
          <w:highlight w:val="none"/>
          <w:lang w:bidi="ar"/>
        </w:rPr>
        <w:t xml:space="preserve">扶持政策。 2.供应商提供的货物既有中型企业制造，也有小微企业制造的，不享受《办法》规定 的小微企业扶持政策。 在货物采购项目中，供应商提供的货物既有中小企业制造货物，也有大型企业制造货物的，不享受中小企业扶持政策。 以联合体形式参加政府采购活动，联合体各方均为中小企业的，联合体视同中小企业。 其中，联合体各方均为小微企业的，联合体视同小微企业。 组成联合体或者接受分包合同的中小企业与联合体内其他企业、分包企业之间不得存在直接控股、管理关系。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11.1.2 中小企业参加政府采购活动，应当出具文件中规定的《中小企业声明函》，否则 不得享受相关中小企业扶持政策。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11.1.3 依据规定享受扶持政策获得政府采购合同的，小微企业不得将合同分包给大中型 企业，中型企业不得将合同分包给大型企业。 </w:t>
      </w:r>
    </w:p>
    <w:tbl>
      <w:tblPr>
        <w:tblStyle w:val="33"/>
        <w:tblW w:w="8902"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726"/>
        <w:gridCol w:w="1466"/>
        <w:gridCol w:w="816"/>
        <w:gridCol w:w="1715"/>
        <w:gridCol w:w="1587"/>
        <w:gridCol w:w="1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65" w:hRule="atLeast"/>
        </w:trPr>
        <w:tc>
          <w:tcPr>
            <w:tcW w:w="1726" w:type="dxa"/>
            <w:shd w:val="clear" w:color="auto" w:fill="FFFFFF"/>
            <w:tcMar>
              <w:top w:w="30" w:type="dxa"/>
              <w:left w:w="150" w:type="dxa"/>
              <w:bottom w:w="30" w:type="dxa"/>
              <w:right w:w="150" w:type="dxa"/>
            </w:tcMar>
            <w:vAlign w:val="center"/>
          </w:tcPr>
          <w:p>
            <w:pPr>
              <w:widowControl/>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行业名称</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指标名称</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计量</w:t>
            </w:r>
          </w:p>
          <w:p>
            <w:pPr>
              <w:widowControl/>
              <w:wordWrap w:val="0"/>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单位</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中型</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小型</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center"/>
              <w:rPr>
                <w:rFonts w:ascii="仿宋" w:hAnsi="仿宋" w:eastAsia="仿宋" w:cs="宋体"/>
                <w:kern w:val="0"/>
                <w:sz w:val="18"/>
                <w:szCs w:val="18"/>
                <w:highlight w:val="none"/>
              </w:rPr>
            </w:pPr>
            <w:r>
              <w:rPr>
                <w:rFonts w:ascii="仿宋" w:hAnsi="仿宋" w:eastAsia="仿宋" w:cs="宋体"/>
                <w:b/>
                <w:bCs/>
                <w:kern w:val="0"/>
                <w:sz w:val="18"/>
                <w:szCs w:val="18"/>
                <w:highlight w:val="none"/>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农、林、牧、渔业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500≤Y&lt;20000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50≤Y&lt;500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工业*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2000≤Y&lt;40000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建筑业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6000≤Y&lt;80000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300≤Y&lt;6000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资产总额(Z)</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5000≤Z&lt;80000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300≤Z&lt;5000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Z&lt;300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批发业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20≤X&lt;200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5≤X&lt;20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5000≤Y&lt;40000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1000≤Y&lt;5000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零售业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10≤X&lt;50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500≤Y&lt;20000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100≤Y&lt;500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交通运输业*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3000≤Y&lt;30000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200≤Y&lt;3000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仓储业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100≤X&lt;200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1000≤Y&lt;30000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邮政业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2000≤Y&lt;30000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住宿业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2000≤Y&lt;10000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餐饮业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2000≤Y&lt;10000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100≤Y&lt;2000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信息传输业*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100≤X&lt;2000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1000≤Y&lt;100000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软件和信息技术服务业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1000≤Y&lt;10000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房地产开发经营</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1000≤Y&lt;200000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资产总额(Z)</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5000≤Z&lt;10000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2000≤Z&lt;5000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Z&lt;2000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物业管理</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300≤X&lt;1000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100≤X&lt;300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营业收入(Y)</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1000≤Y&lt;5000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500≤Y&lt;1000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Y&lt;500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租赁和商务服务业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pPr>
              <w:widowControl/>
              <w:jc w:val="left"/>
              <w:rPr>
                <w:rFonts w:ascii="仿宋" w:hAnsi="仿宋" w:eastAsia="仿宋" w:cs="宋体"/>
                <w:kern w:val="0"/>
                <w:sz w:val="18"/>
                <w:szCs w:val="18"/>
                <w:highlight w:val="none"/>
              </w:rPr>
            </w:pP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资产总额(Z)</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万元</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8000≤Z&lt;120000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100≤Z&lt;8000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Z&lt;100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其他未列明行业*</w:t>
            </w:r>
          </w:p>
        </w:tc>
        <w:tc>
          <w:tcPr>
            <w:tcW w:w="146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从业人员(X)</w:t>
            </w:r>
          </w:p>
        </w:tc>
        <w:tc>
          <w:tcPr>
            <w:tcW w:w="816"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人</w:t>
            </w:r>
          </w:p>
        </w:tc>
        <w:tc>
          <w:tcPr>
            <w:tcW w:w="1715"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100≤X&lt;300</w:t>
            </w:r>
          </w:p>
        </w:tc>
        <w:tc>
          <w:tcPr>
            <w:tcW w:w="1587"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10≤X&lt;100</w:t>
            </w:r>
          </w:p>
        </w:tc>
        <w:tc>
          <w:tcPr>
            <w:tcW w:w="1592" w:type="dxa"/>
            <w:shd w:val="clear" w:color="auto" w:fill="FFFFFF"/>
            <w:tcMar>
              <w:top w:w="30" w:type="dxa"/>
              <w:left w:w="150" w:type="dxa"/>
              <w:bottom w:w="30" w:type="dxa"/>
              <w:right w:w="150" w:type="dxa"/>
            </w:tcMar>
            <w:vAlign w:val="center"/>
          </w:tcPr>
          <w:p>
            <w:pPr>
              <w:widowControl/>
              <w:wordWrap w:val="0"/>
              <w:spacing w:line="360" w:lineRule="atLeast"/>
              <w:jc w:val="left"/>
              <w:rPr>
                <w:rFonts w:ascii="仿宋" w:hAnsi="仿宋" w:eastAsia="仿宋" w:cs="宋体"/>
                <w:kern w:val="0"/>
                <w:sz w:val="18"/>
                <w:szCs w:val="18"/>
                <w:highlight w:val="none"/>
              </w:rPr>
            </w:pPr>
            <w:r>
              <w:rPr>
                <w:rFonts w:ascii="仿宋" w:hAnsi="仿宋" w:eastAsia="仿宋" w:cs="宋体"/>
                <w:kern w:val="0"/>
                <w:sz w:val="18"/>
                <w:szCs w:val="18"/>
                <w:highlight w:val="none"/>
              </w:rPr>
              <w:t>X&lt;10</w:t>
            </w:r>
          </w:p>
        </w:tc>
      </w:tr>
    </w:tbl>
    <w:p>
      <w:pPr>
        <w:widowControl/>
        <w:spacing w:line="360" w:lineRule="auto"/>
        <w:jc w:val="left"/>
        <w:rPr>
          <w:rFonts w:ascii="仿宋" w:hAnsi="仿宋" w:eastAsia="仿宋" w:cs="仿宋"/>
          <w:b/>
          <w:bCs/>
          <w:kern w:val="0"/>
          <w:highlight w:val="none"/>
          <w:lang w:bidi="ar"/>
        </w:rPr>
      </w:pPr>
    </w:p>
    <w:p>
      <w:pPr>
        <w:widowControl/>
        <w:spacing w:line="360" w:lineRule="auto"/>
        <w:jc w:val="left"/>
        <w:rPr>
          <w:rFonts w:ascii="仿宋" w:hAnsi="仿宋" w:eastAsia="仿宋" w:cs="仿宋"/>
          <w:b/>
          <w:bCs/>
          <w:kern w:val="0"/>
          <w:highlight w:val="none"/>
          <w:lang w:bidi="ar"/>
        </w:rPr>
      </w:pPr>
      <w:r>
        <w:rPr>
          <w:rFonts w:hint="eastAsia" w:ascii="仿宋" w:hAnsi="仿宋" w:eastAsia="仿宋" w:cs="仿宋"/>
          <w:b/>
          <w:bCs/>
          <w:kern w:val="0"/>
          <w:highlight w:val="none"/>
          <w:lang w:bidi="ar"/>
        </w:rPr>
        <w:t xml:space="preserve">11.2 监狱企业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11.2.1 根据财政部《司法部关于政府采购支持监狱企业发展有关问题》的通知（财库〔2014〕 68 号），监狱企业是指由司法部认定的为罪犯、戒毒人员提供生产项目和劳动对象，且 全部产权属于司法部监狱管理局、戒毒管理局、直属煤矿管理局，各省、自治区、直辖市 监狱管理局、戒毒管理局，各地(设区的市)监狱、强制隔离戒毒所、戒毒康复所，以及新 疆生产建设兵团监狱管理局、戒毒管理局的企业，监狱企业参加政府采购活动时，应当提 供由省级以上监狱管理局、戒毒管理局(含新疆生产建设兵团)出具的属于监狱企业的证明 文件。</w:t>
      </w:r>
    </w:p>
    <w:p>
      <w:pPr>
        <w:widowControl/>
        <w:spacing w:line="360" w:lineRule="auto"/>
        <w:jc w:val="left"/>
        <w:rPr>
          <w:rFonts w:ascii="仿宋" w:hAnsi="仿宋" w:eastAsia="仿宋" w:cs="仿宋"/>
          <w:b/>
          <w:bCs/>
          <w:kern w:val="0"/>
          <w:highlight w:val="none"/>
          <w:lang w:bidi="ar"/>
        </w:rPr>
      </w:pPr>
      <w:r>
        <w:rPr>
          <w:rFonts w:hint="eastAsia" w:ascii="仿宋" w:hAnsi="仿宋" w:eastAsia="仿宋" w:cs="仿宋"/>
          <w:b/>
          <w:bCs/>
          <w:kern w:val="0"/>
          <w:highlight w:val="none"/>
          <w:lang w:bidi="ar"/>
        </w:rPr>
        <w:t>11.3 残疾人福利性单位</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11.3.1 根据《财政部 民政部 中国残疾人联合会关于促进残疾人就业政府采购政策的通 知》（财库〔2017〕141 号），享受政府采购支持政策的残疾人福利性单位应当同时满足 以下条件： （1）安置的残疾人占本单位在职职工人数的比例不低于 25%（含 25%），并且安置的残疾 人人数不少于 10 人（含 10 人）； （2）依法与安置的每位残疾人签订了一年以上（含一年）的劳动合同或服务协议； （3）为安置的每位残疾人按月足额缴纳了基本养老保险、基本医疗保险、失业保险、工 伤保险和生育保险等社会保险费；（4）通过银行等金融机构向安置的每位残疾人，按月支付了不低于单位所在区县适用的 经省级人民政府批准的月最低工资标准的工资； （5）提供本单位制造的货物、承担的工程或者服务（以下简称产品），或者提供其他残 疾人福利性单位制造的货物（不包括使用非残疾人福利性单位注册商标的货物）。 前款所称残疾人是指法定劳动年龄内，持有《中华人民共和国残疾人证》或者《中华 人民共和国残疾军人证（1 至 8 级）》的自然人，包括具有劳动条件和劳动意愿的精神残 疾人。在职职工人数是指与残疾人福利性单位建立劳动关系并依法签订劳动合同或者服务 协议的雇员人数。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11.3.2 符合条件的残疾人福利性单位在参加政府采购活动时，应当提供《残疾人福利性 单位声明函》，并对声明的真实性负责。 </w:t>
      </w:r>
    </w:p>
    <w:p>
      <w:pPr>
        <w:widowControl/>
        <w:spacing w:line="360" w:lineRule="auto"/>
        <w:jc w:val="left"/>
        <w:rPr>
          <w:rFonts w:ascii="仿宋" w:hAnsi="仿宋" w:eastAsia="仿宋" w:cs="仿宋"/>
          <w:b/>
          <w:bCs/>
          <w:kern w:val="0"/>
          <w:highlight w:val="none"/>
          <w:lang w:bidi="ar"/>
        </w:rPr>
      </w:pPr>
      <w:r>
        <w:rPr>
          <w:rFonts w:hint="eastAsia" w:ascii="仿宋" w:hAnsi="仿宋" w:eastAsia="仿宋" w:cs="仿宋"/>
          <w:b/>
          <w:bCs/>
          <w:kern w:val="0"/>
          <w:highlight w:val="none"/>
          <w:lang w:bidi="ar"/>
        </w:rPr>
        <w:t xml:space="preserve">11.4 节能、环境标志产品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11.4.1 节能产品是指列入财政部和国家发改委公布的《节能产品政府采购品目清单》中 的货物。政府强制采购节能产品是指《节能产品政府采购品目清单》中以“★”标注类别 的产品。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11.4.2 环境标志产品是指列入财政部、生态环境部公布的《环境标志产品政府采购品目 清单》中的货物。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b/>
          <w:bCs/>
          <w:kern w:val="0"/>
          <w:highlight w:val="none"/>
          <w:lang w:bidi="ar"/>
        </w:rPr>
        <w:t>★</w:t>
      </w:r>
      <w:r>
        <w:rPr>
          <w:rFonts w:hint="eastAsia" w:ascii="仿宋" w:hAnsi="仿宋" w:eastAsia="仿宋" w:cs="仿宋"/>
          <w:kern w:val="0"/>
          <w:highlight w:val="none"/>
          <w:lang w:bidi="ar"/>
        </w:rPr>
        <w:t xml:space="preserve">11.4.3 本项目采购清单中若有政府强制采购节能产品，只接受强制节能产品投标，投 标人必须选报强制节能产品，否则按不实质性响应招标文件要求处理。投标人必须在投标 文件中提供国家确定的认证机构出具的、处于有效期之内的节能产品认证证书。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11.4.4 投标人应在投标文件中提供所投标产品国家确定的认证机构出具的、处于有效期 之内的节能产品、环境标志产品认证证书，否则不予认可。 </w:t>
      </w:r>
    </w:p>
    <w:p>
      <w:pPr>
        <w:widowControl/>
        <w:spacing w:line="360" w:lineRule="auto"/>
        <w:jc w:val="left"/>
        <w:rPr>
          <w:rFonts w:ascii="仿宋" w:hAnsi="仿宋" w:eastAsia="仿宋" w:cs="仿宋"/>
          <w:kern w:val="0"/>
          <w:highlight w:val="none"/>
          <w:lang w:bidi="ar"/>
        </w:rPr>
      </w:pPr>
      <w:r>
        <w:rPr>
          <w:rFonts w:hint="eastAsia" w:ascii="仿宋" w:hAnsi="仿宋" w:eastAsia="仿宋" w:cs="仿宋"/>
          <w:kern w:val="0"/>
          <w:highlight w:val="none"/>
          <w:lang w:bidi="ar"/>
        </w:rPr>
        <w:t xml:space="preserve">11.4.5 投标人应在投标文件中提供所投标产品在“节能产品政府采购品目清单”或“环 境标志产品政府采购品目清单”中的单页复印件一份，并在复印件上标注出所投产品及型号。 </w:t>
      </w:r>
    </w:p>
    <w:p>
      <w:pPr>
        <w:widowControl/>
        <w:spacing w:line="360" w:lineRule="auto"/>
        <w:jc w:val="left"/>
        <w:rPr>
          <w:rFonts w:ascii="仿宋" w:hAnsi="仿宋" w:eastAsia="仿宋" w:cs="仿宋"/>
          <w:highlight w:val="none"/>
        </w:rPr>
      </w:pPr>
      <w:r>
        <w:rPr>
          <w:rFonts w:hint="eastAsia" w:ascii="仿宋" w:hAnsi="仿宋" w:eastAsia="仿宋" w:cs="仿宋"/>
          <w:kern w:val="0"/>
          <w:highlight w:val="none"/>
          <w:lang w:bidi="ar"/>
        </w:rPr>
        <w:t>11.4.6《节能产品政府采购品目清单》及《环境标志产品政府采购品目清单》可通过中国 政府采购网（http://www.ccgp.gov.cn/）查阅、下载。</w:t>
      </w: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pStyle w:val="7"/>
        <w:ind w:firstLine="0"/>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spacing w:line="360" w:lineRule="auto"/>
        <w:jc w:val="left"/>
        <w:rPr>
          <w:rFonts w:ascii="仿宋" w:hAnsi="仿宋" w:eastAsia="仿宋" w:cs="仿宋"/>
          <w:b/>
          <w:sz w:val="28"/>
          <w:highlight w:val="none"/>
        </w:rPr>
      </w:pPr>
    </w:p>
    <w:p>
      <w:pPr>
        <w:rPr>
          <w:rFonts w:ascii="仿宋" w:hAnsi="仿宋" w:eastAsia="仿宋" w:cs="仿宋"/>
          <w:b/>
          <w:sz w:val="28"/>
          <w:highlight w:val="none"/>
        </w:rPr>
      </w:pPr>
      <w:r>
        <w:rPr>
          <w:rFonts w:hint="eastAsia" w:ascii="仿宋" w:hAnsi="仿宋" w:eastAsia="仿宋" w:cs="仿宋"/>
          <w:b/>
          <w:sz w:val="28"/>
          <w:highlight w:val="none"/>
        </w:rPr>
        <w:br w:type="page"/>
      </w:r>
    </w:p>
    <w:p>
      <w:pPr>
        <w:spacing w:line="360" w:lineRule="auto"/>
        <w:jc w:val="left"/>
        <w:rPr>
          <w:rFonts w:ascii="仿宋" w:hAnsi="仿宋" w:eastAsia="仿宋" w:cs="仿宋"/>
          <w:b/>
          <w:sz w:val="28"/>
          <w:highlight w:val="none"/>
        </w:rPr>
      </w:pPr>
      <w:r>
        <w:rPr>
          <w:rFonts w:hint="eastAsia" w:ascii="仿宋" w:hAnsi="仿宋" w:eastAsia="仿宋" w:cs="仿宋"/>
          <w:b/>
          <w:sz w:val="28"/>
          <w:highlight w:val="none"/>
        </w:rPr>
        <w:t>附件一：问题澄清通知</w:t>
      </w:r>
    </w:p>
    <w:p>
      <w:pPr>
        <w:spacing w:before="312" w:beforeLines="100" w:after="312" w:afterLines="100" w:line="360" w:lineRule="auto"/>
        <w:jc w:val="center"/>
        <w:rPr>
          <w:rFonts w:ascii="仿宋" w:hAnsi="仿宋" w:eastAsia="仿宋" w:cs="仿宋"/>
          <w:sz w:val="28"/>
          <w:szCs w:val="28"/>
          <w:highlight w:val="none"/>
        </w:rPr>
      </w:pPr>
      <w:r>
        <w:rPr>
          <w:rFonts w:hint="eastAsia" w:ascii="仿宋" w:hAnsi="仿宋" w:eastAsia="仿宋" w:cs="仿宋"/>
          <w:sz w:val="28"/>
          <w:szCs w:val="28"/>
          <w:highlight w:val="none"/>
        </w:rPr>
        <w:t>问题澄清通知</w:t>
      </w:r>
    </w:p>
    <w:p>
      <w:pPr>
        <w:spacing w:line="360" w:lineRule="auto"/>
        <w:rPr>
          <w:rFonts w:ascii="仿宋" w:hAnsi="仿宋" w:eastAsia="仿宋" w:cs="仿宋"/>
          <w:highlight w:val="none"/>
        </w:rPr>
      </w:pPr>
      <w:r>
        <w:rPr>
          <w:rFonts w:hint="eastAsia" w:ascii="仿宋" w:hAnsi="仿宋" w:eastAsia="仿宋" w:cs="仿宋"/>
          <w:highlight w:val="none"/>
        </w:rPr>
        <w:t>编号：</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_________________________（投标人）：</w:t>
      </w:r>
    </w:p>
    <w:p>
      <w:pPr>
        <w:spacing w:line="360" w:lineRule="auto"/>
        <w:ind w:firstLine="1200" w:firstLineChars="500"/>
        <w:rPr>
          <w:rFonts w:ascii="仿宋" w:hAnsi="仿宋" w:eastAsia="仿宋" w:cs="仿宋"/>
          <w:highlight w:val="none"/>
        </w:rPr>
      </w:pPr>
      <w:r>
        <w:rPr>
          <w:rFonts w:hint="eastAsia" w:ascii="仿宋" w:hAnsi="仿宋" w:eastAsia="仿宋" w:cs="仿宋"/>
          <w:highlight w:val="none"/>
          <w:u w:val="single"/>
        </w:rPr>
        <w:t>（项目名称）</w:t>
      </w:r>
      <w:r>
        <w:rPr>
          <w:rFonts w:hint="eastAsia" w:ascii="仿宋" w:hAnsi="仿宋" w:eastAsia="仿宋" w:cs="仿宋"/>
          <w:highlight w:val="none"/>
        </w:rPr>
        <w:t>招标的评标委员会，对你方的投标文件进行了仔细的审查，现需你方对本通知所附质疑问卷中的问题以书面形式予以澄清、说明或者补正。</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请将上述问题的澄清、说明或者补正于______年___月___日___时前提交至</w:t>
      </w:r>
      <w:r>
        <w:rPr>
          <w:rFonts w:hint="eastAsia" w:ascii="仿宋" w:hAnsi="仿宋" w:eastAsia="仿宋" w:cs="仿宋"/>
          <w:highlight w:val="none"/>
          <w:u w:val="single"/>
        </w:rPr>
        <w:t xml:space="preserve">      </w:t>
      </w:r>
      <w:r>
        <w:rPr>
          <w:rFonts w:hint="eastAsia" w:ascii="仿宋" w:hAnsi="仿宋" w:eastAsia="仿宋" w:cs="仿宋"/>
          <w:highlight w:val="none"/>
        </w:rPr>
        <w:t>或传真至____________（传真号码）。采用传真方式的，应在______年___月___日___时前将递交至________________________。</w:t>
      </w:r>
    </w:p>
    <w:p>
      <w:pPr>
        <w:spacing w:line="360" w:lineRule="auto"/>
        <w:rPr>
          <w:rFonts w:ascii="仿宋" w:hAnsi="仿宋" w:eastAsia="仿宋" w:cs="仿宋"/>
          <w:highlight w:val="none"/>
        </w:rPr>
      </w:pPr>
    </w:p>
    <w:p>
      <w:pPr>
        <w:spacing w:line="360" w:lineRule="auto"/>
        <w:rPr>
          <w:rFonts w:ascii="仿宋" w:hAnsi="仿宋" w:eastAsia="仿宋" w:cs="仿宋"/>
          <w:highlight w:val="none"/>
        </w:rPr>
      </w:pPr>
      <w:r>
        <w:rPr>
          <w:rFonts w:hint="eastAsia" w:ascii="仿宋" w:hAnsi="仿宋" w:eastAsia="仿宋" w:cs="仿宋"/>
          <w:highlight w:val="none"/>
        </w:rPr>
        <w:t>附件：质疑问卷</w:t>
      </w:r>
    </w:p>
    <w:p>
      <w:pPr>
        <w:spacing w:line="360" w:lineRule="auto"/>
        <w:ind w:firstLine="3360" w:firstLineChars="1400"/>
        <w:rPr>
          <w:rFonts w:ascii="仿宋" w:hAnsi="仿宋" w:eastAsia="仿宋" w:cs="仿宋"/>
          <w:highlight w:val="none"/>
        </w:rPr>
      </w:pPr>
      <w:r>
        <w:rPr>
          <w:rFonts w:hint="eastAsia" w:ascii="仿宋" w:hAnsi="仿宋" w:eastAsia="仿宋" w:cs="仿宋"/>
          <w:highlight w:val="none"/>
          <w:u w:val="single"/>
        </w:rPr>
        <w:t>（项目名称）</w:t>
      </w:r>
      <w:r>
        <w:rPr>
          <w:rFonts w:hint="eastAsia" w:ascii="仿宋" w:hAnsi="仿宋" w:eastAsia="仿宋" w:cs="仿宋"/>
          <w:highlight w:val="none"/>
        </w:rPr>
        <w:t>招标评标委员会</w:t>
      </w:r>
    </w:p>
    <w:p>
      <w:pPr>
        <w:spacing w:line="360" w:lineRule="auto"/>
        <w:ind w:firstLine="2400" w:firstLineChars="1000"/>
        <w:rPr>
          <w:rFonts w:ascii="仿宋" w:hAnsi="仿宋" w:eastAsia="仿宋" w:cs="仿宋"/>
          <w:highlight w:val="none"/>
        </w:rPr>
      </w:pPr>
      <w:r>
        <w:rPr>
          <w:rFonts w:hint="eastAsia" w:ascii="仿宋" w:hAnsi="仿宋" w:eastAsia="仿宋" w:cs="仿宋"/>
          <w:highlight w:val="none"/>
        </w:rPr>
        <w:t>（经评标委员会授权的投标人代表签字或投标人加盖单位章）</w:t>
      </w:r>
    </w:p>
    <w:p>
      <w:pPr>
        <w:spacing w:line="360" w:lineRule="auto"/>
        <w:ind w:firstLine="5280" w:firstLineChars="2200"/>
        <w:rPr>
          <w:rFonts w:ascii="仿宋" w:hAnsi="仿宋" w:eastAsia="仿宋" w:cs="仿宋"/>
          <w:highlight w:val="none"/>
        </w:rPr>
      </w:pPr>
      <w:r>
        <w:rPr>
          <w:rFonts w:hint="eastAsia" w:ascii="仿宋" w:hAnsi="仿宋" w:eastAsia="仿宋" w:cs="仿宋"/>
          <w:highlight w:val="none"/>
        </w:rPr>
        <w:t>______年___月___日</w:t>
      </w:r>
    </w:p>
    <w:p>
      <w:pPr>
        <w:spacing w:line="360" w:lineRule="auto"/>
        <w:rPr>
          <w:rFonts w:ascii="仿宋" w:hAnsi="仿宋" w:eastAsia="仿宋" w:cs="仿宋"/>
          <w:highlight w:val="none"/>
        </w:rPr>
      </w:pPr>
      <w:r>
        <w:rPr>
          <w:rFonts w:hint="eastAsia" w:ascii="仿宋" w:hAnsi="仿宋" w:eastAsia="仿宋" w:cs="仿宋"/>
          <w:highlight w:val="none"/>
        </w:rPr>
        <w:br w:type="page"/>
      </w:r>
    </w:p>
    <w:p>
      <w:pPr>
        <w:spacing w:line="360" w:lineRule="auto"/>
        <w:rPr>
          <w:rFonts w:ascii="仿宋" w:hAnsi="仿宋" w:eastAsia="仿宋" w:cs="仿宋"/>
          <w:highlight w:val="none"/>
        </w:rPr>
      </w:pPr>
    </w:p>
    <w:p>
      <w:pPr>
        <w:spacing w:line="360" w:lineRule="auto"/>
        <w:rPr>
          <w:rFonts w:ascii="仿宋" w:hAnsi="仿宋" w:eastAsia="仿宋" w:cs="仿宋"/>
          <w:b/>
          <w:sz w:val="28"/>
          <w:highlight w:val="none"/>
        </w:rPr>
      </w:pPr>
      <w:r>
        <w:rPr>
          <w:rFonts w:hint="eastAsia" w:ascii="仿宋" w:hAnsi="仿宋" w:eastAsia="仿宋" w:cs="仿宋"/>
          <w:b/>
          <w:sz w:val="28"/>
          <w:highlight w:val="none"/>
        </w:rPr>
        <w:t>附件二：问题的澄清</w:t>
      </w:r>
    </w:p>
    <w:p>
      <w:pPr>
        <w:spacing w:before="312" w:beforeLines="100" w:after="312" w:afterLines="100" w:line="360" w:lineRule="auto"/>
        <w:jc w:val="center"/>
        <w:rPr>
          <w:rFonts w:ascii="仿宋" w:hAnsi="仿宋" w:eastAsia="仿宋" w:cs="仿宋"/>
          <w:sz w:val="28"/>
          <w:szCs w:val="28"/>
          <w:highlight w:val="none"/>
        </w:rPr>
      </w:pPr>
      <w:r>
        <w:rPr>
          <w:rFonts w:hint="eastAsia" w:ascii="仿宋" w:hAnsi="仿宋" w:eastAsia="仿宋" w:cs="仿宋"/>
          <w:sz w:val="28"/>
          <w:szCs w:val="28"/>
          <w:highlight w:val="none"/>
        </w:rPr>
        <w:t>问题的澄清、说明或补正</w:t>
      </w:r>
    </w:p>
    <w:p>
      <w:pPr>
        <w:spacing w:line="360" w:lineRule="auto"/>
        <w:ind w:firstLine="6120" w:firstLineChars="2550"/>
        <w:rPr>
          <w:rFonts w:ascii="仿宋" w:hAnsi="仿宋" w:eastAsia="仿宋" w:cs="仿宋"/>
          <w:highlight w:val="none"/>
        </w:rPr>
      </w:pPr>
      <w:r>
        <w:rPr>
          <w:rFonts w:hint="eastAsia" w:ascii="仿宋" w:hAnsi="仿宋" w:eastAsia="仿宋" w:cs="仿宋"/>
          <w:highlight w:val="none"/>
        </w:rPr>
        <w:t>编号：</w:t>
      </w:r>
      <w:r>
        <w:rPr>
          <w:rFonts w:hint="eastAsia" w:ascii="仿宋" w:hAnsi="仿宋" w:eastAsia="仿宋" w:cs="仿宋"/>
          <w:highlight w:val="none"/>
          <w:u w:val="single"/>
        </w:rPr>
        <w:t xml:space="preserve">         </w:t>
      </w:r>
    </w:p>
    <w:p>
      <w:pPr>
        <w:spacing w:line="360" w:lineRule="auto"/>
        <w:rPr>
          <w:rFonts w:ascii="仿宋" w:hAnsi="仿宋" w:eastAsia="仿宋" w:cs="仿宋"/>
          <w:highlight w:val="none"/>
        </w:rPr>
      </w:pPr>
      <w:r>
        <w:rPr>
          <w:rFonts w:hint="eastAsia" w:ascii="仿宋" w:hAnsi="仿宋" w:eastAsia="仿宋" w:cs="仿宋"/>
          <w:highlight w:val="none"/>
        </w:rPr>
        <w:t>_____________________（项目名称）______招标评标委员会：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问题澄清通知（编号：____________）已收悉，现澄清、说明或者补正如下：</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1.____________________________________________________</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2.____________________________________________________</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w:t>
      </w: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wordWrap w:val="0"/>
        <w:spacing w:line="360" w:lineRule="auto"/>
        <w:ind w:firstLine="480" w:firstLineChars="200"/>
        <w:jc w:val="right"/>
        <w:rPr>
          <w:rFonts w:ascii="仿宋" w:hAnsi="仿宋" w:eastAsia="仿宋" w:cs="仿宋"/>
          <w:highlight w:val="none"/>
        </w:rPr>
      </w:pPr>
      <w:r>
        <w:rPr>
          <w:rFonts w:hint="eastAsia" w:ascii="仿宋" w:hAnsi="仿宋" w:eastAsia="仿宋" w:cs="仿宋"/>
          <w:highlight w:val="none"/>
        </w:rPr>
        <w:t>投标人：__________________________（盖单位章）</w:t>
      </w:r>
    </w:p>
    <w:p>
      <w:pPr>
        <w:spacing w:line="360" w:lineRule="auto"/>
        <w:ind w:right="420" w:firstLine="3840" w:firstLineChars="1600"/>
        <w:rPr>
          <w:rFonts w:ascii="仿宋" w:hAnsi="仿宋" w:eastAsia="仿宋" w:cs="仿宋"/>
          <w:highlight w:val="none"/>
        </w:rPr>
      </w:pPr>
      <w:r>
        <w:rPr>
          <w:rFonts w:hint="eastAsia" w:ascii="仿宋" w:hAnsi="仿宋" w:eastAsia="仿宋" w:cs="仿宋"/>
          <w:highlight w:val="none"/>
        </w:rPr>
        <w:t>法定代表人：</w:t>
      </w:r>
      <w:r>
        <w:rPr>
          <w:rFonts w:hint="eastAsia" w:ascii="仿宋" w:hAnsi="仿宋" w:eastAsia="仿宋" w:cs="仿宋"/>
          <w:highlight w:val="none"/>
          <w:u w:val="single"/>
        </w:rPr>
        <w:t xml:space="preserve">              </w:t>
      </w:r>
      <w:r>
        <w:rPr>
          <w:rFonts w:hint="eastAsia" w:ascii="仿宋" w:hAnsi="仿宋" w:eastAsia="仿宋" w:cs="仿宋"/>
          <w:highlight w:val="none"/>
        </w:rPr>
        <w:t>（签字）</w:t>
      </w:r>
    </w:p>
    <w:p>
      <w:pPr>
        <w:spacing w:line="360" w:lineRule="auto"/>
        <w:ind w:firstLine="5040" w:firstLineChars="2100"/>
        <w:rPr>
          <w:rFonts w:ascii="仿宋" w:hAnsi="仿宋" w:eastAsia="仿宋" w:cs="仿宋"/>
          <w:highlight w:val="none"/>
        </w:rPr>
      </w:pPr>
      <w:r>
        <w:rPr>
          <w:rFonts w:hint="eastAsia" w:ascii="仿宋" w:hAnsi="仿宋" w:eastAsia="仿宋" w:cs="仿宋"/>
          <w:highlight w:val="none"/>
        </w:rPr>
        <w:t>_________年______月______日</w:t>
      </w:r>
    </w:p>
    <w:p>
      <w:pPr>
        <w:spacing w:line="360" w:lineRule="auto"/>
        <w:rPr>
          <w:rFonts w:ascii="仿宋" w:hAnsi="仿宋" w:eastAsia="仿宋" w:cs="仿宋"/>
          <w:b/>
          <w:sz w:val="28"/>
          <w:highlight w:val="none"/>
        </w:rPr>
      </w:pPr>
    </w:p>
    <w:p>
      <w:pPr>
        <w:spacing w:line="360" w:lineRule="auto"/>
        <w:rPr>
          <w:rFonts w:ascii="仿宋" w:hAnsi="仿宋" w:eastAsia="仿宋" w:cs="仿宋"/>
          <w:b/>
          <w:sz w:val="36"/>
          <w:szCs w:val="36"/>
          <w:highlight w:val="none"/>
        </w:rPr>
      </w:pPr>
      <w:r>
        <w:rPr>
          <w:rFonts w:hint="eastAsia" w:ascii="仿宋" w:hAnsi="仿宋" w:eastAsia="仿宋" w:cs="仿宋"/>
          <w:sz w:val="36"/>
          <w:szCs w:val="36"/>
          <w:highlight w:val="none"/>
        </w:rPr>
        <w:br w:type="page"/>
      </w:r>
      <w:bookmarkEnd w:id="44"/>
      <w:bookmarkEnd w:id="45"/>
      <w:bookmarkStart w:id="58" w:name="_Toc20851"/>
      <w:bookmarkStart w:id="59" w:name="_Toc73290924"/>
      <w:r>
        <w:rPr>
          <w:rFonts w:hint="eastAsia" w:ascii="仿宋" w:hAnsi="仿宋" w:eastAsia="仿宋" w:cs="仿宋"/>
          <w:sz w:val="36"/>
          <w:szCs w:val="36"/>
          <w:highlight w:val="none"/>
        </w:rPr>
        <w:t xml:space="preserve">              </w:t>
      </w:r>
      <w:r>
        <w:rPr>
          <w:rFonts w:hint="eastAsia" w:ascii="仿宋" w:hAnsi="仿宋" w:eastAsia="仿宋" w:cs="仿宋"/>
          <w:b/>
          <w:sz w:val="36"/>
          <w:szCs w:val="36"/>
          <w:highlight w:val="none"/>
        </w:rPr>
        <w:t>第三章  资格评审标准</w:t>
      </w:r>
      <w:bookmarkEnd w:id="58"/>
      <w:bookmarkEnd w:id="59"/>
    </w:p>
    <w:p>
      <w:pPr>
        <w:pStyle w:val="2"/>
        <w:spacing w:line="480" w:lineRule="auto"/>
        <w:ind w:firstLine="482" w:firstLineChars="200"/>
        <w:rPr>
          <w:rFonts w:ascii="仿宋" w:hAnsi="仿宋" w:eastAsia="仿宋" w:cs="仿宋"/>
          <w:b/>
          <w:szCs w:val="21"/>
          <w:highlight w:val="none"/>
        </w:rPr>
      </w:pPr>
      <w:r>
        <w:rPr>
          <w:rFonts w:hint="eastAsia" w:ascii="仿宋" w:hAnsi="仿宋" w:eastAsia="仿宋" w:cs="仿宋"/>
          <w:b/>
          <w:szCs w:val="21"/>
          <w:highlight w:val="none"/>
        </w:rPr>
        <w:t>开标结束后，采购人或采购代理机构依法对投标人的资格进行审查。依据法律法规和招标文件的规定，对投标文件中“资格证明文件”进行审查，以确定投标人是否具备投标资格。只有通过资格审查的投标文件才能进入符合性评审。</w:t>
      </w:r>
    </w:p>
    <w:tbl>
      <w:tblPr>
        <w:tblStyle w:val="33"/>
        <w:tblpPr w:leftFromText="180" w:rightFromText="180" w:vertAnchor="text" w:tblpXSpec="center" w:tblpY="1"/>
        <w:tblOverlap w:val="never"/>
        <w:tblW w:w="10033" w:type="dxa"/>
        <w:tblInd w:w="0" w:type="dxa"/>
        <w:tblLayout w:type="fixed"/>
        <w:tblCellMar>
          <w:top w:w="0" w:type="dxa"/>
          <w:left w:w="108" w:type="dxa"/>
          <w:bottom w:w="0" w:type="dxa"/>
          <w:right w:w="108" w:type="dxa"/>
        </w:tblCellMar>
      </w:tblPr>
      <w:tblGrid>
        <w:gridCol w:w="1148"/>
        <w:gridCol w:w="1123"/>
        <w:gridCol w:w="7762"/>
      </w:tblGrid>
      <w:tr>
        <w:tblPrEx>
          <w:tblCellMar>
            <w:top w:w="0" w:type="dxa"/>
            <w:left w:w="108" w:type="dxa"/>
            <w:bottom w:w="0" w:type="dxa"/>
            <w:right w:w="108" w:type="dxa"/>
          </w:tblCellMar>
        </w:tblPrEx>
        <w:trPr>
          <w:trHeight w:val="451" w:hRule="atLeast"/>
        </w:trPr>
        <w:tc>
          <w:tcPr>
            <w:tcW w:w="1148" w:type="dxa"/>
            <w:tcBorders>
              <w:top w:val="single" w:color="auto" w:sz="4" w:space="0"/>
              <w:left w:val="single" w:color="auto" w:sz="4" w:space="0"/>
              <w:bottom w:val="single" w:color="auto" w:sz="4" w:space="0"/>
              <w:right w:val="single" w:color="000000" w:sz="4" w:space="0"/>
            </w:tcBorders>
            <w:vAlign w:val="center"/>
          </w:tcPr>
          <w:p>
            <w:pPr>
              <w:pStyle w:val="57"/>
              <w:spacing w:line="480" w:lineRule="auto"/>
              <w:jc w:val="center"/>
              <w:rPr>
                <w:rFonts w:ascii="仿宋" w:hAnsi="仿宋" w:eastAsia="仿宋" w:cs="仿宋"/>
                <w:b/>
                <w:bCs/>
                <w:sz w:val="21"/>
                <w:highlight w:val="none"/>
              </w:rPr>
            </w:pPr>
            <w:r>
              <w:rPr>
                <w:rFonts w:hint="eastAsia" w:ascii="仿宋" w:hAnsi="仿宋" w:eastAsia="仿宋" w:cs="仿宋"/>
                <w:b/>
                <w:bCs/>
                <w:sz w:val="21"/>
                <w:highlight w:val="none"/>
              </w:rPr>
              <w:t>评审程序</w:t>
            </w:r>
          </w:p>
        </w:tc>
        <w:tc>
          <w:tcPr>
            <w:tcW w:w="1123" w:type="dxa"/>
            <w:tcBorders>
              <w:top w:val="single" w:color="auto" w:sz="4" w:space="0"/>
              <w:left w:val="nil"/>
              <w:bottom w:val="single" w:color="000000" w:sz="4" w:space="0"/>
              <w:right w:val="single" w:color="auto" w:sz="4" w:space="0"/>
            </w:tcBorders>
            <w:vAlign w:val="center"/>
          </w:tcPr>
          <w:p>
            <w:pPr>
              <w:pStyle w:val="57"/>
              <w:spacing w:line="480" w:lineRule="auto"/>
              <w:jc w:val="center"/>
              <w:rPr>
                <w:rFonts w:ascii="仿宋" w:hAnsi="仿宋" w:eastAsia="仿宋" w:cs="仿宋"/>
                <w:b/>
                <w:bCs/>
                <w:sz w:val="21"/>
                <w:highlight w:val="none"/>
              </w:rPr>
            </w:pPr>
            <w:r>
              <w:rPr>
                <w:rFonts w:hint="eastAsia" w:ascii="仿宋" w:hAnsi="仿宋" w:eastAsia="仿宋" w:cs="仿宋"/>
                <w:b/>
                <w:bCs/>
                <w:sz w:val="21"/>
                <w:highlight w:val="none"/>
              </w:rPr>
              <w:t>条款号</w:t>
            </w:r>
          </w:p>
        </w:tc>
        <w:tc>
          <w:tcPr>
            <w:tcW w:w="7762" w:type="dxa"/>
            <w:tcBorders>
              <w:top w:val="single" w:color="auto" w:sz="4" w:space="0"/>
              <w:left w:val="single" w:color="auto" w:sz="4" w:space="0"/>
              <w:bottom w:val="single" w:color="000000" w:sz="4" w:space="0"/>
              <w:right w:val="single" w:color="auto" w:sz="4" w:space="0"/>
            </w:tcBorders>
            <w:vAlign w:val="center"/>
          </w:tcPr>
          <w:p>
            <w:pPr>
              <w:pStyle w:val="57"/>
              <w:spacing w:line="480" w:lineRule="auto"/>
              <w:jc w:val="center"/>
              <w:rPr>
                <w:rFonts w:ascii="仿宋" w:hAnsi="仿宋" w:eastAsia="仿宋" w:cs="仿宋"/>
                <w:b/>
                <w:bCs/>
                <w:sz w:val="21"/>
                <w:highlight w:val="none"/>
              </w:rPr>
            </w:pPr>
            <w:r>
              <w:rPr>
                <w:rFonts w:hint="eastAsia" w:ascii="仿宋" w:hAnsi="仿宋" w:eastAsia="仿宋" w:cs="仿宋"/>
                <w:b/>
                <w:bCs/>
                <w:sz w:val="21"/>
                <w:highlight w:val="none"/>
              </w:rPr>
              <w:t>评审内容及标准</w:t>
            </w:r>
          </w:p>
        </w:tc>
      </w:tr>
      <w:tr>
        <w:tblPrEx>
          <w:tblCellMar>
            <w:top w:w="0" w:type="dxa"/>
            <w:left w:w="108" w:type="dxa"/>
            <w:bottom w:w="0" w:type="dxa"/>
            <w:right w:w="108" w:type="dxa"/>
          </w:tblCellMar>
        </w:tblPrEx>
        <w:trPr>
          <w:trHeight w:val="1108" w:hRule="atLeast"/>
        </w:trPr>
        <w:tc>
          <w:tcPr>
            <w:tcW w:w="1148" w:type="dxa"/>
            <w:vMerge w:val="restar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r>
              <w:rPr>
                <w:rFonts w:hint="eastAsia" w:ascii="仿宋" w:hAnsi="仿宋" w:eastAsia="仿宋" w:cs="仿宋"/>
                <w:b/>
                <w:sz w:val="21"/>
                <w:szCs w:val="21"/>
                <w:highlight w:val="none"/>
              </w:rPr>
              <w:t>资格评审标准</w:t>
            </w: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bCs/>
                <w:sz w:val="21"/>
                <w:szCs w:val="21"/>
                <w:highlight w:val="none"/>
              </w:rPr>
            </w:pPr>
            <w:r>
              <w:rPr>
                <w:rFonts w:hint="eastAsia" w:ascii="仿宋" w:hAnsi="仿宋" w:eastAsia="仿宋" w:cs="仿宋"/>
                <w:bCs/>
                <w:sz w:val="21"/>
                <w:szCs w:val="21"/>
                <w:highlight w:val="none"/>
              </w:rPr>
              <w:t>1</w:t>
            </w:r>
          </w:p>
        </w:tc>
        <w:tc>
          <w:tcPr>
            <w:tcW w:w="7762" w:type="dxa"/>
            <w:tcBorders>
              <w:top w:val="single" w:color="auto" w:sz="4" w:space="0"/>
              <w:left w:val="nil"/>
              <w:bottom w:val="single" w:color="auto" w:sz="4" w:space="0"/>
              <w:right w:val="single" w:color="auto" w:sz="4" w:space="0"/>
            </w:tcBorders>
            <w:vAlign w:val="center"/>
          </w:tcPr>
          <w:p>
            <w:pPr>
              <w:pStyle w:val="57"/>
              <w:spacing w:line="480" w:lineRule="auto"/>
              <w:ind w:firstLine="480" w:firstLineChars="200"/>
              <w:rPr>
                <w:rFonts w:ascii="仿宋" w:hAnsi="仿宋" w:eastAsia="仿宋" w:cs="仿宋"/>
                <w:szCs w:val="24"/>
                <w:highlight w:val="none"/>
              </w:rPr>
            </w:pPr>
            <w:r>
              <w:rPr>
                <w:rFonts w:hint="eastAsia" w:ascii="仿宋" w:hAnsi="仿宋" w:eastAsia="仿宋" w:cs="仿宋"/>
                <w:szCs w:val="24"/>
                <w:highlight w:val="none"/>
                <w:lang w:val="zh-CN"/>
              </w:rPr>
              <w:t>投标供应商须具备独立企业（事业）法人或其它组织或自然人, 具有有效的营业执照或其他法定凭证，若为自然人的提供自然人的身份证明。；</w:t>
            </w:r>
          </w:p>
        </w:tc>
      </w:tr>
      <w:tr>
        <w:tblPrEx>
          <w:tblCellMar>
            <w:top w:w="0" w:type="dxa"/>
            <w:left w:w="108" w:type="dxa"/>
            <w:bottom w:w="0" w:type="dxa"/>
            <w:right w:w="108" w:type="dxa"/>
          </w:tblCellMar>
        </w:tblPrEx>
        <w:trPr>
          <w:trHeight w:val="117" w:hRule="atLeast"/>
        </w:trPr>
        <w:tc>
          <w:tcPr>
            <w:tcW w:w="1148" w:type="dxa"/>
            <w:vMerge w:val="continue"/>
            <w:tcBorders>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bCs/>
                <w:sz w:val="21"/>
                <w:szCs w:val="21"/>
                <w:highlight w:val="none"/>
              </w:rPr>
            </w:pPr>
            <w:r>
              <w:rPr>
                <w:rFonts w:hint="eastAsia" w:ascii="仿宋" w:hAnsi="仿宋" w:eastAsia="仿宋" w:cs="仿宋"/>
                <w:bCs/>
                <w:sz w:val="21"/>
                <w:szCs w:val="21"/>
                <w:highlight w:val="none"/>
              </w:rPr>
              <w:t>2</w:t>
            </w:r>
          </w:p>
        </w:tc>
        <w:tc>
          <w:tcPr>
            <w:tcW w:w="7762" w:type="dxa"/>
            <w:tcBorders>
              <w:top w:val="single" w:color="auto" w:sz="4" w:space="0"/>
              <w:left w:val="nil"/>
              <w:bottom w:val="single" w:color="auto" w:sz="4" w:space="0"/>
              <w:right w:val="single" w:color="auto" w:sz="4" w:space="0"/>
            </w:tcBorders>
            <w:vAlign w:val="center"/>
          </w:tcPr>
          <w:p>
            <w:pPr>
              <w:spacing w:line="480" w:lineRule="auto"/>
              <w:ind w:firstLine="480" w:firstLineChars="200"/>
              <w:rPr>
                <w:rFonts w:ascii="仿宋" w:hAnsi="仿宋" w:eastAsia="仿宋" w:cs="仿宋"/>
                <w:kern w:val="0"/>
                <w:highlight w:val="none"/>
              </w:rPr>
            </w:pPr>
            <w:r>
              <w:rPr>
                <w:rFonts w:hint="eastAsia" w:ascii="仿宋" w:hAnsi="仿宋" w:eastAsia="仿宋" w:cs="仿宋"/>
                <w:kern w:val="0"/>
                <w:highlight w:val="none"/>
              </w:rPr>
              <w:t>提供 2022年或2023年经第三方审计的财务报告 (至少包含资产负债表、利润表、现金流量表) ，未经审计的提供企业内部自行编制的财务报表，企业成立不满1年的无需提供</w:t>
            </w:r>
            <w:r>
              <w:rPr>
                <w:rFonts w:hint="eastAsia" w:ascii="仿宋" w:hAnsi="仿宋" w:eastAsia="仿宋" w:cs="仿宋"/>
                <w:highlight w:val="none"/>
              </w:rPr>
              <w:t>；</w:t>
            </w:r>
          </w:p>
        </w:tc>
      </w:tr>
      <w:tr>
        <w:tblPrEx>
          <w:tblCellMar>
            <w:top w:w="0" w:type="dxa"/>
            <w:left w:w="108" w:type="dxa"/>
            <w:bottom w:w="0" w:type="dxa"/>
            <w:right w:w="108" w:type="dxa"/>
          </w:tblCellMar>
        </w:tblPrEx>
        <w:trPr>
          <w:trHeight w:val="247" w:hRule="atLeast"/>
        </w:trPr>
        <w:tc>
          <w:tcPr>
            <w:tcW w:w="1148" w:type="dxa"/>
            <w:vMerge w:val="continue"/>
            <w:tcBorders>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bCs/>
                <w:sz w:val="21"/>
                <w:szCs w:val="21"/>
                <w:highlight w:val="none"/>
              </w:rPr>
            </w:pPr>
            <w:r>
              <w:rPr>
                <w:rFonts w:hint="eastAsia" w:ascii="仿宋" w:hAnsi="仿宋" w:eastAsia="仿宋" w:cs="仿宋"/>
                <w:bCs/>
                <w:sz w:val="21"/>
                <w:szCs w:val="21"/>
                <w:highlight w:val="none"/>
              </w:rPr>
              <w:t>3</w:t>
            </w:r>
          </w:p>
        </w:tc>
        <w:tc>
          <w:tcPr>
            <w:tcW w:w="7762" w:type="dxa"/>
            <w:tcBorders>
              <w:top w:val="single" w:color="auto" w:sz="4" w:space="0"/>
              <w:left w:val="nil"/>
              <w:bottom w:val="single" w:color="auto" w:sz="4" w:space="0"/>
              <w:right w:val="single" w:color="auto" w:sz="4" w:space="0"/>
            </w:tcBorders>
            <w:vAlign w:val="center"/>
          </w:tcPr>
          <w:p>
            <w:pPr>
              <w:pStyle w:val="57"/>
              <w:spacing w:line="480" w:lineRule="auto"/>
              <w:ind w:firstLine="480" w:firstLineChars="200"/>
              <w:rPr>
                <w:rFonts w:ascii="仿宋" w:hAnsi="仿宋" w:eastAsia="仿宋" w:cs="仿宋"/>
                <w:szCs w:val="24"/>
                <w:highlight w:val="none"/>
              </w:rPr>
            </w:pPr>
            <w:r>
              <w:rPr>
                <w:rFonts w:hint="eastAsia" w:ascii="仿宋" w:hAnsi="仿宋" w:eastAsia="仿宋" w:cs="仿宋"/>
                <w:szCs w:val="24"/>
                <w:highlight w:val="none"/>
              </w:rPr>
              <w:t>提供投标人缴税所属时间在2023年01月至本项目投标文件提交截止时间前任意1个月的税务局税收通用缴款书或银行电子缴税（费）凭证或税务局出具纳税情况的相关证明，依法免税的，应提供依法免税的相关证明文件，成立未满1个月的无需提供；</w:t>
            </w:r>
          </w:p>
        </w:tc>
      </w:tr>
      <w:tr>
        <w:tblPrEx>
          <w:tblCellMar>
            <w:top w:w="0" w:type="dxa"/>
            <w:left w:w="108" w:type="dxa"/>
            <w:bottom w:w="0" w:type="dxa"/>
            <w:right w:w="108" w:type="dxa"/>
          </w:tblCellMar>
        </w:tblPrEx>
        <w:trPr>
          <w:trHeight w:val="154" w:hRule="atLeast"/>
        </w:trPr>
        <w:tc>
          <w:tcPr>
            <w:tcW w:w="1148" w:type="dxa"/>
            <w:vMerge w:val="continue"/>
            <w:tcBorders>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bCs/>
                <w:sz w:val="21"/>
                <w:szCs w:val="21"/>
                <w:highlight w:val="none"/>
              </w:rPr>
            </w:pPr>
            <w:r>
              <w:rPr>
                <w:rFonts w:hint="eastAsia" w:ascii="仿宋" w:hAnsi="仿宋" w:eastAsia="仿宋" w:cs="仿宋"/>
                <w:bCs/>
                <w:sz w:val="21"/>
                <w:szCs w:val="21"/>
                <w:highlight w:val="none"/>
              </w:rPr>
              <w:t>4</w:t>
            </w:r>
          </w:p>
        </w:tc>
        <w:tc>
          <w:tcPr>
            <w:tcW w:w="7762" w:type="dxa"/>
            <w:tcBorders>
              <w:top w:val="single" w:color="auto" w:sz="4" w:space="0"/>
              <w:left w:val="nil"/>
              <w:bottom w:val="single" w:color="auto" w:sz="4" w:space="0"/>
              <w:right w:val="single" w:color="auto" w:sz="4" w:space="0"/>
            </w:tcBorders>
            <w:vAlign w:val="center"/>
          </w:tcPr>
          <w:p>
            <w:pPr>
              <w:pStyle w:val="57"/>
              <w:tabs>
                <w:tab w:val="left" w:pos="1429"/>
              </w:tabs>
              <w:spacing w:line="480" w:lineRule="auto"/>
              <w:ind w:firstLine="480" w:firstLineChars="200"/>
              <w:rPr>
                <w:rFonts w:ascii="仿宋" w:hAnsi="仿宋" w:eastAsia="仿宋" w:cs="仿宋"/>
                <w:szCs w:val="24"/>
                <w:highlight w:val="none"/>
              </w:rPr>
            </w:pPr>
            <w:r>
              <w:rPr>
                <w:rFonts w:hint="eastAsia" w:ascii="仿宋" w:hAnsi="仿宋" w:eastAsia="仿宋" w:cs="仿宋"/>
                <w:szCs w:val="24"/>
                <w:highlight w:val="none"/>
              </w:rPr>
              <w:t>提供投标人缴费所属时间在2023年01月至本项目投标文件提交截止时间前任意1个月的社会保险费缴款书或银行电子缴税（费）凭证或社保管理部门出具的有效的缴款证明，依法免缴的，应提供依法免缴的相关证明文件，成立未满1个月的无需提供；</w:t>
            </w:r>
          </w:p>
        </w:tc>
      </w:tr>
      <w:tr>
        <w:tblPrEx>
          <w:tblCellMar>
            <w:top w:w="0" w:type="dxa"/>
            <w:left w:w="108" w:type="dxa"/>
            <w:bottom w:w="0" w:type="dxa"/>
            <w:right w:w="108" w:type="dxa"/>
          </w:tblCellMar>
        </w:tblPrEx>
        <w:trPr>
          <w:trHeight w:val="561" w:hRule="atLeast"/>
        </w:trPr>
        <w:tc>
          <w:tcPr>
            <w:tcW w:w="1148" w:type="dxa"/>
            <w:vMerge w:val="continue"/>
            <w:tcBorders>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bCs/>
                <w:sz w:val="21"/>
                <w:szCs w:val="21"/>
                <w:highlight w:val="none"/>
              </w:rPr>
            </w:pPr>
            <w:r>
              <w:rPr>
                <w:rFonts w:hint="eastAsia" w:ascii="仿宋" w:hAnsi="仿宋" w:eastAsia="仿宋" w:cs="仿宋"/>
                <w:bCs/>
                <w:sz w:val="21"/>
                <w:szCs w:val="21"/>
                <w:highlight w:val="none"/>
              </w:rPr>
              <w:t>5</w:t>
            </w:r>
          </w:p>
        </w:tc>
        <w:tc>
          <w:tcPr>
            <w:tcW w:w="7762" w:type="dxa"/>
            <w:tcBorders>
              <w:top w:val="single" w:color="auto" w:sz="4" w:space="0"/>
              <w:left w:val="nil"/>
              <w:bottom w:val="single" w:color="auto" w:sz="4" w:space="0"/>
              <w:right w:val="single" w:color="auto" w:sz="4" w:space="0"/>
            </w:tcBorders>
            <w:vAlign w:val="center"/>
          </w:tcPr>
          <w:p>
            <w:pPr>
              <w:pStyle w:val="57"/>
              <w:tabs>
                <w:tab w:val="left" w:pos="1429"/>
              </w:tabs>
              <w:spacing w:line="480" w:lineRule="auto"/>
              <w:rPr>
                <w:rFonts w:ascii="仿宋" w:hAnsi="仿宋" w:eastAsia="仿宋" w:cs="仿宋"/>
                <w:szCs w:val="24"/>
                <w:highlight w:val="none"/>
              </w:rPr>
            </w:pPr>
            <w:r>
              <w:rPr>
                <w:rFonts w:hint="eastAsia" w:ascii="仿宋" w:hAnsi="仿宋" w:eastAsia="仿宋" w:cs="仿宋"/>
                <w:szCs w:val="24"/>
                <w:highlight w:val="none"/>
              </w:rPr>
              <w:t>参加此次投标活动前 3 年内，在经营活动中没有重大违法记录的书面声明；</w:t>
            </w:r>
          </w:p>
        </w:tc>
      </w:tr>
      <w:tr>
        <w:tblPrEx>
          <w:tblCellMar>
            <w:top w:w="0" w:type="dxa"/>
            <w:left w:w="108" w:type="dxa"/>
            <w:bottom w:w="0" w:type="dxa"/>
            <w:right w:w="108" w:type="dxa"/>
          </w:tblCellMar>
        </w:tblPrEx>
        <w:trPr>
          <w:trHeight w:val="2358" w:hRule="atLeast"/>
        </w:trPr>
        <w:tc>
          <w:tcPr>
            <w:tcW w:w="1148" w:type="dxa"/>
            <w:vMerge w:val="continue"/>
            <w:tcBorders>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kern w:val="0"/>
                <w:sz w:val="21"/>
                <w:szCs w:val="21"/>
                <w:highlight w:val="none"/>
              </w:rPr>
            </w:pPr>
            <w:r>
              <w:rPr>
                <w:rFonts w:hint="eastAsia" w:ascii="仿宋" w:hAnsi="仿宋" w:eastAsia="仿宋" w:cs="仿宋"/>
                <w:kern w:val="0"/>
                <w:sz w:val="21"/>
                <w:szCs w:val="21"/>
                <w:highlight w:val="none"/>
              </w:rPr>
              <w:t>6</w:t>
            </w:r>
          </w:p>
        </w:tc>
        <w:tc>
          <w:tcPr>
            <w:tcW w:w="7762" w:type="dxa"/>
            <w:tcBorders>
              <w:top w:val="single" w:color="auto" w:sz="4" w:space="0"/>
              <w:left w:val="nil"/>
              <w:bottom w:val="single" w:color="auto" w:sz="4" w:space="0"/>
              <w:right w:val="single" w:color="auto" w:sz="4" w:space="0"/>
            </w:tcBorders>
            <w:vAlign w:val="center"/>
          </w:tcPr>
          <w:p>
            <w:pPr>
              <w:widowControl/>
              <w:spacing w:line="480" w:lineRule="auto"/>
              <w:ind w:firstLine="480" w:firstLineChars="200"/>
              <w:rPr>
                <w:rFonts w:ascii="仿宋" w:hAnsi="仿宋" w:eastAsia="仿宋" w:cs="仿宋"/>
                <w:sz w:val="21"/>
                <w:szCs w:val="21"/>
                <w:highlight w:val="none"/>
              </w:rPr>
            </w:pPr>
            <w:r>
              <w:rPr>
                <w:rFonts w:hint="eastAsia" w:ascii="仿宋" w:hAnsi="仿宋" w:eastAsia="仿宋" w:cs="仿宋"/>
                <w:highlight w:val="none"/>
                <w:lang w:bidi="ar"/>
              </w:rPr>
              <w:t>投标人</w:t>
            </w:r>
            <w:r>
              <w:rPr>
                <w:rFonts w:hint="eastAsia" w:ascii="仿宋" w:hAnsi="仿宋" w:eastAsia="仿宋" w:cs="仿宋"/>
                <w:highlight w:val="none"/>
              </w:rPr>
              <w:t>及法定代表人在“信用中国”未被列入失信被执行人名单；</w:t>
            </w:r>
            <w:r>
              <w:rPr>
                <w:rFonts w:hint="eastAsia" w:ascii="仿宋" w:hAnsi="仿宋" w:eastAsia="仿宋" w:cs="仿宋"/>
                <w:spacing w:val="-4"/>
                <w:kern w:val="0"/>
                <w:highlight w:val="none"/>
              </w:rPr>
              <w:t>投标人</w:t>
            </w:r>
            <w:r>
              <w:rPr>
                <w:rFonts w:hint="eastAsia" w:ascii="仿宋" w:hAnsi="仿宋" w:eastAsia="仿宋" w:cs="仿宋"/>
                <w:highlight w:val="none"/>
              </w:rPr>
              <w:t>在“信用中国”未被列入重大税收违法失信主体、在“中国政府采购网”中未被列入：政府采购严重违法失信行为记录名单。</w:t>
            </w:r>
            <w:r>
              <w:rPr>
                <w:rFonts w:hint="eastAsia" w:ascii="仿宋" w:hAnsi="仿宋" w:eastAsia="仿宋" w:cs="仿宋"/>
                <w:b/>
                <w:bCs/>
                <w:highlight w:val="none"/>
              </w:rPr>
              <w:t>（注：以上网站均由招标人或招标代理机构在开标时查询，若投标人被列入以上名单，视为不满足资格要求）</w:t>
            </w:r>
          </w:p>
        </w:tc>
      </w:tr>
      <w:tr>
        <w:tblPrEx>
          <w:tblCellMar>
            <w:top w:w="0" w:type="dxa"/>
            <w:left w:w="108" w:type="dxa"/>
            <w:bottom w:w="0" w:type="dxa"/>
            <w:right w:w="108" w:type="dxa"/>
          </w:tblCellMar>
        </w:tblPrEx>
        <w:trPr>
          <w:trHeight w:val="561" w:hRule="atLeast"/>
        </w:trPr>
        <w:tc>
          <w:tcPr>
            <w:tcW w:w="1148" w:type="dxa"/>
            <w:tcBorders>
              <w:left w:val="single" w:color="auto" w:sz="4" w:space="0"/>
              <w:bottom w:val="single" w:color="auto" w:sz="4" w:space="0"/>
              <w:right w:val="single" w:color="auto" w:sz="4" w:space="0"/>
            </w:tcBorders>
            <w:vAlign w:val="center"/>
          </w:tcPr>
          <w:p>
            <w:pPr>
              <w:spacing w:line="480" w:lineRule="auto"/>
              <w:jc w:val="center"/>
              <w:rPr>
                <w:rFonts w:ascii="仿宋" w:hAnsi="仿宋" w:eastAsia="仿宋" w:cs="仿宋"/>
                <w:b/>
                <w:sz w:val="21"/>
                <w:szCs w:val="21"/>
                <w:highlight w:val="none"/>
              </w:rPr>
            </w:pPr>
          </w:p>
        </w:tc>
        <w:tc>
          <w:tcPr>
            <w:tcW w:w="1123" w:type="dxa"/>
            <w:tcBorders>
              <w:top w:val="single" w:color="auto" w:sz="4" w:space="0"/>
              <w:left w:val="single" w:color="auto" w:sz="4" w:space="0"/>
              <w:bottom w:val="single" w:color="auto" w:sz="4" w:space="0"/>
              <w:right w:val="single" w:color="000000" w:sz="4" w:space="0"/>
            </w:tcBorders>
            <w:vAlign w:val="center"/>
          </w:tcPr>
          <w:p>
            <w:pPr>
              <w:spacing w:line="480" w:lineRule="auto"/>
              <w:jc w:val="center"/>
              <w:rPr>
                <w:rFonts w:ascii="仿宋" w:hAnsi="仿宋" w:eastAsia="仿宋" w:cs="仿宋"/>
                <w:bCs/>
                <w:sz w:val="21"/>
                <w:szCs w:val="21"/>
                <w:highlight w:val="none"/>
              </w:rPr>
            </w:pPr>
            <w:r>
              <w:rPr>
                <w:rFonts w:hint="eastAsia" w:ascii="仿宋" w:hAnsi="仿宋" w:eastAsia="仿宋" w:cs="仿宋"/>
                <w:bCs/>
                <w:sz w:val="21"/>
                <w:szCs w:val="21"/>
                <w:highlight w:val="none"/>
              </w:rPr>
              <w:t>7</w:t>
            </w:r>
          </w:p>
        </w:tc>
        <w:tc>
          <w:tcPr>
            <w:tcW w:w="7762" w:type="dxa"/>
            <w:tcBorders>
              <w:top w:val="single" w:color="auto" w:sz="4" w:space="0"/>
              <w:left w:val="nil"/>
              <w:bottom w:val="single" w:color="auto" w:sz="4" w:space="0"/>
              <w:right w:val="single" w:color="auto" w:sz="4" w:space="0"/>
            </w:tcBorders>
            <w:vAlign w:val="center"/>
          </w:tcPr>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单位负责人为同一人或者存在直接控股、管理关系的不同投标人，不得参加同一合同项下的政府采购活动。</w:t>
            </w:r>
            <w:r>
              <w:rPr>
                <w:rFonts w:hint="eastAsia" w:ascii="仿宋" w:hAnsi="仿宋" w:eastAsia="仿宋" w:cs="仿宋"/>
                <w:spacing w:val="-4"/>
                <w:kern w:val="0"/>
                <w:highlight w:val="none"/>
              </w:rPr>
              <w:t>自行提供书面承诺并</w:t>
            </w:r>
            <w:r>
              <w:rPr>
                <w:rFonts w:hint="eastAsia" w:ascii="仿宋" w:hAnsi="仿宋" w:eastAsia="仿宋" w:cs="仿宋"/>
                <w:spacing w:val="-4"/>
                <w:kern w:val="0"/>
                <w:highlight w:val="none"/>
                <w:lang w:val="zh-CN"/>
              </w:rPr>
              <w:t>加盖公章。</w:t>
            </w:r>
          </w:p>
        </w:tc>
      </w:tr>
    </w:tbl>
    <w:p>
      <w:pPr>
        <w:tabs>
          <w:tab w:val="left" w:pos="6480"/>
        </w:tabs>
        <w:spacing w:before="156" w:beforeLines="50" w:after="156" w:afterLines="50" w:line="480" w:lineRule="auto"/>
        <w:ind w:right="26" w:rightChars="11"/>
        <w:jc w:val="center"/>
        <w:outlineLvl w:val="0"/>
        <w:rPr>
          <w:rFonts w:ascii="仿宋" w:hAnsi="仿宋" w:eastAsia="仿宋" w:cs="仿宋"/>
          <w:b/>
          <w:sz w:val="36"/>
          <w:szCs w:val="36"/>
          <w:highlight w:val="none"/>
        </w:rPr>
      </w:pPr>
      <w:r>
        <w:rPr>
          <w:rFonts w:hint="eastAsia" w:ascii="仿宋" w:hAnsi="仿宋" w:eastAsia="仿宋" w:cs="仿宋"/>
          <w:b/>
          <w:sz w:val="36"/>
          <w:szCs w:val="36"/>
          <w:highlight w:val="none"/>
        </w:rPr>
        <w:br w:type="page"/>
      </w:r>
      <w:bookmarkStart w:id="60" w:name="_Toc73290925"/>
      <w:r>
        <w:rPr>
          <w:rFonts w:hint="eastAsia" w:ascii="仿宋" w:hAnsi="仿宋" w:eastAsia="仿宋" w:cs="仿宋"/>
          <w:b/>
          <w:sz w:val="36"/>
          <w:szCs w:val="36"/>
          <w:highlight w:val="none"/>
        </w:rPr>
        <w:t>第四章 评标办法</w:t>
      </w:r>
      <w:bookmarkEnd w:id="60"/>
    </w:p>
    <w:p>
      <w:pPr>
        <w:pStyle w:val="4"/>
        <w:spacing w:before="0" w:after="0" w:line="240" w:lineRule="auto"/>
        <w:jc w:val="center"/>
        <w:rPr>
          <w:rFonts w:ascii="仿宋" w:hAnsi="仿宋" w:eastAsia="仿宋" w:cs="仿宋"/>
          <w:sz w:val="28"/>
          <w:szCs w:val="28"/>
          <w:highlight w:val="none"/>
        </w:rPr>
      </w:pPr>
      <w:bookmarkStart w:id="61" w:name="_Toc492988508"/>
      <w:bookmarkStart w:id="62" w:name="_Toc492988756"/>
      <w:bookmarkStart w:id="63" w:name="_Toc337656421"/>
      <w:bookmarkStart w:id="64" w:name="_Toc250236948"/>
      <w:bookmarkStart w:id="65" w:name="_Toc73290927"/>
      <w:bookmarkStart w:id="66" w:name="_Toc351542722"/>
      <w:bookmarkStart w:id="67" w:name="_Toc12942"/>
      <w:bookmarkStart w:id="68" w:name="_Toc27317405"/>
      <w:r>
        <w:rPr>
          <w:rFonts w:hint="eastAsia" w:ascii="仿宋" w:hAnsi="仿宋" w:eastAsia="仿宋" w:cs="仿宋"/>
          <w:sz w:val="28"/>
          <w:szCs w:val="28"/>
          <w:highlight w:val="none"/>
        </w:rPr>
        <w:t>一、评标办法前附表</w:t>
      </w:r>
      <w:bookmarkEnd w:id="61"/>
      <w:bookmarkEnd w:id="62"/>
      <w:bookmarkEnd w:id="63"/>
      <w:bookmarkEnd w:id="64"/>
      <w:bookmarkEnd w:id="65"/>
      <w:bookmarkEnd w:id="66"/>
      <w:bookmarkEnd w:id="67"/>
      <w:bookmarkEnd w:id="68"/>
    </w:p>
    <w:tbl>
      <w:tblPr>
        <w:tblStyle w:val="33"/>
        <w:tblW w:w="960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68"/>
        <w:gridCol w:w="2647"/>
        <w:gridCol w:w="589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Align w:val="center"/>
          </w:tcPr>
          <w:p>
            <w:pPr>
              <w:spacing w:before="156" w:beforeLines="50" w:line="360" w:lineRule="auto"/>
              <w:jc w:val="center"/>
              <w:rPr>
                <w:rFonts w:ascii="仿宋" w:hAnsi="仿宋" w:eastAsia="仿宋" w:cs="仿宋"/>
                <w:b/>
                <w:highlight w:val="none"/>
              </w:rPr>
            </w:pPr>
            <w:r>
              <w:rPr>
                <w:rFonts w:hint="eastAsia" w:ascii="仿宋" w:hAnsi="仿宋" w:eastAsia="仿宋" w:cs="仿宋"/>
                <w:b/>
                <w:highlight w:val="none"/>
              </w:rPr>
              <w:t>条款号</w:t>
            </w:r>
          </w:p>
        </w:tc>
        <w:tc>
          <w:tcPr>
            <w:tcW w:w="2647" w:type="dxa"/>
            <w:vAlign w:val="center"/>
          </w:tcPr>
          <w:p>
            <w:pPr>
              <w:wordWrap w:val="0"/>
              <w:spacing w:before="156" w:beforeLines="50" w:line="360" w:lineRule="auto"/>
              <w:jc w:val="center"/>
              <w:rPr>
                <w:rFonts w:ascii="仿宋" w:hAnsi="仿宋" w:eastAsia="仿宋" w:cs="仿宋"/>
                <w:b/>
                <w:highlight w:val="none"/>
              </w:rPr>
            </w:pPr>
            <w:r>
              <w:rPr>
                <w:rFonts w:hint="eastAsia" w:ascii="仿宋" w:hAnsi="仿宋" w:eastAsia="仿宋" w:cs="仿宋"/>
                <w:b/>
                <w:highlight w:val="none"/>
              </w:rPr>
              <w:t>评审因素</w:t>
            </w:r>
          </w:p>
        </w:tc>
        <w:tc>
          <w:tcPr>
            <w:tcW w:w="5890" w:type="dxa"/>
            <w:vAlign w:val="center"/>
          </w:tcPr>
          <w:p>
            <w:pPr>
              <w:wordWrap w:val="0"/>
              <w:spacing w:before="156" w:beforeLines="50" w:line="360" w:lineRule="auto"/>
              <w:jc w:val="center"/>
              <w:rPr>
                <w:rFonts w:ascii="仿宋" w:hAnsi="仿宋" w:eastAsia="仿宋" w:cs="仿宋"/>
                <w:b/>
                <w:highlight w:val="none"/>
              </w:rPr>
            </w:pPr>
            <w:r>
              <w:rPr>
                <w:rFonts w:hint="eastAsia" w:ascii="仿宋" w:hAnsi="仿宋" w:eastAsia="仿宋" w:cs="仿宋"/>
                <w:b/>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restart"/>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符合性评审标准</w:t>
            </w:r>
          </w:p>
        </w:tc>
        <w:tc>
          <w:tcPr>
            <w:tcW w:w="2647" w:type="dxa"/>
            <w:vAlign w:val="center"/>
          </w:tcPr>
          <w:p>
            <w:pPr>
              <w:wordWrap w:val="0"/>
              <w:spacing w:before="156" w:beforeLines="50" w:line="360" w:lineRule="auto"/>
              <w:jc w:val="center"/>
              <w:rPr>
                <w:rFonts w:ascii="仿宋" w:hAnsi="仿宋" w:eastAsia="仿宋" w:cs="仿宋"/>
                <w:bCs/>
                <w:highlight w:val="none"/>
              </w:rPr>
            </w:pPr>
            <w:r>
              <w:rPr>
                <w:rFonts w:hint="eastAsia" w:ascii="仿宋" w:hAnsi="仿宋" w:eastAsia="仿宋" w:cs="仿宋"/>
                <w:bCs/>
                <w:highlight w:val="none"/>
              </w:rPr>
              <w:t>投标报价</w:t>
            </w:r>
          </w:p>
        </w:tc>
        <w:tc>
          <w:tcPr>
            <w:tcW w:w="5890" w:type="dxa"/>
            <w:vAlign w:val="center"/>
          </w:tcPr>
          <w:p>
            <w:pPr>
              <w:wordWrap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投标人须提供一份投标文件，在一份投标文件中对同一招标的服务只有一个报价，投标报价不得超过最高限价</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电子投标文件签字、盖章</w:t>
            </w:r>
          </w:p>
        </w:tc>
        <w:tc>
          <w:tcPr>
            <w:tcW w:w="5890" w:type="dxa"/>
            <w:vAlign w:val="center"/>
          </w:tcPr>
          <w:p>
            <w:pPr>
              <w:wordWrap w:val="0"/>
              <w:spacing w:before="156" w:beforeLines="50" w:line="360" w:lineRule="auto"/>
              <w:rPr>
                <w:rFonts w:ascii="仿宋" w:hAnsi="仿宋" w:eastAsia="仿宋" w:cs="仿宋"/>
                <w:highlight w:val="none"/>
              </w:rPr>
            </w:pPr>
            <w:r>
              <w:rPr>
                <w:rFonts w:hint="eastAsia" w:ascii="仿宋" w:hAnsi="仿宋" w:eastAsia="仿宋" w:cs="仿宋"/>
                <w:highlight w:val="none"/>
              </w:rPr>
              <w:t>须按招标文件要求签字或盖章。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法定代表人身份证明及授权委托书</w:t>
            </w:r>
          </w:p>
        </w:tc>
        <w:tc>
          <w:tcPr>
            <w:tcW w:w="5890" w:type="dxa"/>
            <w:vAlign w:val="center"/>
          </w:tcPr>
          <w:p>
            <w:pPr>
              <w:wordWrap w:val="0"/>
              <w:spacing w:before="156" w:beforeLines="50" w:line="360" w:lineRule="auto"/>
              <w:rPr>
                <w:rFonts w:ascii="仿宋" w:hAnsi="仿宋" w:eastAsia="仿宋" w:cs="仿宋"/>
                <w:highlight w:val="none"/>
              </w:rPr>
            </w:pPr>
            <w:r>
              <w:rPr>
                <w:rFonts w:hint="eastAsia" w:ascii="仿宋" w:hAnsi="仿宋" w:eastAsia="仿宋" w:cs="仿宋"/>
                <w:highlight w:val="none"/>
              </w:rPr>
              <w:t>须按格式要求填写，签字人须具有法定代表人有效授权。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电子投标文件格式</w:t>
            </w:r>
          </w:p>
        </w:tc>
        <w:tc>
          <w:tcPr>
            <w:tcW w:w="5890" w:type="dxa"/>
            <w:vAlign w:val="center"/>
          </w:tcPr>
          <w:p>
            <w:pPr>
              <w:wordWrap w:val="0"/>
              <w:spacing w:before="156" w:beforeLines="50" w:line="360" w:lineRule="auto"/>
              <w:rPr>
                <w:rFonts w:ascii="仿宋" w:hAnsi="仿宋" w:eastAsia="仿宋" w:cs="仿宋"/>
                <w:highlight w:val="none"/>
              </w:rPr>
            </w:pPr>
            <w:r>
              <w:rPr>
                <w:rFonts w:hint="eastAsia" w:ascii="仿宋" w:hAnsi="仿宋" w:eastAsia="仿宋" w:cs="仿宋"/>
                <w:highlight w:val="none"/>
              </w:rPr>
              <w:t>须按招标文件规定的格式填写。</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rPr>
                <w:rFonts w:ascii="仿宋" w:hAnsi="仿宋" w:eastAsia="仿宋" w:cs="仿宋"/>
                <w:highlight w:val="none"/>
              </w:rPr>
            </w:pPr>
          </w:p>
        </w:tc>
        <w:tc>
          <w:tcPr>
            <w:tcW w:w="2647" w:type="dxa"/>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投标有效期</w:t>
            </w:r>
          </w:p>
        </w:tc>
        <w:tc>
          <w:tcPr>
            <w:tcW w:w="5890" w:type="dxa"/>
            <w:vAlign w:val="center"/>
          </w:tcPr>
          <w:p>
            <w:pPr>
              <w:wordWrap w:val="0"/>
              <w:spacing w:before="156" w:beforeLines="50" w:line="360" w:lineRule="auto"/>
              <w:rPr>
                <w:rFonts w:ascii="仿宋" w:hAnsi="仿宋" w:eastAsia="仿宋" w:cs="仿宋"/>
                <w:highlight w:val="none"/>
              </w:rPr>
            </w:pPr>
            <w:r>
              <w:rPr>
                <w:rFonts w:hint="eastAsia" w:ascii="仿宋" w:hAnsi="仿宋" w:eastAsia="仿宋" w:cs="仿宋"/>
                <w:highlight w:val="none"/>
              </w:rPr>
              <w:t>投标文件有效期须满足招标文件要求。</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rPr>
                <w:rFonts w:ascii="仿宋" w:hAnsi="仿宋" w:eastAsia="仿宋" w:cs="仿宋"/>
                <w:highlight w:val="none"/>
              </w:rPr>
            </w:pPr>
          </w:p>
        </w:tc>
        <w:tc>
          <w:tcPr>
            <w:tcW w:w="2647" w:type="dxa"/>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lang w:val="zh-CN"/>
              </w:rPr>
              <w:t>投标保证金</w:t>
            </w:r>
          </w:p>
        </w:tc>
        <w:tc>
          <w:tcPr>
            <w:tcW w:w="5890" w:type="dxa"/>
            <w:vAlign w:val="center"/>
          </w:tcPr>
          <w:p>
            <w:pPr>
              <w:wordWrap w:val="0"/>
              <w:spacing w:before="156" w:beforeLines="50" w:line="360" w:lineRule="auto"/>
              <w:rPr>
                <w:rFonts w:ascii="仿宋" w:hAnsi="仿宋" w:eastAsia="仿宋" w:cs="仿宋"/>
                <w:highlight w:val="none"/>
              </w:rPr>
            </w:pPr>
            <w:r>
              <w:rPr>
                <w:rFonts w:hint="eastAsia" w:ascii="仿宋" w:hAnsi="仿宋" w:eastAsia="仿宋" w:cs="仿宋"/>
                <w:highlight w:val="none"/>
              </w:rPr>
              <w:t>须按招标文件要求提交投标保证金。</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rPr>
                <w:rFonts w:ascii="仿宋" w:hAnsi="仿宋" w:eastAsia="仿宋" w:cs="仿宋"/>
                <w:highlight w:val="none"/>
              </w:rPr>
            </w:pPr>
          </w:p>
        </w:tc>
        <w:tc>
          <w:tcPr>
            <w:tcW w:w="2647" w:type="dxa"/>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实质性响应要求</w:t>
            </w:r>
          </w:p>
        </w:tc>
        <w:tc>
          <w:tcPr>
            <w:tcW w:w="5890" w:type="dxa"/>
            <w:vAlign w:val="center"/>
          </w:tcPr>
          <w:p>
            <w:pPr>
              <w:wordWrap w:val="0"/>
              <w:spacing w:before="156" w:beforeLines="50" w:line="360" w:lineRule="auto"/>
              <w:rPr>
                <w:rFonts w:ascii="仿宋" w:hAnsi="仿宋" w:eastAsia="仿宋" w:cs="仿宋"/>
                <w:highlight w:val="none"/>
              </w:rPr>
            </w:pPr>
            <w:r>
              <w:rPr>
                <w:rFonts w:hint="eastAsia" w:ascii="仿宋" w:hAnsi="仿宋" w:eastAsia="仿宋" w:cs="仿宋"/>
                <w:highlight w:val="none"/>
              </w:rPr>
              <w:t>投标人须对招标文件作出实质性响应。</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Align w:val="center"/>
          </w:tcPr>
          <w:p>
            <w:pPr>
              <w:wordWrap w:val="0"/>
              <w:spacing w:before="156" w:beforeLines="50" w:line="360" w:lineRule="auto"/>
              <w:jc w:val="center"/>
              <w:rPr>
                <w:rFonts w:ascii="仿宋" w:hAnsi="仿宋" w:eastAsia="仿宋" w:cs="仿宋"/>
                <w:b/>
                <w:highlight w:val="none"/>
              </w:rPr>
            </w:pPr>
            <w:r>
              <w:rPr>
                <w:rFonts w:hint="eastAsia" w:ascii="仿宋" w:hAnsi="仿宋" w:eastAsia="仿宋" w:cs="仿宋"/>
                <w:b/>
                <w:highlight w:val="none"/>
              </w:rPr>
              <w:t>条款号</w:t>
            </w:r>
          </w:p>
        </w:tc>
        <w:tc>
          <w:tcPr>
            <w:tcW w:w="2647" w:type="dxa"/>
            <w:vAlign w:val="center"/>
          </w:tcPr>
          <w:p>
            <w:pPr>
              <w:wordWrap w:val="0"/>
              <w:spacing w:before="156" w:beforeLines="50" w:line="360" w:lineRule="auto"/>
              <w:jc w:val="center"/>
              <w:rPr>
                <w:rFonts w:ascii="仿宋" w:hAnsi="仿宋" w:eastAsia="仿宋" w:cs="仿宋"/>
                <w:b/>
                <w:highlight w:val="none"/>
              </w:rPr>
            </w:pPr>
            <w:r>
              <w:rPr>
                <w:rFonts w:hint="eastAsia" w:ascii="仿宋" w:hAnsi="仿宋" w:eastAsia="仿宋" w:cs="仿宋"/>
                <w:b/>
                <w:highlight w:val="none"/>
              </w:rPr>
              <w:t>条款内容</w:t>
            </w:r>
          </w:p>
        </w:tc>
        <w:tc>
          <w:tcPr>
            <w:tcW w:w="5890" w:type="dxa"/>
            <w:vAlign w:val="center"/>
          </w:tcPr>
          <w:p>
            <w:pPr>
              <w:wordWrap w:val="0"/>
              <w:spacing w:before="156" w:beforeLines="50" w:line="360" w:lineRule="auto"/>
              <w:jc w:val="center"/>
              <w:rPr>
                <w:rFonts w:ascii="仿宋" w:hAnsi="仿宋" w:eastAsia="仿宋" w:cs="仿宋"/>
                <w:b/>
                <w:highlight w:val="none"/>
              </w:rPr>
            </w:pPr>
            <w:r>
              <w:rPr>
                <w:rFonts w:hint="eastAsia" w:ascii="仿宋" w:hAnsi="仿宋" w:eastAsia="仿宋" w:cs="仿宋"/>
                <w:b/>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restart"/>
            <w:vAlign w:val="center"/>
          </w:tcPr>
          <w:p>
            <w:pPr>
              <w:wordWrap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详细评审</w:t>
            </w:r>
          </w:p>
        </w:tc>
        <w:tc>
          <w:tcPr>
            <w:tcW w:w="2647" w:type="dxa"/>
            <w:vAlign w:val="center"/>
          </w:tcPr>
          <w:p>
            <w:pPr>
              <w:wordWrap w:val="0"/>
              <w:snapToGrid w:val="0"/>
              <w:spacing w:before="156" w:beforeLines="50" w:line="360" w:lineRule="auto"/>
              <w:jc w:val="center"/>
              <w:rPr>
                <w:rFonts w:ascii="仿宋" w:hAnsi="仿宋" w:eastAsia="仿宋" w:cs="仿宋"/>
                <w:highlight w:val="none"/>
              </w:rPr>
            </w:pPr>
            <w:r>
              <w:rPr>
                <w:rFonts w:hint="eastAsia" w:ascii="仿宋" w:hAnsi="仿宋" w:eastAsia="仿宋" w:cs="仿宋"/>
                <w:highlight w:val="none"/>
              </w:rPr>
              <w:t>评标总得分计算公式</w:t>
            </w:r>
          </w:p>
        </w:tc>
        <w:tc>
          <w:tcPr>
            <w:tcW w:w="5890" w:type="dxa"/>
            <w:vAlign w:val="center"/>
          </w:tcPr>
          <w:p>
            <w:pPr>
              <w:wordWrap w:val="0"/>
              <w:snapToGrid w:val="0"/>
              <w:spacing w:before="156" w:beforeLines="50"/>
              <w:rPr>
                <w:rFonts w:ascii="仿宋" w:hAnsi="仿宋" w:eastAsia="仿宋" w:cs="仿宋"/>
                <w:highlight w:val="none"/>
              </w:rPr>
            </w:pPr>
            <w:r>
              <w:rPr>
                <w:rFonts w:hint="eastAsia" w:ascii="仿宋" w:hAnsi="仿宋" w:eastAsia="仿宋" w:cs="仿宋"/>
                <w:highlight w:val="none"/>
              </w:rPr>
              <w:t>评标总得分＝F1+F2+F3</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napToGrid w:val="0"/>
              <w:spacing w:before="156" w:beforeLines="50" w:line="360" w:lineRule="auto"/>
              <w:jc w:val="center"/>
              <w:rPr>
                <w:rFonts w:ascii="仿宋" w:hAnsi="仿宋" w:eastAsia="仿宋" w:cs="仿宋"/>
                <w:highlight w:val="none"/>
              </w:rPr>
            </w:pPr>
            <w:r>
              <w:rPr>
                <w:rFonts w:hint="eastAsia" w:ascii="仿宋" w:hAnsi="仿宋" w:eastAsia="仿宋" w:cs="仿宋"/>
                <w:bCs/>
                <w:highlight w:val="none"/>
              </w:rPr>
              <w:t>评分因素权重</w:t>
            </w:r>
          </w:p>
        </w:tc>
        <w:tc>
          <w:tcPr>
            <w:tcW w:w="5890" w:type="dxa"/>
            <w:vAlign w:val="center"/>
          </w:tcPr>
          <w:p>
            <w:pPr>
              <w:wordWrap w:val="0"/>
              <w:snapToGrid w:val="0"/>
              <w:spacing w:before="156" w:beforeLines="50"/>
              <w:rPr>
                <w:rFonts w:ascii="仿宋" w:hAnsi="仿宋" w:eastAsia="仿宋" w:cs="仿宋"/>
                <w:bCs/>
                <w:highlight w:val="none"/>
              </w:rPr>
            </w:pPr>
            <w:r>
              <w:rPr>
                <w:rFonts w:hint="eastAsia" w:ascii="仿宋" w:hAnsi="仿宋" w:eastAsia="仿宋" w:cs="仿宋"/>
                <w:bCs/>
                <w:highlight w:val="none"/>
              </w:rPr>
              <w:t>投标报价F1：10分</w:t>
            </w:r>
          </w:p>
          <w:p>
            <w:pPr>
              <w:wordWrap w:val="0"/>
              <w:snapToGrid w:val="0"/>
              <w:spacing w:before="156" w:beforeLines="50"/>
              <w:rPr>
                <w:rFonts w:ascii="仿宋" w:hAnsi="仿宋" w:eastAsia="仿宋" w:cs="仿宋"/>
                <w:bCs/>
                <w:highlight w:val="none"/>
              </w:rPr>
            </w:pPr>
            <w:r>
              <w:rPr>
                <w:rFonts w:hint="eastAsia" w:ascii="仿宋" w:hAnsi="仿宋" w:eastAsia="仿宋" w:cs="仿宋"/>
                <w:bCs/>
                <w:highlight w:val="none"/>
              </w:rPr>
              <w:t>技术部分F2：</w:t>
            </w:r>
            <w:r>
              <w:rPr>
                <w:rFonts w:hint="eastAsia" w:ascii="仿宋" w:hAnsi="仿宋" w:eastAsia="仿宋" w:cs="仿宋"/>
                <w:bCs/>
                <w:highlight w:val="none"/>
                <w:lang w:val="en-US" w:eastAsia="zh-CN"/>
              </w:rPr>
              <w:t>25</w:t>
            </w:r>
            <w:r>
              <w:rPr>
                <w:rFonts w:hint="eastAsia" w:ascii="仿宋" w:hAnsi="仿宋" w:eastAsia="仿宋" w:cs="仿宋"/>
                <w:bCs/>
                <w:highlight w:val="none"/>
              </w:rPr>
              <w:t>分</w:t>
            </w:r>
          </w:p>
          <w:p>
            <w:pPr>
              <w:wordWrap w:val="0"/>
              <w:snapToGrid w:val="0"/>
              <w:spacing w:before="156" w:beforeLines="50"/>
              <w:rPr>
                <w:rFonts w:ascii="仿宋" w:hAnsi="仿宋" w:eastAsia="仿宋" w:cs="仿宋"/>
                <w:bCs/>
                <w:highlight w:val="none"/>
              </w:rPr>
            </w:pPr>
            <w:r>
              <w:rPr>
                <w:rFonts w:hint="eastAsia" w:ascii="仿宋" w:hAnsi="仿宋" w:eastAsia="仿宋" w:cs="仿宋"/>
                <w:bCs/>
                <w:highlight w:val="none"/>
              </w:rPr>
              <w:t>商务部分F3：</w:t>
            </w:r>
            <w:r>
              <w:rPr>
                <w:rFonts w:hint="eastAsia" w:ascii="仿宋" w:hAnsi="仿宋" w:eastAsia="仿宋" w:cs="仿宋"/>
                <w:bCs/>
                <w:highlight w:val="none"/>
                <w:lang w:val="en-US" w:eastAsia="zh-CN"/>
              </w:rPr>
              <w:t>65</w:t>
            </w:r>
            <w:r>
              <w:rPr>
                <w:rFonts w:hint="eastAsia" w:ascii="仿宋" w:hAnsi="仿宋" w:eastAsia="仿宋" w:cs="仿宋"/>
                <w:bCs/>
                <w:highlight w:val="none"/>
              </w:rPr>
              <w:t>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napToGrid w:val="0"/>
              <w:spacing w:before="156" w:beforeLines="50" w:line="360" w:lineRule="auto"/>
              <w:jc w:val="center"/>
              <w:rPr>
                <w:rFonts w:ascii="仿宋" w:hAnsi="仿宋" w:eastAsia="仿宋" w:cs="仿宋"/>
                <w:bCs/>
                <w:highlight w:val="none"/>
              </w:rPr>
            </w:pPr>
            <w:r>
              <w:rPr>
                <w:rFonts w:hint="eastAsia" w:ascii="仿宋" w:hAnsi="仿宋" w:eastAsia="仿宋" w:cs="仿宋"/>
                <w:bCs/>
                <w:highlight w:val="none"/>
              </w:rPr>
              <w:t>投标报价F1（10分）</w:t>
            </w:r>
          </w:p>
        </w:tc>
        <w:tc>
          <w:tcPr>
            <w:tcW w:w="5890" w:type="dxa"/>
            <w:vAlign w:val="center"/>
          </w:tcPr>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投标报价计算公式=评标基准价/投标报价×10</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即：F1=[C/（B1，B2，…，Bn）]×10注：C为评标基准价，即有效投标人是指通过符合性评审的投标人，评标基准价是指各有效投标人中的最低投标报价。</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B1，B2，…，Bn为第n个经初步审查合格的有效投标报价。</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注：1.计算结果保留小数点后两位，第三位四舍五入。</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2.本项目针对小微型企业产品或残疾人福利性单位产品的价格给予10%的扣除，用扣除后的价格参与评审，残疾人福利性单位属于小微企业的，不重复享受优惠政策。</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3.请投标人根据自身情况提供证明材料及小微企业声明函，无证明材料或小微企业声明函的在价格评分时不对投标报价进行扣除。</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3" w:hRule="atLeast"/>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napToGrid w:val="0"/>
              <w:spacing w:before="156" w:beforeLines="50" w:line="360" w:lineRule="auto"/>
              <w:jc w:val="center"/>
              <w:rPr>
                <w:rFonts w:ascii="仿宋" w:hAnsi="仿宋" w:eastAsia="仿宋" w:cs="仿宋"/>
                <w:bCs/>
                <w:highlight w:val="none"/>
              </w:rPr>
            </w:pPr>
            <w:r>
              <w:rPr>
                <w:rFonts w:hint="eastAsia" w:ascii="仿宋" w:hAnsi="仿宋" w:eastAsia="仿宋" w:cs="仿宋"/>
                <w:bCs/>
                <w:highlight w:val="none"/>
              </w:rPr>
              <w:t>技术部分F2</w:t>
            </w:r>
            <w:r>
              <w:rPr>
                <w:rFonts w:hint="eastAsia" w:ascii="仿宋" w:hAnsi="仿宋" w:eastAsia="仿宋" w:cs="仿宋"/>
                <w:bCs/>
                <w:highlight w:val="none"/>
                <w:lang w:val="zh-TW"/>
              </w:rPr>
              <w:t>（</w:t>
            </w:r>
            <w:r>
              <w:rPr>
                <w:rFonts w:hint="eastAsia" w:ascii="仿宋" w:hAnsi="仿宋" w:eastAsia="仿宋" w:cs="仿宋"/>
                <w:bCs/>
                <w:highlight w:val="none"/>
              </w:rPr>
              <w:t>25</w:t>
            </w:r>
            <w:r>
              <w:rPr>
                <w:rFonts w:hint="eastAsia" w:ascii="仿宋" w:hAnsi="仿宋" w:eastAsia="仿宋" w:cs="仿宋"/>
                <w:bCs/>
                <w:highlight w:val="none"/>
                <w:lang w:val="zh-TW"/>
              </w:rPr>
              <w:t>分）</w:t>
            </w:r>
          </w:p>
        </w:tc>
        <w:tc>
          <w:tcPr>
            <w:tcW w:w="5890" w:type="dxa"/>
            <w:vAlign w:val="center"/>
          </w:tcPr>
          <w:p>
            <w:pPr>
              <w:wordWrap w:val="0"/>
              <w:snapToGrid w:val="0"/>
              <w:spacing w:before="156" w:beforeLines="50" w:line="360" w:lineRule="auto"/>
              <w:jc w:val="left"/>
              <w:rPr>
                <w:rFonts w:ascii="仿宋" w:hAnsi="仿宋" w:eastAsia="仿宋" w:cs="仿宋"/>
                <w:kern w:val="0"/>
                <w:highlight w:val="none"/>
              </w:rPr>
            </w:pPr>
            <w:r>
              <w:rPr>
                <w:rFonts w:hint="eastAsia" w:ascii="仿宋" w:hAnsi="仿宋" w:eastAsia="仿宋" w:cs="仿宋"/>
                <w:b/>
                <w:bCs/>
                <w:kern w:val="0"/>
                <w:highlight w:val="none"/>
              </w:rPr>
              <w:t>一、产品参数的响应程度（满分25分）</w:t>
            </w:r>
          </w:p>
          <w:p>
            <w:pPr>
              <w:wordWrap w:val="0"/>
              <w:snapToGrid w:val="0"/>
              <w:spacing w:before="156" w:beforeLines="50" w:line="360" w:lineRule="auto"/>
              <w:jc w:val="left"/>
              <w:rPr>
                <w:rFonts w:asciiTheme="minorEastAsia" w:hAnsiTheme="minorEastAsia" w:eastAsiaTheme="minorEastAsia" w:cstheme="minorEastAsia"/>
                <w:highlight w:val="none"/>
              </w:rPr>
            </w:pPr>
            <w:r>
              <w:rPr>
                <w:rFonts w:hint="eastAsia" w:ascii="仿宋" w:hAnsi="仿宋" w:eastAsia="仿宋" w:cs="仿宋"/>
                <w:bCs/>
                <w:highlight w:val="none"/>
              </w:rPr>
              <w:t>液位仪数据采集服务、信息采集服务、大数据综合管理云平台服务对应所需产品技术参数、性能指标完全满足招标文件第六章采购需求得25分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 xml:space="preserve">（1）标注星号（“▲”）的条款为重要技术条款，负偏离一条扣 </w:t>
            </w:r>
            <w:r>
              <w:rPr>
                <w:rFonts w:hint="eastAsia" w:ascii="仿宋" w:hAnsi="仿宋" w:eastAsia="仿宋" w:cs="仿宋"/>
                <w:bCs/>
                <w:highlight w:val="none"/>
                <w:u w:val="single"/>
              </w:rPr>
              <w:t xml:space="preserve"> 0.65 </w:t>
            </w:r>
            <w:r>
              <w:rPr>
                <w:rFonts w:hint="eastAsia" w:ascii="仿宋" w:hAnsi="仿宋" w:eastAsia="仿宋" w:cs="仿宋"/>
                <w:bCs/>
                <w:highlight w:val="none"/>
              </w:rPr>
              <w:t>分，分数扣完为止，满分</w:t>
            </w:r>
            <w:r>
              <w:rPr>
                <w:rFonts w:hint="eastAsia" w:ascii="仿宋" w:hAnsi="仿宋" w:eastAsia="仿宋" w:cs="仿宋"/>
                <w:bCs/>
                <w:highlight w:val="none"/>
                <w:u w:val="single"/>
              </w:rPr>
              <w:t>15</w:t>
            </w:r>
            <w:r>
              <w:rPr>
                <w:rFonts w:hint="eastAsia" w:ascii="仿宋" w:hAnsi="仿宋" w:eastAsia="仿宋" w:cs="仿宋"/>
                <w:bCs/>
                <w:highlight w:val="none"/>
              </w:rPr>
              <w:t>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（2）未标注星号（“▲”）的条款为一般技术条款，负偏离一条扣</w:t>
            </w:r>
            <w:r>
              <w:rPr>
                <w:rFonts w:hint="eastAsia" w:ascii="仿宋" w:hAnsi="仿宋" w:eastAsia="仿宋" w:cs="仿宋"/>
                <w:bCs/>
                <w:highlight w:val="none"/>
                <w:u w:val="single"/>
              </w:rPr>
              <w:t xml:space="preserve"> 0.14</w:t>
            </w:r>
            <w:r>
              <w:rPr>
                <w:rFonts w:hint="eastAsia" w:ascii="仿宋" w:hAnsi="仿宋" w:eastAsia="仿宋" w:cs="仿宋"/>
                <w:bCs/>
                <w:highlight w:val="none"/>
              </w:rPr>
              <w:t>分，分数扣完为止，满分</w:t>
            </w:r>
            <w:r>
              <w:rPr>
                <w:rFonts w:hint="eastAsia" w:ascii="仿宋" w:hAnsi="仿宋" w:eastAsia="仿宋" w:cs="仿宋"/>
                <w:bCs/>
                <w:highlight w:val="none"/>
                <w:u w:val="single"/>
              </w:rPr>
              <w:t>10</w:t>
            </w:r>
            <w:r>
              <w:rPr>
                <w:rFonts w:hint="eastAsia" w:ascii="仿宋" w:hAnsi="仿宋" w:eastAsia="仿宋" w:cs="仿宋"/>
                <w:bCs/>
                <w:highlight w:val="none"/>
              </w:rPr>
              <w:t>分；</w:t>
            </w:r>
          </w:p>
          <w:p>
            <w:pPr>
              <w:wordWrap w:val="0"/>
              <w:snapToGrid w:val="0"/>
              <w:spacing w:before="156" w:beforeLines="50" w:line="360" w:lineRule="auto"/>
              <w:jc w:val="left"/>
              <w:rPr>
                <w:rFonts w:asciiTheme="minorEastAsia" w:hAnsiTheme="minorEastAsia" w:eastAsiaTheme="minorEastAsia" w:cstheme="minorEastAsia"/>
                <w:highlight w:val="none"/>
              </w:rPr>
            </w:pPr>
            <w:r>
              <w:rPr>
                <w:rFonts w:hint="eastAsia" w:ascii="仿宋" w:hAnsi="仿宋" w:eastAsia="仿宋" w:cs="仿宋"/>
                <w:bCs/>
                <w:highlight w:val="none"/>
              </w:rPr>
              <w:t>（本项目：▲号条款共</w:t>
            </w:r>
            <w:r>
              <w:rPr>
                <w:rFonts w:hint="eastAsia" w:ascii="仿宋" w:hAnsi="仿宋" w:eastAsia="仿宋" w:cs="仿宋"/>
                <w:bCs/>
                <w:highlight w:val="none"/>
                <w:u w:val="single"/>
              </w:rPr>
              <w:t xml:space="preserve">  23  </w:t>
            </w:r>
            <w:r>
              <w:rPr>
                <w:rFonts w:hint="eastAsia" w:ascii="仿宋" w:hAnsi="仿宋" w:eastAsia="仿宋" w:cs="仿宋"/>
                <w:bCs/>
                <w:highlight w:val="none"/>
              </w:rPr>
              <w:t>条；非▲号条款共</w:t>
            </w:r>
            <w:r>
              <w:rPr>
                <w:rFonts w:hint="eastAsia" w:ascii="仿宋" w:hAnsi="仿宋" w:eastAsia="仿宋" w:cs="仿宋"/>
                <w:bCs/>
                <w:highlight w:val="none"/>
                <w:u w:val="single"/>
              </w:rPr>
              <w:t xml:space="preserve">  73 </w:t>
            </w:r>
            <w:r>
              <w:rPr>
                <w:rFonts w:hint="eastAsia" w:ascii="仿宋" w:hAnsi="仿宋" w:eastAsia="仿宋" w:cs="仿宋"/>
                <w:bCs/>
                <w:highlight w:val="none"/>
              </w:rPr>
              <w:t>条）</w:t>
            </w:r>
          </w:p>
          <w:p>
            <w:pPr>
              <w:pStyle w:val="21"/>
              <w:ind w:firstLine="0"/>
              <w:rPr>
                <w:rFonts w:ascii="仿宋" w:hAnsi="仿宋" w:eastAsia="仿宋" w:cs="仿宋"/>
                <w:bCs/>
                <w:highlight w:val="none"/>
              </w:rPr>
            </w:pPr>
            <w:r>
              <w:rPr>
                <w:rFonts w:hint="eastAsia" w:ascii="仿宋" w:hAnsi="仿宋" w:eastAsia="仿宋" w:cs="仿宋"/>
                <w:bCs/>
                <w:highlight w:val="none"/>
              </w:rPr>
              <w:t>注：带▲号的投标服务内容，须按照招标文件中技术参数要求，提供相关证明材料，若虚假响应、或不实质性响应技术要求则该项评审为0分，并由投标企业承担相应责任。</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1068" w:type="dxa"/>
            <w:vMerge w:val="continue"/>
            <w:vAlign w:val="center"/>
          </w:tcPr>
          <w:p>
            <w:pPr>
              <w:wordWrap w:val="0"/>
              <w:spacing w:before="156" w:beforeLines="50" w:line="360" w:lineRule="auto"/>
              <w:jc w:val="center"/>
              <w:rPr>
                <w:rFonts w:ascii="仿宋" w:hAnsi="仿宋" w:eastAsia="仿宋" w:cs="仿宋"/>
                <w:highlight w:val="none"/>
              </w:rPr>
            </w:pPr>
          </w:p>
        </w:tc>
        <w:tc>
          <w:tcPr>
            <w:tcW w:w="2647" w:type="dxa"/>
            <w:vAlign w:val="center"/>
          </w:tcPr>
          <w:p>
            <w:pPr>
              <w:wordWrap w:val="0"/>
              <w:snapToGrid w:val="0"/>
              <w:spacing w:before="156" w:beforeLines="50" w:line="360" w:lineRule="auto"/>
              <w:jc w:val="center"/>
              <w:rPr>
                <w:rFonts w:ascii="仿宋" w:hAnsi="仿宋" w:eastAsia="仿宋" w:cs="仿宋"/>
                <w:bCs/>
                <w:highlight w:val="none"/>
              </w:rPr>
            </w:pPr>
            <w:r>
              <w:rPr>
                <w:rFonts w:hint="eastAsia" w:ascii="仿宋" w:hAnsi="仿宋" w:eastAsia="仿宋" w:cs="仿宋"/>
                <w:bCs/>
                <w:highlight w:val="none"/>
              </w:rPr>
              <w:t>商务部分F3（65分）</w:t>
            </w:r>
          </w:p>
        </w:tc>
        <w:tc>
          <w:tcPr>
            <w:tcW w:w="5890" w:type="dxa"/>
            <w:vAlign w:val="center"/>
          </w:tcPr>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
                <w:highlight w:val="none"/>
              </w:rPr>
              <w:t>一、项目技术方案（满分20分）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投标人根据本项目的建设内容及技术要求制定总体技术方案，包括：1.建设思路、建设目标、建设任务、建设原则；2.提供系统总体架构、数据架构；3.软件建设方案；4.加油站数据采集服务方案；5.网络安全方案、施工安全措施、消防措施；6.巡检方案、维护方案、平台运营方案；7.项目验收方案等进行逐项详细说明。</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（1）整体技术方案具有针对性、功能完整，技术先进、思路清晰、可操作性强的得20分。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（2）整体技术方案具有针对性、功能完整，可操作性一般的得15分。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（3）整体技术方案功能完整，但有一些问题的得5分。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（4）无整体技术方案，本项不得分。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二、</w:t>
            </w:r>
            <w:r>
              <w:rPr>
                <w:rFonts w:hint="eastAsia" w:ascii="仿宋" w:hAnsi="仿宋" w:eastAsia="仿宋" w:cs="仿宋"/>
                <w:b/>
                <w:highlight w:val="none"/>
              </w:rPr>
              <w:t>运维服务保障方案（满分10分）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针对本项目采购需求，对售后服务体系、运维服务体系、应急保障体系等方面评审售后运行服务保障方案：</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第一档次：售后服务体系健全且针对性强，具备科学合理、优质快捷的售后服务点，日常巡检、定期报告、设备检修运维等运维服务方案完整丰富，应急保障体系结合实际且针对性强，承诺立即响应及到达现场时间≤30分钟，专职运维巡检人员工作可能面临的问题分析明确合理、工作保障到位，得10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第二档次：售后服务体系健全，售后服务点能满足招标人的需求，日常巡检、定期报告、设备检修运维等运维服务方案完整，应急保障体系结合实际，承诺立即响应及到达现场时间≤30分钟，专职运维巡检人员可能面临的问题分析与保障总体可行，得7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第三档次：售后服务体系基本健全，售后服务点能基本满足招标人的需求，运维服务方案基本完整，建立基本合理的应急保障体系，承诺立即响应及到达现场时间＞30分钟，有专职运维巡检人员可能面临的问题分析与工作保障设计且基本符合实际，得4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第四档次：运行服务保障方案不完整不合理，售后服务点不能有效的满足招标人需求，承诺立即响应及到达现场时间＞30分钟,无专职运维巡检人员可能面临的问题分析与工作保障设计或不符合实际，得1分；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第五档次：不提供运行服务保障方案的，得0分。</w:t>
            </w:r>
          </w:p>
          <w:p>
            <w:pPr>
              <w:pStyle w:val="2"/>
              <w:rPr>
                <w:rFonts w:ascii="仿宋" w:hAnsi="仿宋" w:eastAsia="仿宋" w:cs="仿宋"/>
                <w:b/>
                <w:highlight w:val="none"/>
              </w:rPr>
            </w:pPr>
            <w:r>
              <w:rPr>
                <w:rFonts w:hint="eastAsia" w:ascii="仿宋" w:hAnsi="仿宋" w:eastAsia="仿宋" w:cs="仿宋"/>
                <w:b/>
                <w:highlight w:val="none"/>
              </w:rPr>
              <w:t>三、质量承诺及保障（满分10分）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(1)质量保证及保障承诺全面、合理、可行，能较好的满足招标要求，得10分；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(2)质量保证及保障承诺基本合理、可行，能基本满足招标要求，得5分；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(3)质量保证及保障承诺一般，部分满足招标要求，得2分；</w:t>
            </w:r>
          </w:p>
          <w:p>
            <w:pPr>
              <w:wordWrap w:val="0"/>
              <w:snapToGrid w:val="0"/>
              <w:spacing w:before="156" w:beforeLines="50" w:line="360" w:lineRule="auto"/>
              <w:jc w:val="left"/>
              <w:rPr>
                <w:rFonts w:ascii="仿宋" w:hAnsi="仿宋" w:eastAsia="仿宋" w:cs="仿宋"/>
                <w:bCs/>
                <w:highlight w:val="none"/>
              </w:rPr>
            </w:pPr>
            <w:r>
              <w:rPr>
                <w:rFonts w:hint="eastAsia" w:ascii="仿宋" w:hAnsi="仿宋" w:eastAsia="仿宋" w:cs="仿宋"/>
                <w:bCs/>
                <w:highlight w:val="none"/>
              </w:rPr>
              <w:t>无质量保证及保障承诺的不得分。</w:t>
            </w:r>
          </w:p>
          <w:p>
            <w:pPr>
              <w:pStyle w:val="88"/>
              <w:spacing w:before="65" w:line="228" w:lineRule="auto"/>
              <w:rPr>
                <w:rFonts w:ascii="仿宋" w:hAnsi="仿宋" w:eastAsia="仿宋" w:cs="仿宋"/>
                <w:b/>
                <w:color w:val="auto"/>
                <w:kern w:val="2"/>
                <w:highlight w:val="none"/>
                <w:lang w:eastAsia="zh-CN"/>
              </w:rPr>
            </w:pPr>
            <w:r>
              <w:rPr>
                <w:rFonts w:hint="eastAsia" w:ascii="仿宋" w:hAnsi="仿宋" w:eastAsia="仿宋" w:cs="仿宋"/>
                <w:b/>
                <w:color w:val="auto"/>
                <w:kern w:val="2"/>
                <w:highlight w:val="none"/>
                <w:lang w:eastAsia="zh-CN"/>
              </w:rPr>
              <w:t>四、网络覆盖服务能力（满分10分）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投标人提供的或选用的通信运营商在陇川县范围内网络覆盖支持能力进行评分。租用/使用或承诺将租用/使用铁塔运营单位的铁塔基站（物理基站）占比100%得满分。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得分计算：</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网络覆盖</w:t>
            </w:r>
            <w:r>
              <w:rPr>
                <w:rFonts w:hint="eastAsia" w:ascii="仿宋" w:hAnsi="仿宋" w:eastAsia="仿宋" w:cs="仿宋"/>
                <w:bCs/>
                <w:color w:val="auto"/>
                <w:kern w:val="2"/>
                <w:highlight w:val="none"/>
                <w:lang w:eastAsia="zh-CN"/>
              </w:rPr>
              <w:t>服务</w:t>
            </w:r>
            <w:r>
              <w:rPr>
                <w:rFonts w:ascii="仿宋" w:hAnsi="仿宋" w:eastAsia="仿宋" w:cs="仿宋"/>
                <w:bCs/>
                <w:color w:val="auto"/>
                <w:kern w:val="2"/>
                <w:highlight w:val="none"/>
                <w:lang w:eastAsia="zh-CN"/>
              </w:rPr>
              <w:t>能力得分＝所承诺或证明占比比例×10分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 xml:space="preserve"> 注：</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①投标人需提供所选用的通信运营商</w:t>
            </w:r>
            <w:r>
              <w:rPr>
                <w:rFonts w:hint="eastAsia" w:ascii="仿宋" w:hAnsi="仿宋" w:eastAsia="仿宋" w:cs="仿宋"/>
                <w:bCs/>
                <w:color w:val="auto"/>
                <w:kern w:val="2"/>
                <w:highlight w:val="none"/>
                <w:lang w:eastAsia="zh-CN"/>
              </w:rPr>
              <w:t>提供</w:t>
            </w:r>
            <w:r>
              <w:rPr>
                <w:rFonts w:ascii="仿宋" w:hAnsi="仿宋" w:eastAsia="仿宋" w:cs="仿宋"/>
                <w:bCs/>
                <w:color w:val="auto"/>
                <w:kern w:val="2"/>
                <w:highlight w:val="none"/>
                <w:lang w:eastAsia="zh-CN"/>
              </w:rPr>
              <w:t>的并加盖运营商公章的现有物理基站数量相关证明或提供所选用的通信运营商出具的中标后</w:t>
            </w:r>
            <w:r>
              <w:rPr>
                <w:rFonts w:hint="eastAsia" w:ascii="仿宋" w:hAnsi="仿宋" w:eastAsia="仿宋" w:cs="仿宋"/>
                <w:bCs/>
                <w:color w:val="auto"/>
                <w:kern w:val="2"/>
                <w:highlight w:val="none"/>
                <w:lang w:eastAsia="zh-CN"/>
              </w:rPr>
              <w:t>租用</w:t>
            </w:r>
            <w:r>
              <w:rPr>
                <w:rFonts w:ascii="仿宋" w:hAnsi="仿宋" w:eastAsia="仿宋" w:cs="仿宋"/>
                <w:bCs/>
                <w:color w:val="auto"/>
                <w:kern w:val="2"/>
                <w:highlight w:val="none"/>
                <w:lang w:eastAsia="zh-CN"/>
              </w:rPr>
              <w:t>基站到达数量服务承诺。</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②提供租用服务承诺的中标人</w:t>
            </w:r>
            <w:r>
              <w:rPr>
                <w:rFonts w:hint="eastAsia" w:ascii="仿宋" w:hAnsi="仿宋" w:eastAsia="仿宋" w:cs="仿宋"/>
                <w:bCs/>
                <w:color w:val="auto"/>
                <w:kern w:val="2"/>
                <w:highlight w:val="none"/>
                <w:lang w:eastAsia="zh-CN"/>
              </w:rPr>
              <w:t>，</w:t>
            </w:r>
            <w:r>
              <w:rPr>
                <w:rFonts w:ascii="仿宋" w:hAnsi="仿宋" w:eastAsia="仿宋" w:cs="仿宋"/>
                <w:bCs/>
                <w:color w:val="auto"/>
                <w:kern w:val="2"/>
                <w:highlight w:val="none"/>
                <w:lang w:eastAsia="zh-CN"/>
              </w:rPr>
              <w:t>需于中标结果公示后 30 日内</w:t>
            </w:r>
            <w:r>
              <w:rPr>
                <w:rFonts w:hint="eastAsia" w:ascii="仿宋" w:hAnsi="仿宋" w:eastAsia="仿宋" w:cs="仿宋"/>
                <w:bCs/>
                <w:color w:val="auto"/>
                <w:kern w:val="2"/>
                <w:highlight w:val="none"/>
                <w:lang w:eastAsia="zh-CN"/>
              </w:rPr>
              <w:t>，</w:t>
            </w:r>
            <w:r>
              <w:rPr>
                <w:rFonts w:ascii="仿宋" w:hAnsi="仿宋" w:eastAsia="仿宋" w:cs="仿宋"/>
                <w:bCs/>
                <w:color w:val="auto"/>
                <w:kern w:val="2"/>
                <w:highlight w:val="none"/>
                <w:lang w:eastAsia="zh-CN"/>
              </w:rPr>
              <w:t>提供所选用的通信运营商与铁塔运营单位联合出具的租用物理基站数量相关书面材料以证明其能达到投标文件中的网络覆盖服务能力。</w:t>
            </w:r>
          </w:p>
          <w:p>
            <w:pPr>
              <w:pStyle w:val="88"/>
              <w:spacing w:before="65" w:line="228" w:lineRule="auto"/>
              <w:rPr>
                <w:rFonts w:ascii="仿宋" w:hAnsi="仿宋" w:eastAsia="仿宋" w:cs="仿宋"/>
                <w:b/>
                <w:color w:val="auto"/>
                <w:kern w:val="2"/>
                <w:highlight w:val="none"/>
                <w:lang w:eastAsia="zh-CN"/>
              </w:rPr>
            </w:pPr>
            <w:r>
              <w:rPr>
                <w:rFonts w:hint="eastAsia" w:ascii="仿宋" w:hAnsi="仿宋" w:eastAsia="仿宋" w:cs="仿宋"/>
                <w:b/>
                <w:color w:val="auto"/>
                <w:kern w:val="2"/>
                <w:highlight w:val="none"/>
                <w:lang w:eastAsia="zh-CN"/>
              </w:rPr>
              <w:t>五、培训方案（满分5分）</w:t>
            </w:r>
          </w:p>
          <w:p>
            <w:pPr>
              <w:pStyle w:val="88"/>
              <w:spacing w:before="65" w:line="228" w:lineRule="auto"/>
              <w:rPr>
                <w:rFonts w:ascii="仿宋" w:hAnsi="仿宋" w:eastAsia="仿宋" w:cs="仿宋"/>
                <w:bCs/>
                <w:color w:val="auto"/>
                <w:kern w:val="2"/>
                <w:highlight w:val="none"/>
                <w:lang w:eastAsia="zh-CN"/>
              </w:rPr>
            </w:pPr>
            <w:r>
              <w:rPr>
                <w:rFonts w:hint="eastAsia" w:ascii="仿宋" w:hAnsi="仿宋" w:eastAsia="仿宋" w:cs="仿宋"/>
                <w:bCs/>
                <w:color w:val="auto"/>
                <w:kern w:val="2"/>
                <w:highlight w:val="none"/>
                <w:lang w:eastAsia="zh-CN"/>
              </w:rPr>
              <w:t>根据投标人培训方案、人员组成、经验、计划安排及内容进行评审：</w:t>
            </w:r>
          </w:p>
          <w:p>
            <w:pPr>
              <w:pStyle w:val="88"/>
              <w:spacing w:before="65" w:line="228" w:lineRule="auto"/>
              <w:rPr>
                <w:rFonts w:ascii="仿宋" w:hAnsi="仿宋" w:eastAsia="仿宋" w:cs="仿宋"/>
                <w:bCs/>
                <w:color w:val="auto"/>
                <w:kern w:val="2"/>
                <w:highlight w:val="none"/>
                <w:lang w:eastAsia="zh-CN"/>
              </w:rPr>
            </w:pPr>
            <w:r>
              <w:rPr>
                <w:rFonts w:hint="eastAsia" w:ascii="仿宋" w:hAnsi="仿宋" w:eastAsia="仿宋" w:cs="仿宋"/>
                <w:bCs/>
                <w:color w:val="auto"/>
                <w:kern w:val="2"/>
                <w:highlight w:val="none"/>
                <w:lang w:eastAsia="zh-CN"/>
              </w:rPr>
              <w:t>（1）提供内容完整、详实可行的方案，有很强的针对性和可操作性，得5分；</w:t>
            </w:r>
          </w:p>
          <w:p>
            <w:pPr>
              <w:pStyle w:val="88"/>
              <w:spacing w:before="65" w:line="228" w:lineRule="auto"/>
              <w:rPr>
                <w:rFonts w:ascii="仿宋" w:hAnsi="仿宋" w:eastAsia="仿宋" w:cs="仿宋"/>
                <w:bCs/>
                <w:color w:val="auto"/>
                <w:kern w:val="2"/>
                <w:highlight w:val="none"/>
                <w:lang w:eastAsia="zh-CN"/>
              </w:rPr>
            </w:pPr>
            <w:r>
              <w:rPr>
                <w:rFonts w:hint="eastAsia" w:ascii="仿宋" w:hAnsi="仿宋" w:eastAsia="仿宋" w:cs="仿宋"/>
                <w:bCs/>
                <w:color w:val="auto"/>
                <w:kern w:val="2"/>
                <w:highlight w:val="none"/>
                <w:lang w:eastAsia="zh-CN"/>
              </w:rPr>
              <w:t>（2）提供通用、简单的方案，符合采购需求，得3分；</w:t>
            </w:r>
          </w:p>
          <w:p>
            <w:pPr>
              <w:pStyle w:val="88"/>
              <w:spacing w:before="65" w:line="228" w:lineRule="auto"/>
              <w:rPr>
                <w:rFonts w:ascii="仿宋" w:hAnsi="仿宋" w:eastAsia="仿宋" w:cs="仿宋"/>
                <w:bCs/>
                <w:color w:val="auto"/>
                <w:kern w:val="2"/>
                <w:highlight w:val="none"/>
                <w:lang w:eastAsia="zh-CN"/>
              </w:rPr>
            </w:pPr>
            <w:r>
              <w:rPr>
                <w:rFonts w:hint="eastAsia" w:ascii="仿宋" w:hAnsi="仿宋" w:eastAsia="仿宋" w:cs="仿宋"/>
                <w:bCs/>
                <w:color w:val="auto"/>
                <w:kern w:val="2"/>
                <w:highlight w:val="none"/>
                <w:lang w:eastAsia="zh-CN"/>
              </w:rPr>
              <w:t>（3）方案可行，但内容不够完整，得1分；</w:t>
            </w:r>
          </w:p>
          <w:p>
            <w:pPr>
              <w:pStyle w:val="88"/>
              <w:spacing w:before="65" w:line="228" w:lineRule="auto"/>
              <w:rPr>
                <w:rFonts w:ascii="仿宋" w:hAnsi="仿宋" w:eastAsia="仿宋" w:cs="仿宋"/>
                <w:bCs/>
                <w:color w:val="auto"/>
                <w:kern w:val="2"/>
                <w:highlight w:val="none"/>
                <w:lang w:eastAsia="zh-CN"/>
              </w:rPr>
            </w:pPr>
            <w:r>
              <w:rPr>
                <w:rFonts w:hint="eastAsia" w:ascii="仿宋" w:hAnsi="仿宋" w:eastAsia="仿宋" w:cs="仿宋"/>
                <w:bCs/>
                <w:color w:val="auto"/>
                <w:kern w:val="2"/>
                <w:highlight w:val="none"/>
                <w:lang w:eastAsia="zh-CN"/>
              </w:rPr>
              <w:t>（4）缺项不得分。</w:t>
            </w:r>
          </w:p>
          <w:p>
            <w:pPr>
              <w:pStyle w:val="88"/>
              <w:spacing w:before="65" w:line="228" w:lineRule="auto"/>
              <w:rPr>
                <w:rFonts w:ascii="仿宋" w:hAnsi="仿宋" w:eastAsia="仿宋" w:cs="仿宋"/>
                <w:b/>
                <w:color w:val="auto"/>
                <w:kern w:val="2"/>
                <w:highlight w:val="none"/>
                <w:lang w:eastAsia="zh-CN"/>
              </w:rPr>
            </w:pPr>
            <w:r>
              <w:rPr>
                <w:rFonts w:hint="eastAsia" w:ascii="仿宋" w:hAnsi="仿宋" w:eastAsia="仿宋" w:cs="仿宋"/>
                <w:b/>
                <w:color w:val="auto"/>
                <w:kern w:val="2"/>
                <w:highlight w:val="none"/>
                <w:lang w:eastAsia="zh-CN"/>
              </w:rPr>
              <w:t>六、加油站软件服务方案（满分10分）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第一档次：针对采购文件加油站综合服务软件使用要求，软件整体性强、架构合理，功能完全满足采购需求，系统截图与文字说明丰富合理，数据分析预警针对性强，与税收入库联动专项分析完整准确、可行性高，无缺项漏项，得10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第二档次：针对采购文件加油站综合服务软件使用要求，软件架构合理，功能满足采购需求，系统截图或文字说明合理，数据分析预警完整、具备可行性，与税收入库联动专项分析具备可行性，无缺项漏项，得8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第三档次：加油站软件服务方案总体可行，功能基本满足采购需求，系统截图或文字说明基本合理，数据分析预警基本符合采购需求，与税收入库联动专项分析基本可行，基本满足采购需求，得5分；</w:t>
            </w:r>
          </w:p>
          <w:p>
            <w:pPr>
              <w:pStyle w:val="88"/>
              <w:spacing w:before="65" w:line="228" w:lineRule="auto"/>
              <w:rPr>
                <w:rFonts w:ascii="仿宋" w:hAnsi="仿宋" w:eastAsia="仿宋" w:cs="仿宋"/>
                <w:bCs/>
                <w:color w:val="auto"/>
                <w:kern w:val="2"/>
                <w:highlight w:val="none"/>
                <w:lang w:eastAsia="zh-CN"/>
              </w:rPr>
            </w:pPr>
            <w:r>
              <w:rPr>
                <w:rFonts w:ascii="仿宋" w:hAnsi="仿宋" w:eastAsia="仿宋" w:cs="仿宋"/>
                <w:bCs/>
                <w:color w:val="auto"/>
                <w:kern w:val="2"/>
                <w:highlight w:val="none"/>
                <w:lang w:eastAsia="zh-CN"/>
              </w:rPr>
              <w:t>第四档次：加油站软件服务方案不可行，系统截图或文字说明少，缺项漏项多，不能满足采购需求，得2分；</w:t>
            </w:r>
          </w:p>
          <w:p>
            <w:pPr>
              <w:pStyle w:val="88"/>
              <w:spacing w:before="65" w:line="228" w:lineRule="auto"/>
              <w:rPr>
                <w:rFonts w:ascii="仿宋" w:hAnsi="仿宋" w:eastAsia="仿宋" w:cs="仿宋"/>
                <w:b/>
                <w:color w:val="auto"/>
                <w:kern w:val="2"/>
                <w:highlight w:val="none"/>
                <w:lang w:eastAsia="zh-CN"/>
              </w:rPr>
            </w:pPr>
            <w:r>
              <w:rPr>
                <w:rFonts w:ascii="仿宋" w:hAnsi="仿宋" w:eastAsia="仿宋" w:cs="仿宋"/>
                <w:bCs/>
                <w:color w:val="auto"/>
                <w:kern w:val="2"/>
                <w:highlight w:val="none"/>
                <w:lang w:eastAsia="zh-CN"/>
              </w:rPr>
              <w:t>第五档次：不提供加油站综合服务软件服务设计方案的，得0分。</w:t>
            </w:r>
          </w:p>
        </w:tc>
      </w:tr>
    </w:tbl>
    <w:p>
      <w:pPr>
        <w:adjustRightInd w:val="0"/>
        <w:snapToGrid w:val="0"/>
        <w:spacing w:line="360" w:lineRule="auto"/>
        <w:rPr>
          <w:rFonts w:ascii="仿宋" w:hAnsi="仿宋" w:eastAsia="仿宋" w:cs="仿宋"/>
          <w:sz w:val="21"/>
          <w:szCs w:val="21"/>
          <w:highlight w:val="none"/>
        </w:rPr>
      </w:pPr>
    </w:p>
    <w:p>
      <w:pPr>
        <w:spacing w:line="360" w:lineRule="auto"/>
        <w:rPr>
          <w:rFonts w:ascii="仿宋" w:hAnsi="仿宋" w:eastAsia="仿宋" w:cs="仿宋"/>
          <w:highlight w:val="none"/>
        </w:rPr>
      </w:pPr>
      <w:bookmarkStart w:id="69" w:name="_Toc73290929"/>
      <w:r>
        <w:rPr>
          <w:rFonts w:hint="eastAsia" w:ascii="仿宋" w:hAnsi="仿宋" w:eastAsia="仿宋" w:cs="仿宋"/>
          <w:highlight w:val="none"/>
        </w:rPr>
        <w:t>1.评标方法：</w:t>
      </w:r>
    </w:p>
    <w:p>
      <w:pPr>
        <w:spacing w:line="360" w:lineRule="auto"/>
        <w:rPr>
          <w:rFonts w:ascii="仿宋" w:hAnsi="仿宋" w:eastAsia="仿宋" w:cs="仿宋"/>
          <w:highlight w:val="none"/>
        </w:rPr>
      </w:pPr>
      <w:r>
        <w:rPr>
          <w:rFonts w:hint="eastAsia" w:ascii="仿宋" w:hAnsi="仿宋" w:eastAsia="仿宋" w:cs="仿宋"/>
          <w:highlight w:val="none"/>
        </w:rPr>
        <w:t>1.1 本次评标采用综合评分法。</w:t>
      </w:r>
    </w:p>
    <w:p>
      <w:pPr>
        <w:spacing w:line="360" w:lineRule="auto"/>
        <w:rPr>
          <w:rFonts w:ascii="仿宋" w:hAnsi="仿宋" w:eastAsia="仿宋" w:cs="仿宋"/>
          <w:highlight w:val="none"/>
        </w:rPr>
      </w:pPr>
      <w:r>
        <w:rPr>
          <w:rFonts w:hint="eastAsia" w:ascii="仿宋" w:hAnsi="仿宋" w:eastAsia="仿宋" w:cs="仿宋"/>
          <w:highlight w:val="none"/>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综合实力评审得分高到低顺序排序；评标总得分相等且综合实力评审得分相同时，按项目技术方案评审得分高到低顺序排序。</w:t>
      </w:r>
    </w:p>
    <w:p>
      <w:pPr>
        <w:spacing w:line="360" w:lineRule="auto"/>
        <w:rPr>
          <w:rFonts w:ascii="仿宋" w:hAnsi="仿宋" w:eastAsia="仿宋" w:cs="仿宋"/>
          <w:highlight w:val="none"/>
        </w:rPr>
      </w:pPr>
      <w:r>
        <w:rPr>
          <w:rFonts w:hint="eastAsia" w:ascii="仿宋" w:hAnsi="仿宋" w:eastAsia="仿宋" w:cs="仿宋"/>
          <w:highlight w:val="none"/>
        </w:rPr>
        <w:t>2. 评审程序和标准</w:t>
      </w:r>
    </w:p>
    <w:p>
      <w:pPr>
        <w:spacing w:line="360" w:lineRule="auto"/>
        <w:rPr>
          <w:rFonts w:ascii="仿宋" w:hAnsi="仿宋" w:eastAsia="仿宋" w:cs="仿宋"/>
          <w:highlight w:val="none"/>
        </w:rPr>
      </w:pPr>
      <w:r>
        <w:rPr>
          <w:rFonts w:hint="eastAsia" w:ascii="仿宋" w:hAnsi="仿宋" w:eastAsia="仿宋" w:cs="仿宋"/>
          <w:highlight w:val="none"/>
        </w:rPr>
        <w:t>2.1 符合性审查</w:t>
      </w:r>
    </w:p>
    <w:p>
      <w:pPr>
        <w:spacing w:line="360" w:lineRule="auto"/>
        <w:rPr>
          <w:rFonts w:ascii="仿宋" w:hAnsi="仿宋" w:eastAsia="仿宋" w:cs="仿宋"/>
          <w:highlight w:val="none"/>
        </w:rPr>
      </w:pPr>
      <w:r>
        <w:rPr>
          <w:rFonts w:hint="eastAsia" w:ascii="仿宋" w:hAnsi="仿宋" w:eastAsia="仿宋" w:cs="仿宋"/>
          <w:highlight w:val="none"/>
        </w:rPr>
        <w:t>2.1.1 符合性审查：评标委员会依据招标文件的规定，对符合资格的投标人的投标文件进行符合性审查（具体详见《评标方法前附表》），有一项不符合的，该投标文件按无效投标处理。</w:t>
      </w:r>
    </w:p>
    <w:p>
      <w:pPr>
        <w:spacing w:line="360" w:lineRule="auto"/>
        <w:rPr>
          <w:rFonts w:ascii="仿宋" w:hAnsi="仿宋" w:eastAsia="仿宋" w:cs="仿宋"/>
          <w:highlight w:val="none"/>
        </w:rPr>
      </w:pPr>
      <w:r>
        <w:rPr>
          <w:rFonts w:hint="eastAsia" w:ascii="仿宋" w:hAnsi="仿宋" w:eastAsia="仿宋" w:cs="仿宋"/>
          <w:highlight w:val="none"/>
        </w:rPr>
        <w:t>2.1.3 符合本章第 2.1.1项规定的投标文件视为符合招标文件的技术商务等实质性要求评审，可以进行技术商务评估，综合比较与评价。</w:t>
      </w:r>
    </w:p>
    <w:p>
      <w:pPr>
        <w:spacing w:line="360" w:lineRule="auto"/>
        <w:rPr>
          <w:rFonts w:ascii="仿宋" w:hAnsi="仿宋" w:eastAsia="仿宋" w:cs="仿宋"/>
          <w:highlight w:val="none"/>
        </w:rPr>
      </w:pPr>
      <w:r>
        <w:rPr>
          <w:rFonts w:hint="eastAsia" w:ascii="仿宋" w:hAnsi="仿宋" w:eastAsia="仿宋" w:cs="仿宋"/>
          <w:highlight w:val="none"/>
        </w:rPr>
        <w:t>`2.2 详细评审（分值构成与评分标准）</w:t>
      </w:r>
    </w:p>
    <w:p>
      <w:pPr>
        <w:spacing w:line="360" w:lineRule="auto"/>
        <w:rPr>
          <w:rFonts w:ascii="仿宋" w:hAnsi="仿宋" w:eastAsia="仿宋" w:cs="仿宋"/>
          <w:highlight w:val="none"/>
        </w:rPr>
      </w:pPr>
      <w:r>
        <w:rPr>
          <w:rFonts w:hint="eastAsia" w:ascii="仿宋" w:hAnsi="仿宋" w:eastAsia="仿宋" w:cs="仿宋"/>
          <w:highlight w:val="none"/>
        </w:rPr>
        <w:t>2.2.1 分值构成详见《评标方法前附表》；</w:t>
      </w:r>
    </w:p>
    <w:p>
      <w:pPr>
        <w:spacing w:line="360" w:lineRule="auto"/>
        <w:rPr>
          <w:rFonts w:ascii="仿宋" w:hAnsi="仿宋" w:eastAsia="仿宋" w:cs="仿宋"/>
          <w:highlight w:val="none"/>
        </w:rPr>
      </w:pPr>
      <w:r>
        <w:rPr>
          <w:rFonts w:hint="eastAsia" w:ascii="仿宋" w:hAnsi="仿宋" w:eastAsia="仿宋" w:cs="仿宋"/>
          <w:highlight w:val="none"/>
        </w:rPr>
        <w:t>2.2.2 评分标准</w:t>
      </w:r>
    </w:p>
    <w:p>
      <w:pPr>
        <w:spacing w:line="360" w:lineRule="auto"/>
        <w:rPr>
          <w:rFonts w:ascii="仿宋" w:hAnsi="仿宋" w:eastAsia="仿宋" w:cs="仿宋"/>
          <w:highlight w:val="none"/>
        </w:rPr>
      </w:pPr>
      <w:r>
        <w:rPr>
          <w:rFonts w:hint="eastAsia" w:ascii="仿宋" w:hAnsi="仿宋" w:eastAsia="仿宋" w:cs="仿宋"/>
          <w:highlight w:val="none"/>
        </w:rPr>
        <w:t>按招标文件中规定的评标方法和标准，对满足招标文件实质性要求评审的投标文件进行评估，综合比较与评价。</w:t>
      </w:r>
    </w:p>
    <w:p>
      <w:pPr>
        <w:spacing w:line="360" w:lineRule="auto"/>
        <w:rPr>
          <w:rFonts w:ascii="仿宋" w:hAnsi="仿宋" w:eastAsia="仿宋" w:cs="仿宋"/>
          <w:highlight w:val="none"/>
        </w:rPr>
      </w:pPr>
      <w:r>
        <w:rPr>
          <w:rFonts w:hint="eastAsia" w:ascii="仿宋" w:hAnsi="仿宋" w:eastAsia="仿宋" w:cs="仿宋"/>
          <w:highlight w:val="none"/>
        </w:rPr>
        <w:t>详见《评标方法前附表》；</w:t>
      </w:r>
    </w:p>
    <w:p>
      <w:pPr>
        <w:spacing w:line="360" w:lineRule="auto"/>
        <w:rPr>
          <w:rFonts w:ascii="仿宋" w:hAnsi="仿宋" w:eastAsia="仿宋" w:cs="仿宋"/>
          <w:highlight w:val="none"/>
        </w:rPr>
      </w:pPr>
      <w:r>
        <w:rPr>
          <w:rFonts w:hint="eastAsia" w:ascii="仿宋" w:hAnsi="仿宋" w:eastAsia="仿宋" w:cs="仿宋"/>
          <w:highlight w:val="none"/>
        </w:rPr>
        <w:t>2.3 综合比较与评价</w:t>
      </w:r>
    </w:p>
    <w:p>
      <w:pPr>
        <w:spacing w:line="360" w:lineRule="auto"/>
        <w:rPr>
          <w:rFonts w:ascii="仿宋" w:hAnsi="仿宋" w:eastAsia="仿宋" w:cs="仿宋"/>
          <w:highlight w:val="none"/>
        </w:rPr>
      </w:pPr>
      <w:r>
        <w:rPr>
          <w:rFonts w:hint="eastAsia" w:ascii="仿宋" w:hAnsi="仿宋" w:eastAsia="仿宋" w:cs="仿宋"/>
          <w:highlight w:val="none"/>
        </w:rPr>
        <w:t>2.3.1 评标委员会按本章 2.2.2 规定的评分标准进行打分，并计算出投标人的评标总得分。对投标人的客观评分项的评分应当一致，对其他需要借助专业知识评判的主观评分项，应当严格按照评分细则公正评分。</w:t>
      </w:r>
    </w:p>
    <w:p>
      <w:pPr>
        <w:spacing w:line="360" w:lineRule="auto"/>
        <w:rPr>
          <w:rFonts w:ascii="仿宋" w:hAnsi="仿宋" w:eastAsia="仿宋" w:cs="仿宋"/>
          <w:highlight w:val="none"/>
        </w:rPr>
      </w:pPr>
      <w:r>
        <w:rPr>
          <w:rFonts w:hint="eastAsia" w:ascii="仿宋" w:hAnsi="仿宋" w:eastAsia="仿宋" w:cs="仿宋"/>
          <w:highlight w:val="none"/>
        </w:rPr>
        <w:t>按本章《评标方法前附表》的规定计算评标总得分。</w:t>
      </w:r>
    </w:p>
    <w:p>
      <w:pPr>
        <w:spacing w:line="360" w:lineRule="auto"/>
        <w:rPr>
          <w:rFonts w:ascii="仿宋" w:hAnsi="仿宋" w:eastAsia="仿宋" w:cs="仿宋"/>
          <w:highlight w:val="none"/>
        </w:rPr>
      </w:pPr>
      <w:r>
        <w:rPr>
          <w:rFonts w:hint="eastAsia" w:ascii="仿宋" w:hAnsi="仿宋" w:eastAsia="仿宋" w:cs="仿宋"/>
          <w:highlight w:val="none"/>
        </w:rPr>
        <w:t>2.3.2 得分由评标委员会成员独立评分，投标人各项评分因素得分为该项因素各评委评分的算术平均值（保留小数点后两位），小数点后第三位“四舍五入”。</w:t>
      </w:r>
    </w:p>
    <w:p>
      <w:pPr>
        <w:spacing w:line="360" w:lineRule="auto"/>
        <w:rPr>
          <w:rFonts w:ascii="仿宋" w:hAnsi="仿宋" w:eastAsia="仿宋" w:cs="仿宋"/>
          <w:highlight w:val="none"/>
        </w:rPr>
      </w:pPr>
      <w:r>
        <w:rPr>
          <w:rFonts w:hint="eastAsia" w:ascii="仿宋" w:hAnsi="仿宋" w:eastAsia="仿宋" w:cs="仿宋"/>
          <w:highlight w:val="none"/>
        </w:rPr>
        <w:t>2.3.3 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rPr>
          <w:rFonts w:ascii="仿宋" w:hAnsi="仿宋" w:eastAsia="仿宋" w:cs="仿宋"/>
          <w:highlight w:val="none"/>
        </w:rPr>
      </w:pPr>
      <w:r>
        <w:rPr>
          <w:rFonts w:hint="eastAsia" w:ascii="仿宋" w:hAnsi="仿宋" w:eastAsia="仿宋" w:cs="仿宋"/>
          <w:highlight w:val="none"/>
        </w:rPr>
        <w:t>2.4 投标文件的澄清</w:t>
      </w:r>
    </w:p>
    <w:p>
      <w:pPr>
        <w:spacing w:line="360" w:lineRule="auto"/>
        <w:rPr>
          <w:rFonts w:ascii="仿宋" w:hAnsi="仿宋" w:eastAsia="仿宋" w:cs="仿宋"/>
          <w:highlight w:val="none"/>
        </w:rPr>
      </w:pPr>
      <w:r>
        <w:rPr>
          <w:rFonts w:hint="eastAsia" w:ascii="仿宋" w:hAnsi="仿宋" w:eastAsia="仿宋" w:cs="仿宋"/>
          <w:highlight w:val="none"/>
        </w:rPr>
        <w:t>2.4.1 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负责人）或其授权的代表签字。投标人的澄清、说明或者补正不得超出投标文件的范围或者改变投标文件的实质性内容。</w:t>
      </w:r>
    </w:p>
    <w:p>
      <w:pPr>
        <w:spacing w:line="360" w:lineRule="auto"/>
        <w:rPr>
          <w:rFonts w:ascii="仿宋" w:hAnsi="仿宋" w:eastAsia="仿宋" w:cs="仿宋"/>
          <w:highlight w:val="none"/>
        </w:rPr>
      </w:pPr>
      <w:r>
        <w:rPr>
          <w:rFonts w:hint="eastAsia" w:ascii="仿宋" w:hAnsi="仿宋" w:eastAsia="仿宋" w:cs="仿宋"/>
          <w:highlight w:val="none"/>
        </w:rPr>
        <w:t>2.4.2 评标委员会不接受投标人主动提出的澄清、说明或者补正。</w:t>
      </w:r>
    </w:p>
    <w:p>
      <w:pPr>
        <w:spacing w:line="360" w:lineRule="auto"/>
        <w:rPr>
          <w:rFonts w:ascii="仿宋" w:hAnsi="仿宋" w:eastAsia="仿宋" w:cs="仿宋"/>
          <w:highlight w:val="none"/>
        </w:rPr>
      </w:pPr>
      <w:r>
        <w:rPr>
          <w:rFonts w:hint="eastAsia" w:ascii="仿宋" w:hAnsi="仿宋" w:eastAsia="仿宋" w:cs="仿宋"/>
          <w:highlight w:val="none"/>
        </w:rPr>
        <w:t>2.4.3 评标委员会对投标人提交的澄清、说明或者补正有疑问的，可以要求投标人进一步澄清、说明或者补正。</w:t>
      </w:r>
    </w:p>
    <w:p>
      <w:pPr>
        <w:spacing w:line="360" w:lineRule="auto"/>
        <w:rPr>
          <w:rFonts w:ascii="仿宋" w:hAnsi="仿宋" w:eastAsia="仿宋" w:cs="仿宋"/>
          <w:highlight w:val="none"/>
        </w:rPr>
      </w:pPr>
      <w:r>
        <w:rPr>
          <w:rFonts w:hint="eastAsia" w:ascii="仿宋" w:hAnsi="仿宋" w:eastAsia="仿宋" w:cs="仿宋"/>
          <w:highlight w:val="none"/>
        </w:rPr>
        <w:t>2.5 评标结果</w:t>
      </w:r>
    </w:p>
    <w:p>
      <w:pPr>
        <w:spacing w:line="360" w:lineRule="auto"/>
        <w:rPr>
          <w:rFonts w:ascii="仿宋" w:hAnsi="仿宋" w:eastAsia="仿宋" w:cs="仿宋"/>
          <w:highlight w:val="none"/>
        </w:rPr>
      </w:pPr>
      <w:r>
        <w:rPr>
          <w:rFonts w:hint="eastAsia" w:ascii="仿宋" w:hAnsi="仿宋" w:eastAsia="仿宋" w:cs="仿宋"/>
          <w:highlight w:val="none"/>
        </w:rPr>
        <w:t>2.5.1 评标委员会按评标总得分由高到低顺序推荐中标候选人，评标总得分相等时，按综合实力评审得分高到低顺序排序；评标总得分相等且综合实力评审得分相同时，按项目技术方案评审得分高到低顺序排序，并提出书面评标报告。</w:t>
      </w:r>
    </w:p>
    <w:p>
      <w:pPr>
        <w:spacing w:line="360" w:lineRule="auto"/>
        <w:rPr>
          <w:rFonts w:ascii="仿宋" w:hAnsi="仿宋" w:eastAsia="仿宋" w:cs="仿宋"/>
          <w:sz w:val="36"/>
          <w:szCs w:val="36"/>
          <w:highlight w:val="none"/>
        </w:rPr>
      </w:pPr>
      <w:r>
        <w:rPr>
          <w:rFonts w:hint="eastAsia" w:ascii="仿宋" w:hAnsi="仿宋" w:eastAsia="仿宋" w:cs="仿宋"/>
          <w:highlight w:val="none"/>
        </w:rPr>
        <w:t>2.5.2 采购人根据评标委员会提出的书面评标报告和推荐的中标候选人名单，确定中标人。</w:t>
      </w:r>
    </w:p>
    <w:p>
      <w:pPr>
        <w:widowControl/>
        <w:jc w:val="left"/>
        <w:rPr>
          <w:rFonts w:ascii="仿宋" w:hAnsi="仿宋" w:eastAsia="仿宋" w:cs="仿宋"/>
          <w:b/>
          <w:sz w:val="36"/>
          <w:szCs w:val="36"/>
          <w:highlight w:val="none"/>
        </w:rPr>
      </w:pPr>
      <w:r>
        <w:rPr>
          <w:rFonts w:ascii="仿宋" w:hAnsi="仿宋" w:eastAsia="仿宋" w:cs="仿宋"/>
          <w:bCs/>
          <w:sz w:val="36"/>
          <w:szCs w:val="36"/>
          <w:highlight w:val="none"/>
        </w:rPr>
        <w:br w:type="page"/>
      </w:r>
    </w:p>
    <w:p>
      <w:pPr>
        <w:pStyle w:val="3"/>
        <w:spacing w:before="156" w:beforeLines="50" w:after="156" w:afterLines="50" w:line="579" w:lineRule="auto"/>
        <w:ind w:firstLine="2530" w:firstLineChars="700"/>
        <w:rPr>
          <w:rFonts w:ascii="仿宋" w:hAnsi="仿宋" w:eastAsia="仿宋" w:cs="仿宋"/>
          <w:bCs w:val="0"/>
          <w:kern w:val="2"/>
          <w:sz w:val="36"/>
          <w:szCs w:val="36"/>
          <w:highlight w:val="none"/>
        </w:rPr>
      </w:pPr>
    </w:p>
    <w:p>
      <w:pPr>
        <w:pStyle w:val="3"/>
        <w:spacing w:before="156" w:beforeLines="50" w:after="156" w:afterLines="50" w:line="579" w:lineRule="auto"/>
        <w:ind w:firstLine="2530" w:firstLineChars="700"/>
        <w:rPr>
          <w:rFonts w:ascii="仿宋" w:hAnsi="仿宋" w:eastAsia="仿宋" w:cs="仿宋"/>
          <w:highlight w:val="none"/>
        </w:rPr>
      </w:pPr>
      <w:r>
        <w:rPr>
          <w:rFonts w:hint="eastAsia" w:ascii="仿宋" w:hAnsi="仿宋" w:eastAsia="仿宋" w:cs="仿宋"/>
          <w:bCs w:val="0"/>
          <w:kern w:val="2"/>
          <w:sz w:val="36"/>
          <w:szCs w:val="36"/>
          <w:highlight w:val="none"/>
        </w:rPr>
        <w:t>第五章 合同条款及格式</w:t>
      </w:r>
      <w:bookmarkEnd w:id="69"/>
    </w:p>
    <w:p>
      <w:pPr>
        <w:spacing w:line="360" w:lineRule="auto"/>
        <w:jc w:val="center"/>
        <w:rPr>
          <w:rFonts w:ascii="仿宋" w:hAnsi="仿宋" w:eastAsia="仿宋" w:cs="仿宋"/>
          <w:b/>
          <w:sz w:val="21"/>
          <w:szCs w:val="21"/>
          <w:highlight w:val="none"/>
        </w:rPr>
      </w:pPr>
      <w:bookmarkStart w:id="70" w:name="_Toc73290945"/>
      <w:r>
        <w:rPr>
          <w:rFonts w:hint="eastAsia" w:ascii="仿宋" w:hAnsi="仿宋" w:eastAsia="仿宋" w:cs="仿宋"/>
          <w:b/>
          <w:sz w:val="22"/>
          <w:szCs w:val="21"/>
          <w:highlight w:val="none"/>
        </w:rPr>
        <w:t>（本合同条款仅作参考，最终以双方共同商定的合同或协议为准）</w:t>
      </w:r>
      <w:bookmarkStart w:id="71" w:name="_Toc340564943"/>
      <w:bookmarkStart w:id="72" w:name="_Toc339879448"/>
    </w:p>
    <w:bookmarkEnd w:id="71"/>
    <w:bookmarkEnd w:id="72"/>
    <w:p>
      <w:pPr>
        <w:pStyle w:val="2"/>
        <w:rPr>
          <w:rFonts w:ascii="仿宋" w:hAnsi="仿宋" w:eastAsia="仿宋" w:cs="仿宋"/>
          <w:highlight w:val="none"/>
        </w:rPr>
      </w:pPr>
    </w:p>
    <w:tbl>
      <w:tblPr>
        <w:tblStyle w:val="33"/>
        <w:tblW w:w="9746" w:type="dxa"/>
        <w:jc w:val="center"/>
        <w:tblLayout w:type="fixed"/>
        <w:tblCellMar>
          <w:top w:w="0" w:type="dxa"/>
          <w:left w:w="0" w:type="dxa"/>
          <w:bottom w:w="0" w:type="dxa"/>
          <w:right w:w="0" w:type="dxa"/>
        </w:tblCellMar>
      </w:tblPr>
      <w:tblGrid>
        <w:gridCol w:w="9746"/>
      </w:tblGrid>
      <w:tr>
        <w:tblPrEx>
          <w:tblCellMar>
            <w:top w:w="0" w:type="dxa"/>
            <w:left w:w="0" w:type="dxa"/>
            <w:bottom w:w="0" w:type="dxa"/>
            <w:right w:w="0" w:type="dxa"/>
          </w:tblCellMar>
        </w:tblPrEx>
        <w:trPr>
          <w:jc w:val="center"/>
        </w:trPr>
        <w:tc>
          <w:tcPr>
            <w:tcW w:w="9746" w:type="dxa"/>
            <w:vAlign w:val="center"/>
          </w:tcPr>
          <w:p>
            <w:pPr>
              <w:tabs>
                <w:tab w:val="left" w:pos="1590"/>
                <w:tab w:val="left" w:pos="3409"/>
                <w:tab w:val="left" w:pos="4847"/>
                <w:tab w:val="left" w:pos="5711"/>
                <w:tab w:val="left" w:pos="7020"/>
                <w:tab w:val="left" w:pos="7891"/>
              </w:tabs>
              <w:spacing w:line="360" w:lineRule="auto"/>
              <w:jc w:val="center"/>
              <w:rPr>
                <w:rFonts w:ascii="仿宋" w:hAnsi="仿宋" w:eastAsia="仿宋" w:cs="仿宋"/>
                <w:sz w:val="22"/>
                <w:szCs w:val="18"/>
                <w:highlight w:val="none"/>
              </w:rPr>
            </w:pPr>
            <w:r>
              <w:rPr>
                <w:rFonts w:hint="eastAsia" w:ascii="仿宋" w:hAnsi="仿宋" w:eastAsia="仿宋" w:cs="仿宋"/>
                <w:sz w:val="21"/>
                <w:highlight w:val="none"/>
              </w:rPr>
              <w:t>合同编号：                       合同自编号：                  项目编号：</w:t>
            </w:r>
          </w:p>
        </w:tc>
      </w:tr>
    </w:tbl>
    <w:p>
      <w:pPr>
        <w:spacing w:after="240" w:line="360" w:lineRule="auto"/>
        <w:jc w:val="center"/>
        <w:rPr>
          <w:rFonts w:ascii="仿宋" w:hAnsi="仿宋" w:eastAsia="仿宋" w:cs="仿宋"/>
          <w:sz w:val="21"/>
          <w:highlight w:val="none"/>
        </w:rPr>
      </w:pPr>
    </w:p>
    <w:p>
      <w:pPr>
        <w:spacing w:after="240" w:line="360" w:lineRule="auto"/>
        <w:jc w:val="center"/>
        <w:rPr>
          <w:rFonts w:ascii="仿宋" w:hAnsi="仿宋" w:eastAsia="仿宋" w:cs="仿宋"/>
          <w:sz w:val="21"/>
          <w:highlight w:val="none"/>
        </w:rPr>
      </w:pPr>
      <w:r>
        <w:rPr>
          <w:rFonts w:hint="eastAsia" w:ascii="仿宋" w:hAnsi="仿宋" w:eastAsia="仿宋" w:cs="仿宋"/>
          <w:sz w:val="21"/>
          <w:highlight w:val="none"/>
        </w:rPr>
        <w:t>●本合同须加盖甲乙双方骑缝章有效</w:t>
      </w:r>
    </w:p>
    <w:p>
      <w:pPr>
        <w:pStyle w:val="2"/>
        <w:rPr>
          <w:rFonts w:ascii="仿宋" w:hAnsi="仿宋" w:eastAsia="仿宋" w:cs="仿宋"/>
          <w:highlight w:val="none"/>
        </w:rPr>
      </w:pPr>
    </w:p>
    <w:p>
      <w:pPr>
        <w:spacing w:line="360" w:lineRule="auto"/>
        <w:jc w:val="center"/>
        <w:rPr>
          <w:rFonts w:ascii="仿宋" w:hAnsi="仿宋" w:eastAsia="仿宋" w:cs="仿宋"/>
          <w:sz w:val="39"/>
          <w:szCs w:val="39"/>
          <w:highlight w:val="none"/>
        </w:rPr>
      </w:pPr>
      <w:r>
        <w:rPr>
          <w:rFonts w:hint="eastAsia" w:ascii="仿宋" w:hAnsi="仿宋" w:eastAsia="仿宋" w:cs="仿宋"/>
          <w:sz w:val="39"/>
          <w:szCs w:val="39"/>
          <w:highlight w:val="none"/>
        </w:rPr>
        <w:t>云南省政府采购</w:t>
      </w:r>
    </w:p>
    <w:p>
      <w:pPr>
        <w:pStyle w:val="2"/>
        <w:rPr>
          <w:rFonts w:ascii="仿宋" w:hAnsi="仿宋" w:eastAsia="仿宋" w:cs="仿宋"/>
          <w:highlight w:val="none"/>
        </w:rPr>
      </w:pPr>
    </w:p>
    <w:p>
      <w:pPr>
        <w:spacing w:after="240" w:line="360" w:lineRule="auto"/>
        <w:jc w:val="center"/>
        <w:rPr>
          <w:rFonts w:ascii="仿宋" w:hAnsi="仿宋" w:eastAsia="仿宋" w:cs="仿宋"/>
          <w:sz w:val="33"/>
          <w:szCs w:val="33"/>
          <w:highlight w:val="none"/>
        </w:rPr>
      </w:pPr>
      <w:r>
        <w:rPr>
          <w:rFonts w:hint="eastAsia" w:ascii="仿宋" w:hAnsi="仿宋" w:eastAsia="仿宋" w:cs="仿宋"/>
          <w:sz w:val="33"/>
          <w:szCs w:val="33"/>
          <w:highlight w:val="none"/>
        </w:rPr>
        <w:t>（委托采购）</w:t>
      </w:r>
    </w:p>
    <w:p>
      <w:pPr>
        <w:spacing w:after="240" w:line="360" w:lineRule="auto"/>
        <w:jc w:val="center"/>
        <w:rPr>
          <w:rFonts w:ascii="仿宋" w:hAnsi="仿宋" w:eastAsia="仿宋" w:cs="仿宋"/>
          <w:sz w:val="33"/>
          <w:szCs w:val="33"/>
          <w:highlight w:val="none"/>
        </w:rPr>
      </w:pPr>
      <w:r>
        <w:rPr>
          <w:rFonts w:hint="eastAsia" w:ascii="仿宋" w:hAnsi="仿宋" w:eastAsia="仿宋" w:cs="仿宋"/>
          <w:sz w:val="33"/>
          <w:szCs w:val="33"/>
          <w:highlight w:val="none"/>
        </w:rPr>
        <w:t>（样本）</w:t>
      </w:r>
    </w:p>
    <w:p>
      <w:pPr>
        <w:pStyle w:val="2"/>
        <w:rPr>
          <w:rFonts w:ascii="仿宋" w:hAnsi="仿宋" w:eastAsia="仿宋" w:cs="仿宋"/>
          <w:highlight w:val="none"/>
        </w:rPr>
      </w:pPr>
    </w:p>
    <w:p>
      <w:pPr>
        <w:spacing w:after="240" w:line="360" w:lineRule="auto"/>
        <w:jc w:val="center"/>
        <w:rPr>
          <w:rFonts w:ascii="仿宋" w:hAnsi="仿宋" w:eastAsia="仿宋" w:cs="仿宋"/>
          <w:sz w:val="18"/>
          <w:szCs w:val="18"/>
          <w:highlight w:val="none"/>
        </w:rPr>
      </w:pPr>
      <w:r>
        <w:rPr>
          <w:rFonts w:hint="eastAsia" w:ascii="仿宋" w:hAnsi="仿宋" w:eastAsia="仿宋" w:cs="仿宋"/>
          <w:sz w:val="63"/>
          <w:szCs w:val="63"/>
          <w:highlight w:val="none"/>
        </w:rPr>
        <w:t>合</w:t>
      </w:r>
      <w:r>
        <w:rPr>
          <w:rFonts w:hint="eastAsia" w:ascii="仿宋" w:hAnsi="仿宋" w:eastAsia="仿宋" w:cs="仿宋"/>
          <w:sz w:val="18"/>
          <w:szCs w:val="18"/>
          <w:highlight w:val="none"/>
        </w:rPr>
        <w:t xml:space="preserve"> </w:t>
      </w:r>
    </w:p>
    <w:p>
      <w:pPr>
        <w:spacing w:after="240" w:line="360" w:lineRule="auto"/>
        <w:jc w:val="center"/>
        <w:rPr>
          <w:rFonts w:ascii="仿宋" w:hAnsi="仿宋" w:eastAsia="仿宋" w:cs="仿宋"/>
          <w:sz w:val="18"/>
          <w:szCs w:val="18"/>
          <w:highlight w:val="none"/>
        </w:rPr>
      </w:pPr>
      <w:r>
        <w:rPr>
          <w:rFonts w:hint="eastAsia" w:ascii="仿宋" w:hAnsi="仿宋" w:eastAsia="仿宋" w:cs="仿宋"/>
          <w:sz w:val="63"/>
          <w:szCs w:val="63"/>
          <w:highlight w:val="none"/>
        </w:rPr>
        <w:t>同</w:t>
      </w:r>
    </w:p>
    <w:p>
      <w:pPr>
        <w:spacing w:after="240" w:line="360" w:lineRule="auto"/>
        <w:jc w:val="center"/>
        <w:rPr>
          <w:rFonts w:ascii="仿宋" w:hAnsi="仿宋" w:eastAsia="仿宋" w:cs="仿宋"/>
          <w:sz w:val="18"/>
          <w:szCs w:val="18"/>
          <w:highlight w:val="none"/>
        </w:rPr>
      </w:pPr>
      <w:r>
        <w:rPr>
          <w:rFonts w:hint="eastAsia" w:ascii="仿宋" w:hAnsi="仿宋" w:eastAsia="仿宋" w:cs="仿宋"/>
          <w:sz w:val="63"/>
          <w:szCs w:val="63"/>
          <w:highlight w:val="none"/>
        </w:rPr>
        <w:t>书</w:t>
      </w:r>
      <w:r>
        <w:rPr>
          <w:rFonts w:hint="eastAsia" w:ascii="仿宋" w:hAnsi="仿宋" w:eastAsia="仿宋" w:cs="仿宋"/>
          <w:sz w:val="18"/>
          <w:szCs w:val="18"/>
          <w:highlight w:val="none"/>
        </w:rPr>
        <w:t xml:space="preserve"> </w:t>
      </w:r>
    </w:p>
    <w:p>
      <w:pPr>
        <w:pStyle w:val="2"/>
        <w:rPr>
          <w:rFonts w:ascii="仿宋" w:hAnsi="仿宋" w:eastAsia="仿宋" w:cs="仿宋"/>
          <w:highlight w:val="none"/>
        </w:rPr>
      </w:pPr>
    </w:p>
    <w:p>
      <w:pPr>
        <w:spacing w:after="240" w:line="360" w:lineRule="auto"/>
        <w:ind w:firstLine="3068" w:firstLineChars="1132"/>
        <w:rPr>
          <w:rFonts w:ascii="仿宋" w:hAnsi="仿宋" w:eastAsia="仿宋" w:cs="仿宋"/>
          <w:b/>
          <w:bCs/>
          <w:sz w:val="27"/>
          <w:szCs w:val="27"/>
          <w:highlight w:val="none"/>
        </w:rPr>
      </w:pPr>
      <w:r>
        <w:rPr>
          <w:rFonts w:hint="eastAsia" w:ascii="仿宋" w:hAnsi="仿宋" w:eastAsia="仿宋" w:cs="仿宋"/>
          <w:b/>
          <w:bCs/>
          <w:sz w:val="27"/>
          <w:szCs w:val="27"/>
          <w:highlight w:val="none"/>
        </w:rPr>
        <w:t>签订地点：</w:t>
      </w:r>
    </w:p>
    <w:p>
      <w:pPr>
        <w:spacing w:after="240" w:line="360" w:lineRule="auto"/>
        <w:jc w:val="center"/>
        <w:rPr>
          <w:rFonts w:ascii="仿宋" w:hAnsi="仿宋" w:eastAsia="仿宋" w:cs="仿宋"/>
          <w:highlight w:val="none"/>
        </w:rPr>
      </w:pPr>
      <w:r>
        <w:rPr>
          <w:rFonts w:hint="eastAsia" w:ascii="仿宋" w:hAnsi="仿宋" w:eastAsia="仿宋" w:cs="仿宋"/>
          <w:b/>
          <w:bCs/>
          <w:sz w:val="27"/>
          <w:szCs w:val="27"/>
          <w:highlight w:val="none"/>
        </w:rPr>
        <w:t xml:space="preserve">签订日期：     年   月   日 </w:t>
      </w:r>
    </w:p>
    <w:p>
      <w:pPr>
        <w:pStyle w:val="2"/>
        <w:rPr>
          <w:rFonts w:ascii="仿宋" w:hAnsi="仿宋" w:eastAsia="仿宋" w:cs="仿宋"/>
          <w:highlight w:val="none"/>
        </w:rPr>
      </w:pPr>
    </w:p>
    <w:p>
      <w:pPr>
        <w:spacing w:line="360" w:lineRule="auto"/>
        <w:ind w:firstLine="422" w:firstLineChars="200"/>
        <w:rPr>
          <w:rFonts w:ascii="仿宋" w:hAnsi="仿宋" w:eastAsia="仿宋" w:cs="仿宋"/>
          <w:b/>
          <w:sz w:val="21"/>
          <w:szCs w:val="21"/>
          <w:highlight w:val="none"/>
        </w:rPr>
      </w:pPr>
    </w:p>
    <w:p>
      <w:pPr>
        <w:spacing w:line="360" w:lineRule="auto"/>
        <w:ind w:firstLine="422" w:firstLineChars="200"/>
        <w:rPr>
          <w:rFonts w:ascii="仿宋" w:hAnsi="仿宋" w:eastAsia="仿宋" w:cs="仿宋"/>
          <w:b/>
          <w:sz w:val="21"/>
          <w:szCs w:val="21"/>
          <w:highlight w:val="none"/>
        </w:rPr>
      </w:pPr>
      <w:r>
        <w:rPr>
          <w:rFonts w:hint="eastAsia" w:ascii="仿宋" w:hAnsi="仿宋" w:eastAsia="仿宋" w:cs="仿宋"/>
          <w:b/>
          <w:sz w:val="21"/>
          <w:szCs w:val="21"/>
          <w:highlight w:val="none"/>
        </w:rPr>
        <w:t xml:space="preserve">甲方（采购人公章）名称： </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 xml:space="preserve">地址： </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邮编：</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法定代表人或委托代理人：</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项目（技术）负责人：</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电话：</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 xml:space="preserve">开户银行： </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账号：</w:t>
      </w:r>
    </w:p>
    <w:p>
      <w:pPr>
        <w:spacing w:line="360" w:lineRule="auto"/>
        <w:ind w:firstLine="420" w:firstLineChars="200"/>
        <w:rPr>
          <w:rFonts w:ascii="仿宋" w:hAnsi="仿宋" w:eastAsia="仿宋" w:cs="仿宋"/>
          <w:sz w:val="21"/>
          <w:szCs w:val="21"/>
          <w:highlight w:val="none"/>
        </w:rPr>
      </w:pPr>
    </w:p>
    <w:p>
      <w:pPr>
        <w:spacing w:line="360" w:lineRule="auto"/>
        <w:rPr>
          <w:rFonts w:ascii="仿宋" w:hAnsi="仿宋" w:eastAsia="仿宋" w:cs="仿宋"/>
          <w:sz w:val="21"/>
          <w:szCs w:val="21"/>
          <w:highlight w:val="none"/>
        </w:rPr>
      </w:pPr>
    </w:p>
    <w:p>
      <w:pPr>
        <w:spacing w:line="360" w:lineRule="auto"/>
        <w:ind w:firstLine="422" w:firstLineChars="200"/>
        <w:rPr>
          <w:rFonts w:ascii="仿宋" w:hAnsi="仿宋" w:eastAsia="仿宋" w:cs="仿宋"/>
          <w:b/>
          <w:sz w:val="21"/>
          <w:szCs w:val="21"/>
          <w:highlight w:val="none"/>
        </w:rPr>
      </w:pPr>
      <w:r>
        <w:rPr>
          <w:rFonts w:hint="eastAsia" w:ascii="仿宋" w:hAnsi="仿宋" w:eastAsia="仿宋" w:cs="仿宋"/>
          <w:b/>
          <w:sz w:val="21"/>
          <w:szCs w:val="21"/>
          <w:highlight w:val="none"/>
        </w:rPr>
        <w:t>乙方（成交人公章）名称：</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地址：</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邮编：</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法定代表人：</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委托代理人：</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电话：</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开户银行：</w:t>
      </w:r>
    </w:p>
    <w:p>
      <w:pPr>
        <w:spacing w:line="36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账号：</w:t>
      </w:r>
    </w:p>
    <w:p>
      <w:pPr>
        <w:widowControl/>
        <w:spacing w:after="240"/>
        <w:ind w:firstLine="420" w:firstLineChars="200"/>
        <w:jc w:val="left"/>
        <w:rPr>
          <w:rFonts w:ascii="仿宋" w:hAnsi="仿宋" w:eastAsia="仿宋" w:cs="仿宋"/>
          <w:kern w:val="0"/>
          <w:sz w:val="21"/>
          <w:szCs w:val="21"/>
          <w:highlight w:val="none"/>
        </w:rPr>
      </w:pPr>
    </w:p>
    <w:p>
      <w:pPr>
        <w:widowControl/>
        <w:spacing w:after="240"/>
        <w:ind w:firstLine="420" w:firstLineChars="200"/>
        <w:jc w:val="left"/>
        <w:rPr>
          <w:rFonts w:ascii="仿宋" w:hAnsi="仿宋" w:eastAsia="仿宋" w:cs="仿宋"/>
          <w:kern w:val="0"/>
          <w:sz w:val="21"/>
          <w:szCs w:val="21"/>
          <w:highlight w:val="none"/>
        </w:rPr>
      </w:pPr>
    </w:p>
    <w:p>
      <w:pPr>
        <w:rPr>
          <w:rFonts w:hint="eastAsia" w:ascii="仿宋" w:hAnsi="仿宋" w:eastAsia="仿宋" w:cs="仿宋"/>
          <w:bCs/>
          <w:highlight w:val="none"/>
        </w:rPr>
      </w:pPr>
      <w:r>
        <w:rPr>
          <w:rFonts w:hint="eastAsia" w:ascii="仿宋" w:hAnsi="仿宋" w:eastAsia="仿宋" w:cs="仿宋"/>
          <w:bCs/>
          <w:highlight w:val="none"/>
        </w:rPr>
        <w:br w:type="page"/>
      </w:r>
    </w:p>
    <w:p>
      <w:pPr>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根据</w:t>
      </w:r>
      <w:r>
        <w:rPr>
          <w:rFonts w:ascii="仿宋" w:hAnsi="仿宋" w:eastAsia="仿宋" w:cs="仿宋"/>
          <w:bCs/>
          <w:highlight w:val="none"/>
          <w:u w:val="single"/>
        </w:rPr>
        <w:t xml:space="preserve">       </w:t>
      </w:r>
      <w:r>
        <w:rPr>
          <w:rFonts w:hint="eastAsia" w:ascii="仿宋" w:hAnsi="仿宋" w:eastAsia="仿宋" w:cs="仿宋"/>
          <w:bCs/>
          <w:highlight w:val="none"/>
        </w:rPr>
        <w:t>的采购结果（招标编号：</w:t>
      </w:r>
      <w:r>
        <w:rPr>
          <w:rFonts w:ascii="仿宋" w:hAnsi="仿宋" w:eastAsia="仿宋" w:cs="仿宋"/>
          <w:bCs/>
          <w:highlight w:val="none"/>
          <w:u w:val="single"/>
        </w:rPr>
        <w:t xml:space="preserve">       </w:t>
      </w:r>
      <w:r>
        <w:rPr>
          <w:rFonts w:hint="eastAsia" w:ascii="仿宋" w:hAnsi="仿宋" w:eastAsia="仿宋" w:cs="仿宋"/>
          <w:bCs/>
          <w:highlight w:val="none"/>
        </w:rPr>
        <w:t>，按照《中华人民共和国民法典》、《中华人民共和国政府采购法》等法律法规和相关文件的规定，甲、乙双方在自愿、平等、协商一致的基础上，签订以下合同条款。</w:t>
      </w:r>
    </w:p>
    <w:p>
      <w:pPr>
        <w:spacing w:line="360" w:lineRule="auto"/>
        <w:ind w:firstLine="482" w:firstLineChars="200"/>
        <w:jc w:val="left"/>
        <w:outlineLvl w:val="0"/>
        <w:rPr>
          <w:rFonts w:ascii="仿宋" w:hAnsi="仿宋" w:eastAsia="仿宋" w:cs="仿宋"/>
          <w:b/>
          <w:highlight w:val="none"/>
        </w:rPr>
      </w:pPr>
      <w:r>
        <w:rPr>
          <w:rFonts w:hint="eastAsia" w:ascii="仿宋" w:hAnsi="仿宋" w:eastAsia="仿宋" w:cs="仿宋"/>
          <w:b/>
          <w:highlight w:val="none"/>
        </w:rPr>
        <w:t>一、合同签署声明</w:t>
      </w:r>
    </w:p>
    <w:p>
      <w:pPr>
        <w:spacing w:line="360" w:lineRule="auto"/>
        <w:ind w:firstLine="480" w:firstLineChars="200"/>
        <w:rPr>
          <w:rFonts w:ascii="仿宋" w:hAnsi="仿宋" w:eastAsia="仿宋" w:cs="仿宋"/>
          <w:highlight w:val="none"/>
        </w:rPr>
      </w:pPr>
      <w:r>
        <w:rPr>
          <w:rFonts w:hint="eastAsia" w:ascii="仿宋" w:hAnsi="仿宋" w:eastAsia="仿宋" w:cs="仿宋"/>
          <w:bCs/>
          <w:highlight w:val="none"/>
        </w:rPr>
        <w:t>1.</w:t>
      </w:r>
      <w:r>
        <w:rPr>
          <w:rFonts w:hint="eastAsia" w:ascii="仿宋" w:hAnsi="仿宋" w:eastAsia="仿宋" w:cs="仿宋"/>
          <w:highlight w:val="none"/>
        </w:rPr>
        <w:t xml:space="preserve"> 甲乙双方根据国家现行法律、法规，遵照平等、自愿、诚实、信用的原则，同意按照以下条款和条件，签订如下合同：</w:t>
      </w:r>
    </w:p>
    <w:p>
      <w:pPr>
        <w:spacing w:line="360" w:lineRule="auto"/>
        <w:ind w:firstLine="480" w:firstLineChars="200"/>
        <w:outlineLvl w:val="1"/>
        <w:rPr>
          <w:rFonts w:ascii="仿宋" w:hAnsi="仿宋" w:eastAsia="仿宋" w:cs="仿宋"/>
          <w:bCs/>
          <w:highlight w:val="none"/>
        </w:rPr>
      </w:pPr>
      <w:r>
        <w:rPr>
          <w:rFonts w:hint="eastAsia" w:ascii="仿宋" w:hAnsi="仿宋" w:eastAsia="仿宋" w:cs="仿宋"/>
          <w:bCs/>
          <w:highlight w:val="none"/>
        </w:rPr>
        <w:t>2.本合同项下的所有“金额单位”均为人民币“元”计量。</w:t>
      </w:r>
    </w:p>
    <w:p>
      <w:pPr>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一、词语定义及合同文件</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1.词语定义</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本合同下列词语具有本条款所赋予的定义：</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1.1“货物”：系指乙方基于本合同应向甲方提供的符合本合同约定的货物以及乙方应向甲方交付的产品合格证、单据、说明书等文件资料。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1.2“服务”：系指按照合同约定乙方应承担的与供货有关的辅助义务（比如运输、装卸、保险等），其他伴随服务（比如安装、调试、配合验收，以及送货上门提供技术援助、培训、售后维修等），以及合同中规定乙方应承担的其它义务。</w:t>
      </w:r>
    </w:p>
    <w:p>
      <w:pPr>
        <w:tabs>
          <w:tab w:val="left" w:pos="5250"/>
        </w:tabs>
        <w:spacing w:line="360" w:lineRule="auto"/>
        <w:ind w:firstLine="480" w:firstLineChars="200"/>
        <w:rPr>
          <w:rFonts w:ascii="仿宋" w:hAnsi="仿宋" w:eastAsia="仿宋" w:cs="仿宋"/>
          <w:bCs/>
          <w:highlight w:val="none"/>
        </w:rPr>
      </w:pPr>
      <w:r>
        <w:rPr>
          <w:rFonts w:hint="eastAsia" w:ascii="仿宋" w:hAnsi="仿宋" w:eastAsia="仿宋" w:cs="仿宋"/>
          <w:highlight w:val="none"/>
        </w:rPr>
        <w:t>1.3“合同价款”：包括并不限于包括设备费用、利润、运费、保险、税收、安装、调试、技术培训、售后服务、相应的软件费用（含质保期软件升级、漏洞修复等）、互联对接、联调、检测、验证费用及辅助材料费、政策性文件规定及合同包含的所有风险、责任等相关售后服务及完成本项目的全部费用。</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1.4“损失”：系指因合同一方不履行本合同项规定的义务而使另一方遭受的各种损失，还包括守约方为减轻损害或维护权利而支付的各项费用，包括但不限于诉讼费、调查费、差旅费、鉴定费、公证费、执行费、律师费、公告费等费用。计算方法按照正式票据所记载的金额，依据相关规定的标准进行计算。</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2.合同文件及解释顺序</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除双方最终签署的合同文本（下称“合同文本”）外，下列文件为本合同的组成部分。合同文件应能相互解释，互为说明。除合同文本另有约定外，组成本合同的文件及优先解释顺序如下：</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2.1合同文本及本合同附件；</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2.2中标通知书；</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2.3合同双方认可的其他文件。</w:t>
      </w:r>
    </w:p>
    <w:p>
      <w:pPr>
        <w:spacing w:line="360" w:lineRule="auto"/>
        <w:ind w:firstLine="482" w:firstLineChars="200"/>
        <w:outlineLvl w:val="0"/>
        <w:rPr>
          <w:rFonts w:ascii="仿宋" w:hAnsi="仿宋" w:eastAsia="仿宋" w:cs="仿宋"/>
          <w:highlight w:val="none"/>
        </w:rPr>
      </w:pPr>
      <w:r>
        <w:rPr>
          <w:rFonts w:hint="eastAsia" w:ascii="仿宋" w:hAnsi="仿宋" w:eastAsia="仿宋" w:cs="仿宋"/>
          <w:b/>
          <w:highlight w:val="none"/>
        </w:rPr>
        <w:t>二、标的名称、数量、单位</w:t>
      </w:r>
    </w:p>
    <w:tbl>
      <w:tblPr>
        <w:tblStyle w:val="33"/>
        <w:tblW w:w="5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409"/>
        <w:gridCol w:w="1638"/>
        <w:gridCol w:w="1771"/>
        <w:gridCol w:w="1153"/>
        <w:gridCol w:w="2562"/>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序号</w:t>
            </w:r>
          </w:p>
        </w:tc>
        <w:tc>
          <w:tcPr>
            <w:tcW w:w="689"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名称</w:t>
            </w:r>
          </w:p>
        </w:tc>
        <w:tc>
          <w:tcPr>
            <w:tcW w:w="801"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数量</w:t>
            </w:r>
          </w:p>
        </w:tc>
        <w:tc>
          <w:tcPr>
            <w:tcW w:w="866"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单位</w:t>
            </w:r>
          </w:p>
        </w:tc>
        <w:tc>
          <w:tcPr>
            <w:tcW w:w="564"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单价</w:t>
            </w:r>
          </w:p>
        </w:tc>
        <w:tc>
          <w:tcPr>
            <w:tcW w:w="1253"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总价</w:t>
            </w:r>
          </w:p>
        </w:tc>
        <w:tc>
          <w:tcPr>
            <w:tcW w:w="432" w:type="pct"/>
            <w:tcBorders>
              <w:top w:val="single" w:color="auto" w:sz="4" w:space="0"/>
              <w:left w:val="single" w:color="auto" w:sz="4" w:space="0"/>
              <w:bottom w:val="single" w:color="auto" w:sz="4" w:space="0"/>
              <w:right w:val="single" w:color="auto" w:sz="4" w:space="0"/>
            </w:tcBorders>
            <w:vAlign w:val="center"/>
          </w:tcPr>
          <w:p>
            <w:pPr>
              <w:spacing w:after="156" w:line="360" w:lineRule="auto"/>
              <w:jc w:val="center"/>
              <w:rPr>
                <w:rFonts w:ascii="仿宋" w:hAnsi="仿宋" w:eastAsia="仿宋" w:cs="仿宋"/>
                <w:bCs/>
                <w:highlight w:val="none"/>
              </w:rPr>
            </w:pPr>
            <w:r>
              <w:rPr>
                <w:rFonts w:hint="eastAsia" w:ascii="仿宋" w:hAnsi="仿宋" w:eastAsia="仿宋" w:cs="仿宋"/>
                <w:bCs/>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Cs w:val="21"/>
                <w:highlight w:val="none"/>
              </w:rPr>
            </w:pPr>
          </w:p>
        </w:tc>
        <w:tc>
          <w:tcPr>
            <w:tcW w:w="689" w:type="pct"/>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宋体"/>
                <w:kern w:val="0"/>
                <w:highlight w:val="none"/>
              </w:rPr>
            </w:pPr>
          </w:p>
        </w:tc>
        <w:tc>
          <w:tcPr>
            <w:tcW w:w="801"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highlight w:val="none"/>
              </w:rPr>
            </w:pPr>
          </w:p>
        </w:tc>
        <w:tc>
          <w:tcPr>
            <w:tcW w:w="8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仿宋" w:hAnsi="仿宋" w:eastAsia="仿宋" w:cs="仿宋"/>
                <w:kern w:val="0"/>
                <w:sz w:val="18"/>
                <w:szCs w:val="18"/>
                <w:highlight w:val="none"/>
              </w:rPr>
            </w:pPr>
          </w:p>
        </w:tc>
        <w:tc>
          <w:tcPr>
            <w:tcW w:w="56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b/>
                <w:kern w:val="0"/>
                <w:szCs w:val="21"/>
                <w:highlight w:val="none"/>
              </w:rPr>
            </w:pPr>
          </w:p>
        </w:tc>
        <w:tc>
          <w:tcPr>
            <w:tcW w:w="1253"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b/>
                <w:kern w:val="0"/>
                <w:szCs w:val="21"/>
                <w:highlight w:val="none"/>
              </w:rPr>
            </w:pPr>
          </w:p>
        </w:tc>
        <w:tc>
          <w:tcPr>
            <w:tcW w:w="432"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b/>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Cs w:val="21"/>
                <w:highlight w:val="none"/>
              </w:rPr>
            </w:pPr>
          </w:p>
        </w:tc>
        <w:tc>
          <w:tcPr>
            <w:tcW w:w="689" w:type="pct"/>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宋体"/>
                <w:kern w:val="0"/>
                <w:highlight w:val="none"/>
              </w:rPr>
            </w:pPr>
          </w:p>
        </w:tc>
        <w:tc>
          <w:tcPr>
            <w:tcW w:w="801"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highlight w:val="none"/>
              </w:rPr>
            </w:pPr>
          </w:p>
        </w:tc>
        <w:tc>
          <w:tcPr>
            <w:tcW w:w="8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仿宋" w:hAnsi="仿宋" w:eastAsia="仿宋" w:cs="仿宋"/>
                <w:kern w:val="0"/>
                <w:sz w:val="18"/>
                <w:szCs w:val="18"/>
                <w:highlight w:val="none"/>
              </w:rPr>
            </w:pPr>
          </w:p>
        </w:tc>
        <w:tc>
          <w:tcPr>
            <w:tcW w:w="56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kern w:val="0"/>
                <w:szCs w:val="21"/>
                <w:highlight w:val="none"/>
              </w:rPr>
            </w:pPr>
          </w:p>
        </w:tc>
        <w:tc>
          <w:tcPr>
            <w:tcW w:w="1253"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kern w:val="0"/>
                <w:szCs w:val="21"/>
                <w:highlight w:val="none"/>
              </w:rPr>
            </w:pPr>
          </w:p>
        </w:tc>
        <w:tc>
          <w:tcPr>
            <w:tcW w:w="432"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zCs w:val="21"/>
                <w:highlight w:val="none"/>
              </w:rPr>
            </w:pPr>
          </w:p>
        </w:tc>
        <w:tc>
          <w:tcPr>
            <w:tcW w:w="689" w:type="pct"/>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宋体"/>
                <w:kern w:val="0"/>
                <w:highlight w:val="none"/>
              </w:rPr>
            </w:pPr>
          </w:p>
        </w:tc>
        <w:tc>
          <w:tcPr>
            <w:tcW w:w="801" w:type="pct"/>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宋体"/>
                <w:kern w:val="0"/>
                <w:highlight w:val="none"/>
              </w:rPr>
            </w:pPr>
          </w:p>
        </w:tc>
        <w:tc>
          <w:tcPr>
            <w:tcW w:w="8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480" w:lineRule="auto"/>
              <w:jc w:val="left"/>
              <w:rPr>
                <w:rFonts w:ascii="仿宋" w:hAnsi="仿宋" w:eastAsia="仿宋" w:cs="仿宋"/>
                <w:kern w:val="0"/>
                <w:sz w:val="18"/>
                <w:szCs w:val="18"/>
                <w:highlight w:val="none"/>
              </w:rPr>
            </w:pPr>
          </w:p>
        </w:tc>
        <w:tc>
          <w:tcPr>
            <w:tcW w:w="564"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kern w:val="0"/>
                <w:szCs w:val="21"/>
                <w:highlight w:val="none"/>
              </w:rPr>
            </w:pPr>
          </w:p>
        </w:tc>
        <w:tc>
          <w:tcPr>
            <w:tcW w:w="1253"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kern w:val="0"/>
                <w:szCs w:val="21"/>
                <w:highlight w:val="none"/>
              </w:rPr>
            </w:pPr>
          </w:p>
        </w:tc>
        <w:tc>
          <w:tcPr>
            <w:tcW w:w="432"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仿宋" w:hAnsi="仿宋" w:eastAsia="仿宋" w:cs="仿宋"/>
                <w:b/>
                <w:kern w:val="0"/>
                <w:szCs w:val="21"/>
                <w:highlight w:val="none"/>
              </w:rPr>
            </w:pPr>
          </w:p>
        </w:tc>
      </w:tr>
    </w:tbl>
    <w:p>
      <w:pPr>
        <w:spacing w:line="360" w:lineRule="auto"/>
        <w:ind w:firstLine="482" w:firstLineChars="200"/>
        <w:rPr>
          <w:rFonts w:ascii="仿宋" w:hAnsi="仿宋" w:eastAsia="仿宋" w:cs="仿宋"/>
          <w:b/>
          <w:bCs/>
          <w:highlight w:val="none"/>
        </w:rPr>
      </w:pPr>
      <w:r>
        <w:rPr>
          <w:rFonts w:hint="eastAsia" w:ascii="仿宋" w:hAnsi="仿宋" w:eastAsia="仿宋" w:cs="仿宋"/>
          <w:b/>
          <w:bCs/>
          <w:highlight w:val="none"/>
        </w:rPr>
        <w:t>四、合同价款和支付方式</w:t>
      </w:r>
    </w:p>
    <w:p>
      <w:pPr>
        <w:spacing w:line="360" w:lineRule="auto"/>
        <w:ind w:firstLine="482" w:firstLineChars="200"/>
        <w:outlineLvl w:val="1"/>
        <w:rPr>
          <w:rFonts w:ascii="仿宋" w:hAnsi="仿宋" w:eastAsia="仿宋" w:cs="仿宋"/>
          <w:b/>
          <w:highlight w:val="none"/>
        </w:rPr>
      </w:pPr>
      <w:r>
        <w:rPr>
          <w:rFonts w:hint="eastAsia" w:ascii="仿宋" w:hAnsi="仿宋" w:eastAsia="仿宋" w:cs="仿宋"/>
          <w:b/>
          <w:highlight w:val="none"/>
        </w:rPr>
        <w:t>1.合同价款</w:t>
      </w:r>
    </w:p>
    <w:p>
      <w:pPr>
        <w:spacing w:line="360" w:lineRule="auto"/>
        <w:ind w:firstLine="482" w:firstLineChars="200"/>
        <w:outlineLvl w:val="2"/>
        <w:rPr>
          <w:rFonts w:ascii="仿宋" w:hAnsi="仿宋" w:eastAsia="仿宋" w:cs="仿宋"/>
          <w:b/>
          <w:highlight w:val="none"/>
        </w:rPr>
      </w:pPr>
      <w:r>
        <w:rPr>
          <w:rFonts w:hint="eastAsia" w:ascii="仿宋" w:hAnsi="仿宋" w:eastAsia="仿宋" w:cs="仿宋"/>
          <w:b/>
          <w:highlight w:val="none"/>
        </w:rPr>
        <w:t>本合同总价款为</w:t>
      </w:r>
      <w:r>
        <w:rPr>
          <w:rFonts w:hint="eastAsia" w:ascii="仿宋" w:hAnsi="仿宋" w:eastAsia="仿宋" w:cs="仿宋"/>
          <w:b/>
          <w:highlight w:val="none"/>
          <w:u w:val="single"/>
        </w:rPr>
        <w:t xml:space="preserve"> </w:t>
      </w:r>
      <w:r>
        <w:rPr>
          <w:rFonts w:ascii="仿宋" w:hAnsi="仿宋" w:eastAsia="仿宋" w:cs="仿宋"/>
          <w:b/>
          <w:highlight w:val="none"/>
          <w:u w:val="single"/>
        </w:rPr>
        <w:t xml:space="preserve">   </w:t>
      </w:r>
      <w:r>
        <w:rPr>
          <w:rFonts w:hint="eastAsia" w:ascii="仿宋" w:hAnsi="仿宋" w:eastAsia="仿宋" w:cs="仿宋"/>
          <w:b/>
          <w:highlight w:val="none"/>
          <w:u w:val="single"/>
        </w:rPr>
        <w:t xml:space="preserve"> </w:t>
      </w:r>
      <w:r>
        <w:rPr>
          <w:rFonts w:hint="eastAsia" w:ascii="仿宋" w:hAnsi="仿宋" w:eastAsia="仿宋" w:cs="仿宋"/>
          <w:b/>
          <w:highlight w:val="none"/>
        </w:rPr>
        <w:t>元（大写：人民币</w:t>
      </w:r>
      <w:r>
        <w:rPr>
          <w:rFonts w:hint="eastAsia" w:ascii="仿宋" w:hAnsi="仿宋" w:eastAsia="仿宋" w:cs="仿宋"/>
          <w:b/>
          <w:highlight w:val="none"/>
          <w:u w:val="single"/>
        </w:rPr>
        <w:t xml:space="preserve">  </w:t>
      </w:r>
      <w:r>
        <w:rPr>
          <w:rFonts w:ascii="仿宋" w:hAnsi="仿宋" w:eastAsia="仿宋" w:cs="仿宋"/>
          <w:b/>
          <w:highlight w:val="none"/>
          <w:u w:val="single"/>
        </w:rPr>
        <w:t xml:space="preserve">           </w:t>
      </w:r>
      <w:r>
        <w:rPr>
          <w:rFonts w:hint="eastAsia" w:ascii="仿宋" w:hAnsi="仿宋" w:eastAsia="仿宋" w:cs="仿宋"/>
          <w:b/>
          <w:highlight w:val="none"/>
        </w:rPr>
        <w:t>）</w:t>
      </w:r>
    </w:p>
    <w:p>
      <w:pPr>
        <w:spacing w:line="360" w:lineRule="auto"/>
        <w:ind w:firstLine="482" w:firstLineChars="200"/>
        <w:rPr>
          <w:rFonts w:ascii="仿宋" w:hAnsi="仿宋" w:eastAsia="仿宋" w:cs="仿宋"/>
          <w:highlight w:val="none"/>
        </w:rPr>
      </w:pPr>
      <w:r>
        <w:rPr>
          <w:rFonts w:hint="eastAsia" w:ascii="仿宋" w:hAnsi="仿宋" w:eastAsia="仿宋" w:cs="仿宋"/>
          <w:b/>
          <w:highlight w:val="none"/>
        </w:rPr>
        <w:t>本合同总价款</w:t>
      </w:r>
      <w:r>
        <w:rPr>
          <w:rFonts w:hint="eastAsia" w:ascii="仿宋" w:hAnsi="仿宋" w:eastAsia="仿宋" w:cs="仿宋"/>
          <w:highlight w:val="none"/>
        </w:rPr>
        <w:t>包括乙方完成合同约定的设备费用、利润、运费、保险、税收、安装、调试、技术培训、售后服务、相应的软件费用（含质保期软件升级、漏洞修复等）、互联对接、联调、检测、验证费用及辅助材料费、政策性文件规定及合同包含的所有风险、责任等相关售后服务及完成本项目的全部费用。除另有约定外，甲方不再另行支付费用。</w:t>
      </w:r>
    </w:p>
    <w:p>
      <w:pPr>
        <w:spacing w:line="360" w:lineRule="auto"/>
        <w:ind w:firstLine="482" w:firstLineChars="200"/>
        <w:outlineLvl w:val="1"/>
        <w:rPr>
          <w:rFonts w:ascii="仿宋" w:hAnsi="仿宋" w:eastAsia="仿宋" w:cs="仿宋"/>
          <w:b/>
          <w:highlight w:val="none"/>
        </w:rPr>
      </w:pPr>
      <w:r>
        <w:rPr>
          <w:rFonts w:hint="eastAsia" w:ascii="仿宋" w:hAnsi="仿宋" w:eastAsia="仿宋" w:cs="仿宋"/>
          <w:b/>
          <w:highlight w:val="none"/>
        </w:rPr>
        <w:t>2.发票提供</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2.1 乙方向甲方提供真实、合法、有效的发票，因乙方提供发票不符合国家相关税法规定的，甲方有权拒付款项，并且乙方应向甲方承担违约责任及由此导致的行政和法律责任。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2.2 若在合同履行期间，如遇国家税率政策调整（以提供发票时间为准），价格不变。</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2.3 若属于免税情形的，提供相关证明材料，按税法规定提供相应的发票。</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3.支付方式：</w:t>
      </w:r>
      <w:r>
        <w:rPr>
          <w:rFonts w:hint="eastAsia" w:ascii="仿宋" w:hAnsi="仿宋" w:eastAsia="仿宋" w:cs="仿宋"/>
          <w:b/>
          <w:bCs/>
          <w:highlight w:val="none"/>
        </w:rPr>
        <w:t xml:space="preserve">甲乙双方签订合同后，收到乙方支付申请和发票 </w:t>
      </w:r>
      <w:r>
        <w:rPr>
          <w:rFonts w:hint="eastAsia" w:ascii="仿宋" w:hAnsi="仿宋" w:eastAsia="仿宋" w:cs="仿宋"/>
          <w:b/>
          <w:bCs/>
          <w:highlight w:val="none"/>
          <w:lang w:val="zh-TW"/>
        </w:rPr>
        <w:t>个工作日内</w:t>
      </w:r>
      <w:r>
        <w:rPr>
          <w:rFonts w:hint="eastAsia" w:ascii="仿宋" w:hAnsi="仿宋" w:eastAsia="仿宋" w:cs="仿宋"/>
          <w:b/>
          <w:bCs/>
          <w:highlight w:val="none"/>
        </w:rPr>
        <w:t>甲方支付给乙方合同金额  %；安装、调试等内容完成，</w:t>
      </w:r>
      <w:r>
        <w:rPr>
          <w:rFonts w:hint="eastAsia" w:ascii="仿宋" w:hAnsi="仿宋" w:eastAsia="仿宋" w:cs="仿宋"/>
          <w:b/>
          <w:bCs/>
          <w:highlight w:val="none"/>
          <w:lang w:val="zh-TW"/>
        </w:rPr>
        <w:t>经</w:t>
      </w:r>
      <w:r>
        <w:rPr>
          <w:rFonts w:hint="eastAsia" w:ascii="仿宋" w:hAnsi="仿宋" w:eastAsia="仿宋" w:cs="仿宋"/>
          <w:b/>
          <w:bCs/>
          <w:highlight w:val="none"/>
        </w:rPr>
        <w:t>最终</w:t>
      </w:r>
      <w:r>
        <w:rPr>
          <w:rFonts w:hint="eastAsia" w:ascii="仿宋" w:hAnsi="仿宋" w:eastAsia="仿宋" w:cs="仿宋"/>
          <w:b/>
          <w:bCs/>
          <w:highlight w:val="none"/>
          <w:lang w:val="zh-TW"/>
        </w:rPr>
        <w:t>验收合格后，</w:t>
      </w:r>
      <w:r>
        <w:rPr>
          <w:rFonts w:hint="eastAsia" w:ascii="仿宋" w:hAnsi="仿宋" w:eastAsia="仿宋" w:cs="仿宋"/>
          <w:b/>
          <w:bCs/>
          <w:highlight w:val="none"/>
        </w:rPr>
        <w:t>收到乙方支付申请和发票</w:t>
      </w:r>
      <w:r>
        <w:rPr>
          <w:rFonts w:hint="eastAsia" w:ascii="仿宋" w:hAnsi="仿宋" w:eastAsia="仿宋" w:cs="仿宋"/>
          <w:b/>
          <w:bCs/>
          <w:highlight w:val="none"/>
          <w:lang w:val="zh-TW"/>
        </w:rPr>
        <w:t>，</w:t>
      </w:r>
      <w:r>
        <w:rPr>
          <w:rFonts w:hint="eastAsia" w:ascii="仿宋" w:hAnsi="仿宋" w:eastAsia="仿宋" w:cs="仿宋"/>
          <w:b/>
          <w:bCs/>
          <w:highlight w:val="none"/>
        </w:rPr>
        <w:t xml:space="preserve">  </w:t>
      </w:r>
      <w:r>
        <w:rPr>
          <w:rFonts w:hint="eastAsia" w:ascii="仿宋" w:hAnsi="仿宋" w:eastAsia="仿宋" w:cs="仿宋"/>
          <w:b/>
          <w:bCs/>
          <w:highlight w:val="none"/>
          <w:lang w:val="zh-TW"/>
        </w:rPr>
        <w:t>个工</w:t>
      </w:r>
      <w:r>
        <w:rPr>
          <w:rFonts w:hint="eastAsia" w:ascii="仿宋" w:hAnsi="仿宋" w:eastAsia="仿宋" w:cs="仿宋"/>
          <w:b/>
          <w:bCs/>
          <w:highlight w:val="none"/>
        </w:rPr>
        <w:t>作日内</w:t>
      </w:r>
      <w:r>
        <w:rPr>
          <w:rFonts w:hint="eastAsia" w:ascii="仿宋" w:hAnsi="仿宋" w:eastAsia="仿宋" w:cs="仿宋"/>
          <w:b/>
          <w:bCs/>
          <w:highlight w:val="none"/>
          <w:lang w:val="zh-TW"/>
        </w:rPr>
        <w:t>支付合同</w:t>
      </w:r>
      <w:r>
        <w:rPr>
          <w:rFonts w:hint="eastAsia" w:ascii="仿宋" w:hAnsi="仿宋" w:eastAsia="仿宋" w:cs="仿宋"/>
          <w:b/>
          <w:bCs/>
          <w:highlight w:val="none"/>
        </w:rPr>
        <w:t>剩余价款</w:t>
      </w:r>
      <w:r>
        <w:rPr>
          <w:rFonts w:hint="eastAsia" w:ascii="仿宋" w:hAnsi="仿宋" w:eastAsia="仿宋" w:cs="仿宋"/>
          <w:b/>
          <w:bCs/>
          <w:highlight w:val="none"/>
          <w:lang w:val="zh-TW"/>
        </w:rPr>
        <w:t>。</w:t>
      </w:r>
    </w:p>
    <w:p>
      <w:pPr>
        <w:pStyle w:val="90"/>
        <w:spacing w:line="360" w:lineRule="auto"/>
        <w:ind w:firstLineChars="0"/>
        <w:rPr>
          <w:rFonts w:ascii="仿宋" w:hAnsi="仿宋" w:eastAsia="仿宋" w:cs="仿宋"/>
          <w:bCs/>
          <w:sz w:val="24"/>
          <w:highlight w:val="none"/>
        </w:rPr>
      </w:pPr>
      <w:r>
        <w:rPr>
          <w:rFonts w:hint="eastAsia" w:ascii="仿宋" w:hAnsi="仿宋" w:eastAsia="仿宋" w:cs="仿宋"/>
          <w:sz w:val="24"/>
          <w:highlight w:val="none"/>
        </w:rPr>
        <w:t>4.</w:t>
      </w:r>
      <w:r>
        <w:rPr>
          <w:rFonts w:hint="eastAsia" w:ascii="仿宋" w:hAnsi="仿宋" w:eastAsia="仿宋" w:cs="仿宋"/>
          <w:b/>
          <w:bCs/>
          <w:sz w:val="24"/>
          <w:highlight w:val="none"/>
        </w:rPr>
        <w:t>乙方收款信息：</w:t>
      </w:r>
    </w:p>
    <w:p>
      <w:pPr>
        <w:pStyle w:val="90"/>
        <w:spacing w:line="360" w:lineRule="auto"/>
        <w:ind w:firstLineChars="0"/>
        <w:rPr>
          <w:rFonts w:ascii="仿宋" w:hAnsi="仿宋" w:eastAsia="仿宋" w:cs="仿宋"/>
          <w:bCs/>
          <w:sz w:val="24"/>
          <w:highlight w:val="none"/>
        </w:rPr>
      </w:pPr>
      <w:r>
        <w:rPr>
          <w:rFonts w:ascii="仿宋" w:hAnsi="仿宋" w:eastAsia="仿宋" w:cs="仿宋"/>
          <w:bCs/>
          <w:sz w:val="24"/>
          <w:highlight w:val="none"/>
        </w:rPr>
        <w:t>银行账户开户名：</w:t>
      </w:r>
    </w:p>
    <w:p>
      <w:pPr>
        <w:pStyle w:val="90"/>
        <w:spacing w:line="360" w:lineRule="auto"/>
        <w:ind w:firstLineChars="0"/>
        <w:rPr>
          <w:rFonts w:ascii="仿宋" w:hAnsi="仿宋" w:eastAsia="仿宋" w:cs="仿宋"/>
          <w:bCs/>
          <w:sz w:val="24"/>
          <w:highlight w:val="none"/>
        </w:rPr>
      </w:pPr>
      <w:r>
        <w:rPr>
          <w:rFonts w:ascii="仿宋" w:hAnsi="仿宋" w:eastAsia="仿宋" w:cs="仿宋"/>
          <w:bCs/>
          <w:sz w:val="24"/>
          <w:highlight w:val="none"/>
        </w:rPr>
        <w:t>开户行：</w:t>
      </w:r>
    </w:p>
    <w:p>
      <w:pPr>
        <w:pStyle w:val="90"/>
        <w:spacing w:line="360" w:lineRule="auto"/>
        <w:ind w:firstLineChars="0"/>
        <w:rPr>
          <w:rFonts w:ascii="仿宋" w:hAnsi="仿宋" w:eastAsia="仿宋" w:cs="仿宋"/>
          <w:bCs/>
          <w:sz w:val="24"/>
          <w:highlight w:val="none"/>
        </w:rPr>
      </w:pPr>
      <w:r>
        <w:rPr>
          <w:rFonts w:ascii="仿宋" w:hAnsi="仿宋" w:eastAsia="仿宋" w:cs="仿宋"/>
          <w:bCs/>
          <w:sz w:val="24"/>
          <w:highlight w:val="none"/>
        </w:rPr>
        <w:t>账号：</w:t>
      </w:r>
    </w:p>
    <w:p>
      <w:pPr>
        <w:pStyle w:val="90"/>
        <w:ind w:firstLine="210"/>
        <w:rPr>
          <w:highlight w:val="none"/>
        </w:rPr>
      </w:pPr>
    </w:p>
    <w:p>
      <w:pPr>
        <w:spacing w:line="360" w:lineRule="auto"/>
        <w:ind w:firstLine="482" w:firstLineChars="200"/>
        <w:outlineLvl w:val="0"/>
        <w:rPr>
          <w:rFonts w:ascii="仿宋" w:hAnsi="仿宋" w:eastAsia="仿宋" w:cs="仿宋"/>
          <w:b/>
          <w:bCs/>
          <w:sz w:val="30"/>
          <w:szCs w:val="30"/>
          <w:highlight w:val="none"/>
        </w:rPr>
      </w:pPr>
      <w:r>
        <w:rPr>
          <w:rFonts w:hint="eastAsia" w:ascii="仿宋" w:hAnsi="仿宋" w:eastAsia="仿宋" w:cs="仿宋"/>
          <w:b/>
          <w:bCs/>
          <w:highlight w:val="none"/>
        </w:rPr>
        <w:t>五、项目实施期限及地点</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1.项目实施期限：合同签订后</w:t>
      </w:r>
      <w:r>
        <w:rPr>
          <w:rFonts w:hint="eastAsia" w:ascii="仿宋" w:hAnsi="仿宋" w:eastAsia="仿宋" w:cs="仿宋"/>
          <w:highlight w:val="none"/>
          <w:u w:val="single"/>
        </w:rPr>
        <w:t xml:space="preserve">    </w:t>
      </w:r>
      <w:r>
        <w:rPr>
          <w:rFonts w:hint="eastAsia" w:ascii="仿宋" w:hAnsi="仿宋" w:eastAsia="仿宋" w:cs="仿宋"/>
          <w:highlight w:val="none"/>
        </w:rPr>
        <w:t>个日历天内完成；</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2.交货地点：设备交付实施地点为全省范围，由甲方指定。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3.交货地点变更：如交货地点有变，则甲方应于送货前至少</w:t>
      </w:r>
      <w:r>
        <w:rPr>
          <w:rFonts w:hint="eastAsia" w:ascii="仿宋" w:hAnsi="仿宋" w:eastAsia="仿宋" w:cs="仿宋"/>
          <w:highlight w:val="none"/>
          <w:u w:val="single"/>
        </w:rPr>
        <w:t xml:space="preserve">   </w:t>
      </w:r>
      <w:r>
        <w:rPr>
          <w:rFonts w:hint="eastAsia" w:ascii="仿宋" w:hAnsi="仿宋" w:eastAsia="仿宋" w:cs="仿宋"/>
          <w:highlight w:val="none"/>
        </w:rPr>
        <w:t>日提前以书面通知乙方，如因甲方原因未及时告知已变更的送货地点，不属于乙方逾期交货的情形，标的物保管风险至（乙方送达货物</w:t>
      </w:r>
      <w:r>
        <w:rPr>
          <w:rFonts w:ascii="Segoe UI Symbol" w:hAnsi="Segoe UI Symbol" w:eastAsia="仿宋" w:cs="Segoe UI Symbol"/>
          <w:highlight w:val="none"/>
        </w:rPr>
        <w:t>☑</w:t>
      </w:r>
      <w:r>
        <w:rPr>
          <w:rFonts w:hint="eastAsia" w:ascii="仿宋" w:hAnsi="仿宋" w:eastAsia="仿宋" w:cs="仿宋"/>
          <w:highlight w:val="none"/>
        </w:rPr>
        <w:t>/甲乙双方共同验收合格后□）转移；</w:t>
      </w:r>
    </w:p>
    <w:p>
      <w:pPr>
        <w:spacing w:line="360" w:lineRule="auto"/>
        <w:ind w:firstLine="482" w:firstLineChars="200"/>
        <w:outlineLvl w:val="0"/>
        <w:rPr>
          <w:rFonts w:ascii="仿宋" w:hAnsi="仿宋" w:eastAsia="仿宋" w:cs="仿宋"/>
          <w:b/>
          <w:bCs/>
          <w:highlight w:val="none"/>
        </w:rPr>
      </w:pPr>
      <w:r>
        <w:rPr>
          <w:rFonts w:hint="eastAsia" w:ascii="仿宋" w:hAnsi="仿宋" w:eastAsia="仿宋" w:cs="仿宋"/>
          <w:b/>
          <w:bCs/>
          <w:highlight w:val="none"/>
        </w:rPr>
        <w:t>六、质量要求、技术标准</w:t>
      </w:r>
    </w:p>
    <w:p>
      <w:pPr>
        <w:spacing w:line="360" w:lineRule="auto"/>
        <w:ind w:firstLine="480" w:firstLineChars="200"/>
        <w:rPr>
          <w:rFonts w:ascii="仿宋" w:hAnsi="仿宋" w:eastAsia="仿宋" w:cs="仿宋"/>
          <w:b/>
          <w:bCs/>
          <w:highlight w:val="none"/>
        </w:rPr>
      </w:pPr>
      <w:r>
        <w:rPr>
          <w:rFonts w:hint="eastAsia" w:ascii="仿宋" w:hAnsi="仿宋" w:eastAsia="仿宋" w:cs="仿宋"/>
          <w:highlight w:val="none"/>
        </w:rPr>
        <w:t>1.质量要求：</w:t>
      </w:r>
      <w:r>
        <w:rPr>
          <w:rFonts w:hint="eastAsia" w:ascii="仿宋" w:hAnsi="仿宋" w:eastAsia="仿宋" w:cs="仿宋"/>
          <w:b/>
          <w:bCs/>
          <w:highlight w:val="none"/>
        </w:rPr>
        <w:t>符合现行国家标准、规范和强制性条文并满足采购需求，一次验收合格。</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2.乙方应保证所提供的产品为全新、原装正品，并完全符合投标文件、合同规定的数量、品牌型号和性能要求的货物，且符合国家质量检验标准和产品出厂标准。</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3.乙方在合同履行过程中应严格遵守国家的相关规定，控制能耗，根据国家和部门颁发的规范和标准执行。乙方须保证向甲方提供的货物产品符合国家的相关规定，控制能耗，如不符合责任由乙方完全承担。</w:t>
      </w:r>
    </w:p>
    <w:p>
      <w:pPr>
        <w:spacing w:line="360" w:lineRule="auto"/>
        <w:ind w:firstLine="480" w:firstLineChars="200"/>
        <w:rPr>
          <w:rFonts w:ascii="仿宋" w:hAnsi="仿宋" w:eastAsia="仿宋" w:cs="仿宋"/>
          <w:b/>
          <w:highlight w:val="none"/>
          <w:u w:val="single"/>
        </w:rPr>
      </w:pPr>
      <w:r>
        <w:rPr>
          <w:rFonts w:hint="eastAsia" w:ascii="仿宋" w:hAnsi="仿宋" w:eastAsia="仿宋" w:cs="仿宋"/>
          <w:highlight w:val="none"/>
        </w:rPr>
        <w:t>4.合同标的物如有特殊质量要求：</w:t>
      </w:r>
      <w:r>
        <w:rPr>
          <w:rFonts w:hint="eastAsia" w:ascii="仿宋" w:hAnsi="仿宋" w:eastAsia="仿宋" w:cs="仿宋"/>
          <w:b/>
          <w:highlight w:val="none"/>
          <w:u w:val="single"/>
        </w:rPr>
        <w:t xml:space="preserve">          无                。</w:t>
      </w:r>
    </w:p>
    <w:p>
      <w:pPr>
        <w:spacing w:line="360" w:lineRule="auto"/>
        <w:ind w:firstLine="482" w:firstLineChars="200"/>
        <w:outlineLvl w:val="0"/>
        <w:rPr>
          <w:rFonts w:ascii="仿宋" w:hAnsi="仿宋" w:eastAsia="仿宋" w:cs="仿宋"/>
          <w:b/>
          <w:bCs/>
          <w:highlight w:val="none"/>
        </w:rPr>
      </w:pPr>
      <w:r>
        <w:rPr>
          <w:rFonts w:hint="eastAsia" w:ascii="仿宋" w:hAnsi="仿宋" w:eastAsia="仿宋" w:cs="仿宋"/>
          <w:b/>
          <w:bCs/>
          <w:highlight w:val="none"/>
        </w:rPr>
        <w:t>七、包装及运输要求</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1.标的物的包装方式和要求：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1.1普通包装标准：乙方应根据合同标的物的实际情况采取通用或者足以保护货物的方式包装，各个装运箱表面应写上箱号(盘号)、尺寸、毛重、净重、盘长、起吊位置、工程名称、以及“请勿倒置” 、“保持干燥”、“小心轻放”的标记,包装应为适应长途运输及多次搬运的坚固包装,并采取措施防止受潮、生锈及震动等影响,以满足设备安全运抵甲方指定地点及适宜甲方存放。</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1.2 特殊商品包装标准：对容易破损、容易变质等容易发生形状和性质发生变化的特殊商品，乙方应按照商品性能加强包装，防止变形变质。</w:t>
      </w:r>
    </w:p>
    <w:p>
      <w:pPr>
        <w:pStyle w:val="2"/>
        <w:adjustRightInd w:val="0"/>
        <w:snapToGrid w:val="0"/>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2.运输要求</w:t>
      </w:r>
    </w:p>
    <w:p>
      <w:pPr>
        <w:pStyle w:val="2"/>
        <w:adjustRightInd w:val="0"/>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2.1运输方式：由乙方自行确定，运输及装卸费用由乙方负责。在运输途中发生破损或丢失，乙方须提供全新货物，直至验收合格为止。</w:t>
      </w:r>
    </w:p>
    <w:p>
      <w:pPr>
        <w:pStyle w:val="2"/>
        <w:adjustRightInd w:val="0"/>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2.2运输时限：运输乙方必须在规定交货时间内，运至交货地点并按甲方要求卸货。相关违约条款，详见违约责任。</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2.3运输风险与责任：产品向甲方交付验收合格之前的风险、运输费用、保管、货损、人损及造成第三方损害责任亦由乙方承担。</w:t>
      </w:r>
    </w:p>
    <w:p>
      <w:pPr>
        <w:spacing w:line="360" w:lineRule="auto"/>
        <w:ind w:firstLine="482" w:firstLineChars="200"/>
        <w:rPr>
          <w:rFonts w:ascii="仿宋" w:hAnsi="仿宋" w:eastAsia="仿宋" w:cs="仿宋"/>
          <w:b/>
          <w:highlight w:val="none"/>
        </w:rPr>
      </w:pPr>
      <w:r>
        <w:rPr>
          <w:rFonts w:hint="eastAsia" w:ascii="仿宋" w:hAnsi="仿宋" w:eastAsia="仿宋" w:cs="仿宋"/>
          <w:b/>
          <w:highlight w:val="none"/>
        </w:rPr>
        <w:t>八、项目建设其他要求</w:t>
      </w:r>
    </w:p>
    <w:p>
      <w:pPr>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无。</w:t>
      </w:r>
    </w:p>
    <w:p>
      <w:pPr>
        <w:spacing w:line="360" w:lineRule="auto"/>
        <w:ind w:firstLine="482" w:firstLineChars="200"/>
        <w:rPr>
          <w:rFonts w:ascii="仿宋" w:hAnsi="仿宋" w:eastAsia="仿宋" w:cs="仿宋"/>
          <w:b/>
          <w:highlight w:val="none"/>
        </w:rPr>
      </w:pPr>
      <w:r>
        <w:rPr>
          <w:rFonts w:hint="eastAsia" w:ascii="仿宋" w:hAnsi="仿宋" w:eastAsia="仿宋" w:cs="仿宋"/>
          <w:b/>
          <w:highlight w:val="none"/>
        </w:rPr>
        <w:t>九、技术培训</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1.乙方需对甲方单位指定人员进行设备使用、维护技术培训，此项报价需包含在合同总价中。</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2.培训次数、时间、地点详见乙方培训计划承诺。</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3.对甲方指定人员培训合格后方可申请进行项目整体验收。</w:t>
      </w:r>
    </w:p>
    <w:p>
      <w:pPr>
        <w:spacing w:line="360" w:lineRule="auto"/>
        <w:ind w:firstLine="482" w:firstLineChars="200"/>
        <w:outlineLvl w:val="0"/>
        <w:rPr>
          <w:rFonts w:ascii="仿宋" w:hAnsi="仿宋" w:eastAsia="仿宋" w:cs="仿宋"/>
          <w:b/>
          <w:highlight w:val="none"/>
          <w:lang w:val="zh-CN"/>
        </w:rPr>
      </w:pPr>
      <w:r>
        <w:rPr>
          <w:rFonts w:hint="eastAsia" w:ascii="仿宋" w:hAnsi="仿宋" w:eastAsia="仿宋" w:cs="仿宋"/>
          <w:b/>
          <w:highlight w:val="none"/>
        </w:rPr>
        <w:t>十、验收标准及办法</w:t>
      </w:r>
    </w:p>
    <w:p>
      <w:pPr>
        <w:spacing w:line="520" w:lineRule="atLeast"/>
        <w:ind w:firstLine="480"/>
        <w:outlineLvl w:val="1"/>
        <w:rPr>
          <w:rFonts w:ascii="仿宋" w:hAnsi="仿宋" w:eastAsia="仿宋" w:cs="仿宋"/>
          <w:kern w:val="0"/>
          <w:highlight w:val="none"/>
          <w:lang w:val="zh-CN"/>
        </w:rPr>
      </w:pPr>
      <w:r>
        <w:rPr>
          <w:rFonts w:hint="eastAsia" w:ascii="仿宋" w:hAnsi="仿宋" w:eastAsia="仿宋" w:cs="仿宋"/>
          <w:kern w:val="0"/>
          <w:highlight w:val="none"/>
          <w:lang w:val="zh-CN"/>
        </w:rPr>
        <w:t>1.初验</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（1）安装、调试完成后</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u w:val="single"/>
        </w:rPr>
        <w:t xml:space="preserve">  </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lang w:val="zh-CN"/>
        </w:rPr>
        <w:t>日内，双方应对合同设备进行验收，以确定合同设备是否达到合同约定的技术性能指标。</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（2）如由于乙方原因合同设备在验收过程中未能达到合同约定的技术性能指标，则乙方应在双方同意的期限内采取措施消除合同设备中存在的缺陷，并在缺陷消除以后，尽快进行再次验收。</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（3）如果由于乙方原因，再次验收均未能达到合同约定的技术性能指标，则甲方有权解除合同，乙方应赔偿给甲方造成的一切损失。</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（4）验收过程中，如果发现设备的质量和规格与合同约定不符，或提供贴牌产品，包括存在缺陷或使用不符合要求的材料，甲方可委托有资质的检验机构进行检验，并有权凭其出具的检验报告终止合同，</w:t>
      </w:r>
      <w:r>
        <w:rPr>
          <w:rFonts w:hint="eastAsia" w:ascii="仿宋" w:hAnsi="仿宋" w:eastAsia="仿宋" w:cs="仿宋"/>
          <w:kern w:val="0"/>
          <w:highlight w:val="none"/>
        </w:rPr>
        <w:t>由此给甲方造成的一切损失由乙方承担</w:t>
      </w:r>
      <w:r>
        <w:rPr>
          <w:rFonts w:hint="eastAsia" w:ascii="仿宋" w:hAnsi="仿宋" w:eastAsia="仿宋" w:cs="仿宋"/>
          <w:kern w:val="0"/>
          <w:highlight w:val="none"/>
          <w:lang w:val="zh-CN"/>
        </w:rPr>
        <w:t>。</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（5）验收过程中，双方应及时共同记录合同设备的使用及设备验收情况。对于未达到技术性能指标的，应如实记录设备表现、可能原因及处理情况等。</w:t>
      </w:r>
    </w:p>
    <w:p>
      <w:pPr>
        <w:spacing w:line="520" w:lineRule="atLeast"/>
        <w:ind w:firstLine="480"/>
        <w:outlineLvl w:val="2"/>
        <w:rPr>
          <w:rFonts w:ascii="仿宋" w:hAnsi="仿宋" w:eastAsia="仿宋" w:cs="仿宋"/>
          <w:kern w:val="0"/>
          <w:highlight w:val="none"/>
          <w:lang w:val="zh-CN"/>
        </w:rPr>
      </w:pPr>
      <w:r>
        <w:rPr>
          <w:rFonts w:hint="eastAsia" w:ascii="仿宋" w:hAnsi="仿宋" w:eastAsia="仿宋" w:cs="仿宋"/>
          <w:kern w:val="0"/>
          <w:highlight w:val="none"/>
          <w:lang w:val="zh-CN"/>
        </w:rPr>
        <w:t>（6）验收审核资料包括但不限于合同设备制造商的证明文件。</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（7）如合同设备均达到合同约定的技术性能指标，则甲乙双方应在验收工作完成后</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u w:val="single"/>
        </w:rPr>
        <w:t xml:space="preserve"> </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lang w:val="zh-CN"/>
        </w:rPr>
        <w:t>日内签署合同设备初验证明材料</w:t>
      </w:r>
      <w:r>
        <w:rPr>
          <w:rFonts w:hint="eastAsia" w:ascii="仿宋" w:hAnsi="仿宋" w:eastAsia="仿宋" w:cs="仿宋"/>
          <w:kern w:val="0"/>
          <w:highlight w:val="none"/>
          <w:u w:val="single"/>
        </w:rPr>
        <w:t xml:space="preserve"> 1  </w:t>
      </w:r>
      <w:r>
        <w:rPr>
          <w:rFonts w:hint="eastAsia" w:ascii="仿宋" w:hAnsi="仿宋" w:eastAsia="仿宋" w:cs="仿宋"/>
          <w:kern w:val="0"/>
          <w:highlight w:val="none"/>
          <w:lang w:val="zh-CN"/>
        </w:rPr>
        <w:t>式</w:t>
      </w:r>
      <w:r>
        <w:rPr>
          <w:rFonts w:hint="eastAsia" w:ascii="仿宋" w:hAnsi="仿宋" w:eastAsia="仿宋" w:cs="仿宋"/>
          <w:kern w:val="0"/>
          <w:highlight w:val="none"/>
          <w:u w:val="single"/>
        </w:rPr>
        <w:t xml:space="preserve">  4 </w:t>
      </w:r>
      <w:r>
        <w:rPr>
          <w:rFonts w:hint="eastAsia" w:ascii="仿宋" w:hAnsi="仿宋" w:eastAsia="仿宋" w:cs="仿宋"/>
          <w:kern w:val="0"/>
          <w:highlight w:val="none"/>
          <w:lang w:val="zh-CN"/>
        </w:rPr>
        <w:t>份，双方各持</w:t>
      </w:r>
      <w:r>
        <w:rPr>
          <w:rFonts w:hint="eastAsia" w:ascii="仿宋" w:hAnsi="仿宋" w:eastAsia="仿宋" w:cs="仿宋"/>
          <w:kern w:val="0"/>
          <w:highlight w:val="none"/>
          <w:u w:val="single"/>
        </w:rPr>
        <w:t xml:space="preserve"> 2  </w:t>
      </w:r>
      <w:r>
        <w:rPr>
          <w:rFonts w:hint="eastAsia" w:ascii="仿宋" w:hAnsi="仿宋" w:eastAsia="仿宋" w:cs="仿宋"/>
          <w:kern w:val="0"/>
          <w:highlight w:val="none"/>
          <w:lang w:val="zh-CN"/>
        </w:rPr>
        <w:t>份。</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2.试运行：初验合格，合同设备进入试运行。试运行期限为</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u w:val="single"/>
        </w:rPr>
        <w:t>1</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lang w:val="zh-CN"/>
        </w:rPr>
        <w:t>个月，试运行期间设备运行正常，乙方向甲方提交试运行报告。</w:t>
      </w:r>
    </w:p>
    <w:p>
      <w:pPr>
        <w:spacing w:line="520" w:lineRule="atLeast"/>
        <w:ind w:firstLine="480"/>
        <w:rPr>
          <w:rFonts w:ascii="仿宋" w:hAnsi="仿宋" w:eastAsia="仿宋" w:cs="仿宋"/>
          <w:kern w:val="0"/>
          <w:highlight w:val="none"/>
          <w:lang w:val="zh-CN"/>
        </w:rPr>
      </w:pPr>
      <w:r>
        <w:rPr>
          <w:rFonts w:hint="eastAsia" w:ascii="仿宋" w:hAnsi="仿宋" w:eastAsia="仿宋" w:cs="仿宋"/>
          <w:kern w:val="0"/>
          <w:highlight w:val="none"/>
          <w:lang w:val="zh-CN"/>
        </w:rPr>
        <w:t>3.终验：合同设备试运行期满后</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u w:val="single"/>
        </w:rPr>
        <w:t xml:space="preserve"> </w:t>
      </w:r>
      <w:r>
        <w:rPr>
          <w:rFonts w:hint="eastAsia" w:ascii="仿宋" w:hAnsi="仿宋" w:eastAsia="仿宋" w:cs="仿宋"/>
          <w:kern w:val="0"/>
          <w:highlight w:val="none"/>
          <w:u w:val="single"/>
          <w:lang w:val="zh-CN"/>
        </w:rPr>
        <w:t xml:space="preserve"> </w:t>
      </w:r>
      <w:r>
        <w:rPr>
          <w:rFonts w:hint="eastAsia" w:ascii="仿宋" w:hAnsi="仿宋" w:eastAsia="仿宋" w:cs="仿宋"/>
          <w:kern w:val="0"/>
          <w:highlight w:val="none"/>
          <w:lang w:val="zh-CN"/>
        </w:rPr>
        <w:t>日内，如合同设备均符合合同约定的技术性能指标，设备运行正常且无故障，则甲乙双方签署终验证书</w:t>
      </w:r>
      <w:r>
        <w:rPr>
          <w:rFonts w:hint="eastAsia" w:ascii="仿宋" w:hAnsi="仿宋" w:eastAsia="仿宋" w:cs="仿宋"/>
          <w:kern w:val="0"/>
          <w:highlight w:val="none"/>
          <w:u w:val="single"/>
        </w:rPr>
        <w:t xml:space="preserve">  1 </w:t>
      </w:r>
      <w:r>
        <w:rPr>
          <w:rFonts w:hint="eastAsia" w:ascii="仿宋" w:hAnsi="仿宋" w:eastAsia="仿宋" w:cs="仿宋"/>
          <w:kern w:val="0"/>
          <w:highlight w:val="none"/>
          <w:lang w:val="zh-CN"/>
        </w:rPr>
        <w:t>式</w:t>
      </w:r>
      <w:r>
        <w:rPr>
          <w:rFonts w:hint="eastAsia" w:ascii="仿宋" w:hAnsi="仿宋" w:eastAsia="仿宋" w:cs="仿宋"/>
          <w:kern w:val="0"/>
          <w:highlight w:val="none"/>
          <w:u w:val="single"/>
        </w:rPr>
        <w:t xml:space="preserve">  2 </w:t>
      </w:r>
      <w:r>
        <w:rPr>
          <w:rFonts w:hint="eastAsia" w:ascii="仿宋" w:hAnsi="仿宋" w:eastAsia="仿宋" w:cs="仿宋"/>
          <w:kern w:val="0"/>
          <w:highlight w:val="none"/>
          <w:lang w:val="zh-CN"/>
        </w:rPr>
        <w:t>份，双方各持一份。合同设备验收证明材料的签署不能免除乙方在质量保证期内对合同设备应承担的保证责任。</w:t>
      </w:r>
    </w:p>
    <w:p>
      <w:pPr>
        <w:spacing w:line="520" w:lineRule="atLeast"/>
        <w:ind w:firstLine="480"/>
        <w:outlineLvl w:val="1"/>
        <w:rPr>
          <w:rFonts w:ascii="仿宋" w:hAnsi="仿宋" w:eastAsia="仿宋" w:cs="仿宋"/>
          <w:kern w:val="0"/>
          <w:highlight w:val="none"/>
          <w:lang w:val="zh-CN"/>
        </w:rPr>
      </w:pPr>
      <w:r>
        <w:rPr>
          <w:rFonts w:hint="eastAsia" w:ascii="仿宋" w:hAnsi="仿宋" w:eastAsia="仿宋" w:cs="仿宋"/>
          <w:kern w:val="0"/>
          <w:highlight w:val="none"/>
          <w:lang w:val="zh-CN"/>
        </w:rPr>
        <w:t>4.验收过程中发生的相关费用由乙方承担。</w:t>
      </w:r>
    </w:p>
    <w:p>
      <w:pPr>
        <w:spacing w:line="360" w:lineRule="auto"/>
        <w:ind w:firstLine="482" w:firstLineChars="200"/>
        <w:outlineLvl w:val="0"/>
        <w:rPr>
          <w:rFonts w:ascii="仿宋" w:hAnsi="仿宋" w:eastAsia="仿宋" w:cs="仿宋"/>
          <w:b/>
          <w:highlight w:val="none"/>
        </w:rPr>
      </w:pPr>
      <w:bookmarkStart w:id="73" w:name="_Toc5625745"/>
      <w:bookmarkStart w:id="74" w:name="_Hlk4965673"/>
      <w:r>
        <w:rPr>
          <w:rFonts w:hint="eastAsia" w:ascii="仿宋" w:hAnsi="仿宋" w:eastAsia="仿宋" w:cs="仿宋"/>
          <w:b/>
          <w:highlight w:val="none"/>
        </w:rPr>
        <w:t>十一、售后服务</w:t>
      </w:r>
      <w:bookmarkEnd w:id="73"/>
    </w:p>
    <w:p>
      <w:pPr>
        <w:spacing w:line="360" w:lineRule="auto"/>
        <w:ind w:firstLine="480" w:firstLineChars="200"/>
        <w:rPr>
          <w:rFonts w:ascii="仿宋" w:hAnsi="仿宋" w:eastAsia="仿宋" w:cs="仿宋"/>
          <w:b/>
          <w:highlight w:val="none"/>
        </w:rPr>
      </w:pPr>
      <w:r>
        <w:rPr>
          <w:rFonts w:hint="eastAsia" w:ascii="仿宋" w:hAnsi="仿宋" w:eastAsia="仿宋" w:cs="仿宋"/>
          <w:highlight w:val="none"/>
        </w:rPr>
        <w:t>1.质保期：自最终验收合格之日起</w:t>
      </w:r>
      <w:r>
        <w:rPr>
          <w:rFonts w:hint="eastAsia" w:ascii="仿宋" w:hAnsi="仿宋" w:eastAsia="仿宋" w:cs="仿宋"/>
          <w:highlight w:val="none"/>
          <w:u w:val="single"/>
        </w:rPr>
        <w:t xml:space="preserve">   </w:t>
      </w:r>
      <w:r>
        <w:rPr>
          <w:rFonts w:hint="eastAsia" w:ascii="仿宋" w:hAnsi="仿宋" w:eastAsia="仿宋" w:cs="仿宋"/>
          <w:highlight w:val="none"/>
        </w:rPr>
        <w:t>。若国际标准、国家标准、行业标准、部门标准等规定的产品质量保证期长于本合同约定的，适用相关规定</w:t>
      </w:r>
      <w:r>
        <w:rPr>
          <w:rFonts w:hint="eastAsia" w:ascii="仿宋" w:hAnsi="仿宋" w:eastAsia="仿宋" w:cs="仿宋"/>
          <w:b/>
          <w:highlight w:val="none"/>
        </w:rPr>
        <w:t>；</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2.在本合同约定质保期内，若标的物出现质量缺陷或者瑕疵的，乙方应在收到甲方通知后及时派相关人员到标的物所在地进行更换或者维修维护，由此产生的一切费用由乙方承担。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3.乙方不按本合同约定承担质量保证责任的，甲方可基于合理原因垫付费用对标的物进行修复，甲方修复标的物所垫付的全部费用以及甲方由此遭受的一切经济损失均由乙方承担。</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w:t>
      </w:r>
      <w:r>
        <w:rPr>
          <w:rFonts w:hint="eastAsia" w:ascii="仿宋" w:hAnsi="仿宋" w:eastAsia="仿宋" w:cs="仿宋"/>
          <w:bCs/>
          <w:highlight w:val="none"/>
        </w:rPr>
        <w:t>保修期内，乙方负责对其提供的设备进行维修，不收取额外费用，对由于产品缺陷而引起的财产或人身损害的，由乙方承担全部法律责任。在质保期内，</w:t>
      </w:r>
      <w:r>
        <w:rPr>
          <w:rFonts w:hint="eastAsia" w:ascii="仿宋" w:hAnsi="仿宋" w:eastAsia="仿宋" w:cs="仿宋"/>
          <w:highlight w:val="none"/>
        </w:rPr>
        <w:t>提供软件免费升级与技术支持服务，在质保期内，同一产品、同一质量问题连续两次维修仍无法正常使用的，须无条件更换同品牌、同型号或最新产品，在产品的设计使用寿命期内，供应商应能保证使用方更换到原厂正宗的零部件。</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4.其他：</w:t>
      </w:r>
      <w:r>
        <w:rPr>
          <w:rFonts w:hint="eastAsia" w:ascii="仿宋" w:hAnsi="仿宋" w:eastAsia="仿宋" w:cs="仿宋"/>
          <w:highlight w:val="none"/>
          <w:u w:val="single"/>
        </w:rPr>
        <w:t xml:space="preserve">     无         </w:t>
      </w:r>
      <w:r>
        <w:rPr>
          <w:rFonts w:hint="eastAsia" w:ascii="仿宋" w:hAnsi="仿宋" w:eastAsia="仿宋" w:cs="仿宋"/>
          <w:highlight w:val="none"/>
        </w:rPr>
        <w:t>。</w:t>
      </w:r>
      <w:bookmarkEnd w:id="74"/>
    </w:p>
    <w:p>
      <w:pPr>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十二、安全条款</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1.乙方在合同履行过程中应严格遵守国家的相关安全管理规定。</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2.乙方在甲方公司范围的作业应遵守甲方的相关管理制度，一切按甲方安全管理规定办事。</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3.乙方在合同履行过程中必须遵守安全操作规范。所产生安全事故及责任（包括但不限于货物、人身安全事故），均由乙方自行承担。</w:t>
      </w:r>
    </w:p>
    <w:p>
      <w:pPr>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十三、权利和义务</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1.甲方的权利和义务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1.1甲方应按本合同约定支付合同价款。</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1.2甲方有权随时了解乙方的工作进展情况。</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1.3甲方应向乙方提供为完成服务工作所需要的信息、资料和其他相关协助。</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1.4甲方有权按照本合同约定对乙方提供的工作成果进行验收。甲方有权确认各阶段及最终工作成果是否满足甲方具体需要及该项目是否验收合格。</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1.5甲方对乙方提供的工作成果进行验收，如发现与合同约定不符或不满足甲方需求，有权拒绝接收该工作成果。该工作成果已经提供给甲方的，甲方有权就与合同约定不符或不满足甲方需求的部分拒绝支付相应工作成果的合同价款。如造成甲方无法实现合同目的，甲方有权拒绝接受全部工作成果并拒绝支付全部合同价款。</w:t>
      </w:r>
    </w:p>
    <w:p>
      <w:pPr>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2乙方的权利和义务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2.1乙方应根据本合同的约定提供服务并提交工作成果。</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2.2乙方应根据本合同的约定提交相关文件、资料。</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2.3在合同履行过程中，乙方有义务协助甲方对工作成果进行验收。</w:t>
      </w:r>
    </w:p>
    <w:p>
      <w:pPr>
        <w:spacing w:line="360" w:lineRule="auto"/>
        <w:ind w:firstLine="480" w:firstLineChars="200"/>
        <w:outlineLvl w:val="2"/>
        <w:rPr>
          <w:rFonts w:ascii="仿宋" w:hAnsi="仿宋" w:eastAsia="仿宋" w:cs="仿宋"/>
          <w:highlight w:val="none"/>
        </w:rPr>
      </w:pPr>
      <w:r>
        <w:rPr>
          <w:rFonts w:hint="eastAsia" w:ascii="仿宋" w:hAnsi="仿宋" w:eastAsia="仿宋" w:cs="仿宋"/>
          <w:highlight w:val="none"/>
        </w:rPr>
        <w:t>2.4乙方应按照本合同约定履行保密义务。</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2.5在合同履行期间及工作成果提交后，对甲方提出的有关本合同项目的任何问题，乙方有义务提供后续服务，包括但不限于免费修改、免费咨询等。</w:t>
      </w:r>
    </w:p>
    <w:p>
      <w:pPr>
        <w:spacing w:line="360" w:lineRule="auto"/>
        <w:ind w:firstLine="480" w:firstLineChars="200"/>
        <w:outlineLvl w:val="2"/>
        <w:rPr>
          <w:rFonts w:ascii="仿宋" w:hAnsi="仿宋" w:eastAsia="仿宋" w:cs="仿宋"/>
          <w:highlight w:val="none"/>
        </w:rPr>
      </w:pPr>
      <w:r>
        <w:rPr>
          <w:rFonts w:hint="eastAsia" w:ascii="仿宋" w:hAnsi="仿宋" w:eastAsia="仿宋" w:cs="仿宋"/>
          <w:highlight w:val="none"/>
        </w:rPr>
        <w:t>2.6按云南省财政资金使用管理的相关规定提供所需材</w:t>
      </w:r>
      <w:r>
        <w:rPr>
          <w:rFonts w:hint="eastAsia" w:ascii="仿宋" w:hAnsi="仿宋" w:eastAsia="仿宋" w:cs="仿宋"/>
          <w:bCs/>
          <w:szCs w:val="21"/>
          <w:highlight w:val="none"/>
        </w:rPr>
        <w:t>料。</w:t>
      </w:r>
    </w:p>
    <w:p>
      <w:pPr>
        <w:spacing w:line="360" w:lineRule="auto"/>
        <w:ind w:firstLine="482" w:firstLineChars="200"/>
        <w:outlineLvl w:val="0"/>
        <w:rPr>
          <w:rFonts w:ascii="仿宋" w:hAnsi="仿宋" w:eastAsia="仿宋" w:cs="仿宋"/>
          <w:b/>
          <w:highlight w:val="none"/>
        </w:rPr>
      </w:pPr>
      <w:bookmarkStart w:id="75" w:name="_Toc5625748"/>
      <w:bookmarkStart w:id="76" w:name="_Hlk4967142"/>
      <w:r>
        <w:rPr>
          <w:rFonts w:hint="eastAsia" w:ascii="仿宋" w:hAnsi="仿宋" w:eastAsia="仿宋" w:cs="仿宋"/>
          <w:b/>
          <w:highlight w:val="none"/>
        </w:rPr>
        <w:t>十四、违约责任</w:t>
      </w:r>
      <w:bookmarkEnd w:id="75"/>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1.送货期限及未达送货要求违约：若乙方不按合同约定时间按期供货，乙方须支付甲方违约金，每逾期一天，按逾期部分货款的万分之</w:t>
      </w:r>
      <w:r>
        <w:rPr>
          <w:rFonts w:hint="eastAsia" w:ascii="仿宋" w:hAnsi="仿宋" w:eastAsia="仿宋" w:cs="仿宋"/>
          <w:highlight w:val="none"/>
          <w:u w:val="single"/>
        </w:rPr>
        <w:t xml:space="preserve">   </w:t>
      </w:r>
      <w:r>
        <w:rPr>
          <w:rFonts w:hint="eastAsia" w:ascii="仿宋" w:hAnsi="仿宋" w:eastAsia="仿宋" w:cs="仿宋"/>
          <w:highlight w:val="none"/>
        </w:rPr>
        <w:t>计算，甲方从应付给乙方的货款中扣除。</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2.标的物质量标准违约：乙方向甲方交付的货物不符合本合同约定，致使不能实现甲乙双方订立本合同目的的，甲方有权拒收不符合约定的货物，并要求乙方在</w:t>
      </w:r>
      <w:r>
        <w:rPr>
          <w:rFonts w:hint="eastAsia" w:ascii="仿宋" w:hAnsi="仿宋" w:eastAsia="仿宋" w:cs="仿宋"/>
          <w:highlight w:val="none"/>
          <w:u w:val="single"/>
        </w:rPr>
        <w:t xml:space="preserve">    </w:t>
      </w:r>
      <w:r>
        <w:rPr>
          <w:rFonts w:hint="eastAsia" w:ascii="仿宋" w:hAnsi="仿宋" w:eastAsia="仿宋" w:cs="仿宋"/>
          <w:highlight w:val="none"/>
        </w:rPr>
        <w:t>日内予以更换或退货，乙方不予配合的，甲方有权解除合同，并要求乙方按本合同总价款</w:t>
      </w:r>
      <w:r>
        <w:rPr>
          <w:rFonts w:hint="eastAsia" w:ascii="仿宋" w:hAnsi="仿宋" w:eastAsia="仿宋" w:cs="仿宋"/>
          <w:highlight w:val="none"/>
          <w:u w:val="single"/>
        </w:rPr>
        <w:t xml:space="preserve">   </w:t>
      </w:r>
      <w:r>
        <w:rPr>
          <w:rFonts w:hint="eastAsia" w:ascii="仿宋" w:hAnsi="仿宋" w:eastAsia="仿宋" w:cs="仿宋"/>
          <w:highlight w:val="none"/>
        </w:rPr>
        <w:t>％向甲方支付违约金。</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在使用过程中，质量未能达到甲方要求的，甲方有权将该批次货物全部退回乙方，乙方应在甲方指定期限内更换符合合同约定的货物，并由乙方承担退换货物的全部费用。同时乙方应当向甲方支付退还货物相应价款</w:t>
      </w:r>
      <w:r>
        <w:rPr>
          <w:rFonts w:hint="eastAsia" w:ascii="仿宋" w:hAnsi="仿宋" w:eastAsia="仿宋" w:cs="仿宋"/>
          <w:highlight w:val="none"/>
          <w:u w:val="single"/>
        </w:rPr>
        <w:t xml:space="preserve">   </w:t>
      </w:r>
      <w:r>
        <w:rPr>
          <w:rFonts w:hint="eastAsia" w:ascii="仿宋" w:hAnsi="仿宋" w:eastAsia="仿宋" w:cs="仿宋"/>
          <w:highlight w:val="none"/>
        </w:rPr>
        <w:t>%的违约金，违约金不足以赔偿甲方损失的，乙方对甲方的全部损失进行赔偿。</w:t>
      </w:r>
    </w:p>
    <w:p>
      <w:pPr>
        <w:snapToGrid w:val="0"/>
        <w:spacing w:line="360" w:lineRule="auto"/>
        <w:ind w:firstLine="480" w:firstLineChars="200"/>
        <w:rPr>
          <w:rFonts w:ascii="仿宋" w:hAnsi="仿宋" w:eastAsia="仿宋" w:cs="仿宋"/>
          <w:bCs/>
          <w:highlight w:val="none"/>
        </w:rPr>
      </w:pPr>
      <w:r>
        <w:rPr>
          <w:rFonts w:hint="eastAsia" w:ascii="仿宋" w:hAnsi="仿宋" w:eastAsia="仿宋" w:cs="仿宋"/>
          <w:highlight w:val="none"/>
        </w:rPr>
        <w:t>3.标的物配套服务承诺违约：</w:t>
      </w:r>
      <w:r>
        <w:rPr>
          <w:rFonts w:hint="eastAsia" w:ascii="仿宋" w:hAnsi="仿宋" w:eastAsia="仿宋" w:cs="仿宋"/>
          <w:bCs/>
          <w:highlight w:val="none"/>
        </w:rPr>
        <w:t>乙方应按本项目招标文件、投标文件（或响应文件）、合同中的服务承诺，履行相应服务职责。如</w:t>
      </w:r>
      <w:r>
        <w:rPr>
          <w:rFonts w:hint="eastAsia" w:ascii="仿宋" w:hAnsi="仿宋" w:eastAsia="仿宋" w:cs="仿宋"/>
          <w:highlight w:val="none"/>
        </w:rPr>
        <w:t>乙方</w:t>
      </w:r>
      <w:r>
        <w:rPr>
          <w:rFonts w:hint="eastAsia" w:ascii="仿宋" w:hAnsi="仿宋" w:eastAsia="仿宋" w:cs="仿宋"/>
          <w:bCs/>
          <w:highlight w:val="none"/>
        </w:rPr>
        <w:t>未按以上服务承诺履行相应服务职责，</w:t>
      </w:r>
      <w:r>
        <w:rPr>
          <w:rFonts w:hint="eastAsia" w:ascii="仿宋" w:hAnsi="仿宋" w:eastAsia="仿宋" w:cs="仿宋"/>
          <w:highlight w:val="none"/>
        </w:rPr>
        <w:t>应按本合同总价款</w:t>
      </w:r>
      <w:r>
        <w:rPr>
          <w:rFonts w:hint="eastAsia" w:ascii="仿宋" w:hAnsi="仿宋" w:eastAsia="仿宋" w:cs="仿宋"/>
          <w:highlight w:val="none"/>
          <w:u w:val="single"/>
        </w:rPr>
        <w:t xml:space="preserve">     </w:t>
      </w:r>
      <w:r>
        <w:rPr>
          <w:rFonts w:hint="eastAsia" w:ascii="仿宋" w:hAnsi="仿宋" w:eastAsia="仿宋" w:cs="仿宋"/>
          <w:highlight w:val="none"/>
        </w:rPr>
        <w:t>％向甲方支付违约金，给甲方造成损失的还应就损失金额进行赔偿。</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4.售后服务承诺违约：乙方不按合同约定向甲方提供售后服务的，甲方有权请其他销售商代为提供服务，由此产生的费用及甲方遭受的经济损失均由乙方承担，并按合同总价款的</w:t>
      </w:r>
      <w:r>
        <w:rPr>
          <w:rFonts w:hint="eastAsia" w:ascii="仿宋" w:hAnsi="仿宋" w:eastAsia="仿宋" w:cs="仿宋"/>
          <w:highlight w:val="none"/>
          <w:u w:val="single"/>
        </w:rPr>
        <w:t xml:space="preserve">    </w:t>
      </w:r>
      <w:r>
        <w:rPr>
          <w:rFonts w:hint="eastAsia" w:ascii="仿宋" w:hAnsi="仿宋" w:eastAsia="仿宋" w:cs="仿宋"/>
          <w:highlight w:val="none"/>
        </w:rPr>
        <w:t>％向甲方支付违约金。</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5.货物权利主张违约：第三人就乙方提供的货物提出权利主张的，</w:t>
      </w:r>
      <w:r>
        <w:rPr>
          <w:rFonts w:hint="eastAsia" w:ascii="仿宋" w:hAnsi="仿宋" w:eastAsia="仿宋" w:cs="仿宋"/>
          <w:bCs/>
          <w:highlight w:val="none"/>
        </w:rPr>
        <w:t>其他第三人有证据证明乙方侵犯其知识产权或其它权利，</w:t>
      </w:r>
      <w:r>
        <w:rPr>
          <w:rFonts w:hint="eastAsia" w:ascii="仿宋" w:hAnsi="仿宋" w:eastAsia="仿宋" w:cs="仿宋"/>
          <w:highlight w:val="none"/>
        </w:rPr>
        <w:t>由乙方负责处理，由此给甲方造成损失的，乙方承担赔偿责任。</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6.甲方逾期付款违约: 达到合同约定付款时间和条件，甲方逾期支付款项超过   个月时，以应付未付金额为基数，逾期利息按照合同一年期中国银行存款基准利率执行，利息起算时间为甲方收到乙方付款申请后   个工作日起。 </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7.在合同履行过程中，因受国家、地方政府或者行业法律法规、政策、规定变化影响的，甲方有权单方解除合同，并不视为甲方违约。</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8.除有特殊约定，甲、乙任意一方违反本合同约定的，守约方可向违约方主张合同价款</w:t>
      </w:r>
      <w:r>
        <w:rPr>
          <w:rFonts w:hint="eastAsia" w:ascii="仿宋" w:hAnsi="仿宋" w:eastAsia="仿宋" w:cs="仿宋"/>
          <w:highlight w:val="none"/>
          <w:u w:val="single"/>
        </w:rPr>
        <w:t xml:space="preserve">    </w:t>
      </w:r>
      <w:r>
        <w:rPr>
          <w:rFonts w:hint="eastAsia" w:ascii="仿宋" w:hAnsi="仿宋" w:eastAsia="仿宋" w:cs="仿宋"/>
          <w:highlight w:val="none"/>
        </w:rPr>
        <w:t>%违约金。</w:t>
      </w:r>
    </w:p>
    <w:p>
      <w:pPr>
        <w:snapToGrid w:val="0"/>
        <w:spacing w:line="360" w:lineRule="auto"/>
        <w:ind w:firstLine="480" w:firstLineChars="200"/>
        <w:outlineLvl w:val="1"/>
        <w:rPr>
          <w:rFonts w:ascii="仿宋" w:hAnsi="仿宋" w:eastAsia="仿宋" w:cs="仿宋"/>
          <w:highlight w:val="none"/>
          <w:u w:val="single"/>
        </w:rPr>
      </w:pPr>
      <w:r>
        <w:rPr>
          <w:rFonts w:hint="eastAsia" w:ascii="仿宋" w:hAnsi="仿宋" w:eastAsia="仿宋" w:cs="仿宋"/>
          <w:highlight w:val="none"/>
        </w:rPr>
        <w:t>9.其他</w:t>
      </w:r>
      <w:r>
        <w:rPr>
          <w:rFonts w:hint="eastAsia" w:ascii="仿宋" w:hAnsi="仿宋" w:eastAsia="仿宋" w:cs="仿宋"/>
          <w:highlight w:val="none"/>
          <w:u w:val="single"/>
        </w:rPr>
        <w:t xml:space="preserve">      无          </w:t>
      </w:r>
      <w:r>
        <w:rPr>
          <w:rFonts w:hint="eastAsia" w:ascii="仿宋" w:hAnsi="仿宋" w:eastAsia="仿宋" w:cs="仿宋"/>
          <w:highlight w:val="none"/>
        </w:rPr>
        <w:t>。</w:t>
      </w:r>
    </w:p>
    <w:p>
      <w:pPr>
        <w:snapToGrid w:val="0"/>
        <w:spacing w:line="360" w:lineRule="auto"/>
        <w:ind w:firstLine="480" w:firstLineChars="200"/>
        <w:rPr>
          <w:rFonts w:ascii="仿宋" w:hAnsi="仿宋" w:eastAsia="仿宋" w:cs="仿宋"/>
          <w:highlight w:val="none"/>
        </w:rPr>
      </w:pPr>
      <w:bookmarkStart w:id="77" w:name="_Hlk4967399"/>
      <w:r>
        <w:rPr>
          <w:rFonts w:hint="eastAsia" w:ascii="仿宋" w:hAnsi="仿宋" w:eastAsia="仿宋" w:cs="仿宋"/>
          <w:highlight w:val="none"/>
        </w:rPr>
        <w:t>本合同所约定的违约金不足以弥补实际损失的，以实际损失为准。实际损失包括但不限于：甲方为追究乙方责任所支付的差旅费、鉴定评估费、公证费、公告费、诉讼费、律师费、保全费、为保全乙方财产而向第三人支付的担保费用、拍卖费、执行费、复印费等。上述违约金及损失甲方有权在应付合同价款中优先扣除</w:t>
      </w:r>
      <w:bookmarkEnd w:id="76"/>
      <w:bookmarkEnd w:id="77"/>
      <w:r>
        <w:rPr>
          <w:rFonts w:hint="eastAsia" w:ascii="仿宋" w:hAnsi="仿宋" w:eastAsia="仿宋" w:cs="仿宋"/>
          <w:highlight w:val="none"/>
        </w:rPr>
        <w:t>。</w:t>
      </w:r>
    </w:p>
    <w:p>
      <w:pPr>
        <w:spacing w:line="360" w:lineRule="auto"/>
        <w:ind w:firstLine="482" w:firstLineChars="200"/>
        <w:outlineLvl w:val="0"/>
        <w:rPr>
          <w:rFonts w:ascii="仿宋" w:hAnsi="仿宋" w:eastAsia="仿宋" w:cs="仿宋"/>
          <w:b/>
          <w:highlight w:val="none"/>
        </w:rPr>
      </w:pPr>
      <w:bookmarkStart w:id="78" w:name="_Toc5625749"/>
      <w:bookmarkStart w:id="79" w:name="_Hlk4967161"/>
      <w:r>
        <w:rPr>
          <w:rFonts w:hint="eastAsia" w:ascii="仿宋" w:hAnsi="仿宋" w:eastAsia="仿宋" w:cs="仿宋"/>
          <w:b/>
          <w:highlight w:val="none"/>
        </w:rPr>
        <w:t>十五、合同变更、解除和终止</w:t>
      </w:r>
      <w:bookmarkEnd w:id="78"/>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1.本合同履行期间，经协商一致，甲乙双方可以书面形式变更本合同的相关条款。</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2.出现以下情形之一时，甲乙双方可以解除本合同，并承担相应的违约责任：</w:t>
      </w:r>
    </w:p>
    <w:p>
      <w:pPr>
        <w:snapToGrid w:val="0"/>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2.1因不可抗力致使不能实现合同目的；</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2.2在履行期限届满前，当事人一方明确表示或者以自己的行为表明将不履行主要合同义务；</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2.3当事人一方迟延履行主要合同义务，经催告后在合理期限内仍未履行；</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2.4当事人一方迟延履行合同义务或者有其他违约行为致使不能实现合同目的；</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2.5 双方协商一致；</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2.6乙方未经甲方同意部分转让或全部转让其应履行的合同义务；</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2.7 法律规定或者本合同约定的其他可以解除合同的情形。</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3.如果乙方破产或无清偿能力时，甲方可在任何时候以书面形式通知乙方解除合同，并由乙方承担相应的违约责任及经济赔偿责任。</w:t>
      </w:r>
    </w:p>
    <w:p>
      <w:pPr>
        <w:snapToGrid w:val="0"/>
        <w:spacing w:line="360" w:lineRule="auto"/>
        <w:ind w:firstLine="480" w:firstLineChars="200"/>
        <w:outlineLvl w:val="2"/>
        <w:rPr>
          <w:rFonts w:ascii="仿宋" w:hAnsi="仿宋" w:eastAsia="仿宋" w:cs="仿宋"/>
          <w:highlight w:val="none"/>
        </w:rPr>
      </w:pPr>
      <w:r>
        <w:rPr>
          <w:rFonts w:hint="eastAsia" w:ascii="仿宋" w:hAnsi="仿宋" w:eastAsia="仿宋" w:cs="仿宋"/>
          <w:highlight w:val="none"/>
        </w:rPr>
        <w:t>4.其他：</w:t>
      </w:r>
      <w:r>
        <w:rPr>
          <w:rFonts w:hint="eastAsia" w:ascii="仿宋" w:hAnsi="仿宋" w:eastAsia="仿宋" w:cs="仿宋"/>
          <w:highlight w:val="none"/>
          <w:u w:val="single"/>
        </w:rPr>
        <w:t xml:space="preserve">         无           </w:t>
      </w:r>
      <w:r>
        <w:rPr>
          <w:rFonts w:hint="eastAsia" w:ascii="仿宋" w:hAnsi="仿宋" w:eastAsia="仿宋" w:cs="仿宋"/>
          <w:highlight w:val="none"/>
        </w:rPr>
        <w:t>。</w:t>
      </w:r>
    </w:p>
    <w:bookmarkEnd w:id="79"/>
    <w:p>
      <w:pPr>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十六、知识产权条款及技术资料保密要求</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1.本合同履行期间，乙方承诺对本合同标的物拥有合法处分权。乙方应保证其向甲方提供的标的不存在侵犯业已存在的任何第三方知识产权的情形。</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2.本合同所述的知识产权包括著作权及其相关人身及财产权利、专利权及其相关权利、商标权及其相关权利。</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3.本合同中如因乙方原因，致使甲方在使用标的过程中侵犯了任何第三人的知识产权而被要求停止使用、赔偿损失或其他合法要求，则乙方应依甲方指示作为甲方代理人处理相关事宜，并且应对甲方因此而受到的损失予以全额赔偿，该赔偿应在甲方提出书面赔偿主张之日起</w:t>
      </w:r>
      <w:r>
        <w:rPr>
          <w:rFonts w:hint="eastAsia" w:ascii="仿宋" w:hAnsi="仿宋" w:eastAsia="仿宋" w:cs="仿宋"/>
          <w:highlight w:val="none"/>
          <w:u w:val="single"/>
        </w:rPr>
        <w:t>7</w:t>
      </w:r>
      <w:r>
        <w:rPr>
          <w:rFonts w:hint="eastAsia" w:ascii="仿宋" w:hAnsi="仿宋" w:eastAsia="仿宋" w:cs="仿宋"/>
          <w:highlight w:val="none"/>
        </w:rPr>
        <w:t>日内做出，甲方享有就不足部分继续追偿的权利，乙方应在甲方每次提出书面赔偿主张之日起</w:t>
      </w:r>
      <w:r>
        <w:rPr>
          <w:rFonts w:hint="eastAsia" w:ascii="仿宋" w:hAnsi="仿宋" w:eastAsia="仿宋" w:cs="仿宋"/>
          <w:highlight w:val="none"/>
          <w:u w:val="single"/>
        </w:rPr>
        <w:t xml:space="preserve">      </w:t>
      </w:r>
      <w:r>
        <w:rPr>
          <w:rFonts w:hint="eastAsia" w:ascii="仿宋" w:hAnsi="仿宋" w:eastAsia="仿宋" w:cs="仿宋"/>
          <w:highlight w:val="none"/>
        </w:rPr>
        <w:t>日内做出该部分的全额赔偿。甲方受损的全额应包括甲方实际受到的损失和合理可得的利益。</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4.本合同如标的因涉及第三人知识产权而致使本合同无法继续履行或履行成本过高的，甲方可以单方面解除本合同并采取以下方式：</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4.1退货；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4.2返还款项；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4.3承担违约责任； </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4.4以其他合法方式维护其权益。</w:t>
      </w: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5.技术资料保密要求。本合同履行期间，未经甲方事先书面同意，乙方不得将甲方提供的有关合同或任何合同条文、规格、计划、图纸、样品或资料提供给予履行本合同无关的任何其他人；向履行本合同有关的人员提供时，应注意保密并限于履行合同的必需范围。</w:t>
      </w:r>
    </w:p>
    <w:p>
      <w:pPr>
        <w:tabs>
          <w:tab w:val="left" w:pos="764"/>
        </w:tabs>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十七、不可抗力</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不可抗力包括但不限于地震、火灾、水灾、雷击等自然灾害、劳动纠纷、暴乱、战争、恐怖袭击、传染病或公共交通的延误或其它任何不可由合同双方控制的事件。经双方协商一致后，任何一方由于不可抗力而产生的任何延误或没有履行合同均不承担责任。</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本合同履行中，若一方因政策或不可抗力原因导致无法履行合同时，须提前30天通知另一方或在不可抗力发生后三天内通知另一方。双方根据不可抗力的影响，部分或者全部免除责任。</w:t>
      </w:r>
    </w:p>
    <w:p>
      <w:pPr>
        <w:tabs>
          <w:tab w:val="left" w:pos="764"/>
        </w:tabs>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十八、争议解决</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本合同在履行过程中发生争议，双方协商解决，协商未能达成和解的，应向甲方所在地人民法院提起诉讼。</w:t>
      </w:r>
    </w:p>
    <w:p>
      <w:pPr>
        <w:tabs>
          <w:tab w:val="left" w:pos="764"/>
        </w:tabs>
        <w:spacing w:line="360" w:lineRule="auto"/>
        <w:ind w:firstLine="482" w:firstLineChars="200"/>
        <w:outlineLvl w:val="0"/>
        <w:rPr>
          <w:rFonts w:ascii="仿宋" w:hAnsi="仿宋" w:eastAsia="仿宋" w:cs="仿宋"/>
          <w:b/>
          <w:highlight w:val="none"/>
        </w:rPr>
      </w:pPr>
      <w:bookmarkStart w:id="80" w:name="_Toc5625751"/>
      <w:r>
        <w:rPr>
          <w:rFonts w:hint="eastAsia" w:ascii="仿宋" w:hAnsi="仿宋" w:eastAsia="仿宋" w:cs="仿宋"/>
          <w:b/>
          <w:highlight w:val="none"/>
        </w:rPr>
        <w:t>十九、通知与送达</w:t>
      </w:r>
      <w:bookmarkEnd w:id="80"/>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本合同项下任何通知、要求或信息传达均应采用书面形式，交付或发送至本合同概况所载送达地址，即为完成送达：</w:t>
      </w:r>
    </w:p>
    <w:p>
      <w:p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任何一方的送达地址需要变更时应当书面通知对方，若因一方地址变更后未履行通知义务，对方仍向上述约定地址送达的视为有效送达，由此产生的责任和后果由未履行通知义务的一方承担。</w:t>
      </w:r>
    </w:p>
    <w:p>
      <w:pPr>
        <w:numPr>
          <w:ilvl w:val="0"/>
          <w:numId w:val="1"/>
        </w:num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本合同履行期间，任何一方联系人、联系电话发生变化的，应及时以书面形式通知对方。</w:t>
      </w:r>
    </w:p>
    <w:p>
      <w:pPr>
        <w:numPr>
          <w:ilvl w:val="0"/>
          <w:numId w:val="1"/>
        </w:num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 xml:space="preserve"> 甲方联系人：   ，联系电话：  ，联系地址：   ，邮编，传真：无，电子邮箱：  。</w:t>
      </w:r>
    </w:p>
    <w:p>
      <w:pPr>
        <w:numPr>
          <w:ilvl w:val="0"/>
          <w:numId w:val="1"/>
        </w:numPr>
        <w:snapToGrid w:val="0"/>
        <w:spacing w:line="360" w:lineRule="auto"/>
        <w:ind w:firstLine="480" w:firstLineChars="200"/>
        <w:rPr>
          <w:rFonts w:ascii="仿宋" w:hAnsi="仿宋" w:eastAsia="仿宋" w:cs="仿宋"/>
          <w:highlight w:val="none"/>
        </w:rPr>
      </w:pPr>
      <w:r>
        <w:rPr>
          <w:rFonts w:hint="eastAsia" w:ascii="仿宋" w:hAnsi="仿宋" w:eastAsia="仿宋" w:cs="仿宋"/>
          <w:highlight w:val="none"/>
        </w:rPr>
        <w:t>乙方联系人：  ，联系电话：  ，联系地址：，邮编： ，传真： ，电子邮箱：</w:t>
      </w:r>
    </w:p>
    <w:p>
      <w:pPr>
        <w:tabs>
          <w:tab w:val="left" w:pos="764"/>
        </w:tabs>
        <w:spacing w:line="360" w:lineRule="auto"/>
        <w:ind w:firstLine="482" w:firstLineChars="200"/>
        <w:outlineLvl w:val="0"/>
        <w:rPr>
          <w:rFonts w:ascii="仿宋" w:hAnsi="仿宋" w:eastAsia="仿宋" w:cs="仿宋"/>
          <w:b/>
          <w:highlight w:val="none"/>
        </w:rPr>
      </w:pPr>
      <w:r>
        <w:rPr>
          <w:rFonts w:hint="eastAsia" w:ascii="仿宋" w:hAnsi="仿宋" w:eastAsia="仿宋" w:cs="仿宋"/>
          <w:b/>
          <w:highlight w:val="none"/>
        </w:rPr>
        <w:t>二十、合同生效及其他</w:t>
      </w:r>
    </w:p>
    <w:p>
      <w:pPr>
        <w:tabs>
          <w:tab w:val="left" w:pos="764"/>
        </w:tabs>
        <w:spacing w:line="360" w:lineRule="auto"/>
        <w:ind w:firstLine="480" w:firstLineChars="200"/>
        <w:outlineLvl w:val="1"/>
        <w:rPr>
          <w:rFonts w:ascii="仿宋" w:hAnsi="仿宋" w:eastAsia="仿宋" w:cs="仿宋"/>
          <w:highlight w:val="none"/>
        </w:rPr>
      </w:pPr>
      <w:r>
        <w:rPr>
          <w:rFonts w:hint="eastAsia" w:ascii="仿宋" w:hAnsi="仿宋" w:eastAsia="仿宋" w:cs="仿宋"/>
          <w:highlight w:val="none"/>
        </w:rPr>
        <w:t>1.本合同自双方法定代表人或授权代理人签字并盖章后生效。</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2.合同双方同意所有附件、投标文件及服务质量承诺为合同不可分割之必要组成部分，与本合同具有同等法律效力。</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3.若合同履行期间，乙方被列入甲方不合格供应商目录、不良行为供应商目录；或者乙方被列入甲方上级公司禁入措施目录的，甲方可以根据项目实际情况终止或者解除合同，并由乙方承担因此造成的违约责任及经济损失赔偿责任。</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4.本合同一式</w:t>
      </w:r>
      <w:r>
        <w:rPr>
          <w:rFonts w:hint="eastAsia" w:ascii="仿宋" w:hAnsi="仿宋" w:eastAsia="仿宋" w:cs="仿宋"/>
          <w:highlight w:val="none"/>
          <w:u w:val="single"/>
        </w:rPr>
        <w:t xml:space="preserve">肆 </w:t>
      </w:r>
      <w:r>
        <w:rPr>
          <w:rFonts w:hint="eastAsia" w:ascii="仿宋" w:hAnsi="仿宋" w:eastAsia="仿宋" w:cs="仿宋"/>
          <w:highlight w:val="none"/>
        </w:rPr>
        <w:t>份，甲方持</w:t>
      </w:r>
      <w:r>
        <w:rPr>
          <w:rFonts w:hint="eastAsia" w:ascii="仿宋" w:hAnsi="仿宋" w:eastAsia="仿宋" w:cs="仿宋"/>
          <w:highlight w:val="none"/>
          <w:u w:val="single"/>
        </w:rPr>
        <w:t xml:space="preserve"> 贰 </w:t>
      </w:r>
      <w:r>
        <w:rPr>
          <w:rFonts w:hint="eastAsia" w:ascii="仿宋" w:hAnsi="仿宋" w:eastAsia="仿宋" w:cs="仿宋"/>
          <w:highlight w:val="none"/>
        </w:rPr>
        <w:t>份，乙方持</w:t>
      </w:r>
      <w:r>
        <w:rPr>
          <w:rFonts w:hint="eastAsia" w:ascii="仿宋" w:hAnsi="仿宋" w:eastAsia="仿宋" w:cs="仿宋"/>
          <w:highlight w:val="none"/>
          <w:u w:val="single"/>
        </w:rPr>
        <w:t xml:space="preserve"> 贰 </w:t>
      </w:r>
      <w:r>
        <w:rPr>
          <w:rFonts w:hint="eastAsia" w:ascii="仿宋" w:hAnsi="仿宋" w:eastAsia="仿宋" w:cs="仿宋"/>
          <w:highlight w:val="none"/>
        </w:rPr>
        <w:t>份，各份均具有同等法律效力。</w:t>
      </w:r>
    </w:p>
    <w:p>
      <w:pPr>
        <w:tabs>
          <w:tab w:val="left" w:pos="764"/>
        </w:tabs>
        <w:spacing w:line="360" w:lineRule="auto"/>
        <w:ind w:firstLine="480" w:firstLineChars="200"/>
        <w:rPr>
          <w:rFonts w:ascii="仿宋" w:hAnsi="仿宋" w:eastAsia="仿宋" w:cs="仿宋"/>
          <w:highlight w:val="none"/>
        </w:rPr>
      </w:pPr>
      <w:r>
        <w:rPr>
          <w:rFonts w:hint="eastAsia" w:ascii="仿宋" w:hAnsi="仿宋" w:eastAsia="仿宋" w:cs="仿宋"/>
          <w:highlight w:val="none"/>
        </w:rPr>
        <w:t>5.本合同未尽事宜，经甲、乙双方协商一致，可订立补充条款。补充条款及附件均为本合同组成部分，与本合同具有同等法律效力。</w:t>
      </w:r>
    </w:p>
    <w:p>
      <w:pPr>
        <w:widowControl/>
        <w:spacing w:line="360" w:lineRule="auto"/>
        <w:jc w:val="left"/>
        <w:rPr>
          <w:rFonts w:ascii="仿宋" w:hAnsi="仿宋" w:eastAsia="仿宋" w:cs="仿宋"/>
          <w:highlight w:val="none"/>
        </w:rPr>
      </w:pPr>
      <w:r>
        <w:rPr>
          <w:rFonts w:hint="eastAsia" w:ascii="仿宋" w:hAnsi="仿宋" w:eastAsia="仿宋" w:cs="仿宋"/>
          <w:highlight w:val="none"/>
        </w:rPr>
        <w:t>6．其他：</w:t>
      </w:r>
      <w:r>
        <w:rPr>
          <w:rFonts w:hint="eastAsia" w:ascii="仿宋" w:hAnsi="仿宋" w:eastAsia="仿宋" w:cs="仿宋"/>
          <w:highlight w:val="none"/>
          <w:u w:val="single"/>
        </w:rPr>
        <w:t xml:space="preserve">         无           </w:t>
      </w:r>
      <w:r>
        <w:rPr>
          <w:rFonts w:hint="eastAsia" w:ascii="仿宋" w:hAnsi="仿宋" w:eastAsia="仿宋" w:cs="仿宋"/>
          <w:highlight w:val="none"/>
        </w:rPr>
        <w:t>。（以下无正文）</w:t>
      </w:r>
      <w:r>
        <w:rPr>
          <w:rFonts w:hint="eastAsia" w:ascii="仿宋" w:hAnsi="仿宋" w:eastAsia="仿宋" w:cs="仿宋"/>
          <w:highlight w:val="none"/>
        </w:rPr>
        <w:br w:type="page"/>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甲方：</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乙方：</w:t>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地址：</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地址：</w:t>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 xml:space="preserve">邮政编码： </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 xml:space="preserve">    邮政编码：</w:t>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 xml:space="preserve">法定代表人： </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法定代表人：</w:t>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 xml:space="preserve">委托代理人： </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 xml:space="preserve">委托代理人：  </w:t>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电话：</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电话：</w:t>
      </w:r>
    </w:p>
    <w:p>
      <w:pPr>
        <w:spacing w:line="360" w:lineRule="auto"/>
        <w:ind w:firstLine="540" w:firstLineChars="225"/>
        <w:rPr>
          <w:rFonts w:ascii="仿宋" w:hAnsi="仿宋" w:eastAsia="仿宋" w:cs="仿宋"/>
          <w:highlight w:val="none"/>
        </w:rPr>
      </w:pPr>
      <w:r>
        <w:rPr>
          <w:rFonts w:hint="eastAsia" w:ascii="仿宋" w:hAnsi="仿宋" w:eastAsia="仿宋" w:cs="仿宋"/>
          <w:highlight w:val="none"/>
        </w:rPr>
        <w:t>开户银行：</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开户银行：</w:t>
      </w:r>
    </w:p>
    <w:p>
      <w:pPr>
        <w:spacing w:line="360" w:lineRule="auto"/>
        <w:ind w:firstLine="540" w:firstLineChars="225"/>
        <w:rPr>
          <w:rFonts w:ascii="仿宋" w:hAnsi="仿宋" w:eastAsia="仿宋" w:cs="仿宋"/>
          <w:highlight w:val="none"/>
        </w:rPr>
      </w:pPr>
      <w:r>
        <w:rPr>
          <w:rStyle w:val="69"/>
          <w:rFonts w:hint="eastAsia" w:ascii="仿宋" w:hAnsi="仿宋" w:eastAsia="仿宋" w:cs="仿宋"/>
          <w:highlight w:val="none"/>
        </w:rPr>
        <w:t>账号</w:t>
      </w:r>
      <w:r>
        <w:rPr>
          <w:rFonts w:hint="eastAsia" w:ascii="仿宋" w:hAnsi="仿宋" w:eastAsia="仿宋" w:cs="仿宋"/>
          <w:highlight w:val="none"/>
        </w:rPr>
        <w:t>：</w:t>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Fonts w:hint="eastAsia" w:ascii="仿宋" w:hAnsi="仿宋" w:eastAsia="仿宋" w:cs="仿宋"/>
          <w:highlight w:val="none"/>
        </w:rPr>
        <w:tab/>
      </w:r>
      <w:r>
        <w:rPr>
          <w:rStyle w:val="69"/>
          <w:rFonts w:hint="eastAsia" w:ascii="仿宋" w:hAnsi="仿宋" w:eastAsia="仿宋" w:cs="仿宋"/>
          <w:highlight w:val="none"/>
        </w:rPr>
        <w:t>账号</w:t>
      </w:r>
      <w:r>
        <w:rPr>
          <w:rFonts w:hint="eastAsia" w:ascii="仿宋" w:hAnsi="仿宋" w:eastAsia="仿宋" w:cs="仿宋"/>
          <w:highlight w:val="none"/>
        </w:rPr>
        <w:t>：</w:t>
      </w:r>
    </w:p>
    <w:p>
      <w:pPr>
        <w:spacing w:line="360" w:lineRule="auto"/>
        <w:rPr>
          <w:rFonts w:ascii="仿宋" w:hAnsi="仿宋" w:eastAsia="仿宋" w:cs="仿宋"/>
          <w:b/>
          <w:sz w:val="21"/>
          <w:szCs w:val="21"/>
          <w:highlight w:val="none"/>
        </w:rPr>
      </w:pPr>
    </w:p>
    <w:p>
      <w:pPr>
        <w:pStyle w:val="3"/>
        <w:spacing w:before="156" w:beforeLines="50" w:after="156" w:afterLines="50" w:line="579" w:lineRule="auto"/>
        <w:rPr>
          <w:rFonts w:ascii="仿宋" w:hAnsi="仿宋" w:eastAsia="仿宋" w:cs="仿宋"/>
          <w:sz w:val="24"/>
          <w:szCs w:val="24"/>
          <w:highlight w:val="none"/>
        </w:rPr>
      </w:pPr>
    </w:p>
    <w:p>
      <w:pPr>
        <w:rPr>
          <w:rFonts w:ascii="仿宋" w:hAnsi="仿宋" w:eastAsia="仿宋" w:cs="仿宋"/>
          <w:highlight w:val="none"/>
        </w:rPr>
      </w:pPr>
    </w:p>
    <w:p>
      <w:pPr>
        <w:pStyle w:val="2"/>
        <w:rPr>
          <w:rFonts w:ascii="仿宋" w:hAnsi="仿宋" w:eastAsia="仿宋" w:cs="仿宋"/>
          <w:highlight w:val="none"/>
        </w:rPr>
      </w:pPr>
    </w:p>
    <w:p>
      <w:pPr>
        <w:pStyle w:val="15"/>
        <w:ind w:firstLine="240"/>
        <w:rPr>
          <w:rFonts w:ascii="仿宋" w:hAnsi="仿宋" w:eastAsia="仿宋" w:cs="仿宋"/>
          <w:sz w:val="24"/>
          <w:highlight w:val="none"/>
        </w:rPr>
      </w:pPr>
    </w:p>
    <w:p>
      <w:pPr>
        <w:rPr>
          <w:rFonts w:ascii="仿宋" w:hAnsi="仿宋" w:eastAsia="仿宋" w:cs="仿宋"/>
          <w:highlight w:val="none"/>
        </w:rPr>
      </w:pPr>
    </w:p>
    <w:p>
      <w:pPr>
        <w:pStyle w:val="3"/>
        <w:spacing w:before="156" w:beforeLines="50" w:after="156" w:afterLines="50" w:line="579" w:lineRule="auto"/>
        <w:rPr>
          <w:rFonts w:ascii="仿宋" w:hAnsi="仿宋" w:eastAsia="仿宋" w:cs="仿宋"/>
          <w:sz w:val="24"/>
          <w:szCs w:val="24"/>
          <w:highlight w:val="none"/>
        </w:rPr>
      </w:pPr>
    </w:p>
    <w:p>
      <w:pPr>
        <w:rPr>
          <w:rFonts w:ascii="仿宋" w:hAnsi="仿宋" w:eastAsia="仿宋" w:cs="仿宋"/>
          <w:highlight w:val="none"/>
        </w:rPr>
      </w:pPr>
    </w:p>
    <w:p>
      <w:pPr>
        <w:rPr>
          <w:rFonts w:ascii="仿宋" w:hAnsi="仿宋" w:eastAsia="仿宋" w:cs="仿宋"/>
          <w:highlight w:val="none"/>
        </w:rPr>
      </w:pPr>
      <w:r>
        <w:rPr>
          <w:rFonts w:hint="eastAsia" w:ascii="仿宋" w:hAnsi="仿宋" w:eastAsia="仿宋" w:cs="仿宋"/>
          <w:highlight w:val="none"/>
        </w:rPr>
        <w:br w:type="page"/>
      </w:r>
    </w:p>
    <w:p>
      <w:pPr>
        <w:rPr>
          <w:highlight w:val="none"/>
        </w:rPr>
      </w:pPr>
    </w:p>
    <w:p>
      <w:pPr>
        <w:pStyle w:val="3"/>
        <w:numPr>
          <w:ilvl w:val="0"/>
          <w:numId w:val="2"/>
        </w:numPr>
        <w:spacing w:before="156" w:beforeLines="50" w:after="156" w:afterLines="50" w:line="579" w:lineRule="auto"/>
        <w:rPr>
          <w:rFonts w:ascii="仿宋" w:hAnsi="仿宋" w:eastAsia="仿宋" w:cs="仿宋"/>
          <w:bCs w:val="0"/>
          <w:kern w:val="2"/>
          <w:sz w:val="36"/>
          <w:szCs w:val="36"/>
          <w:highlight w:val="none"/>
        </w:rPr>
      </w:pPr>
      <w:r>
        <w:rPr>
          <w:rFonts w:hint="eastAsia" w:ascii="仿宋" w:hAnsi="仿宋" w:eastAsia="仿宋" w:cs="仿宋"/>
          <w:bCs w:val="0"/>
          <w:kern w:val="2"/>
          <w:sz w:val="36"/>
          <w:szCs w:val="36"/>
          <w:highlight w:val="none"/>
        </w:rPr>
        <w:t>采购内容及具体要求</w:t>
      </w:r>
      <w:bookmarkEnd w:id="70"/>
    </w:p>
    <w:p>
      <w:pPr>
        <w:wordWrap w:val="0"/>
        <w:topLinePunct/>
        <w:spacing w:line="360" w:lineRule="auto"/>
        <w:ind w:firstLine="480" w:firstLineChars="200"/>
        <w:rPr>
          <w:rFonts w:ascii="仿宋" w:hAnsi="仿宋" w:eastAsia="仿宋" w:cs="仿宋"/>
          <w:bCs/>
          <w:highlight w:val="none"/>
        </w:rPr>
      </w:pPr>
      <w:bookmarkStart w:id="81" w:name="_Toc73290946"/>
      <w:r>
        <w:rPr>
          <w:rFonts w:hint="eastAsia" w:ascii="仿宋" w:hAnsi="仿宋" w:eastAsia="仿宋" w:cs="仿宋"/>
          <w:bCs/>
          <w:highlight w:val="none"/>
        </w:rPr>
        <w:t>项目背景</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本项目以互联网和数据终端硬件技术服务为依托，打造线上一体化的“加油站数据管理云平台”，构建全县加油站涉税数据管理“一盘棋”。以加油站销售数据的透明化、税务申报的真实性、杜绝人为数据的产生为主要核心， 延伸至监管供应链上游企业， 形成成品油、加油站液位仪、加油机管控“三位一体”的加油站管理体系。</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二、总体要求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陇川县加油站实时数据采集系统覆盖全县民营加油站31座、134台加油机；对333支加油枪数据进行采集；云平台软件1套；3年运维服务等。进行实时采集、无线传输、告警通知、自动报表、数据监控、地图统计、分权管理等相关税收管理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三、采购服务需求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陇川县加油站实时数据采集系统覆盖全县民营加油站31座、134台加油机，333支加油枪数据进行采集，主要要求如下：</w:t>
      </w:r>
    </w:p>
    <w:p>
      <w:pPr>
        <w:wordWrap w:val="0"/>
        <w:topLinePunct/>
        <w:spacing w:line="360" w:lineRule="auto"/>
        <w:ind w:firstLine="482" w:firstLineChars="200"/>
        <w:rPr>
          <w:rFonts w:ascii="仿宋" w:hAnsi="仿宋" w:eastAsia="仿宋" w:cs="仿宋"/>
          <w:b/>
          <w:highlight w:val="none"/>
        </w:rPr>
      </w:pPr>
      <w:bookmarkStart w:id="82" w:name="_Toc50"/>
    </w:p>
    <w:p>
      <w:pPr>
        <w:wordWrap w:val="0"/>
        <w:topLinePunct/>
        <w:spacing w:line="360" w:lineRule="auto"/>
        <w:ind w:firstLine="482" w:firstLineChars="200"/>
        <w:rPr>
          <w:rFonts w:ascii="仿宋" w:hAnsi="仿宋" w:eastAsia="仿宋" w:cs="仿宋"/>
          <w:b/>
          <w:highlight w:val="none"/>
        </w:rPr>
      </w:pPr>
    </w:p>
    <w:p>
      <w:pPr>
        <w:wordWrap w:val="0"/>
        <w:topLinePunct/>
        <w:spacing w:line="360" w:lineRule="auto"/>
        <w:ind w:firstLine="482" w:firstLineChars="200"/>
        <w:rPr>
          <w:rFonts w:ascii="仿宋" w:hAnsi="仿宋" w:eastAsia="仿宋" w:cs="仿宋"/>
          <w:b/>
          <w:highlight w:val="none"/>
        </w:rPr>
      </w:pPr>
    </w:p>
    <w:p>
      <w:pPr>
        <w:wordWrap w:val="0"/>
        <w:topLinePunct/>
        <w:spacing w:line="360" w:lineRule="auto"/>
        <w:ind w:firstLine="482" w:firstLineChars="200"/>
        <w:rPr>
          <w:rFonts w:ascii="仿宋" w:hAnsi="仿宋" w:eastAsia="仿宋" w:cs="仿宋"/>
          <w:b/>
          <w:highlight w:val="none"/>
        </w:rPr>
      </w:pPr>
    </w:p>
    <w:p>
      <w:pPr>
        <w:wordWrap w:val="0"/>
        <w:topLinePunct/>
        <w:spacing w:line="360" w:lineRule="auto"/>
        <w:ind w:firstLine="482" w:firstLineChars="200"/>
        <w:rPr>
          <w:rFonts w:ascii="仿宋" w:hAnsi="仿宋" w:eastAsia="仿宋" w:cs="仿宋"/>
          <w:b/>
          <w:highlight w:val="none"/>
        </w:rPr>
      </w:pP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（一）服务清单明细</w:t>
      </w:r>
      <w:bookmarkEnd w:id="82"/>
    </w:p>
    <w:tbl>
      <w:tblPr>
        <w:tblStyle w:val="33"/>
        <w:tblW w:w="9720" w:type="dxa"/>
        <w:tblInd w:w="-10" w:type="dxa"/>
        <w:tblLayout w:type="autofit"/>
        <w:tblCellMar>
          <w:top w:w="0" w:type="dxa"/>
          <w:left w:w="108" w:type="dxa"/>
          <w:bottom w:w="0" w:type="dxa"/>
          <w:right w:w="108" w:type="dxa"/>
        </w:tblCellMar>
      </w:tblPr>
      <w:tblGrid>
        <w:gridCol w:w="1080"/>
        <w:gridCol w:w="1080"/>
        <w:gridCol w:w="1080"/>
        <w:gridCol w:w="1080"/>
        <w:gridCol w:w="1080"/>
        <w:gridCol w:w="1080"/>
        <w:gridCol w:w="1080"/>
        <w:gridCol w:w="1080"/>
        <w:gridCol w:w="1080"/>
      </w:tblGrid>
      <w:tr>
        <w:tblPrEx>
          <w:tblCellMar>
            <w:top w:w="0" w:type="dxa"/>
            <w:left w:w="108" w:type="dxa"/>
            <w:bottom w:w="0" w:type="dxa"/>
            <w:right w:w="108" w:type="dxa"/>
          </w:tblCellMar>
        </w:tblPrEx>
        <w:trPr>
          <w:trHeight w:val="300" w:hRule="atLeast"/>
        </w:trPr>
        <w:tc>
          <w:tcPr>
            <w:tcW w:w="108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序号</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分类</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加油站数量</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加油机数量</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类别</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产品/服务</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需求及参数</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单位</w:t>
            </w:r>
          </w:p>
        </w:tc>
        <w:tc>
          <w:tcPr>
            <w:tcW w:w="1080" w:type="dxa"/>
            <w:tcBorders>
              <w:top w:val="single" w:color="000000" w:sz="8" w:space="0"/>
              <w:left w:val="nil"/>
              <w:bottom w:val="single" w:color="000000" w:sz="8" w:space="0"/>
              <w:right w:val="single" w:color="000000" w:sz="8" w:space="0"/>
            </w:tcBorders>
            <w:shd w:val="clear" w:color="auto" w:fill="FFFFFF"/>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数量</w:t>
            </w:r>
          </w:p>
        </w:tc>
      </w:tr>
      <w:tr>
        <w:tblPrEx>
          <w:tblCellMar>
            <w:top w:w="0" w:type="dxa"/>
            <w:left w:w="108" w:type="dxa"/>
            <w:bottom w:w="0" w:type="dxa"/>
            <w:right w:w="108" w:type="dxa"/>
          </w:tblCellMar>
        </w:tblPrEx>
        <w:trPr>
          <w:trHeight w:val="1170" w:hRule="atLeast"/>
        </w:trPr>
        <w:tc>
          <w:tcPr>
            <w:tcW w:w="1080" w:type="dxa"/>
            <w:tcBorders>
              <w:top w:val="nil"/>
              <w:left w:val="single" w:color="000000" w:sz="8" w:space="0"/>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c>
          <w:tcPr>
            <w:tcW w:w="1080" w:type="dxa"/>
            <w:vMerge w:val="restart"/>
            <w:tcBorders>
              <w:top w:val="nil"/>
              <w:left w:val="nil"/>
              <w:bottom w:val="single" w:color="000000" w:sz="8" w:space="0"/>
              <w:right w:val="single" w:color="000000" w:sz="8"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数据采集服务</w:t>
            </w:r>
          </w:p>
        </w:tc>
        <w:tc>
          <w:tcPr>
            <w:tcW w:w="1080" w:type="dxa"/>
            <w:vMerge w:val="restart"/>
            <w:tcBorders>
              <w:top w:val="nil"/>
              <w:left w:val="nil"/>
              <w:bottom w:val="single" w:color="000000" w:sz="8" w:space="0"/>
              <w:right w:val="single" w:color="000000" w:sz="8"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31</w:t>
            </w:r>
          </w:p>
        </w:tc>
        <w:tc>
          <w:tcPr>
            <w:tcW w:w="1080" w:type="dxa"/>
            <w:vMerge w:val="restart"/>
            <w:tcBorders>
              <w:top w:val="nil"/>
              <w:left w:val="nil"/>
              <w:bottom w:val="single" w:color="000000" w:sz="8" w:space="0"/>
              <w:right w:val="single" w:color="000000" w:sz="8"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134</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液位数据采集服务</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液位仪数据采集服务</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详见（二）液位仪数据采集服务要求</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套</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1155" w:hRule="atLeast"/>
        </w:trPr>
        <w:tc>
          <w:tcPr>
            <w:tcW w:w="1080" w:type="dxa"/>
            <w:tcBorders>
              <w:top w:val="nil"/>
              <w:left w:val="single" w:color="000000" w:sz="8" w:space="0"/>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w:t>
            </w: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信息采集服务</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信息采集服务</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详见（三）信息采集器集成服务要求</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套</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1440" w:hRule="atLeast"/>
        </w:trPr>
        <w:tc>
          <w:tcPr>
            <w:tcW w:w="1080" w:type="dxa"/>
            <w:tcBorders>
              <w:top w:val="nil"/>
              <w:left w:val="single" w:color="000000" w:sz="8" w:space="0"/>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w:t>
            </w: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平台管理软件开发服务</w:t>
            </w:r>
          </w:p>
        </w:tc>
        <w:tc>
          <w:tcPr>
            <w:tcW w:w="1080" w:type="dxa"/>
            <w:tcBorders>
              <w:top w:val="nil"/>
              <w:left w:val="nil"/>
              <w:bottom w:val="single" w:color="000000" w:sz="8" w:space="0"/>
              <w:right w:val="single" w:color="000000" w:sz="8"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平台管理软件开发服务</w:t>
            </w:r>
          </w:p>
        </w:tc>
        <w:tc>
          <w:tcPr>
            <w:tcW w:w="1080" w:type="dxa"/>
            <w:tcBorders>
              <w:top w:val="nil"/>
              <w:left w:val="nil"/>
              <w:bottom w:val="single" w:color="000000" w:sz="8" w:space="0"/>
              <w:right w:val="single" w:color="000000" w:sz="8"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详见（四）大数据综合管理云平台开发服务要求</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套</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1440" w:hRule="atLeast"/>
        </w:trPr>
        <w:tc>
          <w:tcPr>
            <w:tcW w:w="1080" w:type="dxa"/>
            <w:tcBorders>
              <w:top w:val="nil"/>
              <w:left w:val="single" w:color="000000" w:sz="8" w:space="0"/>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w:t>
            </w: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运维</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提供运维服务</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中标方在3年内提供运维服务，详见（五）运维服务要求</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年</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w:t>
            </w:r>
          </w:p>
        </w:tc>
      </w:tr>
      <w:tr>
        <w:tblPrEx>
          <w:tblCellMar>
            <w:top w:w="0" w:type="dxa"/>
            <w:left w:w="108" w:type="dxa"/>
            <w:bottom w:w="0" w:type="dxa"/>
            <w:right w:w="108" w:type="dxa"/>
          </w:tblCellMar>
        </w:tblPrEx>
        <w:trPr>
          <w:trHeight w:val="1155" w:hRule="atLeast"/>
        </w:trPr>
        <w:tc>
          <w:tcPr>
            <w:tcW w:w="1080" w:type="dxa"/>
            <w:tcBorders>
              <w:top w:val="nil"/>
              <w:left w:val="single" w:color="000000" w:sz="8" w:space="0"/>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w:t>
            </w:r>
          </w:p>
        </w:tc>
        <w:tc>
          <w:tcPr>
            <w:tcW w:w="1080" w:type="dxa"/>
            <w:tcBorders>
              <w:top w:val="nil"/>
              <w:left w:val="nil"/>
              <w:bottom w:val="single" w:color="000000" w:sz="8" w:space="0"/>
              <w:right w:val="single" w:color="000000" w:sz="8"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云服务</w:t>
            </w: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支撑以上所有服务所需存储、运算资源</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提供云资源</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详见（六）云资源服务要求</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套</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1455" w:hRule="atLeast"/>
        </w:trPr>
        <w:tc>
          <w:tcPr>
            <w:tcW w:w="1080" w:type="dxa"/>
            <w:vMerge w:val="restart"/>
            <w:tcBorders>
              <w:top w:val="nil"/>
              <w:left w:val="single" w:color="000000" w:sz="8" w:space="0"/>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6</w:t>
            </w:r>
          </w:p>
        </w:tc>
        <w:tc>
          <w:tcPr>
            <w:tcW w:w="1080" w:type="dxa"/>
            <w:vMerge w:val="restart"/>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通信服务</w:t>
            </w: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物联网卡</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提供物联网卡进行数据传输，流量满足传输需求。</w:t>
            </w:r>
          </w:p>
        </w:tc>
        <w:tc>
          <w:tcPr>
            <w:tcW w:w="1080" w:type="dxa"/>
            <w:vMerge w:val="restart"/>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详见（七）通信数据服务要求</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张</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165</w:t>
            </w:r>
          </w:p>
        </w:tc>
      </w:tr>
      <w:tr>
        <w:tblPrEx>
          <w:tblCellMar>
            <w:top w:w="0" w:type="dxa"/>
            <w:left w:w="108" w:type="dxa"/>
            <w:bottom w:w="0" w:type="dxa"/>
            <w:right w:w="108" w:type="dxa"/>
          </w:tblCellMar>
        </w:tblPrEx>
        <w:trPr>
          <w:trHeight w:val="1440" w:hRule="atLeast"/>
        </w:trPr>
        <w:tc>
          <w:tcPr>
            <w:tcW w:w="1080" w:type="dxa"/>
            <w:vMerge w:val="continue"/>
            <w:tcBorders>
              <w:top w:val="nil"/>
              <w:left w:val="single" w:color="000000" w:sz="8" w:space="0"/>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5G专网</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在</w:t>
            </w:r>
            <w:r>
              <w:rPr>
                <w:rFonts w:ascii="仿宋" w:hAnsi="仿宋" w:eastAsia="仿宋" w:cs="仿宋"/>
                <w:bCs/>
                <w:highlight w:val="none"/>
              </w:rPr>
              <w:t>11</w:t>
            </w:r>
            <w:r>
              <w:rPr>
                <w:rFonts w:hint="eastAsia" w:ascii="仿宋" w:hAnsi="仿宋" w:eastAsia="仿宋" w:cs="仿宋"/>
                <w:bCs/>
                <w:highlight w:val="none"/>
              </w:rPr>
              <w:t>个信号薄弱位置添加5G专网设备补充网络覆盖</w:t>
            </w:r>
          </w:p>
        </w:tc>
        <w:tc>
          <w:tcPr>
            <w:tcW w:w="1080" w:type="dxa"/>
            <w:vMerge w:val="continue"/>
            <w:tcBorders>
              <w:top w:val="nil"/>
              <w:left w:val="nil"/>
              <w:bottom w:val="single" w:color="000000" w:sz="8" w:space="0"/>
              <w:right w:val="single" w:color="000000" w:sz="8" w:space="0"/>
            </w:tcBorders>
            <w:vAlign w:val="center"/>
          </w:tcPr>
          <w:p>
            <w:pPr>
              <w:wordWrap w:val="0"/>
              <w:topLinePunct/>
              <w:spacing w:line="360" w:lineRule="auto"/>
              <w:ind w:firstLine="480" w:firstLineChars="200"/>
              <w:rPr>
                <w:rFonts w:ascii="仿宋" w:hAnsi="仿宋" w:eastAsia="仿宋" w:cs="仿宋"/>
                <w:bCs/>
                <w:highlight w:val="none"/>
              </w:rPr>
            </w:pP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套</w:t>
            </w:r>
          </w:p>
        </w:tc>
        <w:tc>
          <w:tcPr>
            <w:tcW w:w="1080" w:type="dxa"/>
            <w:tcBorders>
              <w:top w:val="nil"/>
              <w:left w:val="nil"/>
              <w:bottom w:val="single" w:color="000000" w:sz="8" w:space="0"/>
              <w:right w:val="single" w:color="000000" w:sz="8" w:space="0"/>
            </w:tcBorders>
            <w:shd w:val="clear" w:color="auto" w:fill="FFFFFF"/>
            <w:vAlign w:val="center"/>
          </w:tcPr>
          <w:p>
            <w:pPr>
              <w:wordWrap w:val="0"/>
              <w:topLinePunct/>
              <w:spacing w:line="360" w:lineRule="auto"/>
              <w:ind w:firstLine="480" w:firstLineChars="200"/>
              <w:rPr>
                <w:rFonts w:ascii="仿宋" w:hAnsi="仿宋" w:eastAsia="仿宋" w:cs="仿宋"/>
                <w:bCs/>
                <w:highlight w:val="none"/>
              </w:rPr>
            </w:pPr>
            <w:r>
              <w:rPr>
                <w:rFonts w:ascii="仿宋" w:hAnsi="仿宋" w:eastAsia="仿宋" w:cs="仿宋"/>
                <w:bCs/>
                <w:highlight w:val="none"/>
              </w:rPr>
              <w:t>11</w:t>
            </w:r>
          </w:p>
        </w:tc>
      </w:tr>
    </w:tbl>
    <w:p>
      <w:pPr>
        <w:wordWrap w:val="0"/>
        <w:topLinePunct/>
        <w:spacing w:line="360" w:lineRule="auto"/>
        <w:ind w:firstLine="480" w:firstLineChars="200"/>
        <w:rPr>
          <w:rFonts w:ascii="仿宋" w:hAnsi="仿宋" w:eastAsia="仿宋" w:cs="仿宋"/>
          <w:bCs/>
          <w:highlight w:val="none"/>
        </w:rPr>
      </w:pPr>
    </w:p>
    <w:p>
      <w:pPr>
        <w:wordWrap w:val="0"/>
        <w:topLinePunct/>
        <w:spacing w:line="360" w:lineRule="auto"/>
        <w:ind w:firstLine="480" w:firstLineChars="200"/>
        <w:rPr>
          <w:rFonts w:ascii="仿宋" w:hAnsi="仿宋" w:eastAsia="仿宋" w:cs="仿宋"/>
          <w:bCs/>
          <w:highlight w:val="none"/>
        </w:rPr>
      </w:pPr>
      <w:bookmarkStart w:id="83" w:name="_Hlk117090339"/>
      <w:bookmarkEnd w:id="83"/>
      <w:r>
        <w:rPr>
          <w:rFonts w:hint="eastAsia" w:ascii="仿宋" w:hAnsi="仿宋" w:eastAsia="仿宋" w:cs="仿宋"/>
          <w:bCs/>
          <w:highlight w:val="none"/>
        </w:rPr>
        <w:br w:type="page"/>
      </w: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液位仪数据采集服务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功能要求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通过对加油站内储油罐的变化进行跟踪和监控,对储油罐的注油、储油罐的实时罐存情况进行跟踪,获取储油罐实时罐存相关数据、储油罐注油数据、储油罐出油数据等,同步对比加油机的出油数据,实现对加油站数据的多维管控。</w:t>
      </w:r>
    </w:p>
    <w:tbl>
      <w:tblPr>
        <w:tblStyle w:val="33"/>
        <w:tblW w:w="9218" w:type="dxa"/>
        <w:tblInd w:w="98" w:type="dxa"/>
        <w:tblLayout w:type="autofit"/>
        <w:tblCellMar>
          <w:top w:w="0" w:type="dxa"/>
          <w:left w:w="108" w:type="dxa"/>
          <w:bottom w:w="0" w:type="dxa"/>
          <w:right w:w="108" w:type="dxa"/>
        </w:tblCellMar>
      </w:tblPr>
      <w:tblGrid>
        <w:gridCol w:w="989"/>
        <w:gridCol w:w="989"/>
        <w:gridCol w:w="1695"/>
        <w:gridCol w:w="5545"/>
      </w:tblGrid>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序号</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类型</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r>
              <w:rPr>
                <w:rFonts w:hint="eastAsia" w:ascii="仿宋" w:hAnsi="仿宋" w:eastAsia="仿宋" w:cs="仿宋"/>
                <w:bCs/>
                <w:highlight w:val="none"/>
              </w:rPr>
              <w:t>项目</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r>
              <w:rPr>
                <w:rFonts w:hint="eastAsia" w:ascii="仿宋" w:hAnsi="仿宋" w:eastAsia="仿宋" w:cs="仿宋"/>
                <w:bCs/>
                <w:highlight w:val="none"/>
              </w:rPr>
              <w:t>内容</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c>
          <w:tcPr>
            <w:tcW w:w="989" w:type="dxa"/>
            <w:vMerge w:val="restart"/>
            <w:tcBorders>
              <w:top w:val="single" w:color="000000" w:sz="4" w:space="0"/>
              <w:left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功能描述</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通信网络</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集成 TCP/UDP/MQTT协议，能接入物联网平台</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w:t>
            </w:r>
          </w:p>
        </w:tc>
        <w:tc>
          <w:tcPr>
            <w:tcW w:w="989" w:type="dxa"/>
            <w:vMerge w:val="continue"/>
            <w:tcBorders>
              <w:left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▲感知网络</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LoRa自组网</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w:t>
            </w:r>
          </w:p>
        </w:tc>
        <w:tc>
          <w:tcPr>
            <w:tcW w:w="989" w:type="dxa"/>
            <w:vMerge w:val="continue"/>
            <w:tcBorders>
              <w:left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▲在线监测支持</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心跳包技术，智能防掉线，掉线自动重拨</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w:t>
            </w:r>
          </w:p>
        </w:tc>
        <w:tc>
          <w:tcPr>
            <w:tcW w:w="989" w:type="dxa"/>
            <w:vMerge w:val="continue"/>
            <w:tcBorders>
              <w:left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非易失存储器</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支持网络远程参数配置，支持掉电保存</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w:t>
            </w:r>
          </w:p>
        </w:tc>
        <w:tc>
          <w:tcPr>
            <w:tcW w:w="989" w:type="dxa"/>
            <w:vMerge w:val="continue"/>
            <w:tcBorders>
              <w:left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▲异常恢复</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支持远程重启。</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6</w:t>
            </w:r>
          </w:p>
        </w:tc>
        <w:tc>
          <w:tcPr>
            <w:tcW w:w="989" w:type="dxa"/>
            <w:vMerge w:val="continue"/>
            <w:tcBorders>
              <w:left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远程升级</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支持网络远程升级；回滚</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7</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硬件参数描述</w:t>
            </w: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供电</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额定电压：DC5-12V；</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8</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额定功率：1.2W</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9</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工作环境</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推荐工作温度：-40℃~70℃</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10</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存储温度：-40℃~85℃</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11</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湿度：20%~90%无凝露</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12</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大气压力：86~106KPa</w:t>
            </w:r>
          </w:p>
        </w:tc>
      </w:tr>
      <w:tr>
        <w:tblPrEx>
          <w:tblCellMar>
            <w:top w:w="0" w:type="dxa"/>
            <w:left w:w="108" w:type="dxa"/>
            <w:bottom w:w="0" w:type="dxa"/>
            <w:right w:w="108" w:type="dxa"/>
          </w:tblCellMar>
        </w:tblPrEx>
        <w:trPr>
          <w:trHeight w:val="30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13</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▲接口</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三线RS232串口，支持常用波特率。</w:t>
            </w:r>
          </w:p>
        </w:tc>
      </w:tr>
      <w:tr>
        <w:tblPrEx>
          <w:tblCellMar>
            <w:top w:w="0" w:type="dxa"/>
            <w:left w:w="108" w:type="dxa"/>
            <w:bottom w:w="0" w:type="dxa"/>
            <w:right w:w="108" w:type="dxa"/>
          </w:tblCellMar>
        </w:tblPrEx>
        <w:trPr>
          <w:trHeight w:val="635"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14</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nil"/>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联网模组</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支持频段：GSM:GSM900/DCS1800</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WCDMA:B1/B8</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FDD:B1/B3/B5/B8</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TDD:B34/B38/B39/B40/B41</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内嵌协议：</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TCP/UDP/MQTT</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一般特性</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天线接口特性阻抗50 Ω</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符合RoHS标准</w:t>
            </w:r>
          </w:p>
        </w:tc>
      </w:tr>
      <w:tr>
        <w:tblPrEx>
          <w:tblCellMar>
            <w:top w:w="0" w:type="dxa"/>
            <w:left w:w="108" w:type="dxa"/>
            <w:bottom w:w="0" w:type="dxa"/>
            <w:right w:w="108" w:type="dxa"/>
          </w:tblCellMar>
        </w:tblPrEx>
        <w:trPr>
          <w:trHeight w:val="2780" w:hRule="atLeast"/>
        </w:trPr>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15</w:t>
            </w: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▲LoRa模组</w:t>
            </w:r>
          </w:p>
        </w:tc>
        <w:tc>
          <w:tcPr>
            <w:tcW w:w="5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LoRa/FSK 调制</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频率范围 137~525Mhz</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空中速率 0.018~37.5Kbps</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数据加密传输</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20dBm 发射功率</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-138dBm 接收灵敏度</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3500 米传输距离</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1.8~3.6V 电源供电</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休眠电流 0.7μA</w:t>
            </w:r>
          </w:p>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天线接口特性阻抗50 Ω</w:t>
            </w:r>
          </w:p>
        </w:tc>
      </w:tr>
    </w:tbl>
    <w:p>
      <w:pPr>
        <w:wordWrap w:val="0"/>
        <w:topLinePunct/>
        <w:spacing w:line="360" w:lineRule="auto"/>
        <w:ind w:firstLine="480" w:firstLineChars="200"/>
        <w:rPr>
          <w:rFonts w:ascii="仿宋" w:hAnsi="仿宋" w:eastAsia="仿宋" w:cs="仿宋"/>
          <w:bCs/>
          <w:highlight w:val="none"/>
        </w:rPr>
      </w:pP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br w:type="page"/>
      </w:r>
    </w:p>
    <w:p>
      <w:pPr>
        <w:wordWrap w:val="0"/>
        <w:topLinePunct/>
        <w:spacing w:line="360" w:lineRule="auto"/>
        <w:ind w:firstLine="482" w:firstLineChars="200"/>
        <w:rPr>
          <w:rFonts w:ascii="仿宋" w:hAnsi="仿宋" w:eastAsia="仿宋" w:cs="仿宋"/>
          <w:bCs/>
          <w:highlight w:val="none"/>
        </w:rPr>
      </w:pPr>
      <w:bookmarkStart w:id="84" w:name="_Toc2591"/>
      <w:r>
        <w:rPr>
          <w:rFonts w:hint="eastAsia" w:ascii="仿宋" w:hAnsi="仿宋" w:eastAsia="仿宋" w:cs="仿宋"/>
          <w:b/>
          <w:highlight w:val="none"/>
        </w:rPr>
        <w:t>（三）信息采集服务</w:t>
      </w:r>
      <w:bookmarkEnd w:id="84"/>
    </w:p>
    <w:tbl>
      <w:tblPr>
        <w:tblStyle w:val="33"/>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993" w:hRule="atLeast"/>
        </w:trPr>
        <w:tc>
          <w:tcPr>
            <w:tcW w:w="5000" w:type="pct"/>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一、功能要求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采集加油机报税接口数据、编码器脉冲数据,加密上传到系统平台进行全面智能化分析,通过对数据的比对和校验,分析异常数据, 具有异常报警功能;数据采集硬件符合国家静电放电、防爆标准,满足国家防范连续射频电磁场骚扰、连续射频感应骚扰、电快速瞬变脉冲群、浪涌、抗电强度试验等要求。</w:t>
            </w:r>
          </w:p>
        </w:tc>
      </w:tr>
    </w:tbl>
    <w:p>
      <w:pPr>
        <w:wordWrap w:val="0"/>
        <w:topLinePunct/>
        <w:spacing w:line="360" w:lineRule="auto"/>
        <w:ind w:firstLine="480" w:firstLineChars="200"/>
        <w:rPr>
          <w:rFonts w:ascii="仿宋" w:hAnsi="仿宋" w:eastAsia="仿宋" w:cs="仿宋"/>
          <w:bCs/>
          <w:highlight w:val="none"/>
        </w:rPr>
      </w:pPr>
    </w:p>
    <w:tbl>
      <w:tblPr>
        <w:tblStyle w:val="33"/>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 加油数据采集服务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(1)▲提供2019年后生产的新型加密加油机报税口协议的数据读取和采集服务。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(2)提供2000年后所有品牌和型号税控加油机的数据采集，遵循国家税务局税控燃油加油机报税接口协议服务。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(3)提供实时采集加油机明细数据，通过加油机报税口服务。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(4)提供通过加油机编码器直接采集油量数据服务。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 编码器信号采集服务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(1)提供采集每个编码器的加油脉冲信号，并转换为数据服务。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(2)▲提供本地存储至少3000笔加油订单数据及税控口1个月的原始数据服务。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(3)提供数据加密传输服务，提供国密算法。</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 远程监控和管理服务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(1)▲提供设备远程监控，在线监测提供心跳包技术和智能防掉线服务。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(2)提供信号检测和自动搜索功能服务。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(3)▲提供离线断网存储和自动续传功能，在断网情况下自动存储数据，恢复后自动续传服务。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(4)提供掉电数据保存。</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 远程配置和升级服务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(1)提供通过无线网络进行远程参数配置、批量升级和回滚服务。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(2)满足静电防护要求。</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(3)提供感知网络无线自组网，创建本地无线网络并透传数据至数据中心服务。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(4)提供监控设备离线警告功能，系统显示设备离线状态服务。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 历史数据采集服务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(1)▲提供采集加油的油量、金额、单价、加油时间及历史加油明细数据服务。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(2)提供税控总累数据采集服务，通过可视化平台查询指定时间段内的区间总累数据服务。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(3)▲提供硬件本地升级，防物理破解服务。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(4)提供采集加油机起止泵码数据和油枪实时监控数据服务。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二、性能要求</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1.接口服务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(1)▲提供4个RS232接口，支持常用波特率。</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(2)▲提供8路编码器接口和1个CAN接口。</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2.网络通信服务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(1)支持TDD-LTE和FDD-LTE标准，支持物联网平台集成HTTP/TCP/UDP/MQTT协议。</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(2)提供4G信号的无线网络传输，提供移动、联通、电信LTE CAT-1服务。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(3)无线通讯调制方式为FSK，频率范围137~525MHz。</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(4)单个模块空旷传输距离可达500米，传输距离0-3500米。</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(5)频段提供TDD-LTE和FDD-LTE各个Band频段。</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 电气性能</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(1)额定电压为5-12V，额定功率≤5W，额定电流0.1A，最大输出功率100mW (+20 dBm)。</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(2)提供同时连接4-8支加油枪服务。</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 环境适应能力</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(1)工作温度范围：-40℃至85℃。</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(2)存储温度范围：-40℃至90℃。</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(3)大气压力范围：86-106kpa。</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(4)工作湿度：相对湿度5%-95%无冷凝。</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(5)湿度范围：20℃-95%。</w:t>
            </w:r>
          </w:p>
        </w:tc>
      </w:tr>
      <w:tr>
        <w:tblPrEx>
          <w:tblCellMar>
            <w:top w:w="0" w:type="dxa"/>
            <w:left w:w="108" w:type="dxa"/>
            <w:bottom w:w="0" w:type="dxa"/>
            <w:right w:w="108" w:type="dxa"/>
          </w:tblCellMar>
        </w:tblPrEx>
        <w:trPr>
          <w:trHeight w:val="285" w:hRule="atLeast"/>
        </w:trPr>
        <w:tc>
          <w:tcPr>
            <w:tcW w:w="500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(6)灵敏度：-139 dBm。</w:t>
            </w:r>
          </w:p>
        </w:tc>
      </w:tr>
    </w:tbl>
    <w:p>
      <w:pPr>
        <w:wordWrap w:val="0"/>
        <w:topLinePunct/>
        <w:spacing w:line="360" w:lineRule="auto"/>
        <w:ind w:firstLine="480" w:firstLineChars="200"/>
        <w:rPr>
          <w:rFonts w:ascii="仿宋" w:hAnsi="仿宋" w:eastAsia="仿宋" w:cs="仿宋"/>
          <w:bCs/>
          <w:highlight w:val="none"/>
        </w:rPr>
      </w:pP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br w:type="page"/>
      </w:r>
    </w:p>
    <w:p>
      <w:pPr>
        <w:wordWrap w:val="0"/>
        <w:topLinePunct/>
        <w:spacing w:line="360" w:lineRule="auto"/>
        <w:ind w:firstLine="482" w:firstLineChars="200"/>
        <w:rPr>
          <w:rFonts w:ascii="仿宋" w:hAnsi="仿宋" w:eastAsia="仿宋" w:cs="仿宋"/>
          <w:bCs/>
          <w:highlight w:val="none"/>
        </w:rPr>
      </w:pPr>
      <w:bookmarkStart w:id="85" w:name="_Toc7121"/>
      <w:r>
        <w:rPr>
          <w:rFonts w:hint="eastAsia" w:ascii="仿宋" w:hAnsi="仿宋" w:eastAsia="仿宋" w:cs="仿宋"/>
          <w:b/>
          <w:highlight w:val="none"/>
        </w:rPr>
        <w:t>（四）大数据综合管理云平台开发服务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功能要求</w:t>
      </w:r>
      <w:bookmarkEnd w:id="85"/>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平台需满足基础的用户管理、加油业务管理、液位仪管理等基础功能。</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平台能够实现加油站地址、设备、油品、加油枪、油罐等列表功能。满足加油站税控日/月销售数据、加油机实时销售数据、加油次数、油罐注出油数据统计和设备异常监控预警功能。</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根据实际需要，平台还需满足其他监管数据接入功能，实现加强对加油站经营监控管理。</w:t>
      </w:r>
    </w:p>
    <w:p>
      <w:pPr>
        <w:wordWrap w:val="0"/>
        <w:topLinePunct/>
        <w:spacing w:line="360" w:lineRule="auto"/>
        <w:ind w:firstLine="480" w:firstLineChars="200"/>
        <w:rPr>
          <w:rFonts w:ascii="仿宋" w:hAnsi="仿宋" w:eastAsia="仿宋" w:cs="仿宋"/>
          <w:bCs/>
          <w:highlight w:val="none"/>
        </w:rPr>
      </w:pPr>
    </w:p>
    <w:tbl>
      <w:tblPr>
        <w:tblStyle w:val="33"/>
        <w:tblW w:w="9202" w:type="dxa"/>
        <w:tblInd w:w="-36" w:type="dxa"/>
        <w:tblLayout w:type="fixed"/>
        <w:tblCellMar>
          <w:top w:w="0" w:type="dxa"/>
          <w:left w:w="108" w:type="dxa"/>
          <w:bottom w:w="0" w:type="dxa"/>
          <w:right w:w="108" w:type="dxa"/>
        </w:tblCellMar>
      </w:tblPr>
      <w:tblGrid>
        <w:gridCol w:w="667"/>
        <w:gridCol w:w="691"/>
        <w:gridCol w:w="1364"/>
        <w:gridCol w:w="6480"/>
      </w:tblGrid>
      <w:tr>
        <w:tblPrEx>
          <w:tblCellMar>
            <w:top w:w="0" w:type="dxa"/>
            <w:left w:w="108" w:type="dxa"/>
            <w:bottom w:w="0" w:type="dxa"/>
            <w:right w:w="108" w:type="dxa"/>
          </w:tblCellMar>
        </w:tblPrEx>
        <w:trPr>
          <w:trHeight w:val="692"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序号</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模块</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小模块</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r>
              <w:rPr>
                <w:rFonts w:hint="eastAsia" w:ascii="仿宋" w:hAnsi="仿宋" w:eastAsia="仿宋" w:cs="仿宋"/>
                <w:bCs/>
                <w:highlight w:val="none"/>
              </w:rPr>
              <w:t>详细介绍</w:t>
            </w:r>
          </w:p>
        </w:tc>
      </w:tr>
      <w:tr>
        <w:tblPrEx>
          <w:tblCellMar>
            <w:top w:w="0" w:type="dxa"/>
            <w:left w:w="108" w:type="dxa"/>
            <w:bottom w:w="0" w:type="dxa"/>
            <w:right w:w="108" w:type="dxa"/>
          </w:tblCellMar>
        </w:tblPrEx>
        <w:trPr>
          <w:trHeight w:val="634"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1</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首页</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1.加油站数量</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加油站：当前登录用户所属辖区的加油站数量。</w:t>
            </w:r>
          </w:p>
        </w:tc>
      </w:tr>
      <w:tr>
        <w:tblPrEx>
          <w:tblCellMar>
            <w:top w:w="0" w:type="dxa"/>
            <w:left w:w="108" w:type="dxa"/>
            <w:bottom w:w="0" w:type="dxa"/>
            <w:right w:w="108" w:type="dxa"/>
          </w:tblCellMar>
        </w:tblPrEx>
        <w:trPr>
          <w:trHeight w:val="561"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2.总金额</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总金额：辖区所有加油站接入系统至当前时刻销售金额累加值。</w:t>
            </w:r>
          </w:p>
        </w:tc>
      </w:tr>
      <w:tr>
        <w:tblPrEx>
          <w:tblCellMar>
            <w:top w:w="0" w:type="dxa"/>
            <w:left w:w="108" w:type="dxa"/>
            <w:bottom w:w="0" w:type="dxa"/>
            <w:right w:w="108" w:type="dxa"/>
          </w:tblCellMar>
        </w:tblPrEx>
        <w:trPr>
          <w:trHeight w:val="561"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3.总油量</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总油量：辖区所有加油站接入系统至当前时刻销售油量累加值。</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4.总加油次数</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加油次数：辖区所有加油站接入系统至当前时刻加油次数累加值。</w:t>
            </w:r>
          </w:p>
        </w:tc>
      </w:tr>
      <w:tr>
        <w:tblPrEx>
          <w:tblCellMar>
            <w:top w:w="0" w:type="dxa"/>
            <w:left w:w="108" w:type="dxa"/>
            <w:bottom w:w="0" w:type="dxa"/>
            <w:right w:w="108" w:type="dxa"/>
          </w:tblCellMar>
        </w:tblPrEx>
        <w:trPr>
          <w:trHeight w:val="2191"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5.▲信息采集器预警</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当前登录用户所属辖区的所有信息采集器设备的告警信息。</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(1)蓝色预警：设备离线持续5 - 120分钟。</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(2)黄色预警：设备离线持续120 - 180分钟。</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(3)橙色预警：设备离线持续180分钟以上。</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(4)红色预警：设备离线总数。</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(5)点击不同颜色的预警模块，会弹出一个弹框，弹框中会展示出当前颜色预警的所有加油站详细信息。</w:t>
            </w:r>
          </w:p>
        </w:tc>
      </w:tr>
      <w:tr>
        <w:tblPrEx>
          <w:tblCellMar>
            <w:top w:w="0" w:type="dxa"/>
            <w:left w:w="108" w:type="dxa"/>
            <w:bottom w:w="0" w:type="dxa"/>
            <w:right w:w="108" w:type="dxa"/>
          </w:tblCellMar>
        </w:tblPrEx>
        <w:trPr>
          <w:trHeight w:val="709"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6.终端接入数量</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（1）终端接入数量：当前登录用户所属辖区按部门显示的数据终端接入数量。</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（2）实时交易数据：当前登录用户所属辖区最新上传的八笔交易数据</w:t>
            </w:r>
          </w:p>
        </w:tc>
      </w:tr>
      <w:tr>
        <w:tblPrEx>
          <w:tblCellMar>
            <w:top w:w="0" w:type="dxa"/>
            <w:left w:w="108" w:type="dxa"/>
            <w:bottom w:w="0" w:type="dxa"/>
            <w:right w:w="108" w:type="dxa"/>
          </w:tblCellMar>
        </w:tblPrEx>
        <w:trPr>
          <w:trHeight w:val="1257"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7.终端接入比例</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(1)终端接入比例：当前登录用户所属辖区所有安装的数据终端和液位仪终端的数量，以及占比信息。</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(2)油站类型比例：辖区内根据加油站类型、数量统计占比。</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(3)加油站排行榜：当前登录用户所属辖区按销售量排在前八名的加油站名称。</w:t>
            </w:r>
          </w:p>
        </w:tc>
      </w:tr>
      <w:tr>
        <w:tblPrEx>
          <w:tblCellMar>
            <w:top w:w="0" w:type="dxa"/>
            <w:left w:w="108" w:type="dxa"/>
            <w:bottom w:w="0" w:type="dxa"/>
            <w:right w:w="108" w:type="dxa"/>
          </w:tblCellMar>
        </w:tblPrEx>
        <w:trPr>
          <w:trHeight w:val="151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8.▲销售额统计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销售额统计：默认展示近一周辖区下所有加油站每一天的总销售金额统计。可以自定义选择特定的时间段，查看特定时间段内的每一天的所有加油站的总销售金额统计。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销售额同比、环比：</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(1)今日销售金额：辖区下所有的加油站在今日的销售金额统计。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(2)今日同比：(今日销售金额-上月销售金额)/上月销售金额。</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(3)今日环比：(今日销售金额-昨日销售金额)/昨日销售金额。</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(4)累计销售额：辖区下所有的加油站，从安装终端到当前时刻为止，总销售额。</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(5)累计销售额同比：(今日累计销售金额-上月累计销售金额)/上月累计销售金额。</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(6)累计销售额环比：(今日累计销售金额-昨日累计销售金额)/昨日累计销售金额。</w:t>
            </w:r>
          </w:p>
        </w:tc>
      </w:tr>
      <w:tr>
        <w:tblPrEx>
          <w:tblCellMar>
            <w:top w:w="0" w:type="dxa"/>
            <w:left w:w="108" w:type="dxa"/>
            <w:bottom w:w="0" w:type="dxa"/>
            <w:right w:w="108" w:type="dxa"/>
          </w:tblCellMar>
        </w:tblPrEx>
        <w:trPr>
          <w:trHeight w:val="475"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9.▲销量统计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销量统计：默认展示近一周辖区下所有加油站每一天的总销量统计。可以自定义选择特定的时间段，查看特定时间段内的每一天的所有加油站的总销量统计。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销量同比、环比：</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(1)今日销售量：辖区下所有的加油站在今日的销售量统计。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(2)今日同比：(今日销售量-上月销售量)/上月销售量。</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(3)今日环比：(今日销售量-昨日销售量)/昨日销售量。</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(4)累计销售量：辖区下所有的加油站，从安装终端到当前时刻为止，总销售量。</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(5)累计销售量同比：(今日累计销售量-上月累计销售量)/上月累计销售量。</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(6)累计销售量环比：(今日累计销售量-昨日累计销售量)/昨日累计销售量。</w:t>
            </w:r>
          </w:p>
        </w:tc>
      </w:tr>
      <w:tr>
        <w:tblPrEx>
          <w:tblCellMar>
            <w:top w:w="0" w:type="dxa"/>
            <w:left w:w="108" w:type="dxa"/>
            <w:bottom w:w="0" w:type="dxa"/>
            <w:right w:w="108" w:type="dxa"/>
          </w:tblCellMar>
        </w:tblPrEx>
        <w:trPr>
          <w:trHeight w:val="945"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10.销售额、销量分级统计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采用柱状图的形式展示出辖区所有机关本月总销售金额、总销量统计。也可以自定义选择特定的月份，查看在特定时间段内的每月的所有加油站的总销售金额、总销量统计。</w:t>
            </w:r>
          </w:p>
        </w:tc>
      </w:tr>
      <w:tr>
        <w:tblPrEx>
          <w:tblCellMar>
            <w:top w:w="0" w:type="dxa"/>
            <w:left w:w="108" w:type="dxa"/>
            <w:bottom w:w="0" w:type="dxa"/>
            <w:right w:w="108" w:type="dxa"/>
          </w:tblCellMar>
        </w:tblPrEx>
        <w:trPr>
          <w:trHeight w:val="1568"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11.能源占比</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(1)石化能源占比：柴油、汽油当日销量之间的关系比例。</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(2)汽油销售占比：92#汽油、95#汽油、98#汽油、101#汽油当日销量之间的关系比例。</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(3)柴油销售占比：10#柴油、5#柴油、0#柴油、-10#柴油、-20#柴油、-35#柴油、-50#柴油当日销量之间的关系比例。</w:t>
            </w:r>
          </w:p>
        </w:tc>
      </w:tr>
      <w:tr>
        <w:tblPrEx>
          <w:tblCellMar>
            <w:top w:w="0" w:type="dxa"/>
            <w:left w:w="108" w:type="dxa"/>
            <w:bottom w:w="0" w:type="dxa"/>
            <w:right w:w="108" w:type="dxa"/>
          </w:tblCellMar>
        </w:tblPrEx>
        <w:trPr>
          <w:trHeight w:val="496"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12.▲地图</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地图的形式展示出辖区所有加油站在地图上的地理位置。</w:t>
            </w:r>
          </w:p>
        </w:tc>
      </w:tr>
      <w:tr>
        <w:tblPrEx>
          <w:tblCellMar>
            <w:top w:w="0" w:type="dxa"/>
            <w:left w:w="108" w:type="dxa"/>
            <w:bottom w:w="0" w:type="dxa"/>
            <w:right w:w="108" w:type="dxa"/>
          </w:tblCellMar>
        </w:tblPrEx>
        <w:trPr>
          <w:trHeight w:val="692"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2</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加油站管理</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1.加油站管理</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加油站管理页面展示了该地区安装网关设备的所有加油站的详细信息。并可以通过‘辖区’、‘加油站名称’、‘统一社会信用代码’等条件进行查询。</w:t>
            </w:r>
          </w:p>
        </w:tc>
      </w:tr>
      <w:tr>
        <w:tblPrEx>
          <w:tblCellMar>
            <w:top w:w="0" w:type="dxa"/>
            <w:left w:w="108" w:type="dxa"/>
            <w:bottom w:w="0" w:type="dxa"/>
            <w:right w:w="108" w:type="dxa"/>
          </w:tblCellMar>
        </w:tblPrEx>
        <w:trPr>
          <w:trHeight w:val="692"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2.加油管理</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加油机管理页面展示了该地区加油站下的所有加油机的详细信息。并可以通过‘加油站名称’、‘统一社会信用代码’等条件进行查询。</w:t>
            </w:r>
          </w:p>
        </w:tc>
      </w:tr>
      <w:tr>
        <w:tblPrEx>
          <w:tblCellMar>
            <w:top w:w="0" w:type="dxa"/>
            <w:left w:w="108" w:type="dxa"/>
            <w:bottom w:w="0" w:type="dxa"/>
            <w:right w:w="108" w:type="dxa"/>
          </w:tblCellMar>
        </w:tblPrEx>
        <w:trPr>
          <w:trHeight w:val="692"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3.加油枪管理</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加油枪管理页面展示了该地区下所有加油站的每一把加油枪的详细信息。并可以通过‘辖区’、‘加油站’、‘油品等’等条件进行查询。</w:t>
            </w:r>
          </w:p>
        </w:tc>
      </w:tr>
      <w:tr>
        <w:tblPrEx>
          <w:tblCellMar>
            <w:top w:w="0" w:type="dxa"/>
            <w:left w:w="108" w:type="dxa"/>
            <w:bottom w:w="0" w:type="dxa"/>
            <w:right w:w="108" w:type="dxa"/>
          </w:tblCellMar>
        </w:tblPrEx>
        <w:trPr>
          <w:trHeight w:val="692"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4.液位仪终端管理</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液位仪终端管理页面展示了该地区安装的所有液位仪终端的详细信息，以及与加油站的对应关系。并可以通过‘加油站’、‘终端编码’等条件进行查询。</w:t>
            </w:r>
          </w:p>
        </w:tc>
      </w:tr>
      <w:tr>
        <w:tblPrEx>
          <w:tblCellMar>
            <w:top w:w="0" w:type="dxa"/>
            <w:left w:w="108" w:type="dxa"/>
            <w:bottom w:w="0" w:type="dxa"/>
            <w:right w:w="108" w:type="dxa"/>
          </w:tblCellMar>
        </w:tblPrEx>
        <w:trPr>
          <w:trHeight w:val="945"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5.信息采集器管理</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信息采集器管理显示辖区现有安装的信息采集器列表详细信息，以及与加油站的对应关系。可以通过‘辖区’‘加油站’、‘采集器编码’等条件进行查询。点击信息采集器编码可查询信息采集器版本等详细信息。</w:t>
            </w:r>
          </w:p>
        </w:tc>
      </w:tr>
      <w:tr>
        <w:tblPrEx>
          <w:tblCellMar>
            <w:top w:w="0" w:type="dxa"/>
            <w:left w:w="108" w:type="dxa"/>
            <w:bottom w:w="0" w:type="dxa"/>
            <w:right w:w="108" w:type="dxa"/>
          </w:tblCellMar>
        </w:tblPrEx>
        <w:trPr>
          <w:trHeight w:val="1077"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r>
              <w:rPr>
                <w:rFonts w:hint="eastAsia" w:ascii="仿宋" w:hAnsi="仿宋" w:eastAsia="仿宋" w:cs="仿宋"/>
                <w:bCs/>
                <w:highlight w:val="none"/>
              </w:rPr>
              <w:t>3</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数据中心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1.▲设备综合明细查询</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辖区所有加油站交易明细数据信息。依据‘辖区’、‘加油站’‘数据分类’等条件查询税口明细、脉冲明细、补录非补录明细等数据。</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2.▲税口明细查询</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查询辖区所有加油站，近一周的税口交易明细数据信息。</w:t>
            </w:r>
          </w:p>
        </w:tc>
      </w:tr>
      <w:tr>
        <w:tblPrEx>
          <w:tblCellMar>
            <w:top w:w="0" w:type="dxa"/>
            <w:left w:w="108" w:type="dxa"/>
            <w:bottom w:w="0" w:type="dxa"/>
            <w:right w:w="108" w:type="dxa"/>
          </w:tblCellMar>
        </w:tblPrEx>
        <w:trPr>
          <w:trHeight w:val="1249"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3.▲油站综合查询</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1)辖区所有加油站基本信息。</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 当前加油站基本信息、月季年油量数据统计、月季年油罐数据统计、交易记录明细、油罐记录明细。</w:t>
            </w:r>
          </w:p>
        </w:tc>
      </w:tr>
      <w:tr>
        <w:tblPrEx>
          <w:tblCellMar>
            <w:top w:w="0" w:type="dxa"/>
            <w:left w:w="108" w:type="dxa"/>
            <w:bottom w:w="0" w:type="dxa"/>
            <w:right w:w="108" w:type="dxa"/>
          </w:tblCellMar>
        </w:tblPrEx>
        <w:trPr>
          <w:trHeight w:val="634"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4</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数据统计</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1.加油站综合报表</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根据辖区、加油站、周期等条件查询加油站各维度的税口和脉冲销售数据。</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2.区域交易累计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辖区所有加油站截止到当前时间的累计交易笔数、累计总销量、累计总金额等统计信息。</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3.区域交易统计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辖区所有加油站按机关按天统计累计交易数、累计金额、累计销量等数据。</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4.油站交易统计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辖区所有加油站按加油站、按天统计交易次数、累计金额、累计销量等统计表。</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5.油罐数据统计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辖区所有加油站的每一个油罐按天统计进量与存量数据。</w:t>
            </w:r>
          </w:p>
        </w:tc>
      </w:tr>
      <w:tr>
        <w:tblPrEx>
          <w:tblCellMar>
            <w:top w:w="0" w:type="dxa"/>
            <w:left w:w="108" w:type="dxa"/>
            <w:bottom w:w="0" w:type="dxa"/>
            <w:right w:w="108" w:type="dxa"/>
          </w:tblCellMar>
        </w:tblPrEx>
        <w:trPr>
          <w:trHeight w:val="367"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6.油票统计</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辖区所有加油站依据销售额销售量开具发票相关数据统计。</w:t>
            </w:r>
          </w:p>
        </w:tc>
      </w:tr>
      <w:tr>
        <w:tblPrEx>
          <w:tblCellMar>
            <w:top w:w="0" w:type="dxa"/>
            <w:left w:w="108" w:type="dxa"/>
            <w:bottom w:w="0" w:type="dxa"/>
            <w:right w:w="108" w:type="dxa"/>
          </w:tblCellMar>
        </w:tblPrEx>
        <w:trPr>
          <w:trHeight w:val="634"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5</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数据分析</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1.加油站销售量排行榜</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辖区所有加油站销售量排行榜。</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2.加油站销售额排行榜</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辖区所有加油站销售额排行榜。</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3.油站进销存分析</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按辖区内加油站油品销量与油罐出油量比值统计。</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4.▲加油站月销量走势图</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按日期分析加油站的销售金额折线图。</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5.枪累计交易额面积图</w:t>
            </w:r>
          </w:p>
        </w:tc>
        <w:tc>
          <w:tcPr>
            <w:tcW w:w="6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按加油站油枪总金额生成面积图分析油枪数据。</w:t>
            </w:r>
          </w:p>
        </w:tc>
      </w:tr>
      <w:tr>
        <w:tblPrEx>
          <w:tblCellMar>
            <w:top w:w="0" w:type="dxa"/>
            <w:left w:w="108" w:type="dxa"/>
            <w:bottom w:w="0" w:type="dxa"/>
            <w:right w:w="108" w:type="dxa"/>
          </w:tblCellMar>
        </w:tblPrEx>
        <w:trPr>
          <w:trHeight w:val="468"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6</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告警中心</w:t>
            </w:r>
          </w:p>
        </w:tc>
        <w:tc>
          <w:tcPr>
            <w:tcW w:w="13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1.▲数据告警</w:t>
            </w:r>
          </w:p>
        </w:tc>
        <w:tc>
          <w:tcPr>
            <w:tcW w:w="6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（1）异常交易数据告警</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①　比值异常交易告警：单次交易数据单价*销量/金额小于90%或大于110%。</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②　异常交易告警：单次交易数据的金额大于30000元。</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③　月比值异常统计：上月/上上月比值，增减30%异常。</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④　补漏异常数据告警：显示补录数据，单次补录金额小于零。</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⑤　补漏异常告警(大额)：显示补录数据,单次补录金额大于13000元。</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⑥　税口异常数据报表：总金额突降情况的明细数据。</w:t>
            </w:r>
          </w:p>
        </w:tc>
      </w:tr>
      <w:tr>
        <w:tblPrEx>
          <w:tblCellMar>
            <w:top w:w="0" w:type="dxa"/>
            <w:left w:w="108" w:type="dxa"/>
            <w:bottom w:w="0" w:type="dxa"/>
            <w:right w:w="108" w:type="dxa"/>
          </w:tblCellMar>
        </w:tblPrEx>
        <w:trPr>
          <w:trHeight w:val="473"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468"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468"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468"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652"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r>
      <w:tr>
        <w:tblPrEx>
          <w:tblCellMar>
            <w:top w:w="0" w:type="dxa"/>
            <w:left w:w="108" w:type="dxa"/>
            <w:bottom w:w="0" w:type="dxa"/>
            <w:right w:w="108" w:type="dxa"/>
          </w:tblCellMar>
        </w:tblPrEx>
        <w:trPr>
          <w:trHeight w:val="887"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 税控与编码器数据比值异常统计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依据税口数据与脉冲数据，实时统计数据，不留存历史，可查询T-1天数据。</w:t>
            </w:r>
          </w:p>
        </w:tc>
      </w:tr>
      <w:tr>
        <w:tblPrEx>
          <w:tblCellMar>
            <w:top w:w="0" w:type="dxa"/>
            <w:left w:w="108" w:type="dxa"/>
            <w:bottom w:w="0" w:type="dxa"/>
            <w:right w:w="108" w:type="dxa"/>
          </w:tblCellMar>
        </w:tblPrEx>
        <w:trPr>
          <w:trHeight w:val="836"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(3)油枪24小时零交易预警</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一个自然日内，任一条加油枪的当天无任何交易数据上报至平台，系统通过此功能生成加油枪预警数据</w:t>
            </w:r>
          </w:p>
        </w:tc>
      </w:tr>
      <w:tr>
        <w:tblPrEx>
          <w:tblCellMar>
            <w:top w:w="0" w:type="dxa"/>
            <w:left w:w="108" w:type="dxa"/>
            <w:bottom w:w="0" w:type="dxa"/>
            <w:right w:w="108" w:type="dxa"/>
          </w:tblCellMar>
        </w:tblPrEx>
        <w:trPr>
          <w:trHeight w:val="692"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（4）信息采集器预警</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可查询设备离线列表（数据同首页信息采集器预警一致）。</w:t>
            </w:r>
          </w:p>
        </w:tc>
      </w:tr>
      <w:tr>
        <w:tblPrEx>
          <w:tblCellMar>
            <w:top w:w="0" w:type="dxa"/>
            <w:left w:w="108" w:type="dxa"/>
            <w:bottom w:w="0" w:type="dxa"/>
            <w:right w:w="108" w:type="dxa"/>
          </w:tblCellMar>
        </w:tblPrEx>
        <w:trPr>
          <w:trHeight w:val="709"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2.▲设备告警</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(1)信息采集器异常日志</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信息采集器离线日志明细。</w:t>
            </w:r>
          </w:p>
        </w:tc>
      </w:tr>
      <w:tr>
        <w:tblPrEx>
          <w:tblCellMar>
            <w:top w:w="0" w:type="dxa"/>
            <w:left w:w="108" w:type="dxa"/>
            <w:bottom w:w="0" w:type="dxa"/>
            <w:right w:w="108" w:type="dxa"/>
          </w:tblCellMar>
        </w:tblPrEx>
        <w:trPr>
          <w:trHeight w:val="709"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(2)液位仪终端告警</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液位仪终端离线日志明细。</w:t>
            </w:r>
          </w:p>
        </w:tc>
      </w:tr>
      <w:tr>
        <w:tblPrEx>
          <w:tblCellMar>
            <w:top w:w="0" w:type="dxa"/>
            <w:left w:w="108" w:type="dxa"/>
            <w:bottom w:w="0" w:type="dxa"/>
            <w:right w:w="108" w:type="dxa"/>
          </w:tblCellMar>
        </w:tblPrEx>
        <w:trPr>
          <w:trHeight w:val="709"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(3)信息采集器状态</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查询信息采集器当前状态、在线离线等信息。</w:t>
            </w:r>
          </w:p>
        </w:tc>
      </w:tr>
      <w:tr>
        <w:tblPrEx>
          <w:tblCellMar>
            <w:top w:w="0" w:type="dxa"/>
            <w:left w:w="108" w:type="dxa"/>
            <w:bottom w:w="0" w:type="dxa"/>
            <w:right w:w="108" w:type="dxa"/>
          </w:tblCellMar>
        </w:tblPrEx>
        <w:trPr>
          <w:trHeight w:val="3045" w:hRule="atLeast"/>
        </w:trPr>
        <w:tc>
          <w:tcPr>
            <w:tcW w:w="667" w:type="dxa"/>
            <w:tcBorders>
              <w:top w:val="single" w:color="000000" w:sz="4" w:space="0"/>
              <w:left w:val="single" w:color="000000" w:sz="4" w:space="0"/>
              <w:bottom w:val="nil"/>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7</w:t>
            </w:r>
          </w:p>
        </w:tc>
        <w:tc>
          <w:tcPr>
            <w:tcW w:w="691"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监控中心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可视化大屏</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按键盘F11键全屏展示，再按一下F11键退出全屏</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(1)数据总览</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(2)设备分布图</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(3)交易量总览</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(4)交易额总览</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(5)油品销量占比</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(6)离线统计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(7)最近交易记录</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(8)各区域成交占比</w:t>
            </w:r>
          </w:p>
        </w:tc>
      </w:tr>
      <w:tr>
        <w:tblPrEx>
          <w:tblCellMar>
            <w:top w:w="0" w:type="dxa"/>
            <w:left w:w="108" w:type="dxa"/>
            <w:bottom w:w="0" w:type="dxa"/>
            <w:right w:w="108" w:type="dxa"/>
          </w:tblCellMar>
        </w:tblPrEx>
        <w:trPr>
          <w:trHeight w:val="838" w:hRule="atLeast"/>
        </w:trPr>
        <w:tc>
          <w:tcPr>
            <w:tcW w:w="667" w:type="dxa"/>
            <w:vMerge w:val="restart"/>
            <w:tcBorders>
              <w:top w:val="single" w:color="000000" w:sz="4" w:space="0"/>
              <w:left w:val="single" w:color="000000" w:sz="4" w:space="0"/>
              <w:bottom w:val="nil"/>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8</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运维中心</w:t>
            </w:r>
          </w:p>
        </w:tc>
        <w:tc>
          <w:tcPr>
            <w:tcW w:w="13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设备管理</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(1)检修记录</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设备检修记录查询。</w:t>
            </w:r>
          </w:p>
        </w:tc>
      </w:tr>
      <w:tr>
        <w:tblPrEx>
          <w:tblCellMar>
            <w:top w:w="0" w:type="dxa"/>
            <w:left w:w="108" w:type="dxa"/>
            <w:bottom w:w="0" w:type="dxa"/>
            <w:right w:w="108" w:type="dxa"/>
          </w:tblCellMar>
        </w:tblPrEx>
        <w:trPr>
          <w:trHeight w:val="370" w:hRule="atLeast"/>
        </w:trPr>
        <w:tc>
          <w:tcPr>
            <w:tcW w:w="667" w:type="dxa"/>
            <w:vMerge w:val="continue"/>
            <w:tcBorders>
              <w:top w:val="single" w:color="000000" w:sz="4" w:space="0"/>
              <w:left w:val="single" w:color="000000" w:sz="4" w:space="0"/>
              <w:bottom w:val="nil"/>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(2)故障报修</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端口、加油枪出现故障，可在录入相应端口、加油枪故障信息后，该端口、加油枪不会再列入告警统计，不发送告警短信。</w:t>
            </w:r>
          </w:p>
        </w:tc>
      </w:tr>
      <w:tr>
        <w:tblPrEx>
          <w:tblCellMar>
            <w:top w:w="0" w:type="dxa"/>
            <w:left w:w="108" w:type="dxa"/>
            <w:bottom w:w="0" w:type="dxa"/>
            <w:right w:w="108" w:type="dxa"/>
          </w:tblCellMar>
        </w:tblPrEx>
        <w:trPr>
          <w:trHeight w:val="561"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9</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帮助中心</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1.用户手册</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系统使用手册。</w:t>
            </w:r>
          </w:p>
        </w:tc>
      </w:tr>
      <w:tr>
        <w:tblPrEx>
          <w:tblCellMar>
            <w:top w:w="0" w:type="dxa"/>
            <w:left w:w="108" w:type="dxa"/>
            <w:bottom w:w="0" w:type="dxa"/>
            <w:right w:w="108" w:type="dxa"/>
          </w:tblCellMar>
        </w:tblPrEx>
        <w:trPr>
          <w:trHeight w:val="819"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jc w:val="center"/>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jc w:val="center"/>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2.我的下载</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交易记录、加油站统计报表、加油站统计报表(补录)、交易月度报表等导出Excel后下载界面。因数据较多，默认导出后两分钟以后下载。</w:t>
            </w:r>
          </w:p>
        </w:tc>
      </w:tr>
      <w:tr>
        <w:tblPrEx>
          <w:tblCellMar>
            <w:top w:w="0" w:type="dxa"/>
            <w:left w:w="108" w:type="dxa"/>
            <w:bottom w:w="0" w:type="dxa"/>
            <w:right w:w="108" w:type="dxa"/>
          </w:tblCellMar>
        </w:tblPrEx>
        <w:trPr>
          <w:trHeight w:val="367"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10</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个人设置</w:t>
            </w: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1.全屏</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全屏显示按钮。点击可以使当前页面全屏显示。</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2.布局</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布局大小按钮。点击可以选择自己喜欢的页面布局样式。</w:t>
            </w:r>
          </w:p>
        </w:tc>
      </w:tr>
      <w:tr>
        <w:tblPrEx>
          <w:tblCellMar>
            <w:top w:w="0" w:type="dxa"/>
            <w:left w:w="108" w:type="dxa"/>
            <w:bottom w:w="0" w:type="dxa"/>
            <w:right w:w="108" w:type="dxa"/>
          </w:tblCellMar>
        </w:tblPrEx>
        <w:trPr>
          <w:trHeight w:val="367"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3.个人中心</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打开后可以查看当前登录账号的个人信息，并修改。也可以进行修改密码的操作。</w:t>
            </w:r>
          </w:p>
        </w:tc>
      </w:tr>
      <w:tr>
        <w:tblPrEx>
          <w:tblCellMar>
            <w:top w:w="0" w:type="dxa"/>
            <w:left w:w="108" w:type="dxa"/>
            <w:bottom w:w="0" w:type="dxa"/>
            <w:right w:w="108" w:type="dxa"/>
          </w:tblCellMar>
        </w:tblPrEx>
        <w:trPr>
          <w:trHeight w:val="634"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4.布局设置</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打开后可以进行 主体颜色的更改、是否开启 Tags-Views 功能、固定Header功能、显示Logo功能等。</w:t>
            </w:r>
          </w:p>
        </w:tc>
      </w:tr>
      <w:tr>
        <w:tblPrEx>
          <w:tblCellMar>
            <w:top w:w="0" w:type="dxa"/>
            <w:left w:w="108" w:type="dxa"/>
            <w:bottom w:w="0" w:type="dxa"/>
            <w:right w:w="108" w:type="dxa"/>
          </w:tblCellMar>
        </w:tblPrEx>
        <w:trPr>
          <w:trHeight w:val="387"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5.退出登录</w:t>
            </w:r>
          </w:p>
        </w:tc>
        <w:tc>
          <w:tcPr>
            <w:tcW w:w="6480"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点击后可以进行 退出登录 的操作。</w:t>
            </w:r>
          </w:p>
        </w:tc>
      </w:tr>
    </w:tbl>
    <w:p>
      <w:pPr>
        <w:wordWrap w:val="0"/>
        <w:topLinePunct/>
        <w:spacing w:line="360" w:lineRule="auto"/>
        <w:ind w:firstLine="480" w:firstLineChars="200"/>
        <w:rPr>
          <w:rFonts w:ascii="仿宋" w:hAnsi="仿宋" w:eastAsia="仿宋" w:cs="仿宋"/>
          <w:bCs/>
          <w:highlight w:val="none"/>
        </w:rPr>
      </w:pP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br w:type="page"/>
      </w: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（五）运维服务要求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成交投标人须提供整个服务项目的持续的运营维护保障服务。需组建专业运维团队，运维团队对本项目后台数据进行分析监控，发现数据采集异常（数据采集器断电断网）需进行现场巡检及维护工作，确保数据采集的正常应用。</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运维内容主要包括软硬件运行维护服务，具体要求如下：</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98"/>
        <w:gridCol w:w="2256"/>
        <w:gridCol w:w="5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序号</w:t>
            </w:r>
          </w:p>
        </w:tc>
        <w:tc>
          <w:tcPr>
            <w:tcW w:w="798" w:type="dxa"/>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服务类型</w:t>
            </w:r>
          </w:p>
        </w:tc>
        <w:tc>
          <w:tcPr>
            <w:tcW w:w="2256" w:type="dxa"/>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服务项</w:t>
            </w:r>
          </w:p>
        </w:tc>
        <w:tc>
          <w:tcPr>
            <w:tcW w:w="5011" w:type="dxa"/>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Merge w:val="restart"/>
            <w:vAlign w:val="center"/>
          </w:tcPr>
          <w:p>
            <w:pPr>
              <w:wordWrap w:val="0"/>
              <w:topLinePunct/>
              <w:spacing w:line="360" w:lineRule="auto"/>
              <w:ind w:firstLine="480" w:firstLineChars="200"/>
              <w:jc w:val="center"/>
              <w:rPr>
                <w:rFonts w:ascii="仿宋" w:hAnsi="仿宋" w:eastAsia="仿宋" w:cs="仿宋"/>
                <w:bCs/>
                <w:highlight w:val="none"/>
              </w:rPr>
            </w:pPr>
            <w:r>
              <w:rPr>
                <w:rFonts w:hint="eastAsia" w:ascii="仿宋" w:hAnsi="仿宋" w:eastAsia="仿宋" w:cs="仿宋"/>
                <w:bCs/>
                <w:highlight w:val="none"/>
              </w:rPr>
              <w:t>1</w:t>
            </w:r>
          </w:p>
        </w:tc>
        <w:tc>
          <w:tcPr>
            <w:tcW w:w="798" w:type="dxa"/>
            <w:vMerge w:val="restart"/>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运维服务</w:t>
            </w:r>
          </w:p>
        </w:tc>
        <w:tc>
          <w:tcPr>
            <w:tcW w:w="2256" w:type="dxa"/>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大数据综合管理云平台</w:t>
            </w:r>
          </w:p>
        </w:tc>
        <w:tc>
          <w:tcPr>
            <w:tcW w:w="5011" w:type="dxa"/>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提供软件功能优化、数据分析、安全、版本升级等服务。</w:t>
            </w:r>
          </w:p>
          <w:p>
            <w:pPr>
              <w:wordWrap w:val="0"/>
              <w:topLinePunct/>
              <w:spacing w:line="360" w:lineRule="auto"/>
              <w:ind w:firstLine="480" w:firstLineChars="200"/>
              <w:rPr>
                <w:rFonts w:ascii="仿宋" w:hAnsi="仿宋" w:eastAsia="仿宋" w:cs="仿宋"/>
                <w:bCs/>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Merge w:val="continue"/>
            <w:vAlign w:val="center"/>
          </w:tcPr>
          <w:p>
            <w:pPr>
              <w:wordWrap w:val="0"/>
              <w:topLinePunct/>
              <w:spacing w:line="360" w:lineRule="auto"/>
              <w:ind w:firstLine="480" w:firstLineChars="200"/>
              <w:jc w:val="center"/>
              <w:rPr>
                <w:rFonts w:ascii="仿宋" w:hAnsi="仿宋" w:eastAsia="仿宋" w:cs="仿宋"/>
                <w:bCs/>
                <w:highlight w:val="none"/>
              </w:rPr>
            </w:pPr>
          </w:p>
        </w:tc>
        <w:tc>
          <w:tcPr>
            <w:tcW w:w="798" w:type="dxa"/>
            <w:vMerge w:val="continue"/>
            <w:vAlign w:val="center"/>
          </w:tcPr>
          <w:p>
            <w:pPr>
              <w:wordWrap w:val="0"/>
              <w:topLinePunct/>
              <w:spacing w:line="360" w:lineRule="auto"/>
              <w:ind w:firstLine="480" w:firstLineChars="200"/>
              <w:jc w:val="center"/>
              <w:rPr>
                <w:rFonts w:ascii="仿宋" w:hAnsi="仿宋" w:eastAsia="仿宋" w:cs="仿宋"/>
                <w:bCs/>
                <w:highlight w:val="none"/>
              </w:rPr>
            </w:pPr>
          </w:p>
        </w:tc>
        <w:tc>
          <w:tcPr>
            <w:tcW w:w="2256" w:type="dxa"/>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数据采集设备巡检</w:t>
            </w:r>
          </w:p>
        </w:tc>
        <w:tc>
          <w:tcPr>
            <w:tcW w:w="5011" w:type="dxa"/>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提供数据采集设备掉线异常检查、底层固件升级服务。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pPr>
              <w:wordWrap w:val="0"/>
              <w:topLinePunct/>
              <w:spacing w:line="360" w:lineRule="auto"/>
              <w:ind w:firstLine="480" w:firstLineChars="200"/>
              <w:jc w:val="center"/>
              <w:rPr>
                <w:rFonts w:ascii="仿宋" w:hAnsi="仿宋" w:eastAsia="仿宋" w:cs="仿宋"/>
                <w:bCs/>
                <w:highlight w:val="none"/>
              </w:rPr>
            </w:pPr>
            <w:r>
              <w:rPr>
                <w:rFonts w:hint="eastAsia" w:ascii="仿宋" w:hAnsi="仿宋" w:eastAsia="仿宋" w:cs="仿宋"/>
                <w:bCs/>
                <w:highlight w:val="none"/>
              </w:rPr>
              <w:t>2</w:t>
            </w:r>
          </w:p>
        </w:tc>
        <w:tc>
          <w:tcPr>
            <w:tcW w:w="798" w:type="dxa"/>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巡检服务</w:t>
            </w:r>
          </w:p>
        </w:tc>
        <w:tc>
          <w:tcPr>
            <w:tcW w:w="2256" w:type="dxa"/>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运维报告</w:t>
            </w:r>
          </w:p>
        </w:tc>
        <w:tc>
          <w:tcPr>
            <w:tcW w:w="5011" w:type="dxa"/>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提供季度运维报告，报告内容主要包括加油站数据分析、巡检情况等内容。</w:t>
            </w:r>
          </w:p>
        </w:tc>
      </w:tr>
    </w:tbl>
    <w:p>
      <w:pPr>
        <w:wordWrap w:val="0"/>
        <w:topLinePunct/>
        <w:spacing w:line="360" w:lineRule="auto"/>
        <w:ind w:firstLine="480" w:firstLineChars="200"/>
        <w:rPr>
          <w:rFonts w:ascii="仿宋" w:hAnsi="仿宋" w:eastAsia="仿宋" w:cs="仿宋"/>
          <w:bCs/>
          <w:highlight w:val="none"/>
        </w:rPr>
      </w:pPr>
      <w:bookmarkStart w:id="86" w:name="_Toc1963"/>
      <w:r>
        <w:rPr>
          <w:rFonts w:hint="eastAsia" w:ascii="仿宋" w:hAnsi="仿宋" w:eastAsia="仿宋" w:cs="仿宋"/>
          <w:bCs/>
          <w:highlight w:val="none"/>
        </w:rPr>
        <w:t>软件运维内容</w:t>
      </w:r>
      <w:bookmarkEnd w:id="86"/>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提供应用服务层运维、漏洞和风险管理、恶意代码防范管理、配置管理安全措施等方面运维服务。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数据采集设备巡检</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提供数据采集设备等硬件配置管理、硬件底层固件升级等方面运维服务。</w:t>
      </w:r>
    </w:p>
    <w:p>
      <w:pPr>
        <w:wordWrap w:val="0"/>
        <w:topLinePunct/>
        <w:spacing w:line="360" w:lineRule="auto"/>
        <w:ind w:firstLine="480" w:firstLineChars="200"/>
        <w:rPr>
          <w:rFonts w:ascii="仿宋" w:hAnsi="仿宋" w:eastAsia="仿宋" w:cs="仿宋"/>
          <w:bCs/>
          <w:highlight w:val="none"/>
        </w:rPr>
      </w:pPr>
      <w:bookmarkStart w:id="87" w:name="_Toc1539"/>
      <w:r>
        <w:rPr>
          <w:rFonts w:hint="eastAsia" w:ascii="仿宋" w:hAnsi="仿宋" w:eastAsia="仿宋" w:cs="仿宋"/>
          <w:bCs/>
          <w:highlight w:val="none"/>
        </w:rPr>
        <w:t>运维巡检服务</w:t>
      </w:r>
      <w:bookmarkEnd w:id="87"/>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主要为了保障加油站安装的数据采集工具正常、稳定运行，通过异常核查、定期巡查等方式加强加油站监管力度，提醒加油站经营者依法纳税，合法经营。针对加油站点的运行情况进行实地核查，针对异常站点进行现场处理，同时结合实际情况在巡检过程中进行相应的调整。</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br w:type="page"/>
      </w: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（六）云资源服务要求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云平台、云资源服务要求能收集加油机采集的数据和液位仪采集的数据，需加密存储、汇总相关数据，确保数据传输和存储的安全。</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根据《信息安全等级保护管理办法》，在本次服务项目采购中，投标人提供的或选用的云资源服务商提供的云资源服务需满足：</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提供的云服务相关性能及参数应满足以下条件：</w:t>
      </w:r>
    </w:p>
    <w:tbl>
      <w:tblPr>
        <w:tblStyle w:val="33"/>
        <w:tblW w:w="8871" w:type="dxa"/>
        <w:jc w:val="center"/>
        <w:tblLayout w:type="fixed"/>
        <w:tblCellMar>
          <w:top w:w="0" w:type="dxa"/>
          <w:left w:w="108" w:type="dxa"/>
          <w:bottom w:w="0" w:type="dxa"/>
          <w:right w:w="108" w:type="dxa"/>
        </w:tblCellMar>
      </w:tblPr>
      <w:tblGrid>
        <w:gridCol w:w="2023"/>
        <w:gridCol w:w="1643"/>
        <w:gridCol w:w="4245"/>
        <w:gridCol w:w="960"/>
      </w:tblGrid>
      <w:tr>
        <w:tblPrEx>
          <w:tblCellMar>
            <w:top w:w="0" w:type="dxa"/>
            <w:left w:w="108" w:type="dxa"/>
            <w:bottom w:w="0" w:type="dxa"/>
            <w:right w:w="108" w:type="dxa"/>
          </w:tblCellMar>
        </w:tblPrEx>
        <w:trPr>
          <w:trHeight w:val="1013" w:hRule="atLeast"/>
          <w:jc w:val="center"/>
        </w:trPr>
        <w:tc>
          <w:tcPr>
            <w:tcW w:w="887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云资源服务性能及参数表</w:t>
            </w:r>
          </w:p>
        </w:tc>
      </w:tr>
      <w:tr>
        <w:tblPrEx>
          <w:tblCellMar>
            <w:top w:w="0" w:type="dxa"/>
            <w:left w:w="108" w:type="dxa"/>
            <w:bottom w:w="0" w:type="dxa"/>
            <w:right w:w="108" w:type="dxa"/>
          </w:tblCellMar>
        </w:tblPrEx>
        <w:trPr>
          <w:trHeight w:val="1013"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服务名称</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服务类型</w:t>
            </w:r>
          </w:p>
        </w:tc>
        <w:tc>
          <w:tcPr>
            <w:tcW w:w="4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配置内容</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（不低于以下配置）</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rPr>
                <w:rFonts w:ascii="仿宋" w:hAnsi="仿宋" w:eastAsia="仿宋" w:cs="仿宋"/>
                <w:bCs/>
                <w:highlight w:val="none"/>
              </w:rPr>
            </w:pPr>
            <w:r>
              <w:rPr>
                <w:rFonts w:hint="eastAsia" w:ascii="仿宋" w:hAnsi="仿宋" w:eastAsia="仿宋" w:cs="仿宋"/>
                <w:bCs/>
                <w:highlight w:val="none"/>
              </w:rPr>
              <w:t>数量</w:t>
            </w:r>
          </w:p>
        </w:tc>
      </w:tr>
      <w:tr>
        <w:tblPrEx>
          <w:tblCellMar>
            <w:top w:w="0" w:type="dxa"/>
            <w:left w:w="108" w:type="dxa"/>
            <w:bottom w:w="0" w:type="dxa"/>
            <w:right w:w="108" w:type="dxa"/>
          </w:tblCellMar>
        </w:tblPrEx>
        <w:trPr>
          <w:trHeight w:val="839"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前置服务器</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云服务器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CPU：≥16核；</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内存：≥32G；</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系统盘: ≥80G;  </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硬盘: ≥120G ; </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公网IP: ≥10M； </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869"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应用服务器</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云服务器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CPU：≥16核；</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内存：≥32G；</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系统盘: ≥100G;  </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硬盘: ≥400G ; </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公网IP: ≥10M；</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814"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RDS数据库服务</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云服务器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CPU：≥16核；</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内存：≥32G；</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系统盘: ≥100G;  </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硬盘: ≥400G ; </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公网IP: ≥10M；</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637"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硬盘数据备份</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云硬盘备份</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≥920G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627"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系统盘数据备份</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云服务器备份</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≥280G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w:t>
            </w:r>
          </w:p>
        </w:tc>
      </w:tr>
      <w:tr>
        <w:tblPrEx>
          <w:tblCellMar>
            <w:top w:w="0" w:type="dxa"/>
            <w:left w:w="108" w:type="dxa"/>
            <w:bottom w:w="0" w:type="dxa"/>
            <w:right w:w="108" w:type="dxa"/>
          </w:tblCellMar>
        </w:tblPrEx>
        <w:trPr>
          <w:trHeight w:val="627" w:hRule="atLeast"/>
          <w:jc w:val="center"/>
        </w:trPr>
        <w:tc>
          <w:tcPr>
            <w:tcW w:w="2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云服务器安全防护</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jc w:val="center"/>
              <w:rPr>
                <w:rFonts w:ascii="仿宋" w:hAnsi="仿宋" w:eastAsia="仿宋" w:cs="仿宋"/>
                <w:bCs/>
                <w:highlight w:val="none"/>
              </w:rPr>
            </w:pPr>
            <w:r>
              <w:rPr>
                <w:rFonts w:hint="eastAsia" w:ascii="仿宋" w:hAnsi="仿宋" w:eastAsia="仿宋" w:cs="仿宋"/>
                <w:bCs/>
                <w:highlight w:val="none"/>
              </w:rPr>
              <w:t>云安全</w:t>
            </w:r>
          </w:p>
        </w:tc>
        <w:tc>
          <w:tcPr>
            <w:tcW w:w="4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为每一台云服务器提供防病毒、防勒索、防暴力破解、漏洞检测等多种安全检测能力</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w:t>
            </w:r>
          </w:p>
        </w:tc>
      </w:tr>
    </w:tbl>
    <w:p>
      <w:pPr>
        <w:wordWrap w:val="0"/>
        <w:topLinePunct/>
        <w:spacing w:line="360" w:lineRule="auto"/>
        <w:rPr>
          <w:rFonts w:ascii="仿宋" w:hAnsi="仿宋" w:eastAsia="仿宋" w:cs="仿宋"/>
          <w:bCs/>
          <w:highlight w:val="none"/>
        </w:rPr>
      </w:pP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（七）通信数据服务要求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1、物联网服务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根据《电信业务经营许可管理办法》（工业和信息化部令第42号），在本次服务项目采购中，投标人提供的或选用的通信运营商及其提供的通信数据服务需满足：</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通信运营商具有《基础电信业务经营许可证》。</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提供165张物联网卡，物联网通信流量不低于300MB/月；</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2、5G专网服务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根据《电信业务经营许可管理办法》（工业和信息化部令第42号），在11个信号薄弱位置添加5G专网设备补充网络覆盖，投标人提供的或选用的通信运营商及其提供的通信数据服务需满足：</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通信运营商具有《基础电信业务经营许可证》。</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提供5G专网通信流量不低于300GB/月；</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3、网络覆盖服务</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 xml:space="preserve">   投标人提供的或选用的通信运营商应能保证移动网络覆盖强、覆盖范围广、数据传输质量可靠，优选所投产品选择的通信运营商在陇川县范围内网络覆盖支持能力强，覆盖范围广的供应商。</w:t>
      </w: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（八）防爆要求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陇川县加油站实时数据采集服务内涉及产品需通过国家专业机构防爆认证，通过电磁兼容认证，有防爆认证，通过电磁兼容测试，包括静电放电抗扰度、射频电磁场辐射抗扰度、电快速瞬变脉冲群抗扰度、浪涌（冲击）抗扰度、电压暂降抗扰度等。确保服务安全稳定运行。</w:t>
      </w: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（九）省级平台数据对接要求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当云南省成品油流通综合智慧管理平台搭建完成后，本项目建设的数据平台需具备与云南省成品油流通综合智慧管理平台对接，并能够完成汽油、柴油、煤油等数据上传，可以周为周期上报数据，上报传输方式及数据均经过加密和防篡改处理。</w:t>
      </w:r>
    </w:p>
    <w:p>
      <w:pPr>
        <w:wordWrap w:val="0"/>
        <w:topLinePunct/>
        <w:spacing w:line="360" w:lineRule="auto"/>
        <w:ind w:firstLine="482" w:firstLineChars="200"/>
        <w:rPr>
          <w:rFonts w:ascii="仿宋" w:hAnsi="仿宋" w:eastAsia="仿宋" w:cs="仿宋"/>
          <w:bCs/>
          <w:highlight w:val="none"/>
        </w:rPr>
      </w:pPr>
      <w:r>
        <w:rPr>
          <w:rFonts w:hint="eastAsia" w:ascii="仿宋" w:hAnsi="仿宋" w:eastAsia="仿宋" w:cs="仿宋"/>
          <w:b/>
          <w:highlight w:val="none"/>
        </w:rPr>
        <w:t>（十）其他要求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1、标准规范</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1.1服务质量：符合国家、地方、行业现行相关标准规范及采购人要求。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1.2其他相关标准：符合国家、地方、行业现行相关标准规范及采购人要求。</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2、知识产权</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采购人采购使用服务，投标人承诺所提供的设备、软件均不涉及任何产权、知识产权纠纷若，发生纠纷后果自负；给采购人带来损失的，承担相应赔偿责任。</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3、项目验收</w:t>
      </w:r>
    </w:p>
    <w:p>
      <w:pPr>
        <w:wordWrap w:val="0"/>
        <w:topLinePunct/>
        <w:spacing w:line="360" w:lineRule="auto"/>
        <w:ind w:firstLine="480" w:firstLineChars="200"/>
        <w:rPr>
          <w:rFonts w:ascii="仿宋" w:hAnsi="仿宋" w:eastAsia="仿宋" w:cs="仿宋"/>
          <w:bCs/>
          <w:highlight w:val="none"/>
        </w:rPr>
      </w:pPr>
      <w:r>
        <w:rPr>
          <w:rFonts w:hint="eastAsia" w:ascii="仿宋" w:hAnsi="仿宋" w:eastAsia="仿宋" w:cs="仿宋"/>
          <w:bCs/>
          <w:highlight w:val="none"/>
        </w:rPr>
        <w:t>符合国际及行业标准，满足采购人需求，按国家有关规定以及招标文件、投标文件、合同文件和采购人的要求和技术指标、投标人的投标文件及承诺以及合同的约定进行验收。</w:t>
      </w:r>
    </w:p>
    <w:p>
      <w:pPr>
        <w:wordWrap w:val="0"/>
        <w:topLinePunct/>
        <w:spacing w:line="360" w:lineRule="auto"/>
        <w:ind w:firstLine="480" w:firstLineChars="200"/>
        <w:rPr>
          <w:rFonts w:ascii="仿宋" w:hAnsi="仿宋" w:eastAsia="仿宋" w:cs="仿宋"/>
          <w:highlight w:val="none"/>
        </w:rPr>
      </w:pPr>
      <w:r>
        <w:rPr>
          <w:rFonts w:hint="eastAsia" w:ascii="仿宋" w:hAnsi="仿宋" w:eastAsia="仿宋" w:cs="仿宋"/>
          <w:bCs/>
          <w:highlight w:val="none"/>
        </w:rPr>
        <w:br w:type="page"/>
      </w:r>
    </w:p>
    <w:p>
      <w:pPr>
        <w:widowControl/>
        <w:jc w:val="left"/>
        <w:rPr>
          <w:rFonts w:ascii="仿宋" w:hAnsi="仿宋" w:eastAsia="仿宋" w:cs="仿宋"/>
          <w:b/>
          <w:bCs/>
          <w:highlight w:val="none"/>
        </w:rPr>
      </w:pPr>
    </w:p>
    <w:p>
      <w:pPr>
        <w:widowControl/>
        <w:ind w:firstLine="2520" w:firstLineChars="700"/>
        <w:jc w:val="left"/>
        <w:rPr>
          <w:rFonts w:ascii="仿宋" w:hAnsi="仿宋" w:eastAsia="仿宋" w:cs="仿宋"/>
          <w:highlight w:val="none"/>
        </w:rPr>
      </w:pPr>
      <w:r>
        <w:rPr>
          <w:rFonts w:hint="eastAsia" w:ascii="仿宋" w:hAnsi="仿宋" w:eastAsia="仿宋" w:cs="仿宋"/>
          <w:sz w:val="36"/>
          <w:szCs w:val="36"/>
          <w:highlight w:val="none"/>
        </w:rPr>
        <w:t>第七章  投标文件格式</w:t>
      </w:r>
      <w:bookmarkEnd w:id="81"/>
    </w:p>
    <w:p>
      <w:pPr>
        <w:spacing w:line="360" w:lineRule="auto"/>
        <w:rPr>
          <w:rFonts w:ascii="仿宋" w:hAnsi="仿宋" w:eastAsia="仿宋" w:cs="仿宋"/>
          <w:b/>
          <w:bCs/>
          <w:highlight w:val="none"/>
        </w:rPr>
      </w:pPr>
    </w:p>
    <w:p>
      <w:pPr>
        <w:spacing w:line="360" w:lineRule="auto"/>
        <w:ind w:firstLine="2168" w:firstLineChars="600"/>
        <w:outlineLvl w:val="0"/>
        <w:rPr>
          <w:rFonts w:ascii="仿宋" w:hAnsi="仿宋" w:eastAsia="仿宋" w:cs="仿宋"/>
          <w:highlight w:val="none"/>
          <w:u w:val="single"/>
        </w:rPr>
      </w:pPr>
      <w:bookmarkStart w:id="88" w:name="_Toc10238"/>
      <w:r>
        <w:rPr>
          <w:rFonts w:hint="eastAsia" w:ascii="仿宋" w:hAnsi="仿宋" w:eastAsia="仿宋" w:cs="仿宋"/>
          <w:b/>
          <w:bCs/>
          <w:sz w:val="36"/>
          <w:szCs w:val="36"/>
          <w:highlight w:val="none"/>
          <w:u w:val="single"/>
        </w:rPr>
        <w:t xml:space="preserve">           项目名称</w:t>
      </w:r>
      <w:bookmarkEnd w:id="88"/>
      <w:r>
        <w:rPr>
          <w:rFonts w:hint="eastAsia" w:ascii="仿宋" w:hAnsi="仿宋" w:eastAsia="仿宋" w:cs="仿宋"/>
          <w:b/>
          <w:bCs/>
          <w:sz w:val="36"/>
          <w:szCs w:val="36"/>
          <w:highlight w:val="none"/>
          <w:u w:val="single"/>
        </w:rPr>
        <w:t xml:space="preserve">      </w:t>
      </w:r>
    </w:p>
    <w:p>
      <w:pPr>
        <w:spacing w:line="360" w:lineRule="auto"/>
        <w:jc w:val="center"/>
        <w:rPr>
          <w:rFonts w:ascii="仿宋" w:hAnsi="仿宋" w:eastAsia="仿宋" w:cs="仿宋"/>
          <w:b/>
          <w:bCs/>
          <w:sz w:val="52"/>
          <w:szCs w:val="52"/>
          <w:highlight w:val="none"/>
        </w:rPr>
      </w:pPr>
    </w:p>
    <w:p>
      <w:pPr>
        <w:spacing w:line="360" w:lineRule="auto"/>
        <w:rPr>
          <w:rFonts w:ascii="仿宋" w:hAnsi="仿宋" w:eastAsia="仿宋" w:cs="仿宋"/>
          <w:b/>
          <w:bCs/>
          <w:sz w:val="72"/>
          <w:szCs w:val="72"/>
          <w:highlight w:val="none"/>
        </w:rPr>
      </w:pPr>
    </w:p>
    <w:p>
      <w:pPr>
        <w:spacing w:line="360" w:lineRule="auto"/>
        <w:jc w:val="center"/>
        <w:rPr>
          <w:rFonts w:ascii="仿宋" w:hAnsi="仿宋" w:eastAsia="仿宋" w:cs="仿宋"/>
          <w:b/>
          <w:bCs/>
          <w:sz w:val="72"/>
          <w:szCs w:val="72"/>
          <w:highlight w:val="none"/>
        </w:rPr>
      </w:pPr>
      <w:r>
        <w:rPr>
          <w:rFonts w:hint="eastAsia" w:ascii="仿宋" w:hAnsi="仿宋" w:eastAsia="仿宋" w:cs="仿宋"/>
          <w:b/>
          <w:bCs/>
          <w:sz w:val="72"/>
          <w:szCs w:val="72"/>
          <w:highlight w:val="none"/>
        </w:rPr>
        <w:t>投标文件</w:t>
      </w:r>
    </w:p>
    <w:p>
      <w:pPr>
        <w:spacing w:line="360" w:lineRule="auto"/>
        <w:rPr>
          <w:rFonts w:ascii="仿宋" w:hAnsi="仿宋" w:eastAsia="仿宋" w:cs="仿宋"/>
          <w:b/>
          <w:bCs/>
          <w:sz w:val="28"/>
          <w:szCs w:val="28"/>
          <w:highlight w:val="none"/>
        </w:rPr>
      </w:pPr>
    </w:p>
    <w:p>
      <w:pPr>
        <w:spacing w:line="360" w:lineRule="auto"/>
        <w:rPr>
          <w:rFonts w:ascii="仿宋" w:hAnsi="仿宋" w:eastAsia="仿宋" w:cs="仿宋"/>
          <w:b/>
          <w:bCs/>
          <w:sz w:val="28"/>
          <w:szCs w:val="28"/>
          <w:highlight w:val="none"/>
        </w:rPr>
      </w:pPr>
    </w:p>
    <w:p>
      <w:pPr>
        <w:spacing w:line="360" w:lineRule="auto"/>
        <w:rPr>
          <w:rFonts w:ascii="仿宋" w:hAnsi="仿宋" w:eastAsia="仿宋" w:cs="仿宋"/>
          <w:b/>
          <w:bCs/>
          <w:sz w:val="30"/>
          <w:szCs w:val="30"/>
          <w:highlight w:val="none"/>
        </w:rPr>
      </w:pPr>
    </w:p>
    <w:p>
      <w:pPr>
        <w:pStyle w:val="3"/>
        <w:spacing w:line="360" w:lineRule="auto"/>
        <w:rPr>
          <w:rFonts w:ascii="仿宋" w:hAnsi="仿宋" w:eastAsia="仿宋" w:cs="仿宋"/>
          <w:sz w:val="30"/>
          <w:szCs w:val="30"/>
          <w:highlight w:val="none"/>
        </w:rPr>
      </w:pPr>
    </w:p>
    <w:p>
      <w:pPr>
        <w:spacing w:line="360" w:lineRule="auto"/>
        <w:rPr>
          <w:rFonts w:ascii="仿宋" w:hAnsi="仿宋" w:eastAsia="仿宋" w:cs="仿宋"/>
          <w:highlight w:val="none"/>
        </w:rPr>
      </w:pPr>
    </w:p>
    <w:p>
      <w:pPr>
        <w:spacing w:line="360" w:lineRule="auto"/>
        <w:rPr>
          <w:rFonts w:ascii="仿宋" w:hAnsi="仿宋" w:eastAsia="仿宋" w:cs="仿宋"/>
          <w:sz w:val="30"/>
          <w:szCs w:val="30"/>
          <w:highlight w:val="none"/>
        </w:rPr>
      </w:pPr>
    </w:p>
    <w:p>
      <w:pPr>
        <w:spacing w:line="360" w:lineRule="auto"/>
        <w:outlineLvl w:val="0"/>
        <w:rPr>
          <w:rFonts w:ascii="仿宋" w:hAnsi="仿宋" w:eastAsia="仿宋" w:cs="仿宋"/>
          <w:sz w:val="30"/>
          <w:szCs w:val="30"/>
          <w:highlight w:val="none"/>
          <w:u w:val="single"/>
        </w:rPr>
      </w:pPr>
      <w:bookmarkStart w:id="89" w:name="_Toc15292"/>
      <w:r>
        <w:rPr>
          <w:rFonts w:hint="eastAsia" w:ascii="仿宋" w:hAnsi="仿宋" w:eastAsia="仿宋" w:cs="仿宋"/>
          <w:sz w:val="30"/>
          <w:szCs w:val="30"/>
          <w:highlight w:val="none"/>
        </w:rPr>
        <w:t>项目编号:</w:t>
      </w:r>
      <w:bookmarkEnd w:id="89"/>
      <w:r>
        <w:rPr>
          <w:rFonts w:hint="eastAsia" w:ascii="仿宋" w:hAnsi="仿宋" w:eastAsia="仿宋" w:cs="仿宋"/>
          <w:sz w:val="30"/>
          <w:szCs w:val="30"/>
          <w:highlight w:val="none"/>
          <w:u w:val="single"/>
        </w:rPr>
        <w:t xml:space="preserve">                           </w:t>
      </w:r>
    </w:p>
    <w:p>
      <w:pPr>
        <w:spacing w:line="360" w:lineRule="auto"/>
        <w:outlineLvl w:val="0"/>
        <w:rPr>
          <w:rFonts w:ascii="仿宋" w:hAnsi="仿宋" w:eastAsia="仿宋" w:cs="仿宋"/>
          <w:sz w:val="30"/>
          <w:szCs w:val="30"/>
          <w:highlight w:val="none"/>
          <w:u w:val="single"/>
        </w:rPr>
      </w:pPr>
      <w:bookmarkStart w:id="90" w:name="_Toc3648"/>
      <w:r>
        <w:rPr>
          <w:rFonts w:hint="eastAsia" w:ascii="仿宋" w:hAnsi="仿宋" w:eastAsia="仿宋" w:cs="仿宋"/>
          <w:sz w:val="30"/>
          <w:szCs w:val="30"/>
          <w:highlight w:val="none"/>
        </w:rPr>
        <w:t>投标人全称(加盖电子公章)：</w:t>
      </w:r>
      <w:bookmarkEnd w:id="90"/>
      <w:r>
        <w:rPr>
          <w:rFonts w:hint="eastAsia" w:ascii="仿宋" w:hAnsi="仿宋" w:eastAsia="仿宋" w:cs="仿宋"/>
          <w:sz w:val="30"/>
          <w:szCs w:val="30"/>
          <w:highlight w:val="none"/>
          <w:u w:val="single"/>
        </w:rPr>
        <w:t xml:space="preserve">           </w:t>
      </w:r>
    </w:p>
    <w:p>
      <w:pPr>
        <w:spacing w:line="360" w:lineRule="auto"/>
        <w:outlineLvl w:val="0"/>
        <w:rPr>
          <w:rFonts w:ascii="仿宋" w:hAnsi="仿宋" w:eastAsia="仿宋" w:cs="仿宋"/>
          <w:sz w:val="30"/>
          <w:szCs w:val="30"/>
          <w:highlight w:val="none"/>
          <w:u w:val="single"/>
        </w:rPr>
      </w:pPr>
      <w:bookmarkStart w:id="91" w:name="_Toc8559"/>
      <w:r>
        <w:rPr>
          <w:rFonts w:hint="eastAsia" w:ascii="仿宋" w:hAnsi="仿宋" w:eastAsia="仿宋" w:cs="仿宋"/>
          <w:sz w:val="30"/>
          <w:szCs w:val="30"/>
          <w:highlight w:val="none"/>
        </w:rPr>
        <w:t>地    址：</w:t>
      </w:r>
      <w:bookmarkEnd w:id="91"/>
      <w:r>
        <w:rPr>
          <w:rFonts w:hint="eastAsia" w:ascii="仿宋" w:hAnsi="仿宋" w:eastAsia="仿宋" w:cs="仿宋"/>
          <w:sz w:val="30"/>
          <w:szCs w:val="30"/>
          <w:highlight w:val="none"/>
          <w:u w:val="single"/>
        </w:rPr>
        <w:t xml:space="preserve">                           </w:t>
      </w:r>
    </w:p>
    <w:p>
      <w:pPr>
        <w:spacing w:line="360" w:lineRule="auto"/>
        <w:outlineLvl w:val="0"/>
        <w:rPr>
          <w:rFonts w:ascii="仿宋" w:hAnsi="仿宋" w:eastAsia="仿宋" w:cs="仿宋"/>
          <w:sz w:val="30"/>
          <w:szCs w:val="30"/>
          <w:highlight w:val="none"/>
        </w:rPr>
      </w:pPr>
      <w:bookmarkStart w:id="92" w:name="_Toc27615"/>
      <w:r>
        <w:rPr>
          <w:rFonts w:hint="eastAsia" w:ascii="仿宋" w:hAnsi="仿宋" w:eastAsia="仿宋" w:cs="仿宋"/>
          <w:sz w:val="30"/>
          <w:szCs w:val="30"/>
          <w:highlight w:val="none"/>
        </w:rPr>
        <w:t>联 系 人：</w:t>
      </w:r>
      <w:bookmarkEnd w:id="92"/>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              </w:t>
      </w:r>
    </w:p>
    <w:p>
      <w:pPr>
        <w:spacing w:line="360" w:lineRule="auto"/>
        <w:outlineLvl w:val="0"/>
        <w:rPr>
          <w:rFonts w:ascii="仿宋" w:hAnsi="仿宋" w:eastAsia="仿宋" w:cs="仿宋"/>
          <w:sz w:val="30"/>
          <w:szCs w:val="30"/>
          <w:highlight w:val="none"/>
          <w:u w:val="single"/>
        </w:rPr>
      </w:pPr>
      <w:bookmarkStart w:id="93" w:name="_Toc21508"/>
      <w:r>
        <w:rPr>
          <w:rFonts w:hint="eastAsia" w:ascii="仿宋" w:hAnsi="仿宋" w:eastAsia="仿宋" w:cs="仿宋"/>
          <w:sz w:val="30"/>
          <w:szCs w:val="30"/>
          <w:highlight w:val="none"/>
        </w:rPr>
        <w:t>联系电话：</w:t>
      </w:r>
      <w:bookmarkEnd w:id="93"/>
      <w:r>
        <w:rPr>
          <w:rFonts w:hint="eastAsia" w:ascii="仿宋" w:hAnsi="仿宋" w:eastAsia="仿宋" w:cs="仿宋"/>
          <w:sz w:val="30"/>
          <w:szCs w:val="30"/>
          <w:highlight w:val="none"/>
          <w:u w:val="single"/>
        </w:rPr>
        <w:t xml:space="preserve">                           </w:t>
      </w:r>
      <w:r>
        <w:rPr>
          <w:rFonts w:hint="eastAsia" w:ascii="仿宋" w:hAnsi="仿宋" w:eastAsia="仿宋" w:cs="仿宋"/>
          <w:sz w:val="30"/>
          <w:szCs w:val="30"/>
          <w:highlight w:val="none"/>
        </w:rPr>
        <w:t xml:space="preserve">  </w:t>
      </w:r>
    </w:p>
    <w:p>
      <w:pPr>
        <w:spacing w:line="360" w:lineRule="auto"/>
        <w:outlineLvl w:val="0"/>
        <w:rPr>
          <w:rFonts w:ascii="仿宋" w:hAnsi="仿宋" w:eastAsia="仿宋" w:cs="仿宋"/>
          <w:sz w:val="30"/>
          <w:szCs w:val="30"/>
          <w:highlight w:val="none"/>
          <w:u w:val="single"/>
        </w:rPr>
      </w:pPr>
      <w:bookmarkStart w:id="94" w:name="_Toc2788"/>
      <w:r>
        <w:rPr>
          <w:rFonts w:hint="eastAsia" w:ascii="仿宋" w:hAnsi="仿宋" w:eastAsia="仿宋" w:cs="仿宋"/>
          <w:sz w:val="30"/>
          <w:szCs w:val="30"/>
          <w:highlight w:val="none"/>
        </w:rPr>
        <w:t>日    期：</w:t>
      </w:r>
      <w:bookmarkEnd w:id="94"/>
      <w:r>
        <w:rPr>
          <w:rFonts w:hint="eastAsia" w:ascii="仿宋" w:hAnsi="仿宋" w:eastAsia="仿宋" w:cs="仿宋"/>
          <w:sz w:val="30"/>
          <w:szCs w:val="30"/>
          <w:highlight w:val="none"/>
          <w:u w:val="single"/>
        </w:rPr>
        <w:t xml:space="preserve">                           </w:t>
      </w:r>
    </w:p>
    <w:p>
      <w:pPr>
        <w:spacing w:before="312" w:beforeLines="100" w:after="156" w:afterLines="50" w:line="360" w:lineRule="auto"/>
        <w:rPr>
          <w:rFonts w:ascii="仿宋" w:hAnsi="仿宋" w:eastAsia="仿宋" w:cs="仿宋"/>
          <w:sz w:val="44"/>
          <w:szCs w:val="36"/>
          <w:highlight w:val="none"/>
        </w:rPr>
      </w:pPr>
    </w:p>
    <w:p>
      <w:pPr>
        <w:pStyle w:val="18"/>
        <w:spacing w:line="360" w:lineRule="auto"/>
        <w:outlineLvl w:val="0"/>
        <w:rPr>
          <w:rFonts w:ascii="仿宋" w:hAnsi="仿宋" w:eastAsia="仿宋" w:cs="仿宋"/>
          <w:b/>
          <w:color w:val="auto"/>
          <w:sz w:val="32"/>
          <w:szCs w:val="32"/>
          <w:highlight w:val="none"/>
        </w:rPr>
      </w:pPr>
      <w:bookmarkStart w:id="95" w:name="_Toc1865"/>
      <w:bookmarkStart w:id="96" w:name="_Toc1273_WPSOffice_Level1"/>
      <w:r>
        <w:rPr>
          <w:rFonts w:hint="eastAsia" w:ascii="仿宋" w:hAnsi="仿宋" w:eastAsia="仿宋" w:cs="仿宋"/>
          <w:b/>
          <w:color w:val="auto"/>
          <w:sz w:val="32"/>
          <w:szCs w:val="32"/>
          <w:highlight w:val="none"/>
        </w:rPr>
        <w:t>第一部分   资格审查部分</w:t>
      </w:r>
      <w:bookmarkEnd w:id="95"/>
      <w:bookmarkEnd w:id="96"/>
    </w:p>
    <w:tbl>
      <w:tblPr>
        <w:tblStyle w:val="33"/>
        <w:tblpPr w:leftFromText="180" w:rightFromText="180" w:vertAnchor="text" w:horzAnchor="page" w:tblpXSpec="center" w:tblpY="1384"/>
        <w:tblW w:w="9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6"/>
        <w:gridCol w:w="2181"/>
        <w:gridCol w:w="2760"/>
        <w:gridCol w:w="1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bookmarkStart w:id="97" w:name="_Toc73290947"/>
            <w:r>
              <w:rPr>
                <w:rFonts w:hint="eastAsia" w:ascii="仿宋" w:hAnsi="仿宋" w:eastAsia="仿宋" w:cs="仿宋"/>
                <w:color w:val="auto"/>
                <w:szCs w:val="24"/>
                <w:highlight w:val="none"/>
              </w:rPr>
              <w:t>投标人名称</w:t>
            </w:r>
          </w:p>
        </w:tc>
        <w:tc>
          <w:tcPr>
            <w:tcW w:w="6527" w:type="dxa"/>
            <w:gridSpan w:val="3"/>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营业执照</w:t>
            </w:r>
          </w:p>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统一社会信用代码</w:t>
            </w:r>
          </w:p>
        </w:tc>
        <w:tc>
          <w:tcPr>
            <w:tcW w:w="6527" w:type="dxa"/>
            <w:gridSpan w:val="3"/>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注册资金</w:t>
            </w:r>
          </w:p>
        </w:tc>
        <w:tc>
          <w:tcPr>
            <w:tcW w:w="2181" w:type="dxa"/>
          </w:tcPr>
          <w:p>
            <w:pPr>
              <w:pStyle w:val="18"/>
              <w:spacing w:line="360" w:lineRule="auto"/>
              <w:jc w:val="center"/>
              <w:rPr>
                <w:rFonts w:ascii="仿宋" w:hAnsi="仿宋" w:eastAsia="仿宋" w:cs="仿宋"/>
                <w:color w:val="auto"/>
                <w:szCs w:val="24"/>
                <w:highlight w:val="none"/>
              </w:rPr>
            </w:pPr>
          </w:p>
        </w:tc>
        <w:tc>
          <w:tcPr>
            <w:tcW w:w="2760"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邮政编码</w:t>
            </w:r>
          </w:p>
        </w:tc>
        <w:tc>
          <w:tcPr>
            <w:tcW w:w="1586" w:type="dxa"/>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公司成立日期</w:t>
            </w:r>
          </w:p>
        </w:tc>
        <w:tc>
          <w:tcPr>
            <w:tcW w:w="2181" w:type="dxa"/>
          </w:tcPr>
          <w:p>
            <w:pPr>
              <w:pStyle w:val="18"/>
              <w:spacing w:line="360" w:lineRule="auto"/>
              <w:jc w:val="center"/>
              <w:rPr>
                <w:rFonts w:ascii="仿宋" w:hAnsi="仿宋" w:eastAsia="仿宋" w:cs="仿宋"/>
                <w:color w:val="auto"/>
                <w:szCs w:val="24"/>
                <w:highlight w:val="none"/>
              </w:rPr>
            </w:pPr>
          </w:p>
        </w:tc>
        <w:tc>
          <w:tcPr>
            <w:tcW w:w="2760"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企业网站网址（如有）</w:t>
            </w:r>
          </w:p>
        </w:tc>
        <w:tc>
          <w:tcPr>
            <w:tcW w:w="1586" w:type="dxa"/>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企业电话</w:t>
            </w:r>
          </w:p>
        </w:tc>
        <w:tc>
          <w:tcPr>
            <w:tcW w:w="2181" w:type="dxa"/>
          </w:tcPr>
          <w:p>
            <w:pPr>
              <w:pStyle w:val="18"/>
              <w:spacing w:line="360" w:lineRule="auto"/>
              <w:jc w:val="center"/>
              <w:rPr>
                <w:rFonts w:ascii="仿宋" w:hAnsi="仿宋" w:eastAsia="仿宋" w:cs="仿宋"/>
                <w:color w:val="auto"/>
                <w:szCs w:val="24"/>
                <w:highlight w:val="none"/>
              </w:rPr>
            </w:pPr>
          </w:p>
        </w:tc>
        <w:tc>
          <w:tcPr>
            <w:tcW w:w="2760"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通讯地址</w:t>
            </w:r>
          </w:p>
        </w:tc>
        <w:tc>
          <w:tcPr>
            <w:tcW w:w="1586" w:type="dxa"/>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公司简介</w:t>
            </w:r>
          </w:p>
        </w:tc>
        <w:tc>
          <w:tcPr>
            <w:tcW w:w="6527" w:type="dxa"/>
            <w:gridSpan w:val="3"/>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经营范围</w:t>
            </w:r>
          </w:p>
        </w:tc>
        <w:tc>
          <w:tcPr>
            <w:tcW w:w="6527" w:type="dxa"/>
            <w:gridSpan w:val="3"/>
          </w:tcPr>
          <w:p>
            <w:pPr>
              <w:pStyle w:val="18"/>
              <w:spacing w:line="360" w:lineRule="auto"/>
              <w:jc w:val="center"/>
              <w:rPr>
                <w:rFonts w:ascii="仿宋" w:hAnsi="仿宋" w:eastAsia="仿宋" w:cs="仿宋"/>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2916" w:type="dxa"/>
            <w:vAlign w:val="center"/>
          </w:tcPr>
          <w:p>
            <w:pPr>
              <w:pStyle w:val="18"/>
              <w:spacing w:line="360" w:lineRule="auto"/>
              <w:jc w:val="center"/>
              <w:rPr>
                <w:rFonts w:ascii="仿宋" w:hAnsi="仿宋" w:eastAsia="仿宋" w:cs="仿宋"/>
                <w:color w:val="auto"/>
                <w:szCs w:val="24"/>
                <w:highlight w:val="none"/>
              </w:rPr>
            </w:pPr>
            <w:r>
              <w:rPr>
                <w:rFonts w:hint="eastAsia" w:ascii="仿宋" w:hAnsi="仿宋" w:eastAsia="仿宋" w:cs="仿宋"/>
                <w:color w:val="auto"/>
                <w:szCs w:val="24"/>
                <w:highlight w:val="none"/>
              </w:rPr>
              <w:t>公司拥有资质证书</w:t>
            </w:r>
          </w:p>
        </w:tc>
        <w:tc>
          <w:tcPr>
            <w:tcW w:w="6527" w:type="dxa"/>
            <w:gridSpan w:val="3"/>
          </w:tcPr>
          <w:p>
            <w:pPr>
              <w:pStyle w:val="18"/>
              <w:spacing w:line="360" w:lineRule="auto"/>
              <w:jc w:val="center"/>
              <w:rPr>
                <w:rFonts w:ascii="仿宋" w:hAnsi="仿宋" w:eastAsia="仿宋" w:cs="仿宋"/>
                <w:color w:val="auto"/>
                <w:szCs w:val="24"/>
                <w:highlight w:val="none"/>
              </w:rPr>
            </w:pPr>
          </w:p>
        </w:tc>
      </w:tr>
    </w:tbl>
    <w:p>
      <w:pPr>
        <w:pStyle w:val="4"/>
        <w:spacing w:line="360" w:lineRule="auto"/>
        <w:jc w:val="center"/>
        <w:rPr>
          <w:rFonts w:ascii="仿宋" w:hAnsi="仿宋" w:eastAsia="仿宋" w:cs="仿宋"/>
          <w:highlight w:val="none"/>
        </w:rPr>
      </w:pPr>
      <w:r>
        <w:rPr>
          <w:rFonts w:hint="eastAsia" w:ascii="仿宋" w:hAnsi="仿宋" w:eastAsia="仿宋" w:cs="仿宋"/>
          <w:highlight w:val="none"/>
        </w:rPr>
        <w:t>一、投标人基本情况表</w:t>
      </w:r>
    </w:p>
    <w:p>
      <w:pPr>
        <w:spacing w:line="360" w:lineRule="auto"/>
        <w:ind w:firstLine="138" w:firstLineChars="49"/>
        <w:outlineLvl w:val="1"/>
        <w:rPr>
          <w:rFonts w:ascii="仿宋" w:hAnsi="仿宋" w:eastAsia="仿宋" w:cs="仿宋"/>
          <w:b/>
          <w:bCs/>
          <w:kern w:val="44"/>
          <w:sz w:val="28"/>
          <w:szCs w:val="28"/>
          <w:highlight w:val="none"/>
        </w:rPr>
      </w:pPr>
    </w:p>
    <w:p>
      <w:pPr>
        <w:spacing w:line="360" w:lineRule="auto"/>
        <w:rPr>
          <w:rFonts w:ascii="仿宋" w:hAnsi="仿宋" w:eastAsia="仿宋" w:cs="仿宋"/>
          <w:highlight w:val="none"/>
        </w:rPr>
      </w:pPr>
    </w:p>
    <w:p>
      <w:pPr>
        <w:spacing w:line="360" w:lineRule="auto"/>
        <w:rPr>
          <w:rFonts w:ascii="仿宋" w:hAnsi="仿宋" w:eastAsia="仿宋" w:cs="仿宋"/>
          <w:highlight w:val="none"/>
        </w:rPr>
      </w:pPr>
    </w:p>
    <w:p>
      <w:pPr>
        <w:spacing w:line="360" w:lineRule="auto"/>
        <w:rPr>
          <w:rFonts w:ascii="仿宋" w:hAnsi="仿宋" w:eastAsia="仿宋" w:cs="仿宋"/>
          <w:highlight w:val="none"/>
        </w:rPr>
      </w:pPr>
    </w:p>
    <w:p>
      <w:pPr>
        <w:spacing w:line="360" w:lineRule="auto"/>
        <w:rPr>
          <w:rFonts w:ascii="仿宋" w:hAnsi="仿宋" w:eastAsia="仿宋" w:cs="仿宋"/>
          <w:highlight w:val="non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u w:val="single"/>
        </w:rPr>
      </w:pPr>
      <w:r>
        <w:rPr>
          <w:rFonts w:hint="eastAsia" w:ascii="仿宋" w:hAnsi="仿宋" w:eastAsia="仿宋" w:cs="仿宋"/>
          <w:highlight w:val="none"/>
        </w:rPr>
        <w:t>法定代表人或其委托代理人（电子签章）：</w:t>
      </w:r>
      <w:r>
        <w:rPr>
          <w:rFonts w:hint="eastAsia" w:ascii="仿宋" w:hAnsi="仿宋" w:eastAsia="仿宋" w:cs="仿宋"/>
          <w:highlight w:val="none"/>
          <w:u w:val="single"/>
        </w:rPr>
        <w:t xml:space="preserve">              </w:t>
      </w:r>
    </w:p>
    <w:p>
      <w:pPr>
        <w:spacing w:line="360" w:lineRule="auto"/>
        <w:jc w:val="left"/>
        <w:rPr>
          <w:rFonts w:ascii="仿宋" w:hAnsi="仿宋" w:eastAsia="仿宋" w:cs="仿宋"/>
          <w:b/>
          <w:bCs/>
          <w:sz w:val="28"/>
          <w:szCs w:val="28"/>
          <w:highlight w:val="none"/>
        </w:rPr>
      </w:pPr>
      <w:r>
        <w:rPr>
          <w:rFonts w:hint="eastAsia" w:ascii="仿宋" w:hAnsi="仿宋" w:eastAsia="仿宋" w:cs="仿宋"/>
          <w:highlight w:val="none"/>
        </w:rPr>
        <w:t>日期：</w:t>
      </w:r>
      <w:r>
        <w:rPr>
          <w:rFonts w:hint="eastAsia" w:ascii="仿宋" w:hAnsi="仿宋" w:eastAsia="仿宋" w:cs="仿宋"/>
          <w:highlight w:val="none"/>
          <w:u w:val="single"/>
        </w:rPr>
        <w:t>　　　</w:t>
      </w:r>
      <w:r>
        <w:rPr>
          <w:rFonts w:hint="eastAsia" w:ascii="仿宋" w:hAnsi="仿宋" w:eastAsia="仿宋" w:cs="仿宋"/>
          <w:highlight w:val="none"/>
        </w:rPr>
        <w:t>年</w:t>
      </w:r>
      <w:r>
        <w:rPr>
          <w:rFonts w:hint="eastAsia" w:ascii="仿宋" w:hAnsi="仿宋" w:eastAsia="仿宋" w:cs="仿宋"/>
          <w:highlight w:val="none"/>
          <w:u w:val="single"/>
        </w:rPr>
        <w:t>　　</w:t>
      </w:r>
      <w:r>
        <w:rPr>
          <w:rFonts w:hint="eastAsia" w:ascii="仿宋" w:hAnsi="仿宋" w:eastAsia="仿宋" w:cs="仿宋"/>
          <w:highlight w:val="none"/>
        </w:rPr>
        <w:t>月</w:t>
      </w:r>
      <w:r>
        <w:rPr>
          <w:rFonts w:hint="eastAsia" w:ascii="仿宋" w:hAnsi="仿宋" w:eastAsia="仿宋" w:cs="仿宋"/>
          <w:highlight w:val="none"/>
          <w:u w:val="single"/>
        </w:rPr>
        <w:t>　　</w:t>
      </w:r>
      <w:r>
        <w:rPr>
          <w:rFonts w:hint="eastAsia" w:ascii="仿宋" w:hAnsi="仿宋" w:eastAsia="仿宋" w:cs="仿宋"/>
          <w:highlight w:val="none"/>
        </w:rPr>
        <w:t>日</w:t>
      </w:r>
    </w:p>
    <w:p>
      <w:pPr>
        <w:pStyle w:val="14"/>
        <w:ind w:left="480" w:firstLine="562"/>
        <w:rPr>
          <w:rFonts w:ascii="仿宋" w:hAnsi="仿宋" w:eastAsia="仿宋" w:cs="仿宋"/>
          <w:b/>
          <w:bCs/>
          <w:kern w:val="44"/>
          <w:sz w:val="28"/>
          <w:szCs w:val="28"/>
          <w:highlight w:val="none"/>
        </w:rPr>
      </w:pPr>
    </w:p>
    <w:p>
      <w:pPr>
        <w:pStyle w:val="41"/>
        <w:rPr>
          <w:rFonts w:ascii="仿宋" w:hAnsi="仿宋" w:eastAsia="仿宋" w:cs="仿宋"/>
          <w:highlight w:val="none"/>
        </w:rPr>
        <w:sectPr>
          <w:headerReference r:id="rId5" w:type="default"/>
          <w:footerReference r:id="rId6" w:type="default"/>
          <w:pgSz w:w="11906" w:h="16838"/>
          <w:pgMar w:top="1418" w:right="1134" w:bottom="1418" w:left="1134" w:header="851" w:footer="680" w:gutter="0"/>
          <w:cols w:space="720" w:num="1"/>
          <w:docGrid w:type="lines" w:linePitch="312" w:charSpace="0"/>
        </w:sectPr>
      </w:pPr>
    </w:p>
    <w:p>
      <w:pPr>
        <w:spacing w:line="360" w:lineRule="auto"/>
        <w:jc w:val="center"/>
        <w:rPr>
          <w:rFonts w:ascii="仿宋" w:hAnsi="仿宋" w:eastAsia="仿宋" w:cs="仿宋"/>
          <w:highlight w:val="none"/>
        </w:rPr>
      </w:pPr>
      <w:bookmarkStart w:id="98" w:name="_Toc28618"/>
      <w:r>
        <w:rPr>
          <w:rFonts w:hint="eastAsia" w:ascii="仿宋" w:hAnsi="仿宋" w:eastAsia="仿宋" w:cs="仿宋"/>
          <w:b/>
          <w:bCs/>
          <w:sz w:val="32"/>
          <w:szCs w:val="32"/>
          <w:highlight w:val="none"/>
        </w:rPr>
        <w:t>二、资格证明文件（投标人需提供以下资料）</w:t>
      </w:r>
      <w:bookmarkEnd w:id="98"/>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1.投标供应商须具备独立企业（事业）法人或其它组织或自然人, 具有有效的营业执照或其他法定凭证，若为自然人的提供自然人的身份证明。；</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kern w:val="0"/>
          <w:highlight w:val="none"/>
        </w:rPr>
        <w:t>提供 2022年或2023年经第三方审计的财务报告 (至少包含资产负债表、利润表、现金流量表) ，未经审计的提供企业内部自行编制的财务报表，企业成立不满1年的无需提供</w:t>
      </w:r>
      <w:r>
        <w:rPr>
          <w:rFonts w:hint="eastAsia" w:ascii="仿宋" w:hAnsi="仿宋" w:eastAsia="仿宋" w:cs="仿宋"/>
          <w:highlight w:val="none"/>
        </w:rPr>
        <w:t>；</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3.提供投标人缴税所属时间在2023年01月至本项目投标文件提交截止时间前任意1个月的税务局税收通用缴款书或银行电子缴税（费）凭证或税务局出具纳税情况的相关证明，依法免税的，应提供依法免税的相关证明文件，成立未满1个月的无需提供；</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4.提供投标人缴费所属时间在2023年01月至本项目投标文件提交截止时间前任意1个月的社会保险费缴款书或银行电子缴税（费）凭证或社保管理部门出具的有效的缴款证明，依法免缴的，应提供依法免缴的相关证明文件，成立未满1个月的无需提供；</w:t>
      </w:r>
    </w:p>
    <w:p>
      <w:pPr>
        <w:spacing w:line="480" w:lineRule="auto"/>
        <w:ind w:firstLine="480" w:firstLineChars="200"/>
        <w:rPr>
          <w:rFonts w:ascii="仿宋" w:hAnsi="仿宋" w:eastAsia="仿宋" w:cs="仿宋"/>
          <w:highlight w:val="none"/>
        </w:rPr>
      </w:pPr>
      <w:r>
        <w:rPr>
          <w:rFonts w:hint="eastAsia" w:ascii="仿宋" w:hAnsi="仿宋" w:eastAsia="仿宋" w:cs="仿宋"/>
          <w:highlight w:val="none"/>
        </w:rPr>
        <w:t>5.提供投标人参加此次投标活动前 3 年内，在经营活动中没有重大违法记录的书面声明；</w:t>
      </w:r>
    </w:p>
    <w:p>
      <w:pPr>
        <w:spacing w:line="480" w:lineRule="auto"/>
        <w:ind w:firstLine="480" w:firstLineChars="200"/>
        <w:rPr>
          <w:rFonts w:ascii="仿宋" w:hAnsi="仿宋" w:eastAsia="仿宋" w:cs="仿宋"/>
          <w:spacing w:val="-4"/>
          <w:kern w:val="0"/>
          <w:highlight w:val="none"/>
        </w:rPr>
      </w:pPr>
      <w:r>
        <w:rPr>
          <w:rFonts w:hint="eastAsia" w:ascii="仿宋" w:hAnsi="仿宋" w:eastAsia="仿宋" w:cs="仿宋"/>
          <w:highlight w:val="none"/>
        </w:rPr>
        <w:t>6.单位负责人为同一人或者存在直接控股、管理关系的不同投标人，不得参加同一合同项下的政府采购活动。</w:t>
      </w:r>
      <w:r>
        <w:rPr>
          <w:rFonts w:hint="eastAsia" w:ascii="仿宋" w:hAnsi="仿宋" w:eastAsia="仿宋" w:cs="仿宋"/>
          <w:spacing w:val="-4"/>
          <w:kern w:val="0"/>
          <w:highlight w:val="none"/>
        </w:rPr>
        <w:t>自行提供书面承诺并</w:t>
      </w:r>
      <w:r>
        <w:rPr>
          <w:rFonts w:hint="eastAsia" w:ascii="仿宋" w:hAnsi="仿宋" w:eastAsia="仿宋" w:cs="仿宋"/>
          <w:spacing w:val="-4"/>
          <w:kern w:val="0"/>
          <w:highlight w:val="none"/>
          <w:lang w:val="zh-CN"/>
        </w:rPr>
        <w:t>加盖公章。</w:t>
      </w:r>
    </w:p>
    <w:p>
      <w:pPr>
        <w:pStyle w:val="7"/>
        <w:ind w:firstLine="0"/>
        <w:rPr>
          <w:rFonts w:ascii="仿宋" w:hAnsi="仿宋" w:eastAsia="仿宋" w:cs="仿宋"/>
          <w:highlight w:val="none"/>
        </w:rPr>
      </w:pPr>
    </w:p>
    <w:bookmarkEnd w:id="97"/>
    <w:p>
      <w:pPr>
        <w:rPr>
          <w:rFonts w:ascii="仿宋" w:hAnsi="仿宋" w:eastAsia="仿宋" w:cs="仿宋"/>
          <w:highlight w:val="none"/>
        </w:rPr>
      </w:pPr>
      <w:bookmarkStart w:id="99" w:name="_Toc6003"/>
      <w:bookmarkStart w:id="100" w:name="_Toc293042929"/>
      <w:bookmarkStart w:id="101" w:name="_Toc70096473"/>
      <w:bookmarkStart w:id="102" w:name="_Toc73290949"/>
      <w:bookmarkStart w:id="103" w:name="_Toc340046070"/>
      <w:bookmarkStart w:id="104" w:name="_Toc17088"/>
      <w:bookmarkStart w:id="105" w:name="_Toc531"/>
      <w:bookmarkStart w:id="106" w:name="_Toc245723171"/>
      <w:r>
        <w:rPr>
          <w:rFonts w:hint="eastAsia" w:ascii="仿宋" w:hAnsi="仿宋" w:eastAsia="仿宋" w:cs="仿宋"/>
          <w:highlight w:val="none"/>
        </w:rPr>
        <w:br w:type="page"/>
      </w:r>
    </w:p>
    <w:p>
      <w:pPr>
        <w:pStyle w:val="4"/>
        <w:spacing w:after="120" w:line="360" w:lineRule="auto"/>
        <w:jc w:val="center"/>
        <w:rPr>
          <w:rFonts w:ascii="仿宋" w:hAnsi="仿宋" w:eastAsia="仿宋" w:cs="仿宋"/>
          <w:highlight w:val="none"/>
        </w:rPr>
      </w:pPr>
      <w:r>
        <w:rPr>
          <w:rFonts w:hint="eastAsia" w:ascii="仿宋" w:hAnsi="仿宋" w:eastAsia="仿宋" w:cs="仿宋"/>
          <w:highlight w:val="none"/>
        </w:rPr>
        <w:t>三、法定代表人身份证明书</w:t>
      </w:r>
    </w:p>
    <w:p>
      <w:pPr>
        <w:spacing w:line="360" w:lineRule="auto"/>
        <w:jc w:val="center"/>
        <w:rPr>
          <w:rFonts w:ascii="仿宋" w:hAnsi="仿宋" w:eastAsia="仿宋" w:cs="仿宋"/>
          <w:b/>
          <w:sz w:val="30"/>
          <w:szCs w:val="30"/>
          <w:highlight w:val="none"/>
        </w:rPr>
      </w:pPr>
    </w:p>
    <w:p>
      <w:pPr>
        <w:spacing w:line="360" w:lineRule="auto"/>
        <w:rPr>
          <w:rFonts w:ascii="仿宋" w:hAnsi="仿宋" w:eastAsia="仿宋" w:cs="仿宋"/>
          <w:highlight w:val="none"/>
          <w:u w:val="single"/>
        </w:rPr>
      </w:pPr>
      <w:r>
        <w:rPr>
          <w:rFonts w:hint="eastAsia" w:ascii="仿宋" w:hAnsi="仿宋" w:eastAsia="仿宋" w:cs="仿宋"/>
          <w:highlight w:val="none"/>
        </w:rPr>
        <w:t>投标人名称：</w:t>
      </w:r>
      <w:r>
        <w:rPr>
          <w:rFonts w:hint="eastAsia" w:ascii="仿宋" w:hAnsi="仿宋" w:eastAsia="仿宋" w:cs="仿宋"/>
          <w:highlight w:val="none"/>
          <w:u w:val="single"/>
        </w:rPr>
        <w:t xml:space="preserve">                </w:t>
      </w:r>
    </w:p>
    <w:p>
      <w:pPr>
        <w:spacing w:line="360" w:lineRule="auto"/>
        <w:rPr>
          <w:rFonts w:ascii="仿宋" w:hAnsi="仿宋" w:eastAsia="仿宋" w:cs="仿宋"/>
          <w:highlight w:val="none"/>
          <w:u w:val="single"/>
        </w:rPr>
      </w:pPr>
      <w:r>
        <w:rPr>
          <w:rFonts w:hint="eastAsia" w:ascii="仿宋" w:hAnsi="仿宋" w:eastAsia="仿宋" w:cs="仿宋"/>
          <w:highlight w:val="none"/>
        </w:rPr>
        <w:t>单位性质：</w:t>
      </w:r>
      <w:r>
        <w:rPr>
          <w:rFonts w:hint="eastAsia" w:ascii="仿宋" w:hAnsi="仿宋" w:eastAsia="仿宋" w:cs="仿宋"/>
          <w:highlight w:val="none"/>
          <w:u w:val="single"/>
        </w:rPr>
        <w:t xml:space="preserve">                  </w:t>
      </w:r>
    </w:p>
    <w:p>
      <w:pPr>
        <w:spacing w:line="360" w:lineRule="auto"/>
        <w:rPr>
          <w:rFonts w:ascii="仿宋" w:hAnsi="仿宋" w:eastAsia="仿宋" w:cs="仿宋"/>
          <w:highlight w:val="none"/>
        </w:rPr>
      </w:pPr>
      <w:r>
        <w:rPr>
          <w:rFonts w:hint="eastAsia" w:ascii="仿宋" w:hAnsi="仿宋" w:eastAsia="仿宋" w:cs="仿宋"/>
          <w:highlight w:val="none"/>
        </w:rPr>
        <w:t>成立时间：</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pPr>
        <w:spacing w:line="360" w:lineRule="auto"/>
        <w:rPr>
          <w:rFonts w:ascii="仿宋" w:hAnsi="仿宋" w:eastAsia="仿宋" w:cs="仿宋"/>
          <w:highlight w:val="none"/>
          <w:u w:val="single"/>
        </w:rPr>
      </w:pPr>
      <w:r>
        <w:rPr>
          <w:rFonts w:hint="eastAsia" w:ascii="仿宋" w:hAnsi="仿宋" w:eastAsia="仿宋" w:cs="仿宋"/>
          <w:highlight w:val="none"/>
        </w:rPr>
        <w:t>经营期限：</w:t>
      </w:r>
      <w:r>
        <w:rPr>
          <w:rFonts w:hint="eastAsia" w:ascii="仿宋" w:hAnsi="仿宋" w:eastAsia="仿宋" w:cs="仿宋"/>
          <w:highlight w:val="none"/>
          <w:u w:val="single"/>
        </w:rPr>
        <w:t xml:space="preserve">                    </w:t>
      </w:r>
    </w:p>
    <w:p>
      <w:pPr>
        <w:spacing w:line="360" w:lineRule="auto"/>
        <w:rPr>
          <w:rFonts w:ascii="仿宋" w:hAnsi="仿宋" w:eastAsia="仿宋" w:cs="仿宋"/>
          <w:highlight w:val="none"/>
          <w:u w:val="single"/>
        </w:rPr>
      </w:pPr>
      <w:r>
        <w:rPr>
          <w:rFonts w:hint="eastAsia" w:ascii="仿宋" w:hAnsi="仿宋" w:eastAsia="仿宋" w:cs="仿宋"/>
          <w:highlight w:val="none"/>
        </w:rPr>
        <w:t>姓名：</w:t>
      </w:r>
      <w:r>
        <w:rPr>
          <w:rFonts w:hint="eastAsia" w:ascii="仿宋" w:hAnsi="仿宋" w:eastAsia="仿宋" w:cs="仿宋"/>
          <w:highlight w:val="none"/>
          <w:u w:val="single"/>
        </w:rPr>
        <w:t xml:space="preserve">          </w:t>
      </w:r>
      <w:r>
        <w:rPr>
          <w:rFonts w:hint="eastAsia" w:ascii="仿宋" w:hAnsi="仿宋" w:eastAsia="仿宋" w:cs="仿宋"/>
          <w:highlight w:val="none"/>
        </w:rPr>
        <w:t>性别：</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年龄：</w:t>
      </w:r>
      <w:r>
        <w:rPr>
          <w:rFonts w:hint="eastAsia" w:ascii="仿宋" w:hAnsi="仿宋" w:eastAsia="仿宋" w:cs="仿宋"/>
          <w:highlight w:val="none"/>
          <w:u w:val="single"/>
        </w:rPr>
        <w:t xml:space="preserve">          </w:t>
      </w:r>
      <w:r>
        <w:rPr>
          <w:rFonts w:hint="eastAsia" w:ascii="仿宋" w:hAnsi="仿宋" w:eastAsia="仿宋" w:cs="仿宋"/>
          <w:highlight w:val="none"/>
        </w:rPr>
        <w:t>职务：</w:t>
      </w:r>
      <w:r>
        <w:rPr>
          <w:rFonts w:hint="eastAsia" w:ascii="仿宋" w:hAnsi="仿宋" w:eastAsia="仿宋" w:cs="仿宋"/>
          <w:highlight w:val="none"/>
          <w:u w:val="single"/>
        </w:rPr>
        <w:t xml:space="preserve">          </w:t>
      </w:r>
    </w:p>
    <w:p>
      <w:pPr>
        <w:spacing w:line="360" w:lineRule="auto"/>
        <w:rPr>
          <w:rFonts w:ascii="仿宋" w:hAnsi="仿宋" w:eastAsia="仿宋" w:cs="仿宋"/>
          <w:highlight w:val="none"/>
        </w:rPr>
      </w:pPr>
      <w:r>
        <w:rPr>
          <w:rFonts w:hint="eastAsia" w:ascii="仿宋" w:hAnsi="仿宋" w:eastAsia="仿宋" w:cs="仿宋"/>
          <w:highlight w:val="none"/>
        </w:rPr>
        <w:t>系</w:t>
      </w:r>
      <w:r>
        <w:rPr>
          <w:rFonts w:hint="eastAsia" w:ascii="仿宋" w:hAnsi="仿宋" w:eastAsia="仿宋" w:cs="仿宋"/>
          <w:highlight w:val="none"/>
          <w:u w:val="single"/>
        </w:rPr>
        <w:t xml:space="preserve">（投标人名称）        </w:t>
      </w:r>
      <w:r>
        <w:rPr>
          <w:rFonts w:hint="eastAsia" w:ascii="仿宋" w:hAnsi="仿宋" w:eastAsia="仿宋" w:cs="仿宋"/>
          <w:highlight w:val="none"/>
        </w:rPr>
        <w:t>的法定代表人。</w:t>
      </w:r>
    </w:p>
    <w:p>
      <w:pPr>
        <w:spacing w:line="360" w:lineRule="auto"/>
        <w:rPr>
          <w:rFonts w:ascii="仿宋" w:hAnsi="仿宋" w:eastAsia="仿宋" w:cs="仿宋"/>
          <w:highlight w:val="none"/>
        </w:rPr>
      </w:pPr>
    </w:p>
    <w:p>
      <w:pPr>
        <w:spacing w:line="360" w:lineRule="auto"/>
        <w:ind w:firstLine="480" w:firstLineChars="200"/>
        <w:rPr>
          <w:rFonts w:ascii="仿宋" w:hAnsi="仿宋" w:eastAsia="仿宋" w:cs="仿宋"/>
          <w:highlight w:val="none"/>
        </w:rPr>
      </w:pPr>
    </w:p>
    <w:p>
      <w:pPr>
        <w:spacing w:line="360" w:lineRule="auto"/>
        <w:ind w:firstLine="480" w:firstLineChars="200"/>
        <w:rPr>
          <w:rFonts w:ascii="仿宋" w:hAnsi="仿宋" w:eastAsia="仿宋" w:cs="仿宋"/>
          <w:highlight w:val="none"/>
        </w:rPr>
      </w:pPr>
      <w:r>
        <w:rPr>
          <w:rFonts w:hint="eastAsia" w:ascii="仿宋" w:hAnsi="仿宋" w:eastAsia="仿宋" w:cs="仿宋"/>
          <w:highlight w:val="none"/>
        </w:rPr>
        <w:t>特此证明。</w:t>
      </w:r>
    </w:p>
    <w:p>
      <w:pPr>
        <w:spacing w:line="360" w:lineRule="auto"/>
        <w:rPr>
          <w:rFonts w:ascii="仿宋" w:hAnsi="仿宋" w:eastAsia="仿宋" w:cs="仿宋"/>
          <w:highlight w:val="none"/>
        </w:rPr>
      </w:pPr>
    </w:p>
    <w:p>
      <w:pPr>
        <w:spacing w:line="360" w:lineRule="auto"/>
        <w:rPr>
          <w:rFonts w:ascii="仿宋" w:hAnsi="仿宋" w:eastAsia="仿宋" w:cs="仿宋"/>
          <w:highlight w:val="none"/>
        </w:rPr>
      </w:pPr>
    </w:p>
    <w:p>
      <w:pPr>
        <w:pStyle w:val="18"/>
        <w:spacing w:line="360" w:lineRule="auto"/>
        <w:ind w:firstLine="420"/>
        <w:rPr>
          <w:rFonts w:ascii="仿宋" w:hAnsi="仿宋" w:eastAsia="仿宋" w:cs="仿宋"/>
          <w:b/>
          <w:bCs/>
          <w:color w:val="auto"/>
          <w:szCs w:val="24"/>
          <w:highlight w:val="none"/>
        </w:rPr>
      </w:pPr>
      <w:r>
        <w:rPr>
          <w:rFonts w:hint="eastAsia" w:ascii="仿宋" w:hAnsi="仿宋" w:eastAsia="仿宋" w:cs="仿宋"/>
          <w:b/>
          <w:bCs/>
          <w:color w:val="auto"/>
          <w:szCs w:val="24"/>
          <w:highlight w:val="none"/>
        </w:rPr>
        <w:t>注:后附法定代表人身份证扫描件。</w:t>
      </w:r>
    </w:p>
    <w:p>
      <w:pPr>
        <w:spacing w:line="360" w:lineRule="auto"/>
        <w:rPr>
          <w:rFonts w:ascii="仿宋" w:hAnsi="仿宋" w:eastAsia="仿宋" w:cs="仿宋"/>
          <w:highlight w:val="none"/>
        </w:rPr>
      </w:pPr>
    </w:p>
    <w:p>
      <w:pPr>
        <w:spacing w:line="360" w:lineRule="auto"/>
        <w:rPr>
          <w:rFonts w:ascii="仿宋" w:hAnsi="仿宋" w:eastAsia="仿宋" w:cs="仿宋"/>
          <w:highlight w:val="none"/>
        </w:rPr>
      </w:pPr>
    </w:p>
    <w:p>
      <w:pPr>
        <w:spacing w:line="360" w:lineRule="auto"/>
        <w:ind w:firstLine="4320" w:firstLineChars="1800"/>
        <w:rPr>
          <w:rFonts w:ascii="仿宋" w:hAnsi="仿宋" w:eastAsia="仿宋" w:cs="仿宋"/>
          <w:highlight w:val="none"/>
          <w:u w:val="singl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spacing w:line="360" w:lineRule="auto"/>
        <w:ind w:left="6168" w:leftChars="2570"/>
        <w:rPr>
          <w:rFonts w:ascii="仿宋" w:hAnsi="仿宋" w:eastAsia="仿宋" w:cs="仿宋"/>
          <w:highlight w:val="none"/>
        </w:rPr>
      </w:pPr>
      <w:r>
        <w:rPr>
          <w:rFonts w:hint="eastAsia" w:ascii="仿宋" w:hAnsi="仿宋" w:eastAsia="仿宋" w:cs="仿宋"/>
          <w:highlight w:val="none"/>
        </w:rPr>
        <w:t>年  月  日</w:t>
      </w:r>
    </w:p>
    <w:p>
      <w:pPr>
        <w:spacing w:line="360" w:lineRule="auto"/>
        <w:jc w:val="center"/>
        <w:outlineLvl w:val="2"/>
        <w:rPr>
          <w:rFonts w:ascii="仿宋" w:hAnsi="仿宋" w:eastAsia="仿宋" w:cs="仿宋"/>
          <w:bCs/>
          <w:kern w:val="0"/>
          <w:sz w:val="28"/>
          <w:szCs w:val="28"/>
          <w:highlight w:val="none"/>
        </w:rPr>
      </w:pPr>
    </w:p>
    <w:p>
      <w:pPr>
        <w:spacing w:line="360" w:lineRule="auto"/>
        <w:jc w:val="center"/>
        <w:outlineLvl w:val="2"/>
        <w:rPr>
          <w:rFonts w:ascii="仿宋" w:hAnsi="仿宋" w:eastAsia="仿宋" w:cs="仿宋"/>
          <w:bCs/>
          <w:kern w:val="0"/>
          <w:sz w:val="28"/>
          <w:szCs w:val="28"/>
          <w:highlight w:val="none"/>
        </w:rPr>
      </w:pPr>
    </w:p>
    <w:p>
      <w:pPr>
        <w:spacing w:line="360" w:lineRule="auto"/>
        <w:jc w:val="center"/>
        <w:outlineLvl w:val="2"/>
        <w:rPr>
          <w:rFonts w:ascii="仿宋" w:hAnsi="仿宋" w:eastAsia="仿宋" w:cs="仿宋"/>
          <w:bCs/>
          <w:kern w:val="0"/>
          <w:sz w:val="28"/>
          <w:szCs w:val="28"/>
          <w:highlight w:val="none"/>
        </w:rPr>
      </w:pPr>
    </w:p>
    <w:p>
      <w:pPr>
        <w:spacing w:line="360" w:lineRule="auto"/>
        <w:jc w:val="center"/>
        <w:outlineLvl w:val="2"/>
        <w:rPr>
          <w:rFonts w:ascii="仿宋" w:hAnsi="仿宋" w:eastAsia="仿宋" w:cs="仿宋"/>
          <w:bCs/>
          <w:kern w:val="0"/>
          <w:sz w:val="28"/>
          <w:szCs w:val="28"/>
          <w:highlight w:val="none"/>
        </w:rPr>
      </w:pPr>
    </w:p>
    <w:p>
      <w:pPr>
        <w:spacing w:line="360" w:lineRule="auto"/>
        <w:jc w:val="center"/>
        <w:outlineLvl w:val="2"/>
        <w:rPr>
          <w:rFonts w:ascii="仿宋" w:hAnsi="仿宋" w:eastAsia="仿宋" w:cs="仿宋"/>
          <w:bCs/>
          <w:kern w:val="0"/>
          <w:sz w:val="28"/>
          <w:szCs w:val="28"/>
          <w:highlight w:val="none"/>
        </w:rPr>
      </w:pPr>
    </w:p>
    <w:p>
      <w:pPr>
        <w:spacing w:line="360" w:lineRule="auto"/>
        <w:jc w:val="center"/>
        <w:outlineLvl w:val="2"/>
        <w:rPr>
          <w:rFonts w:ascii="仿宋" w:hAnsi="仿宋" w:eastAsia="仿宋" w:cs="仿宋"/>
          <w:bCs/>
          <w:kern w:val="0"/>
          <w:sz w:val="28"/>
          <w:szCs w:val="28"/>
          <w:highlight w:val="none"/>
        </w:rPr>
      </w:pPr>
    </w:p>
    <w:p>
      <w:pPr>
        <w:spacing w:line="360" w:lineRule="auto"/>
        <w:outlineLvl w:val="2"/>
        <w:rPr>
          <w:rFonts w:ascii="仿宋" w:hAnsi="仿宋" w:eastAsia="仿宋" w:cs="仿宋"/>
          <w:bCs/>
          <w:kern w:val="0"/>
          <w:sz w:val="28"/>
          <w:szCs w:val="28"/>
          <w:highlight w:val="none"/>
        </w:rPr>
      </w:pPr>
    </w:p>
    <w:bookmarkEnd w:id="99"/>
    <w:bookmarkEnd w:id="100"/>
    <w:bookmarkEnd w:id="101"/>
    <w:bookmarkEnd w:id="102"/>
    <w:bookmarkEnd w:id="103"/>
    <w:bookmarkEnd w:id="104"/>
    <w:bookmarkEnd w:id="105"/>
    <w:bookmarkEnd w:id="106"/>
    <w:p>
      <w:pPr>
        <w:pStyle w:val="4"/>
        <w:spacing w:after="120" w:line="360" w:lineRule="auto"/>
        <w:jc w:val="center"/>
        <w:rPr>
          <w:rFonts w:ascii="仿宋" w:hAnsi="仿宋" w:eastAsia="仿宋" w:cs="仿宋"/>
          <w:highlight w:val="none"/>
        </w:rPr>
      </w:pPr>
      <w:bookmarkStart w:id="107" w:name="_Toc17557"/>
      <w:bookmarkStart w:id="108" w:name="_Toc73290950"/>
      <w:bookmarkStart w:id="109" w:name="_Toc13181"/>
      <w:bookmarkStart w:id="110" w:name="_Toc70096474"/>
      <w:bookmarkStart w:id="111" w:name="_Toc17417"/>
      <w:bookmarkStart w:id="112" w:name="_Toc340046071"/>
      <w:bookmarkStart w:id="113" w:name="_Toc293042930"/>
      <w:r>
        <w:rPr>
          <w:rFonts w:hint="eastAsia" w:ascii="仿宋" w:hAnsi="仿宋" w:eastAsia="仿宋" w:cs="仿宋"/>
          <w:highlight w:val="none"/>
        </w:rPr>
        <w:t>四、授权委托书</w:t>
      </w:r>
    </w:p>
    <w:p>
      <w:pPr>
        <w:spacing w:line="360" w:lineRule="auto"/>
        <w:ind w:firstLine="480" w:firstLineChars="200"/>
        <w:jc w:val="left"/>
        <w:rPr>
          <w:rFonts w:ascii="仿宋" w:hAnsi="仿宋" w:eastAsia="仿宋" w:cs="仿宋"/>
          <w:highlight w:val="none"/>
        </w:rPr>
      </w:pPr>
    </w:p>
    <w:p>
      <w:pPr>
        <w:spacing w:line="360" w:lineRule="auto"/>
        <w:ind w:firstLine="480" w:firstLineChars="200"/>
        <w:jc w:val="left"/>
        <w:rPr>
          <w:rFonts w:ascii="仿宋" w:hAnsi="仿宋" w:eastAsia="仿宋" w:cs="仿宋"/>
          <w:highlight w:val="none"/>
        </w:rPr>
      </w:pPr>
      <w:r>
        <w:rPr>
          <w:rFonts w:hint="eastAsia" w:ascii="仿宋" w:hAnsi="仿宋" w:eastAsia="仿宋" w:cs="仿宋"/>
          <w:highlight w:val="none"/>
        </w:rPr>
        <w:t>本人（姓名）</w:t>
      </w:r>
      <w:r>
        <w:rPr>
          <w:rFonts w:hint="eastAsia" w:ascii="仿宋" w:hAnsi="仿宋" w:eastAsia="仿宋" w:cs="仿宋"/>
          <w:highlight w:val="none"/>
          <w:u w:val="single"/>
        </w:rPr>
        <w:t xml:space="preserve">      </w:t>
      </w:r>
      <w:r>
        <w:rPr>
          <w:rFonts w:hint="eastAsia" w:ascii="仿宋" w:hAnsi="仿宋" w:eastAsia="仿宋" w:cs="仿宋"/>
          <w:highlight w:val="none"/>
        </w:rPr>
        <w:t>系（投标人名称）</w:t>
      </w:r>
      <w:r>
        <w:rPr>
          <w:rFonts w:hint="eastAsia" w:ascii="仿宋" w:hAnsi="仿宋" w:eastAsia="仿宋" w:cs="仿宋"/>
          <w:highlight w:val="none"/>
          <w:u w:val="single"/>
        </w:rPr>
        <w:t xml:space="preserve">      </w:t>
      </w:r>
      <w:r>
        <w:rPr>
          <w:rFonts w:hint="eastAsia" w:ascii="仿宋" w:hAnsi="仿宋" w:eastAsia="仿宋" w:cs="仿宋"/>
          <w:highlight w:val="none"/>
        </w:rPr>
        <w:t>的法定代表人，现委托（姓名）</w:t>
      </w:r>
      <w:r>
        <w:rPr>
          <w:rFonts w:hint="eastAsia" w:ascii="仿宋" w:hAnsi="仿宋" w:eastAsia="仿宋" w:cs="仿宋"/>
          <w:highlight w:val="none"/>
          <w:u w:val="single"/>
        </w:rPr>
        <w:t xml:space="preserve">   </w:t>
      </w:r>
      <w:r>
        <w:rPr>
          <w:rFonts w:hint="eastAsia" w:ascii="仿宋" w:hAnsi="仿宋" w:eastAsia="仿宋" w:cs="仿宋"/>
          <w:highlight w:val="none"/>
        </w:rPr>
        <w:t>为我方代理人。代理人根据授权，以我方名义签署、澄清、说明、补正、递交、撤回、修改</w:t>
      </w:r>
      <w:r>
        <w:rPr>
          <w:rFonts w:hint="eastAsia" w:ascii="仿宋" w:hAnsi="仿宋" w:eastAsia="仿宋" w:cs="仿宋"/>
          <w:highlight w:val="none"/>
          <w:u w:val="single"/>
        </w:rPr>
        <w:t xml:space="preserve">（项目名称）（标段号）         </w:t>
      </w:r>
      <w:r>
        <w:rPr>
          <w:rFonts w:hint="eastAsia" w:ascii="仿宋" w:hAnsi="仿宋" w:eastAsia="仿宋" w:cs="仿宋"/>
          <w:highlight w:val="none"/>
        </w:rPr>
        <w:t>投标文件、签订合同和处理有关事宜，其法律后果由我方承担。</w:t>
      </w:r>
    </w:p>
    <w:p>
      <w:pPr>
        <w:spacing w:before="156" w:beforeLines="50" w:line="360" w:lineRule="auto"/>
        <w:ind w:firstLine="480" w:firstLineChars="200"/>
        <w:jc w:val="left"/>
        <w:rPr>
          <w:rFonts w:ascii="仿宋" w:hAnsi="仿宋" w:eastAsia="仿宋" w:cs="仿宋"/>
          <w:highlight w:val="none"/>
          <w:u w:val="single"/>
        </w:rPr>
      </w:pPr>
      <w:r>
        <w:rPr>
          <w:rFonts w:hint="eastAsia" w:ascii="仿宋" w:hAnsi="仿宋" w:eastAsia="仿宋" w:cs="仿宋"/>
          <w:highlight w:val="none"/>
        </w:rPr>
        <w:t>委托期限：</w:t>
      </w:r>
      <w:r>
        <w:rPr>
          <w:rFonts w:hint="eastAsia" w:ascii="仿宋" w:hAnsi="仿宋" w:eastAsia="仿宋" w:cs="仿宋"/>
          <w:highlight w:val="none"/>
          <w:u w:val="single"/>
        </w:rPr>
        <w:t xml:space="preserve">               </w:t>
      </w:r>
    </w:p>
    <w:p>
      <w:pPr>
        <w:spacing w:before="312" w:beforeLines="100" w:after="312" w:afterLines="100" w:line="360" w:lineRule="auto"/>
        <w:ind w:firstLine="480" w:firstLineChars="200"/>
        <w:jc w:val="left"/>
        <w:rPr>
          <w:rFonts w:ascii="仿宋" w:hAnsi="仿宋" w:eastAsia="仿宋" w:cs="仿宋"/>
          <w:highlight w:val="none"/>
        </w:rPr>
      </w:pPr>
      <w:r>
        <w:rPr>
          <w:rFonts w:hint="eastAsia" w:ascii="仿宋" w:hAnsi="仿宋" w:eastAsia="仿宋" w:cs="仿宋"/>
          <w:highlight w:val="none"/>
        </w:rPr>
        <w:t>代理人无转委托权。</w:t>
      </w:r>
    </w:p>
    <w:p>
      <w:pPr>
        <w:spacing w:line="360" w:lineRule="auto"/>
        <w:ind w:left="100"/>
        <w:rPr>
          <w:rFonts w:ascii="仿宋" w:hAnsi="仿宋" w:eastAsia="仿宋" w:cs="仿宋"/>
          <w:b/>
          <w:bCs/>
          <w:highlight w:val="none"/>
        </w:rPr>
      </w:pPr>
      <w:r>
        <w:rPr>
          <w:rFonts w:hint="eastAsia" w:ascii="仿宋" w:hAnsi="仿宋" w:eastAsia="仿宋" w:cs="仿宋"/>
          <w:b/>
          <w:bCs/>
          <w:highlight w:val="none"/>
        </w:rPr>
        <w:t>附：代理人身份证扫描件</w:t>
      </w:r>
    </w:p>
    <w:p>
      <w:pPr>
        <w:spacing w:line="360" w:lineRule="auto"/>
        <w:jc w:val="left"/>
        <w:rPr>
          <w:rFonts w:ascii="仿宋" w:hAnsi="仿宋" w:eastAsia="仿宋" w:cs="仿宋"/>
          <w:highlight w:val="none"/>
        </w:rPr>
      </w:pPr>
    </w:p>
    <w:p>
      <w:pPr>
        <w:spacing w:line="360" w:lineRule="auto"/>
        <w:jc w:val="left"/>
        <w:rPr>
          <w:rFonts w:ascii="仿宋" w:hAnsi="仿宋" w:eastAsia="仿宋" w:cs="仿宋"/>
          <w:highlight w:val="none"/>
        </w:rPr>
      </w:pPr>
    </w:p>
    <w:p>
      <w:pPr>
        <w:spacing w:line="360" w:lineRule="auto"/>
        <w:jc w:val="left"/>
        <w:rPr>
          <w:rFonts w:ascii="仿宋" w:hAnsi="仿宋" w:eastAsia="仿宋" w:cs="仿宋"/>
          <w:highlight w:val="none"/>
        </w:rPr>
      </w:pPr>
    </w:p>
    <w:p>
      <w:pPr>
        <w:spacing w:line="360" w:lineRule="auto"/>
        <w:jc w:val="left"/>
        <w:rPr>
          <w:rFonts w:ascii="仿宋" w:hAnsi="仿宋" w:eastAsia="仿宋" w:cs="仿宋"/>
          <w:highlight w:val="none"/>
        </w:rPr>
      </w:pPr>
    </w:p>
    <w:p>
      <w:pPr>
        <w:jc w:val="left"/>
        <w:rPr>
          <w:rFonts w:ascii="仿宋" w:hAnsi="仿宋" w:eastAsia="仿宋" w:cs="仿宋"/>
          <w:highlight w:val="non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ind w:firstLine="4080" w:firstLineChars="1700"/>
        <w:jc w:val="left"/>
        <w:rPr>
          <w:rFonts w:ascii="仿宋" w:hAnsi="仿宋" w:eastAsia="仿宋" w:cs="仿宋"/>
          <w:highlight w:val="none"/>
        </w:rPr>
      </w:pPr>
    </w:p>
    <w:p>
      <w:pPr>
        <w:jc w:val="left"/>
        <w:rPr>
          <w:rFonts w:ascii="仿宋" w:hAnsi="仿宋" w:eastAsia="仿宋" w:cs="仿宋"/>
          <w:highlight w:val="none"/>
          <w:u w:val="single"/>
        </w:rPr>
      </w:pPr>
      <w:r>
        <w:rPr>
          <w:rFonts w:hint="eastAsia" w:ascii="仿宋" w:hAnsi="仿宋" w:eastAsia="仿宋" w:cs="仿宋"/>
          <w:highlight w:val="none"/>
        </w:rPr>
        <w:t>法定代表人：</w:t>
      </w:r>
      <w:r>
        <w:rPr>
          <w:rFonts w:hint="eastAsia" w:ascii="仿宋" w:hAnsi="仿宋" w:eastAsia="仿宋" w:cs="仿宋"/>
          <w:highlight w:val="none"/>
          <w:u w:val="single"/>
        </w:rPr>
        <w:t xml:space="preserve">（签字或盖章)           </w:t>
      </w:r>
    </w:p>
    <w:p>
      <w:pPr>
        <w:ind w:firstLine="4080" w:firstLineChars="1700"/>
        <w:jc w:val="left"/>
        <w:rPr>
          <w:rFonts w:ascii="仿宋" w:hAnsi="仿宋" w:eastAsia="仿宋" w:cs="仿宋"/>
          <w:highlight w:val="none"/>
        </w:rPr>
      </w:pPr>
    </w:p>
    <w:p>
      <w:pPr>
        <w:jc w:val="left"/>
        <w:rPr>
          <w:rFonts w:ascii="仿宋" w:hAnsi="仿宋" w:eastAsia="仿宋" w:cs="仿宋"/>
          <w:highlight w:val="none"/>
          <w:u w:val="single"/>
        </w:rPr>
      </w:pPr>
      <w:r>
        <w:rPr>
          <w:rFonts w:hint="eastAsia" w:ascii="仿宋" w:hAnsi="仿宋" w:eastAsia="仿宋" w:cs="仿宋"/>
          <w:highlight w:val="none"/>
        </w:rPr>
        <w:t>身份证号码：</w:t>
      </w:r>
      <w:r>
        <w:rPr>
          <w:rFonts w:hint="eastAsia" w:ascii="仿宋" w:hAnsi="仿宋" w:eastAsia="仿宋" w:cs="仿宋"/>
          <w:highlight w:val="none"/>
          <w:u w:val="single"/>
        </w:rPr>
        <w:t xml:space="preserve">                        </w:t>
      </w:r>
    </w:p>
    <w:p>
      <w:pPr>
        <w:ind w:firstLine="4080" w:firstLineChars="1700"/>
        <w:jc w:val="left"/>
        <w:rPr>
          <w:rFonts w:ascii="仿宋" w:hAnsi="仿宋" w:eastAsia="仿宋" w:cs="仿宋"/>
          <w:highlight w:val="none"/>
        </w:rPr>
      </w:pPr>
    </w:p>
    <w:p>
      <w:pPr>
        <w:jc w:val="left"/>
        <w:rPr>
          <w:rFonts w:ascii="仿宋" w:hAnsi="仿宋" w:eastAsia="仿宋" w:cs="仿宋"/>
          <w:highlight w:val="none"/>
          <w:u w:val="single"/>
        </w:rPr>
      </w:pPr>
      <w:r>
        <w:rPr>
          <w:rFonts w:hint="eastAsia" w:ascii="仿宋" w:hAnsi="仿宋" w:eastAsia="仿宋" w:cs="仿宋"/>
          <w:highlight w:val="none"/>
        </w:rPr>
        <w:t>委托代理人：</w:t>
      </w:r>
      <w:r>
        <w:rPr>
          <w:rFonts w:hint="eastAsia" w:ascii="仿宋" w:hAnsi="仿宋" w:eastAsia="仿宋" w:cs="仿宋"/>
          <w:highlight w:val="none"/>
          <w:u w:val="single"/>
        </w:rPr>
        <w:t xml:space="preserve"> 签字                   </w:t>
      </w:r>
    </w:p>
    <w:p>
      <w:pPr>
        <w:ind w:firstLine="4080" w:firstLineChars="1700"/>
        <w:jc w:val="left"/>
        <w:rPr>
          <w:rFonts w:ascii="仿宋" w:hAnsi="仿宋" w:eastAsia="仿宋" w:cs="仿宋"/>
          <w:highlight w:val="none"/>
        </w:rPr>
      </w:pPr>
    </w:p>
    <w:p>
      <w:pPr>
        <w:jc w:val="left"/>
        <w:rPr>
          <w:rFonts w:ascii="仿宋" w:hAnsi="仿宋" w:eastAsia="仿宋" w:cs="仿宋"/>
          <w:highlight w:val="none"/>
          <w:u w:val="single"/>
        </w:rPr>
      </w:pPr>
      <w:r>
        <w:rPr>
          <w:rFonts w:hint="eastAsia" w:ascii="仿宋" w:hAnsi="仿宋" w:eastAsia="仿宋" w:cs="仿宋"/>
          <w:highlight w:val="none"/>
        </w:rPr>
        <w:t>身份证号码：</w:t>
      </w:r>
      <w:r>
        <w:rPr>
          <w:rFonts w:hint="eastAsia" w:ascii="仿宋" w:hAnsi="仿宋" w:eastAsia="仿宋" w:cs="仿宋"/>
          <w:highlight w:val="none"/>
          <w:u w:val="single"/>
        </w:rPr>
        <w:t xml:space="preserve">                        </w:t>
      </w:r>
    </w:p>
    <w:p>
      <w:pPr>
        <w:jc w:val="left"/>
        <w:rPr>
          <w:rFonts w:ascii="仿宋" w:hAnsi="仿宋" w:eastAsia="仿宋" w:cs="仿宋"/>
          <w:highlight w:val="none"/>
        </w:rPr>
      </w:pPr>
    </w:p>
    <w:p>
      <w:pPr>
        <w:jc w:val="left"/>
        <w:rPr>
          <w:rFonts w:ascii="仿宋" w:hAnsi="仿宋" w:eastAsia="仿宋" w:cs="仿宋"/>
          <w:highlight w:val="none"/>
          <w:u w:val="single"/>
        </w:rPr>
      </w:pPr>
      <w:r>
        <w:rPr>
          <w:rFonts w:hint="eastAsia" w:ascii="仿宋" w:hAnsi="仿宋" w:eastAsia="仿宋" w:cs="仿宋"/>
          <w:highlight w:val="none"/>
        </w:rPr>
        <w:t>联系电话：</w:t>
      </w:r>
      <w:r>
        <w:rPr>
          <w:rFonts w:hint="eastAsia" w:ascii="仿宋" w:hAnsi="仿宋" w:eastAsia="仿宋" w:cs="仿宋"/>
          <w:highlight w:val="none"/>
          <w:u w:val="single"/>
        </w:rPr>
        <w:t xml:space="preserve">                           </w:t>
      </w:r>
    </w:p>
    <w:p>
      <w:pPr>
        <w:jc w:val="left"/>
        <w:rPr>
          <w:rFonts w:ascii="仿宋" w:hAnsi="仿宋" w:eastAsia="仿宋" w:cs="仿宋"/>
          <w:highlight w:val="none"/>
        </w:rPr>
      </w:pPr>
    </w:p>
    <w:p>
      <w:pPr>
        <w:jc w:val="left"/>
        <w:rPr>
          <w:rFonts w:ascii="仿宋" w:hAnsi="仿宋" w:eastAsia="仿宋" w:cs="仿宋"/>
          <w:bCs/>
          <w:kern w:val="0"/>
          <w:sz w:val="28"/>
          <w:szCs w:val="28"/>
          <w:highlight w:val="none"/>
        </w:rPr>
      </w:pPr>
      <w:r>
        <w:rPr>
          <w:rFonts w:hint="eastAsia" w:ascii="仿宋" w:hAnsi="仿宋" w:eastAsia="仿宋" w:cs="仿宋"/>
          <w:highlight w:val="none"/>
        </w:rPr>
        <w:t>日期：   年   月   日</w:t>
      </w:r>
    </w:p>
    <w:p>
      <w:pPr>
        <w:spacing w:line="460" w:lineRule="exact"/>
        <w:ind w:firstLine="540" w:firstLineChars="224"/>
        <w:jc w:val="left"/>
        <w:rPr>
          <w:rFonts w:ascii="仿宋" w:hAnsi="仿宋" w:eastAsia="仿宋" w:cs="仿宋"/>
          <w:b/>
          <w:highlight w:val="none"/>
        </w:rPr>
      </w:pPr>
    </w:p>
    <w:p>
      <w:pPr>
        <w:spacing w:line="460" w:lineRule="exact"/>
        <w:ind w:firstLine="540" w:firstLineChars="224"/>
        <w:jc w:val="left"/>
        <w:rPr>
          <w:rFonts w:ascii="仿宋" w:hAnsi="仿宋" w:eastAsia="仿宋" w:cs="仿宋"/>
          <w:b/>
          <w:highlight w:val="none"/>
        </w:rPr>
      </w:pPr>
      <w:r>
        <w:rPr>
          <w:rFonts w:hint="eastAsia" w:ascii="仿宋" w:hAnsi="仿宋" w:eastAsia="仿宋" w:cs="仿宋"/>
          <w:b/>
          <w:highlight w:val="none"/>
        </w:rPr>
        <w:t>注：如投标人由法定代表人签署投标文件并参与相关活动，则不需要办理授权。如由被授权的代理人签署上述文件，则必须按本格式规定填报并提交授权书，否则被授权的代理人将不被认可。</w:t>
      </w:r>
    </w:p>
    <w:p>
      <w:pPr>
        <w:spacing w:line="360" w:lineRule="auto"/>
        <w:jc w:val="center"/>
        <w:outlineLvl w:val="2"/>
        <w:rPr>
          <w:rFonts w:ascii="仿宋" w:hAnsi="仿宋" w:eastAsia="仿宋" w:cs="仿宋"/>
          <w:bCs/>
          <w:kern w:val="0"/>
          <w:sz w:val="28"/>
          <w:szCs w:val="28"/>
          <w:highlight w:val="none"/>
        </w:rPr>
      </w:pPr>
    </w:p>
    <w:p>
      <w:pPr>
        <w:spacing w:line="360" w:lineRule="auto"/>
        <w:jc w:val="center"/>
        <w:outlineLvl w:val="2"/>
        <w:rPr>
          <w:rFonts w:ascii="仿宋" w:hAnsi="仿宋" w:eastAsia="仿宋" w:cs="仿宋"/>
          <w:bCs/>
          <w:kern w:val="0"/>
          <w:sz w:val="28"/>
          <w:szCs w:val="28"/>
          <w:highlight w:val="none"/>
        </w:rPr>
        <w:sectPr>
          <w:pgSz w:w="11906" w:h="16838"/>
          <w:pgMar w:top="1418" w:right="1134" w:bottom="1418" w:left="1134" w:header="851" w:footer="680" w:gutter="0"/>
          <w:cols w:space="720" w:num="1"/>
          <w:docGrid w:type="lines" w:linePitch="312" w:charSpace="0"/>
        </w:sectPr>
      </w:pPr>
    </w:p>
    <w:p>
      <w:pPr>
        <w:pStyle w:val="18"/>
        <w:spacing w:line="360" w:lineRule="auto"/>
        <w:jc w:val="center"/>
        <w:rPr>
          <w:rFonts w:ascii="仿宋" w:hAnsi="仿宋" w:eastAsia="仿宋" w:cs="仿宋"/>
          <w:b/>
          <w:color w:val="auto"/>
          <w:highlight w:val="none"/>
        </w:rPr>
      </w:pPr>
      <w:r>
        <w:rPr>
          <w:rFonts w:hint="eastAsia" w:ascii="仿宋" w:hAnsi="仿宋" w:eastAsia="仿宋" w:cs="仿宋"/>
          <w:b/>
          <w:color w:val="auto"/>
          <w:sz w:val="32"/>
          <w:szCs w:val="32"/>
          <w:highlight w:val="none"/>
        </w:rPr>
        <w:t>五、投标保证金</w:t>
      </w:r>
    </w:p>
    <w:p>
      <w:pPr>
        <w:spacing w:line="360" w:lineRule="auto"/>
        <w:jc w:val="center"/>
        <w:rPr>
          <w:rFonts w:ascii="仿宋" w:hAnsi="仿宋" w:eastAsia="仿宋" w:cs="仿宋"/>
          <w:b/>
          <w:highlight w:val="none"/>
        </w:rPr>
      </w:pPr>
      <w:r>
        <w:rPr>
          <w:rFonts w:hint="eastAsia" w:ascii="仿宋" w:hAnsi="仿宋" w:eastAsia="仿宋" w:cs="仿宋"/>
          <w:b/>
          <w:highlight w:val="none"/>
        </w:rPr>
        <w:t xml:space="preserve">  </w:t>
      </w:r>
    </w:p>
    <w:p>
      <w:pPr>
        <w:spacing w:line="360" w:lineRule="auto"/>
        <w:jc w:val="center"/>
        <w:rPr>
          <w:rFonts w:ascii="仿宋" w:hAnsi="仿宋" w:eastAsia="仿宋" w:cs="仿宋"/>
          <w:b/>
          <w:highlight w:val="none"/>
        </w:rPr>
      </w:pPr>
      <w:r>
        <w:rPr>
          <w:rFonts w:hint="eastAsia" w:ascii="仿宋" w:hAnsi="仿宋" w:eastAsia="仿宋" w:cs="仿宋"/>
          <w:b/>
          <w:highlight w:val="none"/>
        </w:rPr>
        <w:t>附保证金缴纳凭证</w:t>
      </w:r>
    </w:p>
    <w:p>
      <w:pPr>
        <w:spacing w:line="360" w:lineRule="auto"/>
        <w:jc w:val="center"/>
        <w:rPr>
          <w:rFonts w:ascii="仿宋" w:hAnsi="仿宋" w:eastAsia="仿宋" w:cs="仿宋"/>
          <w:b/>
          <w:highlight w:val="none"/>
        </w:rPr>
      </w:pPr>
    </w:p>
    <w:p>
      <w:pPr>
        <w:pStyle w:val="18"/>
        <w:spacing w:line="360" w:lineRule="auto"/>
        <w:jc w:val="center"/>
        <w:rPr>
          <w:rFonts w:ascii="仿宋" w:hAnsi="仿宋" w:eastAsia="仿宋" w:cs="仿宋"/>
          <w:b/>
          <w:color w:val="auto"/>
          <w:sz w:val="28"/>
          <w:szCs w:val="28"/>
          <w:highlight w:val="none"/>
        </w:rPr>
      </w:pPr>
    </w:p>
    <w:p>
      <w:pPr>
        <w:spacing w:line="360" w:lineRule="auto"/>
        <w:rPr>
          <w:rFonts w:ascii="仿宋" w:hAnsi="仿宋" w:eastAsia="仿宋" w:cs="仿宋"/>
          <w:highlight w:val="none"/>
        </w:rPr>
      </w:pPr>
    </w:p>
    <w:p>
      <w:pPr>
        <w:pStyle w:val="4"/>
        <w:spacing w:line="360" w:lineRule="auto"/>
        <w:jc w:val="center"/>
        <w:rPr>
          <w:rFonts w:ascii="仿宋" w:hAnsi="仿宋" w:eastAsia="仿宋" w:cs="仿宋"/>
          <w:szCs w:val="28"/>
          <w:highlight w:val="none"/>
        </w:rPr>
      </w:pPr>
      <w:r>
        <w:rPr>
          <w:rFonts w:hint="eastAsia" w:ascii="仿宋" w:hAnsi="仿宋" w:eastAsia="仿宋" w:cs="仿宋"/>
          <w:szCs w:val="28"/>
          <w:highlight w:val="none"/>
        </w:rPr>
        <w:t>六、其他材料</w:t>
      </w:r>
    </w:p>
    <w:p>
      <w:pPr>
        <w:pStyle w:val="4"/>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投标人认为还需要提供的证明材料</w:t>
      </w:r>
    </w:p>
    <w:p>
      <w:pPr>
        <w:spacing w:line="360" w:lineRule="auto"/>
        <w:jc w:val="center"/>
        <w:rPr>
          <w:rFonts w:ascii="仿宋" w:hAnsi="仿宋" w:eastAsia="仿宋" w:cs="仿宋"/>
          <w:b/>
          <w:bCs/>
          <w:sz w:val="32"/>
          <w:szCs w:val="28"/>
          <w:highlight w:val="none"/>
        </w:rPr>
      </w:pPr>
      <w:bookmarkStart w:id="114" w:name="_Toc478214728"/>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b/>
          <w:bCs/>
          <w:sz w:val="32"/>
          <w:szCs w:val="28"/>
          <w:highlight w:val="none"/>
        </w:rPr>
      </w:pPr>
    </w:p>
    <w:p>
      <w:pPr>
        <w:spacing w:line="360" w:lineRule="auto"/>
        <w:jc w:val="center"/>
        <w:rPr>
          <w:rFonts w:ascii="仿宋" w:hAnsi="仿宋" w:eastAsia="仿宋" w:cs="仿宋"/>
          <w:sz w:val="28"/>
          <w:szCs w:val="28"/>
          <w:highlight w:val="none"/>
        </w:rPr>
      </w:pPr>
      <w:r>
        <w:rPr>
          <w:rFonts w:hint="eastAsia" w:ascii="仿宋" w:hAnsi="仿宋" w:eastAsia="仿宋" w:cs="仿宋"/>
          <w:b/>
          <w:bCs/>
          <w:sz w:val="32"/>
          <w:szCs w:val="28"/>
          <w:highlight w:val="none"/>
        </w:rPr>
        <w:t>七、中小微企业声明函</w:t>
      </w:r>
      <w:bookmarkEnd w:id="114"/>
    </w:p>
    <w:p>
      <w:pPr>
        <w:pStyle w:val="7"/>
        <w:spacing w:before="312" w:beforeLines="100" w:line="360" w:lineRule="auto"/>
        <w:ind w:firstLine="0"/>
        <w:jc w:val="center"/>
        <w:rPr>
          <w:rFonts w:ascii="仿宋" w:hAnsi="仿宋" w:eastAsia="仿宋" w:cs="仿宋"/>
          <w:b/>
          <w:spacing w:val="6"/>
          <w:sz w:val="24"/>
          <w:szCs w:val="24"/>
          <w:highlight w:val="none"/>
        </w:rPr>
      </w:pPr>
      <w:r>
        <w:rPr>
          <w:rFonts w:hint="eastAsia" w:ascii="仿宋" w:hAnsi="仿宋" w:eastAsia="仿宋" w:cs="仿宋"/>
          <w:b/>
          <w:sz w:val="28"/>
          <w:szCs w:val="28"/>
          <w:highlight w:val="none"/>
        </w:rPr>
        <w:t>（一）</w:t>
      </w:r>
      <w:r>
        <w:rPr>
          <w:rFonts w:hint="eastAsia" w:ascii="仿宋" w:hAnsi="仿宋" w:eastAsia="仿宋" w:cs="仿宋"/>
          <w:b/>
          <w:spacing w:val="6"/>
          <w:sz w:val="24"/>
          <w:szCs w:val="24"/>
          <w:highlight w:val="none"/>
        </w:rPr>
        <w:t>中小企业声明函(服务)</w:t>
      </w:r>
    </w:p>
    <w:p>
      <w:pPr>
        <w:pStyle w:val="2"/>
        <w:snapToGrid w:val="0"/>
        <w:spacing w:after="0" w:line="360" w:lineRule="auto"/>
        <w:ind w:firstLine="480" w:firstLineChars="200"/>
        <w:rPr>
          <w:rFonts w:ascii="仿宋" w:hAnsi="仿宋" w:eastAsia="仿宋" w:cs="仿宋"/>
          <w:highlight w:val="none"/>
        </w:rPr>
      </w:pPr>
    </w:p>
    <w:p>
      <w:pPr>
        <w:spacing w:line="48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本公司（联合体）郑重声明，根据《政府采购促进中小企业发展管理办法》（财库﹝2020﹞46号）的规定，本公司（联合体）参加</w:t>
      </w:r>
      <w:r>
        <w:rPr>
          <w:rFonts w:hint="eastAsia" w:ascii="仿宋" w:hAnsi="仿宋" w:eastAsia="仿宋" w:cs="仿宋"/>
          <w:sz w:val="21"/>
          <w:szCs w:val="21"/>
          <w:highlight w:val="none"/>
          <w:u w:val="single"/>
        </w:rPr>
        <w:t xml:space="preserve">     （单位名称）</w:t>
      </w:r>
      <w:r>
        <w:rPr>
          <w:rFonts w:hint="eastAsia" w:ascii="仿宋" w:hAnsi="仿宋" w:eastAsia="仿宋" w:cs="仿宋"/>
          <w:sz w:val="21"/>
          <w:szCs w:val="21"/>
          <w:highlight w:val="none"/>
        </w:rPr>
        <w:t>的</w:t>
      </w:r>
      <w:r>
        <w:rPr>
          <w:rFonts w:hint="eastAsia" w:ascii="仿宋" w:hAnsi="仿宋" w:eastAsia="仿宋" w:cs="仿宋"/>
          <w:sz w:val="21"/>
          <w:szCs w:val="21"/>
          <w:highlight w:val="none"/>
          <w:u w:val="single"/>
        </w:rPr>
        <w:t xml:space="preserve">     项目名称）</w:t>
      </w:r>
      <w:r>
        <w:rPr>
          <w:rFonts w:hint="eastAsia" w:ascii="仿宋" w:hAnsi="仿宋" w:eastAsia="仿宋" w:cs="仿宋"/>
          <w:sz w:val="21"/>
          <w:szCs w:val="21"/>
          <w:highlight w:val="none"/>
        </w:rPr>
        <w:t>采购活动，服务全部由符合政策要求的中小企业承接。相关企业（含联合体中的中小企业、签订分包意向协议的中小企业）的具体情况如下：</w:t>
      </w:r>
    </w:p>
    <w:p>
      <w:pPr>
        <w:spacing w:line="48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u w:val="single"/>
        </w:rPr>
        <w:t xml:space="preserve">   （标的名称）</w:t>
      </w:r>
      <w:r>
        <w:rPr>
          <w:rFonts w:hint="eastAsia" w:ascii="仿宋" w:hAnsi="仿宋" w:eastAsia="仿宋" w:cs="仿宋"/>
          <w:sz w:val="21"/>
          <w:szCs w:val="21"/>
          <w:highlight w:val="none"/>
        </w:rPr>
        <w:t>，属于</w:t>
      </w:r>
      <w:r>
        <w:rPr>
          <w:rFonts w:hint="eastAsia" w:ascii="仿宋" w:hAnsi="仿宋" w:eastAsia="仿宋" w:cs="仿宋"/>
          <w:sz w:val="21"/>
          <w:szCs w:val="21"/>
          <w:highlight w:val="none"/>
          <w:u w:val="single"/>
        </w:rPr>
        <w:t xml:space="preserve">   其他未列明行业   </w:t>
      </w:r>
      <w:r>
        <w:rPr>
          <w:rFonts w:hint="eastAsia" w:ascii="仿宋" w:hAnsi="仿宋" w:eastAsia="仿宋" w:cs="仿宋"/>
          <w:sz w:val="21"/>
          <w:szCs w:val="21"/>
          <w:highlight w:val="none"/>
        </w:rPr>
        <w:t>行业；承建（承接）企业为</w:t>
      </w:r>
      <w:r>
        <w:rPr>
          <w:rFonts w:hint="eastAsia" w:ascii="仿宋" w:hAnsi="仿宋" w:eastAsia="仿宋" w:cs="仿宋"/>
          <w:sz w:val="21"/>
          <w:szCs w:val="21"/>
          <w:highlight w:val="none"/>
          <w:u w:val="single"/>
        </w:rPr>
        <w:t xml:space="preserve">       （企业名称）</w:t>
      </w:r>
      <w:r>
        <w:rPr>
          <w:rFonts w:hint="eastAsia" w:ascii="仿宋" w:hAnsi="仿宋" w:eastAsia="仿宋" w:cs="仿宋"/>
          <w:sz w:val="21"/>
          <w:szCs w:val="21"/>
          <w:highlight w:val="none"/>
        </w:rPr>
        <w:t>，从业人员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万元，属于</w:t>
      </w:r>
      <w:r>
        <w:rPr>
          <w:rFonts w:hint="eastAsia" w:ascii="仿宋" w:hAnsi="仿宋" w:eastAsia="仿宋" w:cs="仿宋"/>
          <w:sz w:val="21"/>
          <w:szCs w:val="21"/>
          <w:highlight w:val="none"/>
          <w:u w:val="single"/>
        </w:rPr>
        <w:t xml:space="preserve">       （中型企业、小型企业、微型企业）</w:t>
      </w:r>
      <w:r>
        <w:rPr>
          <w:rFonts w:hint="eastAsia" w:ascii="仿宋" w:hAnsi="仿宋" w:eastAsia="仿宋" w:cs="仿宋"/>
          <w:sz w:val="21"/>
          <w:szCs w:val="21"/>
          <w:highlight w:val="none"/>
        </w:rPr>
        <w:t>；</w:t>
      </w:r>
    </w:p>
    <w:p>
      <w:pPr>
        <w:spacing w:line="48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2.</w:t>
      </w:r>
      <w:r>
        <w:rPr>
          <w:rFonts w:hint="eastAsia" w:ascii="仿宋" w:hAnsi="仿宋" w:eastAsia="仿宋" w:cs="仿宋"/>
          <w:sz w:val="21"/>
          <w:szCs w:val="21"/>
          <w:highlight w:val="none"/>
          <w:u w:val="single"/>
        </w:rPr>
        <w:t xml:space="preserve">    （标的名称）</w:t>
      </w:r>
      <w:r>
        <w:rPr>
          <w:rFonts w:hint="eastAsia" w:ascii="仿宋" w:hAnsi="仿宋" w:eastAsia="仿宋" w:cs="仿宋"/>
          <w:sz w:val="21"/>
          <w:szCs w:val="21"/>
          <w:highlight w:val="none"/>
        </w:rPr>
        <w:t>，属于</w:t>
      </w:r>
      <w:r>
        <w:rPr>
          <w:rFonts w:hint="eastAsia" w:ascii="仿宋" w:hAnsi="仿宋" w:eastAsia="仿宋" w:cs="仿宋"/>
          <w:sz w:val="21"/>
          <w:szCs w:val="21"/>
          <w:highlight w:val="none"/>
          <w:u w:val="single"/>
        </w:rPr>
        <w:t xml:space="preserve">  （招标文件中明确的所属行业）</w:t>
      </w:r>
      <w:r>
        <w:rPr>
          <w:rFonts w:hint="eastAsia" w:ascii="仿宋" w:hAnsi="仿宋" w:eastAsia="仿宋" w:cs="仿宋"/>
          <w:sz w:val="21"/>
          <w:szCs w:val="21"/>
          <w:highlight w:val="none"/>
        </w:rPr>
        <w:t>行业；承建（承接）企业为</w:t>
      </w:r>
      <w:r>
        <w:rPr>
          <w:rFonts w:hint="eastAsia" w:ascii="仿宋" w:hAnsi="仿宋" w:eastAsia="仿宋" w:cs="仿宋"/>
          <w:sz w:val="21"/>
          <w:szCs w:val="21"/>
          <w:highlight w:val="none"/>
          <w:u w:val="single"/>
        </w:rPr>
        <w:t xml:space="preserve">      （企业名称）</w:t>
      </w:r>
      <w:r>
        <w:rPr>
          <w:rFonts w:hint="eastAsia" w:ascii="仿宋" w:hAnsi="仿宋" w:eastAsia="仿宋" w:cs="仿宋"/>
          <w:sz w:val="21"/>
          <w:szCs w:val="21"/>
          <w:highlight w:val="none"/>
        </w:rPr>
        <w:t>，从业人员</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人，营业收入为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万元，资产总额为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万元，属于</w:t>
      </w:r>
      <w:r>
        <w:rPr>
          <w:rFonts w:hint="eastAsia" w:ascii="仿宋" w:hAnsi="仿宋" w:eastAsia="仿宋" w:cs="仿宋"/>
          <w:sz w:val="21"/>
          <w:szCs w:val="21"/>
          <w:highlight w:val="none"/>
          <w:u w:val="single"/>
        </w:rPr>
        <w:t xml:space="preserve">       （中型企业、小型企业、微型企业）</w:t>
      </w:r>
      <w:r>
        <w:rPr>
          <w:rFonts w:hint="eastAsia" w:ascii="仿宋" w:hAnsi="仿宋" w:eastAsia="仿宋" w:cs="仿宋"/>
          <w:sz w:val="21"/>
          <w:szCs w:val="21"/>
          <w:highlight w:val="none"/>
        </w:rPr>
        <w:t>；</w:t>
      </w:r>
    </w:p>
    <w:p>
      <w:pPr>
        <w:spacing w:line="48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w:t>
      </w:r>
    </w:p>
    <w:p>
      <w:pPr>
        <w:spacing w:line="48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以上企业，不属于大企业的分支机构，不存在控股股东为大企业的情形，也不存在与大企业的负责人为同一人的情形。</w:t>
      </w:r>
    </w:p>
    <w:p>
      <w:pPr>
        <w:spacing w:line="480" w:lineRule="auto"/>
        <w:ind w:firstLine="420" w:firstLineChars="200"/>
        <w:rPr>
          <w:rFonts w:ascii="仿宋" w:hAnsi="仿宋" w:eastAsia="仿宋" w:cs="仿宋"/>
          <w:sz w:val="21"/>
          <w:szCs w:val="21"/>
          <w:highlight w:val="none"/>
        </w:rPr>
      </w:pPr>
      <w:r>
        <w:rPr>
          <w:rFonts w:hint="eastAsia" w:ascii="仿宋" w:hAnsi="仿宋" w:eastAsia="仿宋" w:cs="仿宋"/>
          <w:sz w:val="21"/>
          <w:szCs w:val="21"/>
          <w:highlight w:val="none"/>
        </w:rPr>
        <w:t>本企业对上述声明内容的真实性负责。如有虚假，将依法承担相应责任。</w:t>
      </w:r>
    </w:p>
    <w:p>
      <w:pPr>
        <w:spacing w:line="480" w:lineRule="auto"/>
        <w:ind w:left="3360" w:hanging="3360" w:hangingChars="1400"/>
        <w:jc w:val="center"/>
        <w:rPr>
          <w:rFonts w:ascii="仿宋" w:hAnsi="仿宋" w:eastAsia="仿宋" w:cs="仿宋"/>
          <w:highlight w:val="none"/>
          <w:shd w:val="clear" w:color="auto" w:fill="FFFFFF"/>
        </w:rPr>
      </w:pPr>
      <w:r>
        <w:rPr>
          <w:rFonts w:hint="eastAsia" w:ascii="仿宋" w:hAnsi="仿宋" w:eastAsia="仿宋" w:cs="仿宋"/>
          <w:highlight w:val="none"/>
          <w:shd w:val="clear" w:color="auto" w:fill="FFFFFF"/>
        </w:rPr>
        <w:t>企业名称(盖章):</w:t>
      </w:r>
      <w:r>
        <w:rPr>
          <w:rFonts w:hint="eastAsia" w:ascii="仿宋" w:hAnsi="仿宋" w:eastAsia="仿宋" w:cs="仿宋"/>
          <w:highlight w:val="none"/>
          <w:u w:val="single"/>
          <w:shd w:val="clear" w:color="auto" w:fill="FFFFFF"/>
        </w:rPr>
        <w:t xml:space="preserve">                  </w:t>
      </w:r>
      <w:r>
        <w:rPr>
          <w:rFonts w:hint="eastAsia" w:ascii="仿宋" w:hAnsi="仿宋" w:eastAsia="仿宋" w:cs="仿宋"/>
          <w:highlight w:val="none"/>
          <w:shd w:val="clear" w:color="auto" w:fill="FFFFFF"/>
        </w:rPr>
        <w:t xml:space="preserve"> </w:t>
      </w:r>
    </w:p>
    <w:p>
      <w:pPr>
        <w:spacing w:line="480" w:lineRule="auto"/>
        <w:ind w:firstLine="4080" w:firstLineChars="1700"/>
        <w:rPr>
          <w:rFonts w:ascii="仿宋" w:hAnsi="仿宋" w:eastAsia="仿宋" w:cs="仿宋"/>
          <w:highlight w:val="none"/>
          <w:shd w:val="clear" w:color="auto" w:fill="FFFFFF"/>
        </w:rPr>
      </w:pPr>
      <w:r>
        <w:rPr>
          <w:rFonts w:hint="eastAsia" w:ascii="仿宋" w:hAnsi="仿宋" w:eastAsia="仿宋" w:cs="仿宋"/>
          <w:highlight w:val="none"/>
          <w:shd w:val="clear" w:color="auto" w:fill="FFFFFF"/>
        </w:rPr>
        <w:t xml:space="preserve">日 期: </w:t>
      </w:r>
      <w:r>
        <w:rPr>
          <w:rFonts w:hint="eastAsia" w:ascii="仿宋" w:hAnsi="仿宋" w:eastAsia="仿宋" w:cs="仿宋"/>
          <w:highlight w:val="none"/>
          <w:u w:val="single"/>
          <w:shd w:val="clear" w:color="auto" w:fill="FFFFFF"/>
        </w:rPr>
        <w:t xml:space="preserve">                       </w:t>
      </w:r>
    </w:p>
    <w:p>
      <w:pPr>
        <w:spacing w:line="480" w:lineRule="auto"/>
        <w:rPr>
          <w:rFonts w:ascii="仿宋" w:hAnsi="仿宋" w:eastAsia="仿宋" w:cs="仿宋"/>
          <w:highlight w:val="none"/>
          <w:shd w:val="clear" w:color="auto" w:fill="FFFFFF"/>
          <w:vertAlign w:val="superscript"/>
        </w:rPr>
      </w:pPr>
    </w:p>
    <w:p>
      <w:pPr>
        <w:spacing w:line="480" w:lineRule="auto"/>
        <w:rPr>
          <w:rFonts w:ascii="仿宋" w:hAnsi="仿宋" w:eastAsia="仿宋" w:cs="仿宋"/>
          <w:highlight w:val="none"/>
          <w:shd w:val="clear" w:color="auto" w:fill="FFFFFF"/>
          <w:vertAlign w:val="superscript"/>
        </w:rPr>
      </w:pPr>
    </w:p>
    <w:p>
      <w:pPr>
        <w:spacing w:line="480" w:lineRule="auto"/>
        <w:rPr>
          <w:rFonts w:ascii="仿宋" w:hAnsi="仿宋" w:eastAsia="仿宋" w:cs="仿宋"/>
          <w:highlight w:val="none"/>
          <w:shd w:val="clear" w:color="auto" w:fill="FFFFFF"/>
        </w:rPr>
      </w:pPr>
      <w:r>
        <w:rPr>
          <w:rFonts w:hint="eastAsia" w:ascii="仿宋" w:hAnsi="仿宋" w:eastAsia="仿宋" w:cs="仿宋"/>
          <w:highlight w:val="none"/>
          <w:shd w:val="clear" w:color="auto" w:fill="FFFFFF"/>
          <w:vertAlign w:val="superscript"/>
        </w:rPr>
        <w:t>1</w:t>
      </w:r>
      <w:r>
        <w:rPr>
          <w:rFonts w:hint="eastAsia" w:ascii="仿宋" w:hAnsi="仿宋" w:eastAsia="仿宋" w:cs="仿宋"/>
          <w:b/>
          <w:bCs/>
          <w:highlight w:val="none"/>
          <w:shd w:val="clear" w:color="auto" w:fill="FFFFFF"/>
        </w:rPr>
        <w:t>从业人员、营业收入、资产总额填报上一年度数据，无上一年度数据的新成立企业可不填报。</w:t>
      </w:r>
      <w:bookmarkStart w:id="115" w:name="_Toc468"/>
      <w:bookmarkEnd w:id="115"/>
      <w:bookmarkStart w:id="116" w:name="_Toc12254"/>
      <w:bookmarkEnd w:id="116"/>
    </w:p>
    <w:p>
      <w:pPr>
        <w:pStyle w:val="31"/>
        <w:spacing w:line="360" w:lineRule="auto"/>
        <w:ind w:left="0" w:firstLine="0"/>
        <w:rPr>
          <w:rFonts w:ascii="仿宋" w:hAnsi="仿宋" w:eastAsia="仿宋" w:cs="仿宋"/>
          <w:b/>
          <w:bCs/>
          <w:color w:val="auto"/>
          <w:highlight w:val="none"/>
        </w:rPr>
      </w:pPr>
    </w:p>
    <w:p>
      <w:pPr>
        <w:pStyle w:val="2"/>
        <w:spacing w:line="360" w:lineRule="auto"/>
        <w:jc w:val="center"/>
        <w:rPr>
          <w:rFonts w:ascii="仿宋" w:hAnsi="仿宋" w:eastAsia="仿宋" w:cs="仿宋"/>
          <w:b/>
          <w:kern w:val="0"/>
          <w:sz w:val="28"/>
          <w:szCs w:val="28"/>
          <w:highlight w:val="none"/>
        </w:rPr>
      </w:pPr>
      <w:r>
        <w:rPr>
          <w:rFonts w:hint="eastAsia" w:ascii="仿宋" w:hAnsi="仿宋" w:eastAsia="仿宋" w:cs="仿宋"/>
          <w:b/>
          <w:sz w:val="28"/>
          <w:szCs w:val="28"/>
          <w:highlight w:val="none"/>
        </w:rPr>
        <w:t>（二）</w:t>
      </w:r>
      <w:r>
        <w:rPr>
          <w:rFonts w:hint="eastAsia" w:ascii="仿宋" w:hAnsi="仿宋" w:eastAsia="仿宋" w:cs="仿宋"/>
          <w:b/>
          <w:kern w:val="0"/>
          <w:sz w:val="28"/>
          <w:szCs w:val="28"/>
          <w:highlight w:val="none"/>
        </w:rPr>
        <w:t>监狱企业声明函</w:t>
      </w:r>
    </w:p>
    <w:p>
      <w:pPr>
        <w:pStyle w:val="2"/>
        <w:spacing w:line="360" w:lineRule="auto"/>
        <w:ind w:firstLine="2642"/>
        <w:jc w:val="left"/>
        <w:rPr>
          <w:rFonts w:ascii="仿宋" w:hAnsi="仿宋" w:eastAsia="仿宋" w:cs="仿宋"/>
          <w:spacing w:val="-4"/>
          <w:highlight w:val="none"/>
        </w:rPr>
      </w:pPr>
      <w:r>
        <w:rPr>
          <w:rFonts w:hint="eastAsia" w:ascii="仿宋" w:hAnsi="仿宋" w:eastAsia="仿宋" w:cs="仿宋"/>
          <w:spacing w:val="-4"/>
          <w:highlight w:val="none"/>
        </w:rPr>
        <w:t>（</w:t>
      </w:r>
      <w:r>
        <w:rPr>
          <w:rFonts w:hint="eastAsia" w:ascii="仿宋" w:hAnsi="仿宋" w:eastAsia="仿宋" w:cs="仿宋"/>
          <w:highlight w:val="none"/>
        </w:rPr>
        <w:t>不属于监狱企业的无需填写</w:t>
      </w:r>
      <w:r>
        <w:rPr>
          <w:rFonts w:hint="eastAsia" w:ascii="仿宋" w:hAnsi="仿宋" w:eastAsia="仿宋" w:cs="仿宋"/>
          <w:spacing w:val="-4"/>
          <w:highlight w:val="none"/>
        </w:rPr>
        <w:t>）</w:t>
      </w:r>
    </w:p>
    <w:p>
      <w:pPr>
        <w:pStyle w:val="2"/>
        <w:spacing w:line="360" w:lineRule="auto"/>
        <w:ind w:firstLine="464" w:firstLineChars="200"/>
        <w:jc w:val="left"/>
        <w:rPr>
          <w:rFonts w:ascii="仿宋" w:hAnsi="仿宋" w:eastAsia="仿宋" w:cs="仿宋"/>
          <w:highlight w:val="none"/>
        </w:rPr>
      </w:pPr>
      <w:r>
        <w:rPr>
          <w:rFonts w:hint="eastAsia" w:ascii="仿宋" w:hAnsi="仿宋" w:eastAsia="仿宋" w:cs="仿宋"/>
          <w:spacing w:val="-4"/>
          <w:highlight w:val="none"/>
        </w:rPr>
        <w:t xml:space="preserve">公司郑重声明，根据《关于政府采购支持监狱企业发展有关问题的通知》 </w:t>
      </w:r>
      <w:r>
        <w:rPr>
          <w:rFonts w:hint="eastAsia" w:ascii="仿宋" w:hAnsi="仿宋" w:eastAsia="仿宋" w:cs="仿宋"/>
          <w:highlight w:val="none"/>
        </w:rPr>
        <w:t>（财库[2014]68</w:t>
      </w:r>
      <w:r>
        <w:rPr>
          <w:rFonts w:hint="eastAsia" w:ascii="仿宋" w:hAnsi="仿宋" w:eastAsia="仿宋" w:cs="仿宋"/>
          <w:spacing w:val="-47"/>
          <w:highlight w:val="none"/>
        </w:rPr>
        <w:t xml:space="preserve"> </w:t>
      </w:r>
      <w:r>
        <w:rPr>
          <w:rFonts w:hint="eastAsia" w:ascii="仿宋" w:hAnsi="仿宋" w:eastAsia="仿宋" w:cs="仿宋"/>
          <w:highlight w:val="none"/>
        </w:rPr>
        <w:t xml:space="preserve">号）的规定，本公司为监狱企业。 </w:t>
      </w:r>
    </w:p>
    <w:p>
      <w:pPr>
        <w:pStyle w:val="2"/>
        <w:spacing w:line="360" w:lineRule="auto"/>
        <w:ind w:firstLine="452" w:firstLineChars="200"/>
        <w:jc w:val="left"/>
        <w:rPr>
          <w:rFonts w:ascii="仿宋" w:hAnsi="仿宋" w:eastAsia="仿宋" w:cs="仿宋"/>
          <w:highlight w:val="none"/>
        </w:rPr>
      </w:pPr>
      <w:r>
        <w:rPr>
          <w:rFonts w:hint="eastAsia" w:ascii="仿宋" w:hAnsi="仿宋" w:eastAsia="仿宋" w:cs="仿宋"/>
          <w:spacing w:val="-7"/>
          <w:highlight w:val="none"/>
        </w:rPr>
        <w:t>根据上述标准，我公司属于监狱企业的理由为：</w:t>
      </w:r>
      <w:r>
        <w:rPr>
          <w:rFonts w:hint="eastAsia" w:ascii="仿宋" w:hAnsi="仿宋" w:eastAsia="仿宋" w:cs="仿宋"/>
          <w:spacing w:val="-7"/>
          <w:highlight w:val="none"/>
          <w:u w:val="single"/>
        </w:rPr>
        <w:t xml:space="preserve">                    </w:t>
      </w:r>
      <w:r>
        <w:rPr>
          <w:rFonts w:hint="eastAsia" w:ascii="仿宋" w:hAnsi="仿宋" w:eastAsia="仿宋" w:cs="仿宋"/>
          <w:spacing w:val="-7"/>
          <w:highlight w:val="none"/>
        </w:rPr>
        <w:t>。</w:t>
      </w:r>
    </w:p>
    <w:p>
      <w:pPr>
        <w:pStyle w:val="2"/>
        <w:tabs>
          <w:tab w:val="left" w:pos="3120"/>
        </w:tabs>
        <w:spacing w:line="360" w:lineRule="auto"/>
        <w:ind w:firstLine="476" w:firstLineChars="200"/>
        <w:jc w:val="left"/>
        <w:rPr>
          <w:rFonts w:ascii="仿宋" w:hAnsi="仿宋" w:eastAsia="仿宋" w:cs="仿宋"/>
          <w:highlight w:val="none"/>
        </w:rPr>
      </w:pPr>
      <w:r>
        <w:rPr>
          <w:rFonts w:hint="eastAsia" w:ascii="仿宋" w:hAnsi="仿宋" w:eastAsia="仿宋" w:cs="仿宋"/>
          <w:spacing w:val="-1"/>
          <w:highlight w:val="none"/>
        </w:rPr>
        <w:t>本公司为参加</w:t>
      </w:r>
      <w:r>
        <w:rPr>
          <w:rFonts w:hint="eastAsia" w:ascii="仿宋" w:hAnsi="仿宋" w:eastAsia="仿宋" w:cs="仿宋"/>
          <w:spacing w:val="-1"/>
          <w:highlight w:val="none"/>
          <w:u w:val="single" w:color="000000"/>
        </w:rPr>
        <w:tab/>
      </w:r>
      <w:r>
        <w:rPr>
          <w:rFonts w:hint="eastAsia" w:ascii="仿宋" w:hAnsi="仿宋" w:eastAsia="仿宋" w:cs="仿宋"/>
          <w:spacing w:val="-1"/>
          <w:highlight w:val="none"/>
          <w:u w:val="single" w:color="000000"/>
        </w:rPr>
        <w:t>（项目名称）</w:t>
      </w:r>
      <w:r>
        <w:rPr>
          <w:rFonts w:hint="eastAsia" w:ascii="仿宋" w:hAnsi="仿宋" w:eastAsia="仿宋" w:cs="仿宋"/>
          <w:spacing w:val="34"/>
          <w:highlight w:val="none"/>
          <w:u w:val="single" w:color="000000"/>
        </w:rPr>
        <w:t xml:space="preserve"> </w:t>
      </w:r>
      <w:r>
        <w:rPr>
          <w:rFonts w:hint="eastAsia" w:ascii="仿宋" w:hAnsi="仿宋" w:eastAsia="仿宋" w:cs="仿宋"/>
          <w:spacing w:val="-6"/>
          <w:highlight w:val="none"/>
        </w:rPr>
        <w:t xml:space="preserve">（项目编号： </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rPr>
        <w:t>）采购活动提供本企业</w:t>
      </w:r>
      <w:r>
        <w:rPr>
          <w:rFonts w:hint="eastAsia" w:ascii="仿宋" w:hAnsi="仿宋" w:eastAsia="仿宋" w:cs="仿宋"/>
          <w:spacing w:val="-6"/>
          <w:highlight w:val="none"/>
          <w:u w:val="single"/>
        </w:rPr>
        <w:t xml:space="preserve">     </w:t>
      </w:r>
      <w:r>
        <w:rPr>
          <w:rFonts w:hint="eastAsia" w:ascii="仿宋" w:hAnsi="仿宋" w:eastAsia="仿宋" w:cs="仿宋"/>
          <w:spacing w:val="-6"/>
          <w:highlight w:val="none"/>
          <w:u w:val="single" w:color="000000"/>
        </w:rPr>
        <w:t>（填写制造的货</w:t>
      </w:r>
      <w:r>
        <w:rPr>
          <w:rFonts w:hint="eastAsia" w:ascii="仿宋" w:hAnsi="仿宋" w:eastAsia="仿宋" w:cs="仿宋"/>
          <w:spacing w:val="-8"/>
          <w:highlight w:val="none"/>
          <w:u w:val="single" w:color="000000"/>
        </w:rPr>
        <w:t>物，由本企业承担工程、提供服务）</w:t>
      </w:r>
      <w:r>
        <w:rPr>
          <w:rFonts w:hint="eastAsia" w:ascii="仿宋" w:hAnsi="仿宋" w:eastAsia="仿宋" w:cs="仿宋"/>
          <w:spacing w:val="-8"/>
          <w:highlight w:val="none"/>
        </w:rPr>
        <w:t>。</w:t>
      </w:r>
    </w:p>
    <w:p>
      <w:pPr>
        <w:spacing w:line="360" w:lineRule="auto"/>
        <w:rPr>
          <w:rFonts w:ascii="仿宋" w:hAnsi="仿宋" w:eastAsia="仿宋" w:cs="仿宋"/>
          <w:highlight w:val="none"/>
        </w:rPr>
      </w:pPr>
    </w:p>
    <w:p>
      <w:pPr>
        <w:pStyle w:val="2"/>
        <w:spacing w:line="360" w:lineRule="auto"/>
        <w:ind w:firstLine="480" w:firstLineChars="200"/>
        <w:jc w:val="left"/>
        <w:rPr>
          <w:rFonts w:ascii="仿宋" w:hAnsi="仿宋" w:eastAsia="仿宋" w:cs="仿宋"/>
          <w:highlight w:val="none"/>
        </w:rPr>
      </w:pPr>
      <w:r>
        <w:rPr>
          <w:rFonts w:hint="eastAsia" w:ascii="仿宋" w:hAnsi="仿宋" w:eastAsia="仿宋" w:cs="仿宋"/>
          <w:highlight w:val="none"/>
        </w:rPr>
        <w:t xml:space="preserve">本条所称货物不包括使用大型企业注册商标的货物和服务。 </w:t>
      </w:r>
    </w:p>
    <w:p>
      <w:pPr>
        <w:pStyle w:val="2"/>
        <w:spacing w:line="360" w:lineRule="auto"/>
        <w:ind w:firstLine="472" w:firstLineChars="200"/>
        <w:jc w:val="left"/>
        <w:rPr>
          <w:rFonts w:ascii="仿宋" w:hAnsi="仿宋" w:eastAsia="仿宋" w:cs="仿宋"/>
          <w:highlight w:val="none"/>
        </w:rPr>
      </w:pPr>
      <w:r>
        <w:rPr>
          <w:rFonts w:hint="eastAsia" w:ascii="仿宋" w:hAnsi="仿宋" w:eastAsia="仿宋" w:cs="仿宋"/>
          <w:spacing w:val="-2"/>
          <w:highlight w:val="none"/>
        </w:rPr>
        <w:t>本公司对上述声明的真实性负责。如有虚假，将依法承担相应责任。</w:t>
      </w:r>
    </w:p>
    <w:p>
      <w:pPr>
        <w:spacing w:line="360" w:lineRule="auto"/>
        <w:rPr>
          <w:rFonts w:ascii="仿宋" w:hAnsi="仿宋" w:eastAsia="仿宋" w:cs="仿宋"/>
          <w:highlight w:val="none"/>
        </w:rPr>
      </w:pPr>
    </w:p>
    <w:p>
      <w:pPr>
        <w:spacing w:line="360" w:lineRule="auto"/>
        <w:ind w:firstLine="2" w:firstLineChars="1"/>
        <w:rPr>
          <w:rFonts w:ascii="仿宋" w:hAnsi="仿宋" w:eastAsia="仿宋" w:cs="仿宋"/>
          <w:highlight w:val="none"/>
        </w:rPr>
      </w:pPr>
    </w:p>
    <w:p>
      <w:pPr>
        <w:spacing w:line="360" w:lineRule="auto"/>
        <w:ind w:firstLine="2" w:firstLineChars="1"/>
        <w:rPr>
          <w:rFonts w:ascii="仿宋" w:hAnsi="仿宋" w:eastAsia="仿宋" w:cs="仿宋"/>
          <w:highlight w:val="non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u w:val="single"/>
        </w:rPr>
      </w:pPr>
      <w:r>
        <w:rPr>
          <w:rFonts w:hint="eastAsia" w:ascii="仿宋" w:hAnsi="仿宋" w:eastAsia="仿宋" w:cs="仿宋"/>
          <w:highlight w:val="none"/>
        </w:rPr>
        <w:t>法定代表人或其委托代理人（电子签章）：</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w:t>
      </w:r>
      <w:r>
        <w:rPr>
          <w:rFonts w:hint="eastAsia" w:ascii="仿宋" w:hAnsi="仿宋" w:eastAsia="仿宋" w:cs="仿宋"/>
          <w:highlight w:val="none"/>
        </w:rPr>
        <w:t>年</w:t>
      </w:r>
      <w:r>
        <w:rPr>
          <w:rFonts w:hint="eastAsia" w:ascii="仿宋" w:hAnsi="仿宋" w:eastAsia="仿宋" w:cs="仿宋"/>
          <w:highlight w:val="none"/>
          <w:u w:val="single"/>
        </w:rPr>
        <w:t>　　</w:t>
      </w:r>
      <w:r>
        <w:rPr>
          <w:rFonts w:hint="eastAsia" w:ascii="仿宋" w:hAnsi="仿宋" w:eastAsia="仿宋" w:cs="仿宋"/>
          <w:highlight w:val="none"/>
        </w:rPr>
        <w:t>月</w:t>
      </w:r>
      <w:r>
        <w:rPr>
          <w:rFonts w:hint="eastAsia" w:ascii="仿宋" w:hAnsi="仿宋" w:eastAsia="仿宋" w:cs="仿宋"/>
          <w:highlight w:val="none"/>
          <w:u w:val="single"/>
        </w:rPr>
        <w:t>　　</w:t>
      </w:r>
      <w:r>
        <w:rPr>
          <w:rFonts w:hint="eastAsia" w:ascii="仿宋" w:hAnsi="仿宋" w:eastAsia="仿宋" w:cs="仿宋"/>
          <w:highlight w:val="none"/>
        </w:rPr>
        <w:t>日</w:t>
      </w:r>
    </w:p>
    <w:p>
      <w:pPr>
        <w:spacing w:line="360" w:lineRule="auto"/>
        <w:rPr>
          <w:rFonts w:ascii="仿宋" w:hAnsi="仿宋" w:eastAsia="仿宋" w:cs="仿宋"/>
          <w:highlight w:val="none"/>
        </w:rPr>
      </w:pPr>
    </w:p>
    <w:p>
      <w:pPr>
        <w:spacing w:line="360" w:lineRule="auto"/>
        <w:rPr>
          <w:rFonts w:ascii="仿宋" w:hAnsi="仿宋" w:eastAsia="仿宋" w:cs="仿宋"/>
          <w:highlight w:val="none"/>
        </w:rPr>
      </w:pPr>
    </w:p>
    <w:p>
      <w:pPr>
        <w:pStyle w:val="2"/>
        <w:spacing w:line="360" w:lineRule="auto"/>
        <w:ind w:firstLine="478" w:firstLineChars="200"/>
        <w:jc w:val="left"/>
        <w:rPr>
          <w:rFonts w:ascii="仿宋" w:hAnsi="仿宋" w:eastAsia="仿宋" w:cs="仿宋"/>
          <w:b/>
          <w:bCs/>
          <w:spacing w:val="-1"/>
          <w:highlight w:val="none"/>
        </w:rPr>
      </w:pPr>
      <w:r>
        <w:rPr>
          <w:rFonts w:hint="eastAsia" w:ascii="仿宋" w:hAnsi="仿宋" w:eastAsia="仿宋" w:cs="仿宋"/>
          <w:b/>
          <w:bCs/>
          <w:spacing w:val="-1"/>
          <w:highlight w:val="none"/>
        </w:rPr>
        <w:t>注：若产品出自符合国家规定的监狱企业，则该产品制造企业必须出具上述声明函，且投标人必须提供 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pPr>
        <w:pStyle w:val="2"/>
        <w:spacing w:line="360" w:lineRule="auto"/>
        <w:jc w:val="center"/>
        <w:rPr>
          <w:rFonts w:ascii="仿宋" w:hAnsi="仿宋" w:eastAsia="仿宋" w:cs="仿宋"/>
          <w:b/>
          <w:kern w:val="0"/>
          <w:highlight w:val="none"/>
        </w:rPr>
      </w:pPr>
      <w:r>
        <w:rPr>
          <w:rFonts w:hint="eastAsia" w:ascii="仿宋" w:hAnsi="仿宋" w:eastAsia="仿宋" w:cs="仿宋"/>
          <w:b/>
          <w:bCs/>
          <w:spacing w:val="-1"/>
          <w:highlight w:val="none"/>
        </w:rPr>
        <w:br w:type="page"/>
      </w:r>
      <w:r>
        <w:rPr>
          <w:rFonts w:hint="eastAsia" w:ascii="仿宋" w:hAnsi="仿宋" w:eastAsia="仿宋" w:cs="仿宋"/>
          <w:b/>
          <w:sz w:val="28"/>
          <w:szCs w:val="28"/>
          <w:highlight w:val="none"/>
        </w:rPr>
        <w:t>（三）</w:t>
      </w:r>
      <w:r>
        <w:rPr>
          <w:rFonts w:hint="eastAsia" w:ascii="仿宋" w:hAnsi="仿宋" w:eastAsia="仿宋" w:cs="仿宋"/>
          <w:b/>
          <w:kern w:val="0"/>
          <w:sz w:val="28"/>
          <w:szCs w:val="28"/>
          <w:highlight w:val="none"/>
        </w:rPr>
        <w:t>残疾人福利性单位声明函</w:t>
      </w:r>
    </w:p>
    <w:p>
      <w:pPr>
        <w:pStyle w:val="2"/>
        <w:spacing w:line="360" w:lineRule="auto"/>
        <w:ind w:firstLine="420"/>
        <w:jc w:val="center"/>
        <w:rPr>
          <w:rFonts w:ascii="仿宋" w:hAnsi="仿宋" w:eastAsia="仿宋" w:cs="仿宋"/>
          <w:highlight w:val="none"/>
        </w:rPr>
      </w:pPr>
      <w:bookmarkStart w:id="117" w:name="_Toc12907"/>
      <w:bookmarkStart w:id="118" w:name="_Toc20904"/>
      <w:r>
        <w:rPr>
          <w:rFonts w:hint="eastAsia" w:ascii="仿宋" w:hAnsi="仿宋" w:eastAsia="仿宋" w:cs="仿宋"/>
          <w:highlight w:val="none"/>
        </w:rPr>
        <w:t>（不属于残疾人福利性单位的无需填写）</w:t>
      </w:r>
      <w:bookmarkEnd w:id="117"/>
      <w:bookmarkEnd w:id="118"/>
    </w:p>
    <w:p>
      <w:pPr>
        <w:pStyle w:val="2"/>
        <w:spacing w:line="360" w:lineRule="auto"/>
        <w:ind w:firstLine="480" w:firstLineChars="200"/>
        <w:jc w:val="left"/>
        <w:rPr>
          <w:rFonts w:ascii="仿宋" w:hAnsi="仿宋" w:eastAsia="仿宋" w:cs="仿宋"/>
          <w:highlight w:val="none"/>
        </w:rPr>
      </w:pPr>
      <w:r>
        <w:rPr>
          <w:rFonts w:hint="eastAsia" w:ascii="仿宋" w:hAnsi="仿宋" w:eastAsia="仿宋" w:cs="仿宋"/>
          <w:highlight w:val="none"/>
        </w:rPr>
        <w:t>本单位郑重声明，根据《财政部 民政部 中国残疾人联合会关于促进残疾人就业政府采购政策</w:t>
      </w:r>
      <w:r>
        <w:rPr>
          <w:rFonts w:hint="eastAsia" w:ascii="仿宋" w:hAnsi="仿宋" w:eastAsia="仿宋" w:cs="仿宋"/>
          <w:spacing w:val="-10"/>
          <w:highlight w:val="none"/>
        </w:rPr>
        <w:t>的通知》（财库〔2017〕</w:t>
      </w:r>
      <w:r>
        <w:rPr>
          <w:rFonts w:hint="eastAsia" w:ascii="仿宋" w:hAnsi="仿宋" w:eastAsia="仿宋" w:cs="仿宋"/>
          <w:highlight w:val="none"/>
        </w:rPr>
        <w:t>141</w:t>
      </w:r>
      <w:r>
        <w:rPr>
          <w:rFonts w:hint="eastAsia" w:ascii="仿宋" w:hAnsi="仿宋" w:eastAsia="仿宋" w:cs="仿宋"/>
          <w:spacing w:val="-32"/>
          <w:highlight w:val="none"/>
        </w:rPr>
        <w:t xml:space="preserve"> </w:t>
      </w:r>
      <w:r>
        <w:rPr>
          <w:rFonts w:hint="eastAsia" w:ascii="仿宋" w:hAnsi="仿宋" w:eastAsia="仿宋" w:cs="仿宋"/>
          <w:highlight w:val="none"/>
        </w:rPr>
        <w:t>号）的规定，本单位为符合条件的残疾人福利性单位，且本单位参加</w:t>
      </w:r>
      <w:r>
        <w:rPr>
          <w:rFonts w:hint="eastAsia" w:ascii="仿宋" w:hAnsi="仿宋" w:eastAsia="仿宋" w:cs="仿宋"/>
          <w:highlight w:val="none"/>
          <w:u w:val="single" w:color="000000"/>
        </w:rPr>
        <w:t xml:space="preserve"> </w:t>
      </w:r>
      <w:r>
        <w:rPr>
          <w:rFonts w:hint="eastAsia" w:ascii="仿宋" w:hAnsi="仿宋" w:eastAsia="仿宋" w:cs="仿宋"/>
          <w:highlight w:val="none"/>
          <w:u w:val="single" w:color="000000"/>
        </w:rPr>
        <w:tab/>
      </w:r>
      <w:r>
        <w:rPr>
          <w:rFonts w:hint="eastAsia" w:ascii="仿宋" w:hAnsi="仿宋" w:eastAsia="仿宋" w:cs="仿宋"/>
          <w:highlight w:val="none"/>
          <w:u w:val="single" w:color="000000"/>
        </w:rPr>
        <w:t xml:space="preserve">         </w:t>
      </w:r>
      <w:r>
        <w:rPr>
          <w:rFonts w:hint="eastAsia" w:ascii="仿宋" w:hAnsi="仿宋" w:eastAsia="仿宋" w:cs="仿宋"/>
          <w:spacing w:val="-1"/>
          <w:highlight w:val="none"/>
        </w:rPr>
        <w:t>单位的</w:t>
      </w:r>
      <w:r>
        <w:rPr>
          <w:rFonts w:hint="eastAsia" w:ascii="仿宋" w:hAnsi="仿宋" w:eastAsia="仿宋" w:cs="仿宋"/>
          <w:spacing w:val="-1"/>
          <w:highlight w:val="none"/>
          <w:u w:val="single" w:color="000000"/>
        </w:rPr>
        <w:tab/>
      </w:r>
      <w:r>
        <w:rPr>
          <w:rFonts w:hint="eastAsia" w:ascii="仿宋" w:hAnsi="仿宋" w:eastAsia="仿宋" w:cs="仿宋"/>
          <w:spacing w:val="-1"/>
          <w:highlight w:val="none"/>
          <w:u w:val="single" w:color="000000"/>
        </w:rPr>
        <w:t xml:space="preserve">              </w:t>
      </w:r>
      <w:r>
        <w:rPr>
          <w:rFonts w:hint="eastAsia" w:ascii="仿宋" w:hAnsi="仿宋" w:eastAsia="仿宋" w:cs="仿宋"/>
          <w:spacing w:val="-4"/>
          <w:highlight w:val="none"/>
        </w:rPr>
        <w:t>项目采购活动提供本单位制造的货物（由本单位承担工程/提供服务），或者提供其他残疾人福利性单位制造的货物（不包括使用非残疾人福利性单位注册商标的货物）。</w:t>
      </w:r>
    </w:p>
    <w:p>
      <w:pPr>
        <w:pStyle w:val="2"/>
        <w:spacing w:line="360" w:lineRule="auto"/>
        <w:ind w:firstLine="480" w:firstLineChars="200"/>
        <w:jc w:val="left"/>
        <w:rPr>
          <w:rFonts w:ascii="仿宋" w:hAnsi="仿宋" w:eastAsia="仿宋" w:cs="仿宋"/>
          <w:highlight w:val="none"/>
        </w:rPr>
      </w:pPr>
      <w:r>
        <w:rPr>
          <w:rFonts w:hint="eastAsia" w:ascii="仿宋" w:hAnsi="仿宋" w:eastAsia="仿宋" w:cs="仿宋"/>
          <w:highlight w:val="none"/>
        </w:rPr>
        <w:t>本单位对上述声明的真实性负责。如有虚假，将依法承担相应责任。</w:t>
      </w:r>
    </w:p>
    <w:p>
      <w:pPr>
        <w:spacing w:line="360" w:lineRule="auto"/>
        <w:rPr>
          <w:rFonts w:ascii="仿宋" w:hAnsi="仿宋" w:eastAsia="仿宋" w:cs="仿宋"/>
          <w:highlight w:val="none"/>
        </w:rPr>
      </w:pPr>
    </w:p>
    <w:p>
      <w:pPr>
        <w:pStyle w:val="2"/>
        <w:spacing w:line="360" w:lineRule="auto"/>
        <w:ind w:firstLine="420"/>
        <w:jc w:val="left"/>
        <w:rPr>
          <w:rFonts w:ascii="仿宋" w:hAnsi="仿宋" w:eastAsia="仿宋" w:cs="仿宋"/>
          <w:spacing w:val="-4"/>
          <w:highlight w:val="none"/>
        </w:rPr>
      </w:pPr>
      <w:r>
        <w:rPr>
          <w:rFonts w:hint="eastAsia" w:ascii="仿宋" w:hAnsi="仿宋" w:eastAsia="仿宋" w:cs="仿宋"/>
          <w:spacing w:val="-4"/>
          <w:highlight w:val="none"/>
        </w:rPr>
        <w:t>注： 单独列出所供残疾人福利性单位制造的货物产品单价和总价。</w:t>
      </w:r>
    </w:p>
    <w:p>
      <w:pPr>
        <w:pStyle w:val="2"/>
        <w:spacing w:line="360" w:lineRule="auto"/>
        <w:jc w:val="left"/>
        <w:rPr>
          <w:rFonts w:ascii="仿宋" w:hAnsi="仿宋" w:eastAsia="仿宋" w:cs="仿宋"/>
          <w:highlight w:val="none"/>
        </w:rPr>
      </w:pPr>
      <w:r>
        <w:rPr>
          <w:rFonts w:hint="eastAsia" w:ascii="仿宋" w:hAnsi="仿宋" w:eastAsia="仿宋" w:cs="仿宋"/>
          <w:spacing w:val="-5"/>
          <w:highlight w:val="none"/>
        </w:rPr>
        <w:t>（若投标文件中无上述材料，则在评审时不考虑对该小、微企业的相关优惠。）</w:t>
      </w:r>
    </w:p>
    <w:p>
      <w:pPr>
        <w:spacing w:line="360" w:lineRule="auto"/>
        <w:rPr>
          <w:rFonts w:ascii="仿宋" w:hAnsi="仿宋" w:eastAsia="仿宋" w:cs="仿宋"/>
          <w:highlight w:val="none"/>
        </w:rPr>
      </w:pPr>
    </w:p>
    <w:p>
      <w:pPr>
        <w:spacing w:line="360" w:lineRule="auto"/>
        <w:ind w:firstLine="2" w:firstLineChars="1"/>
        <w:rPr>
          <w:rFonts w:ascii="仿宋" w:hAnsi="仿宋" w:eastAsia="仿宋" w:cs="仿宋"/>
          <w:highlight w:val="none"/>
        </w:rPr>
      </w:pPr>
    </w:p>
    <w:p>
      <w:pPr>
        <w:spacing w:line="360" w:lineRule="auto"/>
        <w:ind w:firstLine="2" w:firstLineChars="1"/>
        <w:rPr>
          <w:rFonts w:ascii="仿宋" w:hAnsi="仿宋" w:eastAsia="仿宋" w:cs="仿宋"/>
          <w:highlight w:val="non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u w:val="single"/>
        </w:rPr>
      </w:pPr>
      <w:r>
        <w:rPr>
          <w:rFonts w:hint="eastAsia" w:ascii="仿宋" w:hAnsi="仿宋" w:eastAsia="仿宋" w:cs="仿宋"/>
          <w:highlight w:val="none"/>
        </w:rPr>
        <w:t>法定代表人或其委托代理人（电子签章）：</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w:t>
      </w:r>
      <w:r>
        <w:rPr>
          <w:rFonts w:hint="eastAsia" w:ascii="仿宋" w:hAnsi="仿宋" w:eastAsia="仿宋" w:cs="仿宋"/>
          <w:highlight w:val="none"/>
        </w:rPr>
        <w:t>年</w:t>
      </w:r>
      <w:r>
        <w:rPr>
          <w:rFonts w:hint="eastAsia" w:ascii="仿宋" w:hAnsi="仿宋" w:eastAsia="仿宋" w:cs="仿宋"/>
          <w:highlight w:val="none"/>
          <w:u w:val="single"/>
        </w:rPr>
        <w:t>　　</w:t>
      </w:r>
      <w:r>
        <w:rPr>
          <w:rFonts w:hint="eastAsia" w:ascii="仿宋" w:hAnsi="仿宋" w:eastAsia="仿宋" w:cs="仿宋"/>
          <w:highlight w:val="none"/>
        </w:rPr>
        <w:t>月</w:t>
      </w:r>
      <w:r>
        <w:rPr>
          <w:rFonts w:hint="eastAsia" w:ascii="仿宋" w:hAnsi="仿宋" w:eastAsia="仿宋" w:cs="仿宋"/>
          <w:highlight w:val="none"/>
          <w:u w:val="single"/>
        </w:rPr>
        <w:t>　　</w:t>
      </w:r>
      <w:r>
        <w:rPr>
          <w:rFonts w:hint="eastAsia" w:ascii="仿宋" w:hAnsi="仿宋" w:eastAsia="仿宋" w:cs="仿宋"/>
          <w:highlight w:val="none"/>
        </w:rPr>
        <w:t>日</w:t>
      </w:r>
    </w:p>
    <w:p>
      <w:pPr>
        <w:pStyle w:val="2"/>
        <w:spacing w:line="360" w:lineRule="auto"/>
        <w:ind w:hanging="27"/>
        <w:jc w:val="left"/>
        <w:rPr>
          <w:rFonts w:ascii="仿宋" w:hAnsi="仿宋" w:eastAsia="仿宋" w:cs="仿宋"/>
          <w:highlight w:val="none"/>
        </w:rPr>
      </w:pPr>
    </w:p>
    <w:p>
      <w:pPr>
        <w:spacing w:line="360" w:lineRule="auto"/>
        <w:rPr>
          <w:rFonts w:ascii="仿宋" w:hAnsi="仿宋" w:eastAsia="仿宋" w:cs="仿宋"/>
          <w:highlight w:val="none"/>
        </w:rPr>
      </w:pPr>
    </w:p>
    <w:p>
      <w:pPr>
        <w:pStyle w:val="14"/>
        <w:tabs>
          <w:tab w:val="left" w:pos="0"/>
        </w:tabs>
        <w:spacing w:after="0" w:line="360" w:lineRule="auto"/>
        <w:ind w:left="0" w:leftChars="0" w:firstLine="478"/>
        <w:rPr>
          <w:rFonts w:ascii="仿宋" w:hAnsi="仿宋" w:eastAsia="仿宋" w:cs="仿宋"/>
          <w:b/>
          <w:bCs/>
          <w:spacing w:val="-1"/>
          <w:sz w:val="24"/>
          <w:highlight w:val="none"/>
        </w:rPr>
      </w:pPr>
      <w:r>
        <w:rPr>
          <w:rFonts w:hint="eastAsia" w:ascii="仿宋" w:hAnsi="仿宋" w:eastAsia="仿宋" w:cs="仿宋"/>
          <w:b/>
          <w:bCs/>
          <w:spacing w:val="-1"/>
          <w:sz w:val="24"/>
          <w:highlight w:val="none"/>
        </w:rPr>
        <w:t>注：符合条件的残疾人福利性单位在参加政府采购活动时，应当提供本通知规定的《残疾人福利性单位声明函》，并对声明的真实性负责。招标代理机构在随中标、成交结果同时公告其《残疾人福利性单位声明函》，接受社会监督。投标人提供的《残疾人福利性单位声明函》与事实不符的，依照《政府采购法》第七十七条第一款的规定追究法律责任。</w:t>
      </w:r>
    </w:p>
    <w:p>
      <w:pPr>
        <w:pStyle w:val="18"/>
        <w:spacing w:line="360" w:lineRule="auto"/>
        <w:rPr>
          <w:rFonts w:ascii="仿宋" w:hAnsi="仿宋" w:eastAsia="仿宋" w:cs="仿宋"/>
          <w:b/>
          <w:color w:val="auto"/>
          <w:sz w:val="32"/>
          <w:szCs w:val="32"/>
          <w:highlight w:val="none"/>
        </w:rPr>
      </w:pPr>
    </w:p>
    <w:p>
      <w:pPr>
        <w:pStyle w:val="18"/>
        <w:spacing w:line="360" w:lineRule="auto"/>
        <w:rPr>
          <w:rFonts w:ascii="仿宋" w:hAnsi="仿宋" w:eastAsia="仿宋" w:cs="仿宋"/>
          <w:b/>
          <w:color w:val="auto"/>
          <w:sz w:val="32"/>
          <w:szCs w:val="32"/>
          <w:highlight w:val="none"/>
        </w:rPr>
      </w:pPr>
    </w:p>
    <w:p>
      <w:pPr>
        <w:spacing w:line="360" w:lineRule="auto"/>
        <w:rPr>
          <w:rFonts w:ascii="仿宋" w:hAnsi="仿宋" w:eastAsia="仿宋" w:cs="仿宋"/>
          <w:b/>
          <w:sz w:val="32"/>
          <w:szCs w:val="32"/>
          <w:highlight w:val="none"/>
        </w:rPr>
      </w:pPr>
    </w:p>
    <w:p>
      <w:pPr>
        <w:spacing w:line="360" w:lineRule="auto"/>
        <w:rPr>
          <w:rFonts w:ascii="仿宋" w:hAnsi="仿宋" w:eastAsia="仿宋" w:cs="仿宋"/>
          <w:b/>
          <w:sz w:val="32"/>
          <w:szCs w:val="32"/>
          <w:highlight w:val="none"/>
        </w:rPr>
      </w:pPr>
    </w:p>
    <w:p>
      <w:pPr>
        <w:spacing w:line="360" w:lineRule="auto"/>
        <w:jc w:val="center"/>
        <w:outlineLvl w:val="2"/>
        <w:rPr>
          <w:rFonts w:ascii="仿宋" w:hAnsi="仿宋" w:eastAsia="仿宋" w:cs="仿宋"/>
          <w:bCs/>
          <w:kern w:val="0"/>
          <w:sz w:val="28"/>
          <w:szCs w:val="28"/>
          <w:highlight w:val="none"/>
        </w:rPr>
        <w:sectPr>
          <w:pgSz w:w="11906" w:h="16838"/>
          <w:pgMar w:top="1418" w:right="1134" w:bottom="1418" w:left="1134" w:header="851" w:footer="680" w:gutter="0"/>
          <w:cols w:space="720" w:num="1"/>
          <w:docGrid w:type="lines" w:linePitch="312" w:charSpace="0"/>
        </w:sectPr>
      </w:pPr>
    </w:p>
    <w:p>
      <w:pPr>
        <w:pStyle w:val="18"/>
        <w:spacing w:line="360" w:lineRule="auto"/>
        <w:outlineLvl w:val="0"/>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第二部分  商务部分</w:t>
      </w:r>
    </w:p>
    <w:p>
      <w:pPr>
        <w:pStyle w:val="4"/>
        <w:spacing w:line="360" w:lineRule="auto"/>
        <w:jc w:val="center"/>
        <w:rPr>
          <w:rFonts w:ascii="仿宋" w:hAnsi="仿宋" w:eastAsia="仿宋" w:cs="仿宋"/>
          <w:highlight w:val="none"/>
        </w:rPr>
      </w:pPr>
      <w:bookmarkStart w:id="119" w:name="_Toc486885404"/>
      <w:bookmarkStart w:id="120" w:name="_Toc393354841"/>
      <w:r>
        <w:rPr>
          <w:rFonts w:hint="eastAsia" w:ascii="仿宋" w:hAnsi="仿宋" w:eastAsia="仿宋" w:cs="仿宋"/>
          <w:highlight w:val="none"/>
        </w:rPr>
        <w:t>一、投标函</w:t>
      </w:r>
      <w:bookmarkEnd w:id="119"/>
      <w:bookmarkEnd w:id="120"/>
    </w:p>
    <w:p>
      <w:pPr>
        <w:pStyle w:val="18"/>
        <w:spacing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rPr>
        <w:t>致：</w:t>
      </w:r>
      <w:r>
        <w:rPr>
          <w:rFonts w:hint="eastAsia" w:ascii="仿宋" w:hAnsi="仿宋" w:eastAsia="仿宋" w:cs="仿宋"/>
          <w:color w:val="auto"/>
          <w:szCs w:val="24"/>
          <w:highlight w:val="none"/>
          <w:u w:val="single"/>
        </w:rPr>
        <w:t>（采购人、采购代理机构）</w:t>
      </w:r>
    </w:p>
    <w:p>
      <w:pPr>
        <w:spacing w:line="360" w:lineRule="auto"/>
        <w:ind w:firstLine="480" w:firstLineChars="200"/>
        <w:jc w:val="left"/>
        <w:rPr>
          <w:rFonts w:ascii="仿宋" w:hAnsi="仿宋" w:eastAsia="仿宋" w:cs="仿宋"/>
          <w:highlight w:val="none"/>
        </w:rPr>
      </w:pPr>
      <w:r>
        <w:rPr>
          <w:rFonts w:hint="eastAsia" w:ascii="仿宋" w:hAnsi="仿宋" w:eastAsia="仿宋" w:cs="仿宋"/>
          <w:highlight w:val="none"/>
        </w:rPr>
        <w:t>1、我方仔细研究了</w:t>
      </w:r>
      <w:r>
        <w:rPr>
          <w:rFonts w:hint="eastAsia" w:ascii="仿宋" w:hAnsi="仿宋" w:eastAsia="仿宋" w:cs="仿宋"/>
          <w:highlight w:val="none"/>
          <w:u w:val="single"/>
        </w:rPr>
        <w:t>（采购项目名称）（项目编号：）</w:t>
      </w:r>
      <w:r>
        <w:rPr>
          <w:rFonts w:hint="eastAsia" w:ascii="仿宋" w:hAnsi="仿宋" w:eastAsia="仿宋" w:cs="仿宋"/>
          <w:highlight w:val="none"/>
        </w:rPr>
        <w:t>项目招标文件的全部内容，</w:t>
      </w:r>
      <w:r>
        <w:rPr>
          <w:rFonts w:hint="eastAsia" w:ascii="仿宋" w:hAnsi="仿宋" w:eastAsia="仿宋" w:cs="仿宋"/>
          <w:kern w:val="0"/>
          <w:highlight w:val="none"/>
        </w:rPr>
        <w:t>愿意以人民币</w:t>
      </w:r>
      <w:r>
        <w:rPr>
          <w:rFonts w:hint="eastAsia" w:ascii="仿宋" w:hAnsi="仿宋" w:eastAsia="仿宋" w:cs="仿宋"/>
          <w:kern w:val="0"/>
          <w:highlight w:val="none"/>
          <w:u w:val="single"/>
        </w:rPr>
        <w:t>（大写）（￥）</w:t>
      </w:r>
      <w:r>
        <w:rPr>
          <w:rFonts w:hint="eastAsia" w:ascii="仿宋" w:hAnsi="仿宋" w:eastAsia="仿宋" w:cs="仿宋"/>
          <w:kern w:val="0"/>
          <w:highlight w:val="none"/>
        </w:rPr>
        <w:t>的投标总报价</w:t>
      </w:r>
      <w:r>
        <w:rPr>
          <w:rFonts w:hint="eastAsia" w:ascii="仿宋" w:hAnsi="仿宋" w:eastAsia="仿宋" w:cs="仿宋"/>
          <w:highlight w:val="none"/>
        </w:rPr>
        <w:t>，按合同约定实施和完成。</w:t>
      </w:r>
    </w:p>
    <w:p>
      <w:pPr>
        <w:pStyle w:val="18"/>
        <w:spacing w:line="360" w:lineRule="auto"/>
        <w:ind w:firstLine="420"/>
        <w:rPr>
          <w:rFonts w:ascii="仿宋" w:hAnsi="仿宋" w:eastAsia="仿宋" w:cs="仿宋"/>
          <w:color w:val="auto"/>
          <w:spacing w:val="-10"/>
          <w:szCs w:val="24"/>
          <w:highlight w:val="none"/>
        </w:rPr>
      </w:pPr>
      <w:r>
        <w:rPr>
          <w:rFonts w:hint="eastAsia" w:ascii="仿宋" w:hAnsi="仿宋" w:eastAsia="仿宋" w:cs="仿宋"/>
          <w:color w:val="auto"/>
          <w:szCs w:val="24"/>
          <w:highlight w:val="none"/>
        </w:rPr>
        <w:t>2、</w:t>
      </w:r>
      <w:r>
        <w:rPr>
          <w:rFonts w:hint="eastAsia" w:ascii="仿宋" w:hAnsi="仿宋" w:eastAsia="仿宋" w:cs="仿宋"/>
          <w:color w:val="auto"/>
          <w:spacing w:val="-10"/>
          <w:szCs w:val="24"/>
          <w:highlight w:val="none"/>
        </w:rPr>
        <w:t>我方已详细审查全部招标文件，包括</w:t>
      </w:r>
      <w:r>
        <w:rPr>
          <w:rFonts w:hint="eastAsia" w:ascii="仿宋" w:hAnsi="仿宋" w:eastAsia="仿宋" w:cs="仿宋"/>
          <w:i/>
          <w:color w:val="auto"/>
          <w:spacing w:val="-10"/>
          <w:szCs w:val="24"/>
          <w:highlight w:val="none"/>
          <w:u w:val="single"/>
        </w:rPr>
        <w:t>（</w:t>
      </w:r>
      <w:r>
        <w:rPr>
          <w:rFonts w:hint="eastAsia" w:ascii="仿宋" w:hAnsi="仿宋" w:eastAsia="仿宋" w:cs="仿宋"/>
          <w:color w:val="auto"/>
          <w:spacing w:val="-10"/>
          <w:szCs w:val="24"/>
          <w:highlight w:val="none"/>
          <w:u w:val="single"/>
        </w:rPr>
        <w:t>澄清文件）(如有)</w:t>
      </w:r>
      <w:r>
        <w:rPr>
          <w:rFonts w:hint="eastAsia" w:ascii="仿宋" w:hAnsi="仿宋" w:eastAsia="仿宋" w:cs="仿宋"/>
          <w:color w:val="auto"/>
          <w:spacing w:val="-10"/>
          <w:szCs w:val="24"/>
          <w:highlight w:val="none"/>
        </w:rPr>
        <w:t>。我方完全理解相关文件要求，并承担对这方面有不明及误解的后果，</w:t>
      </w:r>
      <w:r>
        <w:rPr>
          <w:rFonts w:hint="eastAsia" w:ascii="仿宋" w:hAnsi="仿宋" w:eastAsia="仿宋" w:cs="仿宋"/>
          <w:color w:val="auto"/>
          <w:szCs w:val="24"/>
          <w:highlight w:val="none"/>
        </w:rPr>
        <w:t>遵守国家有关法律、法规和规章</w:t>
      </w:r>
      <w:r>
        <w:rPr>
          <w:rFonts w:hint="eastAsia" w:ascii="仿宋" w:hAnsi="仿宋" w:eastAsia="仿宋" w:cs="仿宋"/>
          <w:color w:val="auto"/>
          <w:spacing w:val="-10"/>
          <w:szCs w:val="24"/>
          <w:highlight w:val="none"/>
        </w:rPr>
        <w:t>。</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3、同意投标人须知中关于没收投标保证金的规定。</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4、同意应贵方要求提供与本投标有关的任何数据或资料，并保证数据和资料的完整性和真实性。</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5、我们郑重声明：我们符合政府采购法规定的参加采购活动应当具备的条件：具有健全的财务会计制度、依法缴纳税收和社会保障资金、参加本次采购活动之前的三年内在经营活动中无重大违法活动。</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7、完全理解贵方不一定要接受最低报价的投标人为中标人的行为。</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8、如我方中标：</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（1）我方承诺在收到中标通知书后，在中标通知书规定的期限内与你方签订合同，并履行相应的合同责任和义务。</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（2）我方承诺按照招标文件规定向你方递交履约担保。</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（3）我方承诺将承担售后服务及保修责任。</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9、我方在此声明，所递交的投标文件及有关资料内容完整、真实和准确。</w:t>
      </w:r>
    </w:p>
    <w:p>
      <w:pPr>
        <w:pStyle w:val="18"/>
        <w:spacing w:line="360" w:lineRule="auto"/>
        <w:ind w:firstLine="480" w:firstLineChars="200"/>
        <w:rPr>
          <w:rFonts w:ascii="仿宋" w:hAnsi="仿宋" w:eastAsia="仿宋" w:cs="仿宋"/>
          <w:color w:val="auto"/>
          <w:szCs w:val="24"/>
          <w:highlight w:val="none"/>
        </w:rPr>
      </w:pPr>
      <w:r>
        <w:rPr>
          <w:rFonts w:hint="eastAsia" w:ascii="仿宋" w:hAnsi="仿宋" w:eastAsia="仿宋" w:cs="仿宋"/>
          <w:color w:val="auto"/>
          <w:szCs w:val="24"/>
          <w:highlight w:val="none"/>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段承诺是我方真实意思的表示且具有相对独立性，不管是否有其他相反的说明，本段承诺均为我方投标文件的有效组成内容，对我方在与该项目有关的任何行为中始终具有优先的法律约束力。</w:t>
      </w:r>
    </w:p>
    <w:p>
      <w:pPr>
        <w:pStyle w:val="18"/>
        <w:spacing w:line="360" w:lineRule="auto"/>
        <w:ind w:firstLine="420"/>
        <w:rPr>
          <w:rFonts w:ascii="仿宋" w:hAnsi="仿宋" w:eastAsia="仿宋" w:cs="仿宋"/>
          <w:color w:val="auto"/>
          <w:szCs w:val="24"/>
          <w:highlight w:val="none"/>
        </w:rPr>
      </w:pPr>
      <w:r>
        <w:rPr>
          <w:rFonts w:hint="eastAsia" w:ascii="仿宋" w:hAnsi="仿宋" w:eastAsia="仿宋" w:cs="仿宋"/>
          <w:color w:val="auto"/>
          <w:szCs w:val="24"/>
          <w:highlight w:val="none"/>
        </w:rPr>
        <w:t>9、</w:t>
      </w:r>
      <w:r>
        <w:rPr>
          <w:rFonts w:hint="eastAsia" w:ascii="仿宋" w:hAnsi="仿宋" w:eastAsia="仿宋" w:cs="仿宋"/>
          <w:color w:val="auto"/>
          <w:szCs w:val="24"/>
          <w:highlight w:val="none"/>
          <w:u w:val="single"/>
        </w:rPr>
        <w:t>投标有效期为：自</w:t>
      </w:r>
      <w:r>
        <w:rPr>
          <w:rFonts w:hint="eastAsia" w:ascii="仿宋" w:hAnsi="仿宋" w:eastAsia="仿宋" w:cs="仿宋"/>
          <w:color w:val="auto"/>
          <w:highlight w:val="none"/>
          <w:u w:val="single"/>
        </w:rPr>
        <w:t>投标文件截止之日起90日历天</w:t>
      </w:r>
      <w:r>
        <w:rPr>
          <w:rFonts w:hint="eastAsia" w:ascii="仿宋" w:hAnsi="仿宋" w:eastAsia="仿宋" w:cs="仿宋"/>
          <w:color w:val="auto"/>
          <w:highlight w:val="none"/>
        </w:rPr>
        <w:t>。</w:t>
      </w:r>
    </w:p>
    <w:p>
      <w:pPr>
        <w:pStyle w:val="18"/>
        <w:spacing w:line="360" w:lineRule="auto"/>
        <w:ind w:firstLine="420"/>
        <w:rPr>
          <w:rFonts w:ascii="仿宋" w:hAnsi="仿宋" w:eastAsia="仿宋" w:cs="仿宋"/>
          <w:color w:val="auto"/>
          <w:szCs w:val="24"/>
          <w:highlight w:val="none"/>
        </w:rPr>
      </w:pPr>
    </w:p>
    <w:p>
      <w:pPr>
        <w:spacing w:line="360" w:lineRule="auto"/>
        <w:ind w:firstLine="1800" w:firstLineChars="750"/>
        <w:jc w:val="left"/>
        <w:rPr>
          <w:rFonts w:ascii="仿宋" w:hAnsi="仿宋" w:eastAsia="仿宋" w:cs="仿宋"/>
          <w:highlight w:val="none"/>
        </w:rPr>
      </w:pPr>
    </w:p>
    <w:p>
      <w:pPr>
        <w:spacing w:line="360" w:lineRule="auto"/>
        <w:ind w:firstLine="1800" w:firstLineChars="750"/>
        <w:jc w:val="left"/>
        <w:rPr>
          <w:rFonts w:ascii="仿宋" w:hAnsi="仿宋" w:eastAsia="仿宋" w:cs="仿宋"/>
          <w:highlight w:val="none"/>
        </w:rPr>
      </w:pPr>
    </w:p>
    <w:p>
      <w:pPr>
        <w:spacing w:line="360" w:lineRule="auto"/>
        <w:jc w:val="left"/>
        <w:rPr>
          <w:rFonts w:ascii="仿宋" w:hAnsi="仿宋" w:eastAsia="仿宋" w:cs="仿宋"/>
          <w:highlight w:val="none"/>
        </w:rPr>
      </w:pPr>
    </w:p>
    <w:p>
      <w:pPr>
        <w:spacing w:line="360" w:lineRule="auto"/>
        <w:jc w:val="left"/>
        <w:rPr>
          <w:rFonts w:ascii="仿宋" w:hAnsi="仿宋" w:eastAsia="仿宋" w:cs="仿宋"/>
          <w:highlight w:val="none"/>
        </w:rPr>
      </w:pPr>
    </w:p>
    <w:p>
      <w:pPr>
        <w:spacing w:line="360" w:lineRule="auto"/>
        <w:jc w:val="left"/>
        <w:rPr>
          <w:rFonts w:ascii="仿宋" w:hAnsi="仿宋" w:eastAsia="仿宋" w:cs="仿宋"/>
          <w:highlight w:val="none"/>
        </w:rPr>
      </w:pPr>
    </w:p>
    <w:p>
      <w:pPr>
        <w:spacing w:line="360" w:lineRule="auto"/>
        <w:jc w:val="left"/>
        <w:rPr>
          <w:rFonts w:ascii="仿宋" w:hAnsi="仿宋" w:eastAsia="仿宋" w:cs="仿宋"/>
          <w:highlight w:val="non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spacing w:line="360" w:lineRule="auto"/>
        <w:jc w:val="left"/>
        <w:rPr>
          <w:rFonts w:ascii="仿宋" w:hAnsi="仿宋" w:eastAsia="仿宋" w:cs="仿宋"/>
          <w:highlight w:val="none"/>
        </w:rPr>
      </w:pPr>
      <w:r>
        <w:rPr>
          <w:rFonts w:hint="eastAsia" w:ascii="仿宋" w:hAnsi="仿宋" w:eastAsia="仿宋" w:cs="仿宋"/>
          <w:highlight w:val="none"/>
        </w:rPr>
        <w:t>法定代表人或其委托代理人（电子签章）：</w:t>
      </w:r>
      <w:r>
        <w:rPr>
          <w:rFonts w:hint="eastAsia" w:ascii="仿宋" w:hAnsi="仿宋" w:eastAsia="仿宋" w:cs="仿宋"/>
          <w:highlight w:val="none"/>
          <w:u w:val="single"/>
        </w:rPr>
        <w:t xml:space="preserve">                </w:t>
      </w:r>
    </w:p>
    <w:p>
      <w:pPr>
        <w:spacing w:line="360" w:lineRule="auto"/>
        <w:jc w:val="left"/>
        <w:rPr>
          <w:rFonts w:ascii="仿宋" w:hAnsi="仿宋" w:eastAsia="仿宋" w:cs="仿宋"/>
          <w:highlight w:val="none"/>
          <w:u w:val="single"/>
        </w:rPr>
      </w:pPr>
      <w:r>
        <w:rPr>
          <w:rFonts w:hint="eastAsia" w:ascii="仿宋" w:hAnsi="仿宋" w:eastAsia="仿宋" w:cs="仿宋"/>
          <w:highlight w:val="none"/>
        </w:rPr>
        <w:t>地址：</w:t>
      </w:r>
      <w:r>
        <w:rPr>
          <w:rFonts w:hint="eastAsia" w:ascii="仿宋" w:hAnsi="仿宋" w:eastAsia="仿宋" w:cs="仿宋"/>
          <w:highlight w:val="none"/>
          <w:u w:val="single"/>
        </w:rPr>
        <w:t xml:space="preserve">                        </w:t>
      </w:r>
    </w:p>
    <w:p>
      <w:pPr>
        <w:spacing w:line="360" w:lineRule="auto"/>
        <w:jc w:val="left"/>
        <w:rPr>
          <w:rFonts w:ascii="仿宋" w:hAnsi="仿宋" w:eastAsia="仿宋" w:cs="仿宋"/>
          <w:highlight w:val="none"/>
          <w:u w:val="single"/>
        </w:rPr>
      </w:pPr>
      <w:r>
        <w:rPr>
          <w:rFonts w:hint="eastAsia" w:ascii="仿宋" w:hAnsi="仿宋" w:eastAsia="仿宋" w:cs="仿宋"/>
          <w:highlight w:val="none"/>
        </w:rPr>
        <w:t>电话：</w:t>
      </w:r>
      <w:r>
        <w:rPr>
          <w:rFonts w:hint="eastAsia" w:ascii="仿宋" w:hAnsi="仿宋" w:eastAsia="仿宋" w:cs="仿宋"/>
          <w:highlight w:val="none"/>
          <w:u w:val="single"/>
        </w:rPr>
        <w:t xml:space="preserve">                        </w:t>
      </w:r>
    </w:p>
    <w:p>
      <w:pPr>
        <w:spacing w:line="360" w:lineRule="auto"/>
        <w:jc w:val="left"/>
        <w:rPr>
          <w:rFonts w:ascii="仿宋" w:hAnsi="仿宋" w:eastAsia="仿宋" w:cs="仿宋"/>
          <w:highlight w:val="none"/>
          <w:u w:val="single"/>
        </w:rPr>
      </w:pPr>
      <w:r>
        <w:rPr>
          <w:rFonts w:hint="eastAsia" w:ascii="仿宋" w:hAnsi="仿宋" w:eastAsia="仿宋" w:cs="仿宋"/>
          <w:highlight w:val="none"/>
        </w:rPr>
        <w:t>邮政编码：</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rPr>
      </w:pPr>
      <w:r>
        <w:rPr>
          <w:rFonts w:hint="eastAsia" w:ascii="仿宋" w:hAnsi="仿宋" w:eastAsia="仿宋" w:cs="仿宋"/>
          <w:highlight w:val="none"/>
        </w:rPr>
        <w:t>日期：</w:t>
      </w:r>
      <w:r>
        <w:rPr>
          <w:rFonts w:hint="eastAsia" w:ascii="仿宋" w:hAnsi="仿宋" w:eastAsia="仿宋" w:cs="仿宋"/>
          <w:highlight w:val="none"/>
          <w:u w:val="single"/>
        </w:rPr>
        <w:t>　　　</w:t>
      </w:r>
      <w:r>
        <w:rPr>
          <w:rFonts w:hint="eastAsia" w:ascii="仿宋" w:hAnsi="仿宋" w:eastAsia="仿宋" w:cs="仿宋"/>
          <w:highlight w:val="none"/>
        </w:rPr>
        <w:t>年</w:t>
      </w:r>
      <w:r>
        <w:rPr>
          <w:rFonts w:hint="eastAsia" w:ascii="仿宋" w:hAnsi="仿宋" w:eastAsia="仿宋" w:cs="仿宋"/>
          <w:highlight w:val="none"/>
          <w:u w:val="single"/>
        </w:rPr>
        <w:t>　　</w:t>
      </w:r>
      <w:r>
        <w:rPr>
          <w:rFonts w:hint="eastAsia" w:ascii="仿宋" w:hAnsi="仿宋" w:eastAsia="仿宋" w:cs="仿宋"/>
          <w:highlight w:val="none"/>
        </w:rPr>
        <w:t>月</w:t>
      </w:r>
      <w:r>
        <w:rPr>
          <w:rFonts w:hint="eastAsia" w:ascii="仿宋" w:hAnsi="仿宋" w:eastAsia="仿宋" w:cs="仿宋"/>
          <w:highlight w:val="none"/>
          <w:u w:val="single"/>
        </w:rPr>
        <w:t>　　</w:t>
      </w:r>
      <w:r>
        <w:rPr>
          <w:rFonts w:hint="eastAsia" w:ascii="仿宋" w:hAnsi="仿宋" w:eastAsia="仿宋" w:cs="仿宋"/>
          <w:highlight w:val="none"/>
        </w:rPr>
        <w:t>日</w:t>
      </w:r>
    </w:p>
    <w:p>
      <w:pPr>
        <w:spacing w:line="360" w:lineRule="auto"/>
        <w:jc w:val="center"/>
        <w:outlineLvl w:val="2"/>
        <w:rPr>
          <w:rFonts w:ascii="仿宋" w:hAnsi="仿宋" w:eastAsia="仿宋" w:cs="仿宋"/>
          <w:bCs/>
          <w:kern w:val="0"/>
          <w:sz w:val="28"/>
          <w:szCs w:val="28"/>
          <w:highlight w:val="none"/>
        </w:rPr>
        <w:sectPr>
          <w:pgSz w:w="11906" w:h="16838"/>
          <w:pgMar w:top="1418" w:right="1134" w:bottom="1418" w:left="1134" w:header="851" w:footer="680" w:gutter="0"/>
          <w:cols w:space="720" w:num="1"/>
          <w:docGrid w:type="lines" w:linePitch="312" w:charSpace="0"/>
        </w:sectPr>
      </w:pPr>
    </w:p>
    <w:p>
      <w:pPr>
        <w:pStyle w:val="4"/>
        <w:spacing w:line="360" w:lineRule="auto"/>
        <w:jc w:val="center"/>
        <w:rPr>
          <w:rFonts w:ascii="仿宋" w:hAnsi="仿宋" w:eastAsia="仿宋" w:cs="仿宋"/>
          <w:sz w:val="28"/>
          <w:szCs w:val="28"/>
          <w:highlight w:val="none"/>
        </w:rPr>
      </w:pPr>
      <w:r>
        <w:rPr>
          <w:rFonts w:hint="eastAsia" w:ascii="仿宋" w:hAnsi="仿宋" w:eastAsia="仿宋" w:cs="仿宋"/>
          <w:szCs w:val="28"/>
          <w:highlight w:val="none"/>
        </w:rPr>
        <w:t>二、投标报价一览表</w:t>
      </w:r>
    </w:p>
    <w:p>
      <w:pPr>
        <w:pStyle w:val="18"/>
        <w:spacing w:line="360" w:lineRule="auto"/>
        <w:ind w:firstLine="241" w:firstLineChars="10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项目名称：</w:t>
      </w:r>
    </w:p>
    <w:p>
      <w:pPr>
        <w:pStyle w:val="18"/>
        <w:spacing w:line="360" w:lineRule="auto"/>
        <w:ind w:firstLine="241" w:firstLineChars="100"/>
        <w:rPr>
          <w:rFonts w:hint="eastAsia" w:ascii="仿宋" w:hAnsi="仿宋" w:eastAsia="仿宋" w:cs="仿宋"/>
          <w:b/>
          <w:color w:val="auto"/>
          <w:szCs w:val="24"/>
          <w:highlight w:val="none"/>
        </w:rPr>
      </w:pPr>
    </w:p>
    <w:p>
      <w:pPr>
        <w:pStyle w:val="18"/>
        <w:spacing w:line="360" w:lineRule="auto"/>
        <w:ind w:firstLine="241" w:firstLineChars="100"/>
        <w:rPr>
          <w:rFonts w:ascii="仿宋" w:hAnsi="仿宋" w:eastAsia="仿宋" w:cs="仿宋"/>
          <w:b/>
          <w:color w:val="auto"/>
          <w:szCs w:val="24"/>
          <w:highlight w:val="none"/>
          <w:u w:val="single"/>
        </w:rPr>
      </w:pPr>
      <w:r>
        <w:rPr>
          <w:rFonts w:hint="eastAsia" w:ascii="仿宋" w:hAnsi="仿宋" w:eastAsia="仿宋" w:cs="仿宋"/>
          <w:b/>
          <w:color w:val="auto"/>
          <w:szCs w:val="24"/>
          <w:highlight w:val="none"/>
        </w:rPr>
        <w:t>项目编号：</w:t>
      </w:r>
    </w:p>
    <w:tbl>
      <w:tblPr>
        <w:tblStyle w:val="33"/>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242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项目名称</w:t>
            </w:r>
          </w:p>
        </w:tc>
        <w:tc>
          <w:tcPr>
            <w:tcW w:w="6433" w:type="dxa"/>
          </w:tcPr>
          <w:p>
            <w:pPr>
              <w:spacing w:line="360" w:lineRule="auto"/>
              <w:rPr>
                <w:rFonts w:ascii="仿宋" w:hAnsi="仿宋" w:eastAsia="仿宋" w:cs="仿宋"/>
                <w:bCs/>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42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投标报价（元）</w:t>
            </w:r>
          </w:p>
        </w:tc>
        <w:tc>
          <w:tcPr>
            <w:tcW w:w="6433" w:type="dxa"/>
            <w:vAlign w:val="center"/>
          </w:tcPr>
          <w:p>
            <w:pPr>
              <w:spacing w:line="360" w:lineRule="auto"/>
              <w:jc w:val="center"/>
              <w:rPr>
                <w:rFonts w:ascii="仿宋" w:hAnsi="仿宋" w:eastAsia="仿宋" w:cs="仿宋"/>
                <w:bCs/>
                <w:highlight w:val="none"/>
                <w:u w:val="single"/>
              </w:rPr>
            </w:pPr>
            <w:r>
              <w:rPr>
                <w:rFonts w:hint="eastAsia" w:ascii="仿宋" w:hAnsi="仿宋" w:eastAsia="仿宋" w:cs="仿宋"/>
                <w:bCs/>
                <w:highlight w:val="none"/>
              </w:rPr>
              <w:t>小写：              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合同履行期限</w:t>
            </w:r>
          </w:p>
        </w:tc>
        <w:tc>
          <w:tcPr>
            <w:tcW w:w="6433" w:type="dxa"/>
            <w:vAlign w:val="center"/>
          </w:tcPr>
          <w:p>
            <w:pPr>
              <w:spacing w:line="360" w:lineRule="auto"/>
              <w:rPr>
                <w:rFonts w:ascii="仿宋" w:hAnsi="仿宋" w:eastAsia="仿宋" w:cs="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vAlign w:val="center"/>
          </w:tcPr>
          <w:p>
            <w:pPr>
              <w:spacing w:line="360" w:lineRule="auto"/>
              <w:jc w:val="center"/>
              <w:rPr>
                <w:rFonts w:ascii="仿宋" w:hAnsi="仿宋" w:eastAsia="仿宋" w:cs="仿宋"/>
                <w:highlight w:val="none"/>
              </w:rPr>
            </w:pPr>
            <w:r>
              <w:rPr>
                <w:rFonts w:hint="eastAsia" w:ascii="仿宋" w:hAnsi="仿宋" w:eastAsia="仿宋" w:cs="仿宋"/>
                <w:highlight w:val="none"/>
              </w:rPr>
              <w:t>服务标准承诺</w:t>
            </w:r>
          </w:p>
        </w:tc>
        <w:tc>
          <w:tcPr>
            <w:tcW w:w="6433" w:type="dxa"/>
            <w:vAlign w:val="center"/>
          </w:tcPr>
          <w:p>
            <w:pPr>
              <w:spacing w:line="360" w:lineRule="auto"/>
              <w:rPr>
                <w:rFonts w:ascii="仿宋" w:hAnsi="仿宋" w:eastAsia="仿宋" w:cs="仿宋"/>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vAlign w:val="center"/>
          </w:tcPr>
          <w:p>
            <w:pPr>
              <w:pStyle w:val="20"/>
              <w:tabs>
                <w:tab w:val="left" w:pos="720"/>
                <w:tab w:val="left" w:pos="8295"/>
              </w:tabs>
              <w:spacing w:before="120" w:after="120" w:line="360" w:lineRule="auto"/>
              <w:ind w:left="0" w:leftChars="0"/>
              <w:jc w:val="center"/>
              <w:rPr>
                <w:rFonts w:ascii="仿宋" w:hAnsi="仿宋" w:eastAsia="仿宋" w:cs="仿宋"/>
                <w:highlight w:val="none"/>
              </w:rPr>
            </w:pPr>
            <w:r>
              <w:rPr>
                <w:rFonts w:hint="eastAsia" w:ascii="仿宋" w:hAnsi="仿宋" w:eastAsia="仿宋" w:cs="仿宋"/>
                <w:highlight w:val="none"/>
              </w:rPr>
              <w:t>投标保证金</w:t>
            </w:r>
          </w:p>
        </w:tc>
        <w:tc>
          <w:tcPr>
            <w:tcW w:w="6433" w:type="dxa"/>
            <w:vAlign w:val="center"/>
          </w:tcPr>
          <w:p>
            <w:pPr>
              <w:spacing w:line="360" w:lineRule="auto"/>
              <w:rPr>
                <w:rFonts w:ascii="仿宋" w:hAnsi="仿宋" w:eastAsia="仿宋" w:cs="仿宋"/>
                <w:bCs/>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vAlign w:val="center"/>
          </w:tcPr>
          <w:p>
            <w:pPr>
              <w:pStyle w:val="20"/>
              <w:tabs>
                <w:tab w:val="left" w:pos="720"/>
                <w:tab w:val="left" w:pos="8295"/>
              </w:tabs>
              <w:spacing w:before="120" w:after="120" w:line="360" w:lineRule="auto"/>
              <w:ind w:left="0" w:leftChars="0"/>
              <w:jc w:val="center"/>
              <w:rPr>
                <w:rFonts w:ascii="仿宋" w:hAnsi="仿宋" w:eastAsia="仿宋" w:cs="仿宋"/>
                <w:highlight w:val="none"/>
              </w:rPr>
            </w:pPr>
            <w:r>
              <w:rPr>
                <w:rFonts w:hint="eastAsia" w:ascii="仿宋" w:hAnsi="仿宋" w:eastAsia="仿宋" w:cs="仿宋"/>
                <w:highlight w:val="none"/>
              </w:rPr>
              <w:t>说  明</w:t>
            </w:r>
          </w:p>
        </w:tc>
        <w:tc>
          <w:tcPr>
            <w:tcW w:w="6433" w:type="dxa"/>
            <w:vAlign w:val="center"/>
          </w:tcPr>
          <w:p>
            <w:pPr>
              <w:spacing w:line="360" w:lineRule="auto"/>
              <w:rPr>
                <w:rFonts w:ascii="仿宋" w:hAnsi="仿宋" w:eastAsia="仿宋" w:cs="仿宋"/>
                <w:bCs/>
                <w:highlight w:val="none"/>
                <w:u w:val="single"/>
              </w:rPr>
            </w:pPr>
          </w:p>
        </w:tc>
      </w:tr>
    </w:tbl>
    <w:p>
      <w:pPr>
        <w:pStyle w:val="79"/>
        <w:spacing w:before="0" w:after="0" w:line="360" w:lineRule="auto"/>
        <w:ind w:left="0" w:right="23"/>
        <w:jc w:val="both"/>
        <w:rPr>
          <w:rFonts w:ascii="仿宋" w:hAnsi="仿宋" w:eastAsia="仿宋" w:cs="仿宋"/>
          <w:szCs w:val="24"/>
          <w:highlight w:val="none"/>
        </w:rPr>
      </w:pPr>
    </w:p>
    <w:p>
      <w:pPr>
        <w:tabs>
          <w:tab w:val="left" w:pos="13000"/>
        </w:tabs>
        <w:autoSpaceDE w:val="0"/>
        <w:autoSpaceDN w:val="0"/>
        <w:adjustRightInd w:val="0"/>
        <w:spacing w:line="460" w:lineRule="exact"/>
        <w:ind w:firstLine="480" w:firstLineChars="200"/>
        <w:rPr>
          <w:rFonts w:ascii="仿宋" w:hAnsi="仿宋" w:eastAsia="仿宋" w:cs="仿宋"/>
          <w:highlight w:val="none"/>
          <w:lang w:val="zh-CN"/>
        </w:rPr>
      </w:pPr>
      <w:r>
        <w:rPr>
          <w:rFonts w:hint="eastAsia" w:ascii="仿宋" w:hAnsi="仿宋" w:eastAsia="仿宋" w:cs="仿宋"/>
          <w:highlight w:val="none"/>
          <w:lang w:val="zh-CN"/>
        </w:rPr>
        <w:t>注：1</w:t>
      </w:r>
      <w:r>
        <w:rPr>
          <w:rFonts w:hint="eastAsia" w:ascii="仿宋" w:hAnsi="仿宋" w:eastAsia="仿宋" w:cs="仿宋"/>
          <w:highlight w:val="none"/>
        </w:rPr>
        <w:t>.</w:t>
      </w:r>
      <w:r>
        <w:rPr>
          <w:rFonts w:hint="eastAsia" w:ascii="仿宋" w:hAnsi="仿宋" w:eastAsia="仿宋" w:cs="仿宋"/>
          <w:highlight w:val="none"/>
          <w:lang w:bidi="ar"/>
        </w:rPr>
        <w:t>报价货币为人民币。投标报价（预算价）指完成本项目所需的一切相关费用（包含人员培训、技术服务费用，安装、调试、试运行、配合验收费用，运费、保险费用及其它一切费用）。</w:t>
      </w:r>
    </w:p>
    <w:p>
      <w:pPr>
        <w:tabs>
          <w:tab w:val="left" w:pos="13000"/>
        </w:tabs>
        <w:autoSpaceDE w:val="0"/>
        <w:autoSpaceDN w:val="0"/>
        <w:adjustRightInd w:val="0"/>
        <w:spacing w:line="460" w:lineRule="exact"/>
        <w:ind w:firstLine="960" w:firstLineChars="400"/>
        <w:rPr>
          <w:rFonts w:ascii="仿宋" w:hAnsi="仿宋" w:eastAsia="仿宋" w:cs="仿宋"/>
          <w:highlight w:val="none"/>
        </w:rPr>
      </w:pPr>
    </w:p>
    <w:p>
      <w:pPr>
        <w:spacing w:line="360" w:lineRule="auto"/>
        <w:ind w:firstLine="2" w:firstLineChars="1"/>
        <w:rPr>
          <w:rFonts w:ascii="仿宋" w:hAnsi="仿宋" w:eastAsia="仿宋" w:cs="仿宋"/>
          <w:highlight w:val="none"/>
        </w:rPr>
      </w:pPr>
    </w:p>
    <w:p>
      <w:pPr>
        <w:adjustRightInd w:val="0"/>
        <w:snapToGrid w:val="0"/>
        <w:spacing w:line="360" w:lineRule="auto"/>
        <w:rPr>
          <w:rFonts w:ascii="仿宋" w:hAnsi="仿宋" w:eastAsia="仿宋" w:cs="仿宋"/>
          <w:highlight w:val="none"/>
        </w:rPr>
      </w:pPr>
    </w:p>
    <w:p>
      <w:pPr>
        <w:adjustRightInd w:val="0"/>
        <w:snapToGrid w:val="0"/>
        <w:spacing w:line="360" w:lineRule="auto"/>
        <w:rPr>
          <w:rFonts w:ascii="仿宋" w:hAnsi="仿宋" w:eastAsia="仿宋" w:cs="仿宋"/>
          <w:highlight w:val="none"/>
        </w:rPr>
      </w:pPr>
    </w:p>
    <w:p>
      <w:pPr>
        <w:spacing w:line="360" w:lineRule="auto"/>
        <w:rPr>
          <w:rFonts w:ascii="仿宋" w:hAnsi="仿宋" w:eastAsia="仿宋" w:cs="仿宋"/>
          <w:highlight w:val="none"/>
        </w:rPr>
      </w:pPr>
      <w:r>
        <w:rPr>
          <w:rFonts w:hint="eastAsia" w:ascii="仿宋" w:hAnsi="仿宋" w:eastAsia="仿宋" w:cs="仿宋"/>
          <w:highlight w:val="none"/>
        </w:rPr>
        <w:t>投标人全称（加盖电子公章）：</w:t>
      </w:r>
      <w:r>
        <w:rPr>
          <w:rFonts w:hint="eastAsia" w:ascii="仿宋" w:hAnsi="仿宋" w:eastAsia="仿宋" w:cs="仿宋"/>
          <w:highlight w:val="none"/>
          <w:u w:val="single"/>
        </w:rPr>
        <w:t xml:space="preserve">                   </w:t>
      </w:r>
    </w:p>
    <w:p>
      <w:pPr>
        <w:adjustRightInd w:val="0"/>
        <w:snapToGrid w:val="0"/>
        <w:spacing w:line="360" w:lineRule="auto"/>
        <w:rPr>
          <w:rFonts w:ascii="仿宋" w:hAnsi="仿宋" w:eastAsia="仿宋" w:cs="仿宋"/>
          <w:highlight w:val="none"/>
          <w:u w:val="single"/>
        </w:rPr>
      </w:pPr>
      <w:r>
        <w:rPr>
          <w:rFonts w:hint="eastAsia" w:ascii="仿宋" w:hAnsi="仿宋" w:eastAsia="仿宋" w:cs="仿宋"/>
          <w:highlight w:val="none"/>
        </w:rPr>
        <w:t>法定代表人或其委托代理人（电子签章）：</w:t>
      </w:r>
      <w:r>
        <w:rPr>
          <w:rFonts w:hint="eastAsia" w:ascii="仿宋" w:hAnsi="仿宋" w:eastAsia="仿宋" w:cs="仿宋"/>
          <w:highlight w:val="none"/>
          <w:u w:val="single"/>
        </w:rPr>
        <w:t xml:space="preserve">              </w:t>
      </w:r>
    </w:p>
    <w:p>
      <w:pPr>
        <w:spacing w:line="360" w:lineRule="auto"/>
        <w:jc w:val="left"/>
        <w:rPr>
          <w:rFonts w:ascii="仿宋" w:hAnsi="仿宋" w:eastAsia="仿宋" w:cs="仿宋"/>
          <w:b/>
          <w:bCs/>
          <w:sz w:val="28"/>
          <w:szCs w:val="28"/>
          <w:highlight w:val="none"/>
        </w:rPr>
      </w:pPr>
      <w:r>
        <w:rPr>
          <w:rFonts w:hint="eastAsia" w:ascii="仿宋" w:hAnsi="仿宋" w:eastAsia="仿宋" w:cs="仿宋"/>
          <w:highlight w:val="none"/>
        </w:rPr>
        <w:t>日期：</w:t>
      </w:r>
      <w:r>
        <w:rPr>
          <w:rFonts w:hint="eastAsia" w:ascii="仿宋" w:hAnsi="仿宋" w:eastAsia="仿宋" w:cs="仿宋"/>
          <w:highlight w:val="none"/>
          <w:u w:val="single"/>
        </w:rPr>
        <w:t>　　　</w:t>
      </w:r>
      <w:r>
        <w:rPr>
          <w:rFonts w:hint="eastAsia" w:ascii="仿宋" w:hAnsi="仿宋" w:eastAsia="仿宋" w:cs="仿宋"/>
          <w:highlight w:val="none"/>
        </w:rPr>
        <w:t>年</w:t>
      </w:r>
      <w:r>
        <w:rPr>
          <w:rFonts w:hint="eastAsia" w:ascii="仿宋" w:hAnsi="仿宋" w:eastAsia="仿宋" w:cs="仿宋"/>
          <w:highlight w:val="none"/>
          <w:u w:val="single"/>
        </w:rPr>
        <w:t>　　</w:t>
      </w:r>
      <w:r>
        <w:rPr>
          <w:rFonts w:hint="eastAsia" w:ascii="仿宋" w:hAnsi="仿宋" w:eastAsia="仿宋" w:cs="仿宋"/>
          <w:highlight w:val="none"/>
        </w:rPr>
        <w:t>月</w:t>
      </w:r>
      <w:r>
        <w:rPr>
          <w:rFonts w:hint="eastAsia" w:ascii="仿宋" w:hAnsi="仿宋" w:eastAsia="仿宋" w:cs="仿宋"/>
          <w:highlight w:val="none"/>
          <w:u w:val="single"/>
        </w:rPr>
        <w:t>　　</w:t>
      </w:r>
      <w:r>
        <w:rPr>
          <w:rFonts w:hint="eastAsia" w:ascii="仿宋" w:hAnsi="仿宋" w:eastAsia="仿宋" w:cs="仿宋"/>
          <w:highlight w:val="none"/>
        </w:rPr>
        <w:t>日</w:t>
      </w:r>
    </w:p>
    <w:p>
      <w:pPr>
        <w:pStyle w:val="18"/>
        <w:spacing w:line="360" w:lineRule="auto"/>
        <w:rPr>
          <w:rFonts w:ascii="仿宋" w:hAnsi="仿宋" w:eastAsia="仿宋" w:cs="仿宋"/>
          <w:b/>
          <w:color w:val="auto"/>
          <w:highlight w:val="none"/>
        </w:rPr>
      </w:pPr>
    </w:p>
    <w:p>
      <w:pPr>
        <w:pStyle w:val="40"/>
        <w:spacing w:line="360" w:lineRule="auto"/>
        <w:rPr>
          <w:rFonts w:ascii="仿宋" w:hAnsi="仿宋" w:eastAsia="仿宋" w:cs="仿宋"/>
          <w:color w:val="auto"/>
          <w:highlight w:val="none"/>
        </w:rPr>
      </w:pPr>
    </w:p>
    <w:p>
      <w:pPr>
        <w:widowControl/>
        <w:jc w:val="left"/>
        <w:rPr>
          <w:rFonts w:ascii="仿宋" w:hAnsi="仿宋" w:eastAsia="仿宋" w:cs="仿宋"/>
          <w:b/>
          <w:bCs/>
          <w:sz w:val="32"/>
          <w:szCs w:val="28"/>
          <w:highlight w:val="none"/>
        </w:rPr>
      </w:pPr>
      <w:r>
        <w:rPr>
          <w:rFonts w:ascii="仿宋" w:hAnsi="仿宋" w:eastAsia="仿宋" w:cs="仿宋"/>
          <w:b/>
          <w:bCs/>
          <w:sz w:val="32"/>
          <w:szCs w:val="28"/>
          <w:highlight w:val="none"/>
        </w:rPr>
        <w:br w:type="page"/>
      </w:r>
    </w:p>
    <w:p>
      <w:pPr>
        <w:pStyle w:val="4"/>
        <w:spacing w:line="360" w:lineRule="auto"/>
        <w:jc w:val="center"/>
        <w:rPr>
          <w:rFonts w:hint="default" w:ascii="仿宋" w:hAnsi="仿宋" w:eastAsia="仿宋" w:cs="仿宋"/>
          <w:szCs w:val="28"/>
          <w:highlight w:val="none"/>
          <w:lang w:val="en-US" w:eastAsia="zh-CN"/>
        </w:rPr>
      </w:pPr>
      <w:r>
        <w:rPr>
          <w:rFonts w:hint="eastAsia" w:ascii="仿宋" w:hAnsi="仿宋" w:eastAsia="仿宋" w:cs="仿宋"/>
          <w:szCs w:val="28"/>
          <w:highlight w:val="none"/>
          <w:lang w:eastAsia="zh-CN"/>
        </w:rPr>
        <w:t>（</w:t>
      </w:r>
      <w:r>
        <w:rPr>
          <w:rFonts w:hint="eastAsia" w:ascii="仿宋" w:hAnsi="仿宋" w:eastAsia="仿宋" w:cs="仿宋"/>
          <w:szCs w:val="28"/>
          <w:highlight w:val="none"/>
          <w:lang w:val="en-US" w:eastAsia="zh-CN"/>
        </w:rPr>
        <w:t>二</w:t>
      </w:r>
      <w:r>
        <w:rPr>
          <w:rFonts w:hint="eastAsia" w:ascii="仿宋" w:hAnsi="仿宋" w:eastAsia="仿宋" w:cs="仿宋"/>
          <w:szCs w:val="28"/>
          <w:highlight w:val="none"/>
          <w:lang w:eastAsia="zh-CN"/>
        </w:rPr>
        <w:t>）</w:t>
      </w:r>
      <w:r>
        <w:rPr>
          <w:rFonts w:hint="eastAsia" w:ascii="仿宋" w:hAnsi="仿宋" w:eastAsia="仿宋" w:cs="仿宋"/>
          <w:szCs w:val="28"/>
          <w:highlight w:val="none"/>
          <w:lang w:val="en-US" w:eastAsia="zh-CN"/>
        </w:rPr>
        <w:t>分项报价表</w:t>
      </w:r>
    </w:p>
    <w:p>
      <w:pPr>
        <w:spacing w:line="360" w:lineRule="auto"/>
        <w:rPr>
          <w:rFonts w:hint="eastAsia" w:ascii="仿宋" w:hAnsi="仿宋" w:eastAsia="仿宋" w:cs="仿宋"/>
          <w:b/>
          <w:bCs/>
          <w:highlight w:val="none"/>
        </w:rPr>
      </w:pPr>
      <w:r>
        <w:rPr>
          <w:rFonts w:hint="eastAsia" w:ascii="仿宋" w:hAnsi="仿宋" w:eastAsia="仿宋" w:cs="仿宋"/>
          <w:b/>
          <w:bCs/>
          <w:highlight w:val="none"/>
        </w:rPr>
        <w:t>项目名称：</w:t>
      </w:r>
    </w:p>
    <w:p>
      <w:pPr>
        <w:spacing w:line="360" w:lineRule="auto"/>
        <w:rPr>
          <w:rFonts w:hint="eastAsia" w:ascii="仿宋" w:hAnsi="仿宋" w:eastAsia="仿宋" w:cs="仿宋"/>
          <w:b/>
          <w:bCs/>
          <w:highlight w:val="none"/>
        </w:rPr>
      </w:pPr>
      <w:r>
        <w:rPr>
          <w:rFonts w:hint="eastAsia" w:ascii="仿宋" w:hAnsi="仿宋" w:eastAsia="仿宋" w:cs="仿宋"/>
          <w:b/>
          <w:bCs/>
          <w:highlight w:val="none"/>
        </w:rPr>
        <w:t>项目编号：</w:t>
      </w:r>
    </w:p>
    <w:tbl>
      <w:tblPr>
        <w:tblStyle w:val="33"/>
        <w:tblW w:w="5000" w:type="pct"/>
        <w:tblInd w:w="0" w:type="dxa"/>
        <w:tblLayout w:type="autofit"/>
        <w:tblCellMar>
          <w:top w:w="0" w:type="dxa"/>
          <w:left w:w="108" w:type="dxa"/>
          <w:bottom w:w="0" w:type="dxa"/>
          <w:right w:w="108" w:type="dxa"/>
        </w:tblCellMar>
      </w:tblPr>
      <w:tblGrid>
        <w:gridCol w:w="812"/>
        <w:gridCol w:w="2697"/>
        <w:gridCol w:w="1557"/>
        <w:gridCol w:w="1278"/>
        <w:gridCol w:w="2361"/>
        <w:gridCol w:w="581"/>
      </w:tblGrid>
      <w:tr>
        <w:trPr>
          <w:trHeight w:val="585" w:hRule="atLeast"/>
        </w:trPr>
        <w:tc>
          <w:tcPr>
            <w:tcW w:w="437" w:type="pct"/>
            <w:tcBorders>
              <w:top w:val="single" w:color="000000" w:sz="8" w:space="0"/>
              <w:left w:val="single" w:color="000000" w:sz="8" w:space="0"/>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序号</w:t>
            </w:r>
          </w:p>
        </w:tc>
        <w:tc>
          <w:tcPr>
            <w:tcW w:w="1452"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服务名称</w:t>
            </w:r>
          </w:p>
        </w:tc>
        <w:tc>
          <w:tcPr>
            <w:tcW w:w="838"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数量</w:t>
            </w:r>
          </w:p>
        </w:tc>
        <w:tc>
          <w:tcPr>
            <w:tcW w:w="688"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单价（元）</w:t>
            </w:r>
          </w:p>
        </w:tc>
        <w:tc>
          <w:tcPr>
            <w:tcW w:w="1271"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总价（元）</w:t>
            </w:r>
          </w:p>
        </w:tc>
        <w:tc>
          <w:tcPr>
            <w:tcW w:w="311"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备注</w:t>
            </w:r>
          </w:p>
        </w:tc>
      </w:tr>
      <w:tr>
        <w:tblPrEx>
          <w:tblCellMar>
            <w:top w:w="0" w:type="dxa"/>
            <w:left w:w="108" w:type="dxa"/>
            <w:bottom w:w="0" w:type="dxa"/>
            <w:right w:w="108" w:type="dxa"/>
          </w:tblCellMar>
        </w:tblPrEx>
        <w:trPr>
          <w:trHeight w:val="87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1</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液位仪数据采集服务</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0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2</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信息采集服务</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0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3</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平台管理软件开发服务</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0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4</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运维</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0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5</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云服务</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0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6</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通信服务-物联网卡</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00" w:hRule="atLeast"/>
        </w:trPr>
        <w:tc>
          <w:tcPr>
            <w:tcW w:w="437" w:type="pc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sz w:val="21"/>
                <w:szCs w:val="21"/>
                <w:highlight w:val="none"/>
              </w:rPr>
            </w:pPr>
            <w:r>
              <w:rPr>
                <w:rFonts w:hint="eastAsia" w:ascii="仿宋" w:hAnsi="仿宋" w:eastAsia="仿宋" w:cs="仿宋"/>
                <w:b w:val="0"/>
                <w:bCs w:val="0"/>
                <w:color w:val="000000"/>
                <w:kern w:val="0"/>
                <w:sz w:val="21"/>
                <w:szCs w:val="21"/>
                <w:highlight w:val="none"/>
              </w:rPr>
              <w:t>7</w:t>
            </w:r>
          </w:p>
        </w:tc>
        <w:tc>
          <w:tcPr>
            <w:tcW w:w="1452"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通信服务-5G专网</w:t>
            </w:r>
          </w:p>
        </w:tc>
        <w:tc>
          <w:tcPr>
            <w:tcW w:w="838" w:type="pct"/>
            <w:tcBorders>
              <w:top w:val="nil"/>
              <w:left w:val="nil"/>
              <w:bottom w:val="single" w:color="000000" w:sz="8" w:space="0"/>
              <w:right w:val="single" w:color="000000" w:sz="8" w:space="0"/>
            </w:tcBorders>
            <w:shd w:val="clear" w:color="auto" w:fill="auto"/>
            <w:vAlign w:val="center"/>
          </w:tcPr>
          <w:p>
            <w:pPr>
              <w:widowControl/>
              <w:rPr>
                <w:rFonts w:hint="eastAsia" w:ascii="仿宋" w:hAnsi="仿宋" w:eastAsia="仿宋" w:cs="仿宋"/>
                <w:b w:val="0"/>
                <w:bCs w:val="0"/>
                <w:color w:val="000000"/>
                <w:kern w:val="0"/>
                <w:highlight w:val="none"/>
              </w:rPr>
            </w:pPr>
          </w:p>
        </w:tc>
        <w:tc>
          <w:tcPr>
            <w:tcW w:w="688"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1271" w:type="pct"/>
            <w:tcBorders>
              <w:top w:val="nil"/>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仿宋"/>
                <w:b w:val="0"/>
                <w:bCs w:val="0"/>
                <w:kern w:val="0"/>
                <w:sz w:val="20"/>
                <w:szCs w:val="20"/>
                <w:highlight w:val="none"/>
              </w:rPr>
            </w:pPr>
          </w:p>
        </w:tc>
        <w:tc>
          <w:tcPr>
            <w:tcW w:w="311" w:type="pct"/>
            <w:tcBorders>
              <w:top w:val="nil"/>
              <w:left w:val="nil"/>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kern w:val="0"/>
                <w:sz w:val="20"/>
                <w:szCs w:val="20"/>
                <w:highlight w:val="none"/>
              </w:rPr>
            </w:pPr>
          </w:p>
        </w:tc>
      </w:tr>
      <w:tr>
        <w:tblPrEx>
          <w:tblCellMar>
            <w:top w:w="0" w:type="dxa"/>
            <w:left w:w="108" w:type="dxa"/>
            <w:bottom w:w="0" w:type="dxa"/>
            <w:right w:w="108" w:type="dxa"/>
          </w:tblCellMar>
        </w:tblPrEx>
        <w:trPr>
          <w:trHeight w:val="315" w:hRule="atLeast"/>
        </w:trPr>
        <w:tc>
          <w:tcPr>
            <w:tcW w:w="1889" w:type="pct"/>
            <w:gridSpan w:val="2"/>
            <w:vMerge w:val="restart"/>
            <w:tcBorders>
              <w:top w:val="nil"/>
              <w:left w:val="single" w:color="000000" w:sz="8" w:space="0"/>
              <w:bottom w:val="single" w:color="000000" w:sz="8" w:space="0"/>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r>
              <w:rPr>
                <w:rFonts w:hint="eastAsia" w:ascii="仿宋" w:hAnsi="仿宋" w:eastAsia="仿宋" w:cs="仿宋"/>
                <w:b w:val="0"/>
                <w:bCs w:val="0"/>
                <w:color w:val="000000"/>
                <w:kern w:val="0"/>
                <w:highlight w:val="none"/>
              </w:rPr>
              <w:t>投标总报价（元）</w:t>
            </w:r>
          </w:p>
        </w:tc>
        <w:tc>
          <w:tcPr>
            <w:tcW w:w="3110" w:type="pct"/>
            <w:gridSpan w:val="4"/>
            <w:tcBorders>
              <w:top w:val="nil"/>
              <w:left w:val="nil"/>
              <w:bottom w:val="nil"/>
              <w:right w:val="single" w:color="000000" w:sz="8" w:space="0"/>
            </w:tcBorders>
            <w:shd w:val="clear" w:color="auto" w:fill="auto"/>
            <w:vAlign w:val="bottom"/>
          </w:tcPr>
          <w:p>
            <w:pPr>
              <w:widowControl/>
              <w:jc w:val="center"/>
              <w:rPr>
                <w:rFonts w:hint="eastAsia" w:ascii="仿宋" w:hAnsi="仿宋" w:eastAsia="仿宋" w:cs="仿宋"/>
                <w:b w:val="0"/>
                <w:bCs w:val="0"/>
                <w:color w:val="000000"/>
                <w:kern w:val="0"/>
                <w:highlight w:val="none"/>
              </w:rPr>
            </w:pPr>
          </w:p>
        </w:tc>
      </w:tr>
      <w:tr>
        <w:tblPrEx>
          <w:tblCellMar>
            <w:top w:w="0" w:type="dxa"/>
            <w:left w:w="108" w:type="dxa"/>
            <w:bottom w:w="0" w:type="dxa"/>
            <w:right w:w="108" w:type="dxa"/>
          </w:tblCellMar>
        </w:tblPrEx>
        <w:trPr>
          <w:trHeight w:val="315" w:hRule="atLeast"/>
        </w:trPr>
        <w:tc>
          <w:tcPr>
            <w:tcW w:w="1889" w:type="pct"/>
            <w:gridSpan w:val="2"/>
            <w:vMerge w:val="continue"/>
            <w:tcBorders>
              <w:top w:val="nil"/>
              <w:left w:val="single" w:color="000000" w:sz="8" w:space="0"/>
              <w:bottom w:val="single" w:color="000000" w:sz="8" w:space="0"/>
              <w:right w:val="single" w:color="000000" w:sz="8" w:space="0"/>
            </w:tcBorders>
            <w:vAlign w:val="center"/>
          </w:tcPr>
          <w:p>
            <w:pPr>
              <w:widowControl/>
              <w:jc w:val="left"/>
              <w:rPr>
                <w:rFonts w:hint="eastAsia" w:ascii="仿宋" w:hAnsi="仿宋" w:eastAsia="仿宋" w:cs="仿宋"/>
                <w:b/>
                <w:bCs/>
                <w:color w:val="000000"/>
                <w:kern w:val="0"/>
                <w:highlight w:val="none"/>
              </w:rPr>
            </w:pPr>
          </w:p>
        </w:tc>
        <w:tc>
          <w:tcPr>
            <w:tcW w:w="3110" w:type="pct"/>
            <w:gridSpan w:val="4"/>
            <w:tcBorders>
              <w:top w:val="nil"/>
              <w:left w:val="nil"/>
              <w:bottom w:val="single" w:color="000000" w:sz="8" w:space="0"/>
              <w:right w:val="single" w:color="000000" w:sz="8" w:space="0"/>
            </w:tcBorders>
            <w:shd w:val="clear" w:color="auto" w:fill="auto"/>
            <w:vAlign w:val="bottom"/>
          </w:tcPr>
          <w:p>
            <w:pPr>
              <w:widowControl/>
              <w:rPr>
                <w:rFonts w:hint="eastAsia" w:ascii="仿宋" w:hAnsi="仿宋" w:eastAsia="仿宋" w:cs="仿宋"/>
                <w:kern w:val="0"/>
                <w:sz w:val="20"/>
                <w:szCs w:val="20"/>
                <w:highlight w:val="none"/>
              </w:rPr>
            </w:pPr>
          </w:p>
        </w:tc>
      </w:tr>
    </w:tbl>
    <w:p>
      <w:pPr>
        <w:spacing w:line="520" w:lineRule="exact"/>
        <w:rPr>
          <w:rFonts w:hint="eastAsia" w:ascii="仿宋" w:hAnsi="仿宋" w:eastAsia="仿宋" w:cs="仿宋"/>
          <w:b/>
          <w:highlight w:val="none"/>
        </w:rPr>
      </w:pPr>
    </w:p>
    <w:p>
      <w:pPr>
        <w:spacing w:line="480" w:lineRule="auto"/>
        <w:ind w:right="1120" w:firstLine="480" w:firstLineChars="200"/>
        <w:rPr>
          <w:rFonts w:hint="eastAsia" w:ascii="仿宋" w:hAnsi="仿宋" w:eastAsia="仿宋" w:cs="仿宋"/>
          <w:highlight w:val="none"/>
        </w:rPr>
      </w:pPr>
      <w:r>
        <w:rPr>
          <w:rFonts w:hint="eastAsia" w:ascii="仿宋" w:hAnsi="仿宋" w:eastAsia="仿宋" w:cs="仿宋"/>
          <w:highlight w:val="none"/>
        </w:rPr>
        <w:t>投标单位：</w:t>
      </w:r>
      <w:r>
        <w:rPr>
          <w:rFonts w:hint="eastAsia" w:ascii="仿宋" w:hAnsi="仿宋" w:eastAsia="仿宋" w:cs="仿宋"/>
          <w:highlight w:val="none"/>
          <w:u w:val="single"/>
        </w:rPr>
        <w:t xml:space="preserve">                     </w:t>
      </w:r>
      <w:r>
        <w:rPr>
          <w:rFonts w:hint="eastAsia" w:ascii="仿宋" w:hAnsi="仿宋" w:eastAsia="仿宋" w:cs="仿宋"/>
          <w:highlight w:val="none"/>
        </w:rPr>
        <w:t>（电子签章）</w:t>
      </w:r>
    </w:p>
    <w:p>
      <w:pPr>
        <w:spacing w:line="480" w:lineRule="auto"/>
        <w:ind w:right="1120" w:firstLine="480" w:firstLineChars="200"/>
        <w:rPr>
          <w:rFonts w:hint="eastAsia" w:ascii="仿宋" w:hAnsi="仿宋" w:eastAsia="仿宋" w:cs="仿宋"/>
          <w:highlight w:val="none"/>
        </w:rPr>
      </w:pPr>
      <w:r>
        <w:rPr>
          <w:rFonts w:hint="eastAsia" w:ascii="仿宋" w:hAnsi="仿宋" w:eastAsia="仿宋" w:cs="仿宋"/>
          <w:highlight w:val="none"/>
        </w:rPr>
        <w:t>法定代表人或其委托代理人：</w:t>
      </w:r>
      <w:r>
        <w:rPr>
          <w:rFonts w:hint="eastAsia" w:ascii="仿宋" w:hAnsi="仿宋" w:eastAsia="仿宋" w:cs="仿宋"/>
          <w:highlight w:val="none"/>
          <w:u w:val="single"/>
        </w:rPr>
        <w:t xml:space="preserve">                 </w:t>
      </w:r>
      <w:r>
        <w:rPr>
          <w:rFonts w:hint="eastAsia" w:ascii="仿宋" w:hAnsi="仿宋" w:eastAsia="仿宋" w:cs="仿宋"/>
          <w:highlight w:val="none"/>
        </w:rPr>
        <w:t>（电子签章）</w:t>
      </w:r>
    </w:p>
    <w:p>
      <w:pPr>
        <w:jc w:val="center"/>
        <w:rPr>
          <w:rFonts w:hint="eastAsia" w:ascii="仿宋" w:hAnsi="仿宋" w:eastAsia="仿宋" w:cs="仿宋"/>
          <w:b/>
          <w:bCs/>
          <w:sz w:val="32"/>
          <w:szCs w:val="28"/>
          <w:highlight w:val="none"/>
        </w:rPr>
      </w:pPr>
      <w:r>
        <w:rPr>
          <w:rFonts w:hint="eastAsia" w:ascii="仿宋" w:hAnsi="仿宋" w:eastAsia="仿宋" w:cs="仿宋"/>
          <w:highlight w:val="none"/>
        </w:rPr>
        <w:t>日期：</w:t>
      </w:r>
      <w:r>
        <w:rPr>
          <w:rFonts w:hint="eastAsia" w:ascii="仿宋" w:hAnsi="仿宋" w:eastAsia="仿宋" w:cs="仿宋"/>
          <w:highlight w:val="none"/>
          <w:u w:val="single"/>
        </w:rPr>
        <w:t xml:space="preserve">        </w:t>
      </w:r>
      <w:r>
        <w:rPr>
          <w:rFonts w:hint="eastAsia" w:ascii="仿宋" w:hAnsi="仿宋" w:eastAsia="仿宋" w:cs="仿宋"/>
          <w:highlight w:val="none"/>
        </w:rPr>
        <w:t>年</w:t>
      </w:r>
      <w:r>
        <w:rPr>
          <w:rFonts w:hint="eastAsia" w:ascii="仿宋" w:hAnsi="仿宋" w:eastAsia="仿宋" w:cs="仿宋"/>
          <w:highlight w:val="none"/>
          <w:u w:val="single"/>
        </w:rPr>
        <w:t xml:space="preserve">     </w:t>
      </w:r>
      <w:r>
        <w:rPr>
          <w:rFonts w:hint="eastAsia" w:ascii="仿宋" w:hAnsi="仿宋" w:eastAsia="仿宋" w:cs="仿宋"/>
          <w:highlight w:val="none"/>
        </w:rPr>
        <w:t>月</w:t>
      </w:r>
      <w:r>
        <w:rPr>
          <w:rFonts w:hint="eastAsia" w:ascii="仿宋" w:hAnsi="仿宋" w:eastAsia="仿宋" w:cs="仿宋"/>
          <w:highlight w:val="none"/>
          <w:u w:val="single"/>
        </w:rPr>
        <w:t xml:space="preserve">     </w:t>
      </w:r>
      <w:r>
        <w:rPr>
          <w:rFonts w:hint="eastAsia" w:ascii="仿宋" w:hAnsi="仿宋" w:eastAsia="仿宋" w:cs="仿宋"/>
          <w:highlight w:val="none"/>
        </w:rPr>
        <w:t>日</w:t>
      </w:r>
    </w:p>
    <w:p>
      <w:pPr>
        <w:jc w:val="center"/>
        <w:rPr>
          <w:rFonts w:ascii="仿宋" w:hAnsi="仿宋" w:eastAsia="仿宋" w:cs="仿宋"/>
          <w:b/>
          <w:bCs/>
          <w:sz w:val="32"/>
          <w:szCs w:val="28"/>
          <w:highlight w:val="none"/>
        </w:rPr>
      </w:pPr>
    </w:p>
    <w:p>
      <w:pPr>
        <w:widowControl/>
        <w:jc w:val="left"/>
        <w:rPr>
          <w:rFonts w:ascii="仿宋" w:hAnsi="仿宋" w:eastAsia="仿宋" w:cs="仿宋"/>
          <w:b/>
          <w:bCs/>
          <w:sz w:val="32"/>
          <w:szCs w:val="28"/>
          <w:highlight w:val="none"/>
        </w:rPr>
      </w:pPr>
      <w:r>
        <w:rPr>
          <w:rFonts w:ascii="仿宋" w:hAnsi="仿宋" w:eastAsia="仿宋" w:cs="仿宋"/>
          <w:b/>
          <w:bCs/>
          <w:sz w:val="32"/>
          <w:szCs w:val="28"/>
          <w:highlight w:val="none"/>
        </w:rPr>
        <w:br w:type="page"/>
      </w:r>
    </w:p>
    <w:p>
      <w:pPr>
        <w:jc w:val="center"/>
        <w:rPr>
          <w:rFonts w:ascii="仿宋" w:hAnsi="仿宋" w:eastAsia="仿宋" w:cs="仿宋"/>
          <w:b/>
          <w:bCs/>
          <w:sz w:val="32"/>
          <w:szCs w:val="28"/>
          <w:highlight w:val="none"/>
        </w:rPr>
      </w:pPr>
    </w:p>
    <w:p>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三、项目技术方案</w:t>
      </w:r>
    </w:p>
    <w:p>
      <w:pPr>
        <w:pStyle w:val="2"/>
        <w:jc w:val="center"/>
        <w:rPr>
          <w:highlight w:val="none"/>
        </w:rPr>
      </w:pPr>
      <w:r>
        <w:rPr>
          <w:rFonts w:hint="eastAsia" w:ascii="仿宋" w:hAnsi="仿宋" w:eastAsia="仿宋" w:cs="仿宋"/>
          <w:highlight w:val="none"/>
        </w:rPr>
        <w:t>（无固定格式，投标人自拟）</w:t>
      </w: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b/>
          <w:bCs/>
          <w:sz w:val="32"/>
          <w:szCs w:val="28"/>
          <w:highlight w:val="none"/>
        </w:rPr>
      </w:pPr>
      <w:r>
        <w:rPr>
          <w:rFonts w:hint="eastAsia" w:ascii="仿宋" w:hAnsi="仿宋" w:eastAsia="仿宋" w:cs="仿宋"/>
          <w:b/>
          <w:bCs/>
          <w:sz w:val="30"/>
          <w:szCs w:val="30"/>
          <w:highlight w:val="none"/>
        </w:rPr>
        <w:t>四、运维服务保障方案</w:t>
      </w:r>
    </w:p>
    <w:p>
      <w:pPr>
        <w:pStyle w:val="9"/>
        <w:ind w:left="0" w:leftChars="0"/>
        <w:jc w:val="center"/>
        <w:rPr>
          <w:rFonts w:ascii="仿宋" w:hAnsi="仿宋" w:eastAsia="仿宋" w:cs="仿宋"/>
          <w:highlight w:val="none"/>
        </w:rPr>
      </w:pPr>
      <w:r>
        <w:rPr>
          <w:rFonts w:hint="eastAsia" w:ascii="仿宋" w:hAnsi="仿宋" w:eastAsia="仿宋" w:cs="仿宋"/>
          <w:highlight w:val="none"/>
        </w:rPr>
        <w:t>（无固定格式，投标人自拟）</w:t>
      </w: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五、质量承诺及保障</w:t>
      </w:r>
    </w:p>
    <w:p>
      <w:pPr>
        <w:pStyle w:val="2"/>
        <w:jc w:val="center"/>
        <w:rPr>
          <w:rFonts w:ascii="仿宋" w:hAnsi="仿宋" w:eastAsia="仿宋" w:cs="仿宋"/>
          <w:highlight w:val="none"/>
        </w:rPr>
      </w:pPr>
      <w:r>
        <w:rPr>
          <w:rFonts w:hint="eastAsia" w:ascii="仿宋" w:hAnsi="仿宋" w:eastAsia="仿宋" w:cs="仿宋"/>
          <w:highlight w:val="none"/>
        </w:rPr>
        <w:t>（无固定格式，投标人自拟）</w:t>
      </w: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六、网络覆盖服务能力</w:t>
      </w:r>
    </w:p>
    <w:p>
      <w:pPr>
        <w:jc w:val="center"/>
        <w:rPr>
          <w:rFonts w:ascii="仿宋" w:hAnsi="仿宋" w:eastAsia="仿宋" w:cs="仿宋"/>
          <w:highlight w:val="none"/>
        </w:rPr>
      </w:pPr>
      <w:bookmarkStart w:id="121" w:name="_Toc28279_WPSOffice_Level1"/>
      <w:r>
        <w:rPr>
          <w:rFonts w:hint="eastAsia" w:ascii="仿宋" w:hAnsi="仿宋" w:eastAsia="仿宋" w:cs="仿宋"/>
          <w:highlight w:val="none"/>
        </w:rPr>
        <w:t>（无固定格式，投标人自拟）</w:t>
      </w: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highlight w:val="none"/>
        </w:rPr>
      </w:pPr>
      <w:r>
        <w:rPr>
          <w:rFonts w:hint="eastAsia" w:ascii="仿宋" w:hAnsi="仿宋" w:eastAsia="仿宋" w:cs="仿宋"/>
          <w:b/>
          <w:bCs/>
          <w:sz w:val="30"/>
          <w:szCs w:val="30"/>
          <w:highlight w:val="none"/>
        </w:rPr>
        <w:t>七、培训方案</w:t>
      </w:r>
    </w:p>
    <w:p>
      <w:pPr>
        <w:jc w:val="center"/>
        <w:rPr>
          <w:rFonts w:ascii="仿宋" w:hAnsi="仿宋" w:eastAsia="仿宋" w:cs="仿宋"/>
          <w:highlight w:val="none"/>
        </w:rPr>
      </w:pPr>
      <w:r>
        <w:rPr>
          <w:rFonts w:hint="eastAsia" w:ascii="仿宋" w:hAnsi="仿宋" w:eastAsia="仿宋" w:cs="仿宋"/>
          <w:highlight w:val="none"/>
        </w:rPr>
        <w:t>（无固定格式，投标人自拟）</w:t>
      </w:r>
    </w:p>
    <w:p>
      <w:pPr>
        <w:jc w:val="center"/>
        <w:rPr>
          <w:rFonts w:ascii="仿宋" w:hAnsi="仿宋" w:eastAsia="仿宋" w:cs="仿宋"/>
          <w:b/>
          <w:bCs/>
          <w:sz w:val="30"/>
          <w:szCs w:val="30"/>
          <w:highlight w:val="none"/>
        </w:rPr>
      </w:pPr>
    </w:p>
    <w:p>
      <w:pPr>
        <w:jc w:val="center"/>
        <w:rPr>
          <w:rFonts w:ascii="仿宋" w:hAnsi="仿宋" w:eastAsia="仿宋" w:cs="仿宋"/>
          <w:b/>
          <w:bCs/>
          <w:sz w:val="30"/>
          <w:szCs w:val="30"/>
          <w:highlight w:val="none"/>
        </w:rPr>
      </w:pPr>
    </w:p>
    <w:p>
      <w:pPr>
        <w:jc w:val="center"/>
        <w:rPr>
          <w:rFonts w:ascii="仿宋" w:hAnsi="仿宋" w:eastAsia="仿宋" w:cs="仿宋"/>
          <w:b/>
          <w:highlight w:val="none"/>
        </w:rPr>
      </w:pPr>
      <w:r>
        <w:rPr>
          <w:rFonts w:hint="eastAsia" w:ascii="仿宋" w:hAnsi="仿宋" w:eastAsia="仿宋" w:cs="仿宋"/>
          <w:b/>
          <w:bCs/>
          <w:sz w:val="30"/>
          <w:szCs w:val="30"/>
          <w:highlight w:val="none"/>
        </w:rPr>
        <w:t>八、加油站软件服务方案</w:t>
      </w:r>
    </w:p>
    <w:p>
      <w:pPr>
        <w:jc w:val="center"/>
        <w:rPr>
          <w:rFonts w:ascii="仿宋" w:hAnsi="仿宋" w:eastAsia="仿宋" w:cs="仿宋"/>
          <w:b/>
          <w:sz w:val="32"/>
          <w:szCs w:val="32"/>
          <w:highlight w:val="none"/>
        </w:rPr>
      </w:pPr>
      <w:r>
        <w:rPr>
          <w:rFonts w:hint="eastAsia" w:ascii="仿宋" w:hAnsi="仿宋" w:eastAsia="仿宋" w:cs="仿宋"/>
          <w:highlight w:val="none"/>
        </w:rPr>
        <w:t>（无固定格式，投标人自拟）</w:t>
      </w:r>
      <w:r>
        <w:rPr>
          <w:rFonts w:hint="eastAsia" w:ascii="仿宋" w:hAnsi="仿宋" w:eastAsia="仿宋" w:cs="仿宋"/>
          <w:b/>
          <w:sz w:val="32"/>
          <w:szCs w:val="32"/>
          <w:highlight w:val="none"/>
        </w:rPr>
        <w:br w:type="page"/>
      </w:r>
    </w:p>
    <w:p>
      <w:pPr>
        <w:numPr>
          <w:ilvl w:val="0"/>
          <w:numId w:val="3"/>
        </w:numPr>
        <w:spacing w:line="360" w:lineRule="auto"/>
        <w:outlineLvl w:val="0"/>
        <w:rPr>
          <w:rFonts w:ascii="仿宋" w:hAnsi="仿宋" w:eastAsia="仿宋" w:cs="仿宋"/>
          <w:b/>
          <w:sz w:val="32"/>
          <w:szCs w:val="32"/>
          <w:highlight w:val="none"/>
        </w:rPr>
      </w:pPr>
      <w:r>
        <w:rPr>
          <w:rFonts w:hint="eastAsia" w:ascii="仿宋" w:hAnsi="仿宋" w:eastAsia="仿宋" w:cs="仿宋"/>
          <w:b/>
          <w:sz w:val="32"/>
          <w:szCs w:val="32"/>
          <w:highlight w:val="none"/>
        </w:rPr>
        <w:t xml:space="preserve">  </w:t>
      </w:r>
      <w:bookmarkStart w:id="122" w:name="_Toc1875"/>
      <w:r>
        <w:rPr>
          <w:rFonts w:hint="eastAsia" w:ascii="仿宋" w:hAnsi="仿宋" w:eastAsia="仿宋" w:cs="仿宋"/>
          <w:b/>
          <w:sz w:val="32"/>
          <w:szCs w:val="32"/>
          <w:highlight w:val="none"/>
        </w:rPr>
        <w:t>技术部分</w:t>
      </w:r>
      <w:bookmarkEnd w:id="121"/>
      <w:bookmarkEnd w:id="122"/>
    </w:p>
    <w:bookmarkEnd w:id="107"/>
    <w:bookmarkEnd w:id="108"/>
    <w:bookmarkEnd w:id="109"/>
    <w:bookmarkEnd w:id="110"/>
    <w:bookmarkEnd w:id="111"/>
    <w:bookmarkEnd w:id="112"/>
    <w:bookmarkEnd w:id="113"/>
    <w:p>
      <w:pPr>
        <w:pStyle w:val="4"/>
        <w:spacing w:line="360" w:lineRule="auto"/>
        <w:ind w:firstLine="602"/>
        <w:jc w:val="center"/>
        <w:rPr>
          <w:rFonts w:ascii="仿宋" w:hAnsi="仿宋" w:eastAsia="仿宋" w:cs="仿宋"/>
          <w:sz w:val="30"/>
          <w:szCs w:val="30"/>
          <w:highlight w:val="none"/>
        </w:rPr>
      </w:pPr>
      <w:r>
        <w:rPr>
          <w:rFonts w:hint="eastAsia" w:ascii="仿宋" w:hAnsi="仿宋" w:eastAsia="仿宋" w:cs="仿宋"/>
          <w:sz w:val="30"/>
          <w:szCs w:val="30"/>
          <w:highlight w:val="none"/>
        </w:rPr>
        <w:t>1、技术规格偏离表</w:t>
      </w:r>
    </w:p>
    <w:p>
      <w:pPr>
        <w:spacing w:line="360" w:lineRule="auto"/>
        <w:ind w:firstLine="480" w:firstLineChars="200"/>
        <w:rPr>
          <w:rFonts w:ascii="仿宋" w:hAnsi="仿宋" w:eastAsia="仿宋" w:cs="仿宋"/>
          <w:color w:val="000000"/>
          <w:highlight w:val="none"/>
        </w:rPr>
      </w:pPr>
      <w:r>
        <w:rPr>
          <w:rFonts w:hint="eastAsia" w:ascii="仿宋" w:hAnsi="仿宋" w:eastAsia="仿宋" w:cs="仿宋"/>
          <w:color w:val="000000"/>
          <w:highlight w:val="none"/>
        </w:rPr>
        <w:t>供应商应按所投产品的实际技术参数，对应采购文件的第五章“技术参数”中要求的技术规范如实、完整、准确的填写该表，该表不能作为所投产品的技术文件。</w:t>
      </w:r>
    </w:p>
    <w:p>
      <w:pPr>
        <w:pStyle w:val="18"/>
        <w:ind w:firstLine="240" w:firstLineChars="100"/>
        <w:rPr>
          <w:rFonts w:ascii="仿宋" w:hAnsi="仿宋" w:eastAsia="仿宋" w:cs="仿宋"/>
          <w:szCs w:val="24"/>
          <w:highlight w:val="none"/>
        </w:rPr>
      </w:pPr>
    </w:p>
    <w:p>
      <w:pPr>
        <w:pStyle w:val="18"/>
        <w:rPr>
          <w:rFonts w:ascii="仿宋" w:hAnsi="仿宋" w:eastAsia="仿宋" w:cs="仿宋"/>
          <w:b/>
          <w:szCs w:val="24"/>
          <w:highlight w:val="none"/>
        </w:rPr>
      </w:pPr>
      <w:r>
        <w:rPr>
          <w:rFonts w:hint="eastAsia" w:ascii="仿宋" w:hAnsi="仿宋" w:eastAsia="仿宋" w:cs="仿宋"/>
          <w:b/>
          <w:szCs w:val="24"/>
          <w:highlight w:val="none"/>
        </w:rPr>
        <w:t>项目名称：</w:t>
      </w:r>
    </w:p>
    <w:p>
      <w:pPr>
        <w:pStyle w:val="18"/>
        <w:rPr>
          <w:rFonts w:ascii="仿宋" w:hAnsi="仿宋" w:eastAsia="仿宋" w:cs="仿宋"/>
          <w:b/>
          <w:szCs w:val="24"/>
          <w:highlight w:val="none"/>
          <w:u w:val="single"/>
        </w:rPr>
      </w:pPr>
      <w:r>
        <w:rPr>
          <w:rFonts w:hint="eastAsia" w:ascii="仿宋" w:hAnsi="仿宋" w:eastAsia="仿宋" w:cs="仿宋"/>
          <w:b/>
          <w:szCs w:val="24"/>
          <w:highlight w:val="none"/>
        </w:rPr>
        <w:t>项目编号：</w:t>
      </w:r>
    </w:p>
    <w:tbl>
      <w:tblPr>
        <w:tblStyle w:val="33"/>
        <w:tblW w:w="5000" w:type="pct"/>
        <w:tblInd w:w="0" w:type="dxa"/>
        <w:tblLayout w:type="autofit"/>
        <w:tblCellMar>
          <w:top w:w="0" w:type="dxa"/>
          <w:left w:w="108" w:type="dxa"/>
          <w:bottom w:w="0" w:type="dxa"/>
          <w:right w:w="108" w:type="dxa"/>
        </w:tblCellMar>
      </w:tblPr>
      <w:tblGrid>
        <w:gridCol w:w="1547"/>
        <w:gridCol w:w="1547"/>
        <w:gridCol w:w="1548"/>
        <w:gridCol w:w="1548"/>
        <w:gridCol w:w="1548"/>
        <w:gridCol w:w="1548"/>
      </w:tblGrid>
      <w:tr>
        <w:tblPrEx>
          <w:tblCellMar>
            <w:top w:w="0" w:type="dxa"/>
            <w:left w:w="108" w:type="dxa"/>
            <w:bottom w:w="0" w:type="dxa"/>
            <w:right w:w="108" w:type="dxa"/>
          </w:tblCellMar>
        </w:tblPrEx>
        <w:trPr>
          <w:trHeight w:val="1440" w:hRule="atLeast"/>
        </w:trPr>
        <w:tc>
          <w:tcPr>
            <w:tcW w:w="833" w:type="pct"/>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jc w:val="center"/>
              <w:rPr>
                <w:rFonts w:ascii="仿宋" w:hAnsi="仿宋" w:eastAsia="仿宋" w:cs="宋体"/>
                <w:b/>
                <w:bCs/>
                <w:color w:val="000000"/>
                <w:kern w:val="0"/>
                <w:highlight w:val="none"/>
              </w:rPr>
            </w:pPr>
            <w:r>
              <w:rPr>
                <w:rFonts w:hint="eastAsia" w:ascii="仿宋" w:hAnsi="仿宋" w:eastAsia="仿宋" w:cs="宋体"/>
                <w:b/>
                <w:bCs/>
                <w:color w:val="000000"/>
                <w:kern w:val="0"/>
                <w:highlight w:val="none"/>
              </w:rPr>
              <w:t>序号</w:t>
            </w:r>
          </w:p>
        </w:tc>
        <w:tc>
          <w:tcPr>
            <w:tcW w:w="833" w:type="pct"/>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宋体"/>
                <w:b/>
                <w:bCs/>
                <w:color w:val="000000"/>
                <w:kern w:val="0"/>
                <w:highlight w:val="none"/>
              </w:rPr>
            </w:pPr>
            <w:r>
              <w:rPr>
                <w:rFonts w:hint="eastAsia" w:ascii="仿宋" w:hAnsi="仿宋" w:eastAsia="仿宋" w:cs="宋体"/>
                <w:b/>
                <w:bCs/>
                <w:color w:val="000000"/>
                <w:kern w:val="0"/>
                <w:highlight w:val="none"/>
              </w:rPr>
              <w:t>产品名称</w:t>
            </w:r>
          </w:p>
        </w:tc>
        <w:tc>
          <w:tcPr>
            <w:tcW w:w="833" w:type="pct"/>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宋体"/>
                <w:b/>
                <w:bCs/>
                <w:color w:val="000000"/>
                <w:kern w:val="0"/>
                <w:highlight w:val="none"/>
              </w:rPr>
            </w:pPr>
            <w:r>
              <w:rPr>
                <w:rFonts w:hint="eastAsia" w:ascii="仿宋" w:hAnsi="仿宋" w:eastAsia="仿宋" w:cs="宋体"/>
                <w:b/>
                <w:bCs/>
                <w:color w:val="000000"/>
                <w:kern w:val="0"/>
                <w:highlight w:val="none"/>
              </w:rPr>
              <w:t>采购文件技术规范、要求</w:t>
            </w:r>
          </w:p>
        </w:tc>
        <w:tc>
          <w:tcPr>
            <w:tcW w:w="833" w:type="pct"/>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宋体"/>
                <w:b/>
                <w:bCs/>
                <w:color w:val="000000"/>
                <w:kern w:val="0"/>
                <w:highlight w:val="none"/>
              </w:rPr>
            </w:pPr>
            <w:r>
              <w:rPr>
                <w:rFonts w:hint="eastAsia" w:ascii="仿宋" w:hAnsi="仿宋" w:eastAsia="仿宋" w:cs="宋体"/>
                <w:b/>
                <w:bCs/>
                <w:color w:val="000000"/>
                <w:kern w:val="0"/>
                <w:highlight w:val="none"/>
              </w:rPr>
              <w:t>响应品牌、型号、技术参数及配置</w:t>
            </w:r>
          </w:p>
        </w:tc>
        <w:tc>
          <w:tcPr>
            <w:tcW w:w="833" w:type="pct"/>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宋体"/>
                <w:b/>
                <w:bCs/>
                <w:color w:val="000000"/>
                <w:kern w:val="0"/>
                <w:highlight w:val="none"/>
              </w:rPr>
            </w:pPr>
            <w:r>
              <w:rPr>
                <w:rFonts w:hint="eastAsia" w:ascii="仿宋" w:hAnsi="仿宋" w:eastAsia="仿宋" w:cs="宋体"/>
                <w:b/>
                <w:bCs/>
                <w:color w:val="000000"/>
                <w:kern w:val="0"/>
                <w:highlight w:val="none"/>
              </w:rPr>
              <w:t>偏离</w:t>
            </w:r>
          </w:p>
        </w:tc>
        <w:tc>
          <w:tcPr>
            <w:tcW w:w="833" w:type="pct"/>
            <w:tcBorders>
              <w:top w:val="single" w:color="000000" w:sz="8" w:space="0"/>
              <w:left w:val="nil"/>
              <w:bottom w:val="single" w:color="000000" w:sz="8" w:space="0"/>
              <w:right w:val="single" w:color="000000" w:sz="8" w:space="0"/>
            </w:tcBorders>
            <w:shd w:val="clear" w:color="auto" w:fill="auto"/>
            <w:vAlign w:val="center"/>
          </w:tcPr>
          <w:p>
            <w:pPr>
              <w:widowControl/>
              <w:jc w:val="center"/>
              <w:rPr>
                <w:rFonts w:hint="eastAsia" w:ascii="仿宋" w:hAnsi="仿宋" w:eastAsia="仿宋" w:cs="宋体"/>
                <w:b/>
                <w:bCs/>
                <w:color w:val="000000"/>
                <w:kern w:val="0"/>
                <w:highlight w:val="none"/>
              </w:rPr>
            </w:pPr>
            <w:r>
              <w:rPr>
                <w:rFonts w:hint="eastAsia" w:ascii="仿宋" w:hAnsi="仿宋" w:eastAsia="仿宋" w:cs="宋体"/>
                <w:b/>
                <w:bCs/>
                <w:color w:val="000000"/>
                <w:kern w:val="0"/>
                <w:highlight w:val="none"/>
              </w:rPr>
              <w:t>说明</w:t>
            </w:r>
          </w:p>
        </w:tc>
      </w:tr>
      <w:tr>
        <w:tblPrEx>
          <w:tblCellMar>
            <w:top w:w="0" w:type="dxa"/>
            <w:left w:w="108" w:type="dxa"/>
            <w:bottom w:w="0" w:type="dxa"/>
            <w:right w:w="108" w:type="dxa"/>
          </w:tblCellMar>
        </w:tblPrEx>
        <w:trPr>
          <w:trHeight w:val="300" w:hRule="atLeast"/>
        </w:trPr>
        <w:tc>
          <w:tcPr>
            <w:tcW w:w="833" w:type="pct"/>
            <w:tcBorders>
              <w:top w:val="nil"/>
              <w:left w:val="single" w:color="000000" w:sz="8" w:space="0"/>
              <w:bottom w:val="single" w:color="000000" w:sz="8" w:space="0"/>
              <w:right w:val="single" w:color="000000" w:sz="8" w:space="0"/>
            </w:tcBorders>
            <w:shd w:val="clear" w:color="auto" w:fill="auto"/>
            <w:vAlign w:val="bottom"/>
          </w:tcPr>
          <w:p>
            <w:pPr>
              <w:widowControl/>
              <w:jc w:val="center"/>
              <w:rPr>
                <w:rFonts w:hint="eastAsia" w:ascii="仿宋" w:hAnsi="仿宋" w:eastAsia="仿宋" w:cs="宋体"/>
                <w:b/>
                <w:bCs/>
                <w:color w:val="000000"/>
                <w:kern w:val="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tcPr>
          <w:p>
            <w:pPr>
              <w:widowControl/>
              <w:jc w:val="center"/>
              <w:rPr>
                <w:rFonts w:ascii="Times New Roman" w:hAnsi="Times New Roman" w:eastAsia="Times New Roman"/>
                <w:kern w:val="0"/>
                <w:sz w:val="20"/>
                <w:szCs w:val="20"/>
                <w:highlight w:val="none"/>
              </w:rPr>
            </w:pPr>
          </w:p>
        </w:tc>
        <w:tc>
          <w:tcPr>
            <w:tcW w:w="833"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r>
      <w:tr>
        <w:tblPrEx>
          <w:tblCellMar>
            <w:top w:w="0" w:type="dxa"/>
            <w:left w:w="108" w:type="dxa"/>
            <w:bottom w:w="0" w:type="dxa"/>
            <w:right w:w="108" w:type="dxa"/>
          </w:tblCellMar>
        </w:tblPrEx>
        <w:trPr>
          <w:trHeight w:val="300" w:hRule="atLeast"/>
        </w:trPr>
        <w:tc>
          <w:tcPr>
            <w:tcW w:w="833" w:type="pct"/>
            <w:tcBorders>
              <w:top w:val="nil"/>
              <w:left w:val="single" w:color="000000" w:sz="8" w:space="0"/>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tcPr>
          <w:p>
            <w:pPr>
              <w:widowControl/>
              <w:jc w:val="center"/>
              <w:rPr>
                <w:rFonts w:ascii="Times New Roman" w:hAnsi="Times New Roman" w:eastAsia="Times New Roman"/>
                <w:kern w:val="0"/>
                <w:sz w:val="20"/>
                <w:szCs w:val="20"/>
                <w:highlight w:val="none"/>
              </w:rPr>
            </w:pPr>
          </w:p>
        </w:tc>
        <w:tc>
          <w:tcPr>
            <w:tcW w:w="833"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r>
      <w:tr>
        <w:tblPrEx>
          <w:tblCellMar>
            <w:top w:w="0" w:type="dxa"/>
            <w:left w:w="108" w:type="dxa"/>
            <w:bottom w:w="0" w:type="dxa"/>
            <w:right w:w="108" w:type="dxa"/>
          </w:tblCellMar>
        </w:tblPrEx>
        <w:trPr>
          <w:trHeight w:val="300" w:hRule="atLeast"/>
        </w:trPr>
        <w:tc>
          <w:tcPr>
            <w:tcW w:w="833" w:type="pct"/>
            <w:tcBorders>
              <w:top w:val="nil"/>
              <w:left w:val="single" w:color="000000" w:sz="8" w:space="0"/>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c>
          <w:tcPr>
            <w:tcW w:w="833" w:type="pct"/>
            <w:tcBorders>
              <w:top w:val="nil"/>
              <w:left w:val="nil"/>
              <w:bottom w:val="single" w:color="000000" w:sz="8" w:space="0"/>
              <w:right w:val="single" w:color="000000" w:sz="8" w:space="0"/>
            </w:tcBorders>
            <w:shd w:val="clear" w:color="auto" w:fill="auto"/>
          </w:tcPr>
          <w:p>
            <w:pPr>
              <w:widowControl/>
              <w:jc w:val="center"/>
              <w:rPr>
                <w:rFonts w:ascii="Times New Roman" w:hAnsi="Times New Roman" w:eastAsia="Times New Roman"/>
                <w:kern w:val="0"/>
                <w:sz w:val="20"/>
                <w:szCs w:val="20"/>
                <w:highlight w:val="none"/>
              </w:rPr>
            </w:pPr>
          </w:p>
        </w:tc>
        <w:tc>
          <w:tcPr>
            <w:tcW w:w="833" w:type="pct"/>
            <w:tcBorders>
              <w:top w:val="single" w:color="000000" w:sz="8" w:space="0"/>
              <w:left w:val="nil"/>
              <w:bottom w:val="single" w:color="000000" w:sz="8" w:space="0"/>
              <w:right w:val="single" w:color="000000" w:sz="8" w:space="0"/>
            </w:tcBorders>
            <w:shd w:val="clear" w:color="auto" w:fill="auto"/>
            <w:vAlign w:val="bottom"/>
          </w:tcPr>
          <w:p>
            <w:pPr>
              <w:widowControl/>
              <w:jc w:val="center"/>
              <w:rPr>
                <w:rFonts w:ascii="Times New Roman" w:hAnsi="Times New Roman" w:eastAsia="Times New Roman"/>
                <w:kern w:val="0"/>
                <w:sz w:val="20"/>
                <w:szCs w:val="20"/>
                <w:highlight w:val="none"/>
              </w:rPr>
            </w:pPr>
          </w:p>
        </w:tc>
      </w:tr>
    </w:tbl>
    <w:p>
      <w:pPr>
        <w:pStyle w:val="18"/>
        <w:rPr>
          <w:rFonts w:ascii="仿宋" w:hAnsi="仿宋" w:eastAsia="仿宋" w:cs="仿宋"/>
          <w:szCs w:val="24"/>
          <w:highlight w:val="none"/>
        </w:rPr>
      </w:pPr>
    </w:p>
    <w:p>
      <w:pPr>
        <w:pStyle w:val="18"/>
        <w:rPr>
          <w:rFonts w:ascii="仿宋" w:hAnsi="仿宋" w:eastAsia="仿宋" w:cs="仿宋"/>
          <w:szCs w:val="24"/>
          <w:highlight w:val="none"/>
        </w:rPr>
      </w:pPr>
      <w:r>
        <w:rPr>
          <w:rFonts w:hint="eastAsia" w:ascii="仿宋" w:hAnsi="仿宋" w:eastAsia="仿宋" w:cs="仿宋"/>
          <w:szCs w:val="24"/>
          <w:highlight w:val="none"/>
        </w:rPr>
        <w:t>表格填写说明：</w:t>
      </w:r>
    </w:p>
    <w:p>
      <w:pPr>
        <w:pStyle w:val="18"/>
        <w:ind w:firstLine="480" w:firstLineChars="200"/>
        <w:rPr>
          <w:rFonts w:ascii="仿宋" w:hAnsi="仿宋" w:eastAsia="仿宋" w:cs="仿宋"/>
          <w:szCs w:val="24"/>
          <w:highlight w:val="none"/>
        </w:rPr>
      </w:pPr>
      <w:r>
        <w:rPr>
          <w:rFonts w:hint="eastAsia" w:ascii="仿宋" w:hAnsi="仿宋" w:eastAsia="仿宋" w:cs="仿宋"/>
          <w:szCs w:val="24"/>
          <w:highlight w:val="none"/>
        </w:rPr>
        <w:t>1、表格中“货物名称”及“采购文件技术规范、要求”可按“技术要求”内容复制。</w:t>
      </w:r>
    </w:p>
    <w:p>
      <w:pPr>
        <w:pStyle w:val="18"/>
        <w:ind w:firstLine="480" w:firstLineChars="200"/>
        <w:rPr>
          <w:rFonts w:ascii="仿宋" w:hAnsi="仿宋" w:eastAsia="仿宋" w:cs="仿宋"/>
          <w:szCs w:val="24"/>
          <w:highlight w:val="none"/>
        </w:rPr>
      </w:pPr>
      <w:r>
        <w:rPr>
          <w:rFonts w:hint="eastAsia" w:ascii="仿宋" w:hAnsi="仿宋" w:eastAsia="仿宋" w:cs="仿宋"/>
          <w:szCs w:val="24"/>
          <w:highlight w:val="none"/>
        </w:rPr>
        <w:t>2、表格中“投标品牌、型号、技术参数及配置”请供应商根据实际投标情况如实、完整、准确地填写，请勿复制、粘贴招标要求。若由于供应商的疏忽大意或未能完整、如实填写，导致的一切后果由供应商自行承担。</w:t>
      </w:r>
    </w:p>
    <w:p>
      <w:pPr>
        <w:pStyle w:val="18"/>
        <w:ind w:firstLine="480" w:firstLineChars="200"/>
        <w:rPr>
          <w:rFonts w:ascii="仿宋" w:hAnsi="仿宋" w:eastAsia="仿宋" w:cs="仿宋"/>
          <w:szCs w:val="24"/>
          <w:highlight w:val="none"/>
        </w:rPr>
      </w:pPr>
      <w:r>
        <w:rPr>
          <w:rFonts w:hint="eastAsia" w:ascii="仿宋" w:hAnsi="仿宋" w:eastAsia="仿宋" w:cs="仿宋"/>
          <w:szCs w:val="24"/>
          <w:highlight w:val="none"/>
        </w:rPr>
        <w:t>3、表格中“偏离”部分，供应商只能如实填写“正偏离”、“负偏离”或“无偏离”。凡投标内容与采购文件要求有区别的在说明栏中写明技术指标。</w:t>
      </w:r>
    </w:p>
    <w:p>
      <w:pPr>
        <w:pStyle w:val="18"/>
        <w:ind w:firstLine="480" w:firstLineChars="200"/>
        <w:rPr>
          <w:rFonts w:hAnsi="宋体"/>
          <w:bCs/>
          <w:szCs w:val="24"/>
          <w:highlight w:val="none"/>
        </w:rPr>
      </w:pPr>
      <w:r>
        <w:rPr>
          <w:rFonts w:hint="eastAsia" w:ascii="仿宋" w:hAnsi="仿宋" w:eastAsia="仿宋" w:cs="仿宋"/>
          <w:szCs w:val="24"/>
          <w:highlight w:val="none"/>
        </w:rPr>
        <w:t>4、采购文件第三章技术参数要求提供最新技术支持资料支持参数技术规格偏离表应答，技术支持材料包括：</w:t>
      </w:r>
      <w:r>
        <w:rPr>
          <w:rFonts w:hint="eastAsia" w:ascii="仿宋" w:hAnsi="仿宋" w:eastAsia="仿宋" w:cs="仿宋"/>
          <w:bCs/>
          <w:szCs w:val="24"/>
          <w:highlight w:val="none"/>
        </w:rPr>
        <w:t>采购文件技术参数内明确要求提供的证明材料，未明确的可提供制造商公开发布的印刷资料（彩页或产品宣传册）或检测(检验)报告或官方网站发布的技术资料截图或公开印刷的详细说明书（非自行拟定）或功能界面截图。若响应文件中技术支持资料参数与技术规格偏离表应答不符或无上述技术支持资料，视为不响应该条技术参数。</w:t>
      </w:r>
    </w:p>
    <w:p>
      <w:pPr>
        <w:rPr>
          <w:rFonts w:ascii="仿宋" w:hAnsi="仿宋" w:eastAsia="仿宋" w:cs="仿宋"/>
          <w:highlight w:val="none"/>
        </w:rPr>
      </w:pPr>
      <w:r>
        <w:rPr>
          <w:rFonts w:hint="eastAsia" w:ascii="仿宋" w:hAnsi="仿宋" w:eastAsia="仿宋" w:cs="仿宋"/>
          <w:highlight w:val="none"/>
        </w:rPr>
        <w:br w:type="page"/>
      </w:r>
    </w:p>
    <w:p>
      <w:pPr>
        <w:pStyle w:val="2"/>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2、其他资料</w:t>
      </w:r>
    </w:p>
    <w:p>
      <w:pPr>
        <w:pStyle w:val="2"/>
        <w:jc w:val="center"/>
        <w:rPr>
          <w:highlight w:val="none"/>
        </w:rPr>
      </w:pPr>
      <w:r>
        <w:rPr>
          <w:rFonts w:hint="eastAsia" w:ascii="仿宋" w:hAnsi="仿宋" w:eastAsia="仿宋" w:cs="仿宋"/>
          <w:b/>
          <w:bCs/>
          <w:sz w:val="28"/>
          <w:szCs w:val="28"/>
          <w:highlight w:val="none"/>
        </w:rPr>
        <w:t>（投标人认为需要提供的其他资料）</w:t>
      </w:r>
    </w:p>
    <w:sectPr>
      <w:headerReference r:id="rId7" w:type="default"/>
      <w:footerReference r:id="rId8" w:type="default"/>
      <w:pgSz w:w="11906" w:h="16838"/>
      <w:pgMar w:top="1440" w:right="1418" w:bottom="1440" w:left="1418" w:header="1247" w:footer="96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embedRegular r:id="rId1" w:fontKey="{5CDDDD8A-6614-438F-A7F6-DDE62E0A79E2}"/>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MS Sans Serif">
    <w:altName w:val="Arial"/>
    <w:panose1 w:val="020B0500000000000000"/>
    <w:charset w:val="00"/>
    <w:family w:val="swiss"/>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embedRegular r:id="rId2" w:fontKey="{61B34674-5F21-47B4-AD73-62E6D6C9B264}"/>
  </w:font>
  <w:font w:name="Segoe UI Symbol">
    <w:panose1 w:val="020B0502040204020203"/>
    <w:charset w:val="00"/>
    <w:family w:val="swiss"/>
    <w:pitch w:val="default"/>
    <w:sig w:usb0="800001E3" w:usb1="1200FFEF" w:usb2="00040000" w:usb3="04000000" w:csb0="00000001" w:csb1="40000000"/>
    <w:embedRegular r:id="rId3" w:fontKey="{FCFE50A0-1D8D-403D-B6EE-8BF0397E09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right"/>
      <w:rPr>
        <w:rFonts w:ascii="仿宋" w:hAnsi="仿宋" w:eastAsia="仿宋" w:cs="仿宋"/>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50072413"/>
    </w:sdtPr>
    <w:sdtContent>
      <w:p>
        <w:pPr>
          <w:pStyle w:val="23"/>
          <w:jc w:val="center"/>
        </w:pPr>
        <w:r>
          <w:fldChar w:fldCharType="begin"/>
        </w:r>
        <w:r>
          <w:instrText xml:space="preserve">PAGE   \* MERGEFORMAT</w:instrText>
        </w:r>
        <w:r>
          <w:fldChar w:fldCharType="separate"/>
        </w:r>
        <w:r>
          <w:rPr>
            <w:lang w:val="zh-CN"/>
          </w:rPr>
          <w:t>4</w:t>
        </w:r>
        <w:r>
          <w:rPr>
            <w:lang w:val="zh-CN"/>
          </w:rPr>
          <w:fldChar w:fldCharType="end"/>
        </w:r>
      </w:p>
    </w:sdtContent>
  </w:sdt>
  <w:p>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86</w:t>
    </w:r>
    <w:r>
      <w:rPr>
        <w:lang w:val="zh-CN"/>
      </w:rPr>
      <w:fldChar w:fldCharType="end"/>
    </w:r>
  </w:p>
  <w:p>
    <w:pPr>
      <w:pStyle w:val="23"/>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jc w:val="both"/>
      <w:rPr>
        <w:sz w:val="20"/>
        <w:szCs w:val="21"/>
        <w:u w:val="single"/>
      </w:rPr>
    </w:pPr>
    <w:r>
      <w:rPr>
        <w:rFonts w:hint="eastAsia" w:ascii="宋体" w:hAnsi="宋体"/>
        <w:sz w:val="15"/>
        <w:szCs w:val="21"/>
        <w:u w:val="single"/>
      </w:rPr>
      <w:t>陇川县“互联网+成品油管理云平台”建设项目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4950" w:firstLineChars="3300"/>
      <w:jc w:val="both"/>
      <w:rPr>
        <w:szCs w:val="21"/>
      </w:rPr>
    </w:pPr>
    <w:r>
      <w:rPr>
        <w:rFonts w:hint="eastAsia" w:ascii="宋体" w:hAnsi="宋体"/>
        <w:sz w:val="15"/>
        <w:szCs w:val="21"/>
      </w:rPr>
      <w:t xml:space="preserve">               </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CC370A"/>
    <w:multiLevelType w:val="singleLevel"/>
    <w:tmpl w:val="D7CC370A"/>
    <w:lvl w:ilvl="0" w:tentative="0">
      <w:start w:val="3"/>
      <w:numFmt w:val="decimal"/>
      <w:suff w:val="nothing"/>
      <w:lvlText w:val="%1．"/>
      <w:lvlJc w:val="left"/>
    </w:lvl>
  </w:abstractNum>
  <w:abstractNum w:abstractNumId="1">
    <w:nsid w:val="F26B2EAB"/>
    <w:multiLevelType w:val="singleLevel"/>
    <w:tmpl w:val="F26B2EAB"/>
    <w:lvl w:ilvl="0" w:tentative="0">
      <w:start w:val="3"/>
      <w:numFmt w:val="chineseCounting"/>
      <w:suff w:val="space"/>
      <w:lvlText w:val="第%1部分"/>
      <w:lvlJc w:val="left"/>
      <w:rPr>
        <w:rFonts w:hint="eastAsia"/>
      </w:rPr>
    </w:lvl>
  </w:abstractNum>
  <w:abstractNum w:abstractNumId="2">
    <w:nsid w:val="29CCB261"/>
    <w:multiLevelType w:val="singleLevel"/>
    <w:tmpl w:val="29CCB261"/>
    <w:lvl w:ilvl="0" w:tentative="0">
      <w:start w:val="6"/>
      <w:numFmt w:val="chineseCounting"/>
      <w:suff w:val="space"/>
      <w:lvlText w:val="第%1章"/>
      <w:lvlJc w:val="left"/>
      <w:pPr>
        <w:ind w:left="2679"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 w:name="DocumentID" w:val="{E6DD6180-F0A6-435C-826B-D82E9529DE15}"/>
    <w:docVar w:name="DocumentName" w:val="—1—瑞财行〔2021〕014号——2021年城乡义务教育补助经费（第二批）中央直达资金-德财教〔2021〕143号"/>
  </w:docVars>
  <w:rsids>
    <w:rsidRoot w:val="00352733"/>
    <w:rsid w:val="00001C95"/>
    <w:rsid w:val="00001E32"/>
    <w:rsid w:val="000047ED"/>
    <w:rsid w:val="000075E3"/>
    <w:rsid w:val="00013B14"/>
    <w:rsid w:val="00013C12"/>
    <w:rsid w:val="00014DDE"/>
    <w:rsid w:val="00022AEC"/>
    <w:rsid w:val="00023672"/>
    <w:rsid w:val="000302AE"/>
    <w:rsid w:val="00030999"/>
    <w:rsid w:val="00030A54"/>
    <w:rsid w:val="00031F36"/>
    <w:rsid w:val="00032279"/>
    <w:rsid w:val="00032D8F"/>
    <w:rsid w:val="000341FC"/>
    <w:rsid w:val="0004231A"/>
    <w:rsid w:val="000458DC"/>
    <w:rsid w:val="00046499"/>
    <w:rsid w:val="0004724C"/>
    <w:rsid w:val="0005042B"/>
    <w:rsid w:val="0005142A"/>
    <w:rsid w:val="000558B0"/>
    <w:rsid w:val="00055EC5"/>
    <w:rsid w:val="000579D8"/>
    <w:rsid w:val="00060D94"/>
    <w:rsid w:val="00065B6F"/>
    <w:rsid w:val="0006629E"/>
    <w:rsid w:val="000672D6"/>
    <w:rsid w:val="00071376"/>
    <w:rsid w:val="00071E5D"/>
    <w:rsid w:val="0007663D"/>
    <w:rsid w:val="00077625"/>
    <w:rsid w:val="00081103"/>
    <w:rsid w:val="000858F4"/>
    <w:rsid w:val="00086054"/>
    <w:rsid w:val="000872DE"/>
    <w:rsid w:val="00087FF0"/>
    <w:rsid w:val="00094CD0"/>
    <w:rsid w:val="0009708F"/>
    <w:rsid w:val="000A4A2F"/>
    <w:rsid w:val="000A7250"/>
    <w:rsid w:val="000B0C99"/>
    <w:rsid w:val="000B1FA2"/>
    <w:rsid w:val="000B5DF4"/>
    <w:rsid w:val="000B6E50"/>
    <w:rsid w:val="000C0577"/>
    <w:rsid w:val="000C0C8C"/>
    <w:rsid w:val="000C14C4"/>
    <w:rsid w:val="000C59AD"/>
    <w:rsid w:val="000C5A71"/>
    <w:rsid w:val="000C7930"/>
    <w:rsid w:val="000C7D5B"/>
    <w:rsid w:val="000D22B3"/>
    <w:rsid w:val="000D31DA"/>
    <w:rsid w:val="000D386F"/>
    <w:rsid w:val="000D4A7B"/>
    <w:rsid w:val="000D58DB"/>
    <w:rsid w:val="000D7D0E"/>
    <w:rsid w:val="000E0513"/>
    <w:rsid w:val="000E2DC6"/>
    <w:rsid w:val="000E6058"/>
    <w:rsid w:val="000E60EA"/>
    <w:rsid w:val="000E6677"/>
    <w:rsid w:val="000E773F"/>
    <w:rsid w:val="000E7F15"/>
    <w:rsid w:val="000F0FCB"/>
    <w:rsid w:val="000F2C3A"/>
    <w:rsid w:val="000F328E"/>
    <w:rsid w:val="000F52CA"/>
    <w:rsid w:val="000F6137"/>
    <w:rsid w:val="000F75CA"/>
    <w:rsid w:val="00101B52"/>
    <w:rsid w:val="00101CAF"/>
    <w:rsid w:val="0011098E"/>
    <w:rsid w:val="00111BB9"/>
    <w:rsid w:val="00112577"/>
    <w:rsid w:val="001136E3"/>
    <w:rsid w:val="001144F5"/>
    <w:rsid w:val="00116A46"/>
    <w:rsid w:val="00116BFA"/>
    <w:rsid w:val="00116DD3"/>
    <w:rsid w:val="00117236"/>
    <w:rsid w:val="00120F0D"/>
    <w:rsid w:val="001211F0"/>
    <w:rsid w:val="0012370F"/>
    <w:rsid w:val="00126DD8"/>
    <w:rsid w:val="0013181B"/>
    <w:rsid w:val="001323A0"/>
    <w:rsid w:val="0013266B"/>
    <w:rsid w:val="00140B71"/>
    <w:rsid w:val="0014134E"/>
    <w:rsid w:val="001430BD"/>
    <w:rsid w:val="00143E85"/>
    <w:rsid w:val="00144BA2"/>
    <w:rsid w:val="001451DA"/>
    <w:rsid w:val="00145F18"/>
    <w:rsid w:val="00147480"/>
    <w:rsid w:val="001478F0"/>
    <w:rsid w:val="00151E7D"/>
    <w:rsid w:val="00152161"/>
    <w:rsid w:val="00153DB3"/>
    <w:rsid w:val="00155A4B"/>
    <w:rsid w:val="00156E4F"/>
    <w:rsid w:val="00162208"/>
    <w:rsid w:val="00166ABE"/>
    <w:rsid w:val="00172012"/>
    <w:rsid w:val="001732C8"/>
    <w:rsid w:val="00173F41"/>
    <w:rsid w:val="00175202"/>
    <w:rsid w:val="00175272"/>
    <w:rsid w:val="00175D42"/>
    <w:rsid w:val="00176857"/>
    <w:rsid w:val="00180BFB"/>
    <w:rsid w:val="0018258F"/>
    <w:rsid w:val="0018613A"/>
    <w:rsid w:val="00190DB8"/>
    <w:rsid w:val="00194157"/>
    <w:rsid w:val="00196316"/>
    <w:rsid w:val="001A2099"/>
    <w:rsid w:val="001A21CE"/>
    <w:rsid w:val="001A2B1A"/>
    <w:rsid w:val="001B6615"/>
    <w:rsid w:val="001C00FB"/>
    <w:rsid w:val="001C5ABD"/>
    <w:rsid w:val="001D162A"/>
    <w:rsid w:val="001D2163"/>
    <w:rsid w:val="001D34B3"/>
    <w:rsid w:val="001D3D1E"/>
    <w:rsid w:val="001D4CAD"/>
    <w:rsid w:val="001D551B"/>
    <w:rsid w:val="001D7635"/>
    <w:rsid w:val="001E37F6"/>
    <w:rsid w:val="001E528F"/>
    <w:rsid w:val="001E56D6"/>
    <w:rsid w:val="001F0A1E"/>
    <w:rsid w:val="001F666D"/>
    <w:rsid w:val="001F7ACD"/>
    <w:rsid w:val="00202160"/>
    <w:rsid w:val="002026B7"/>
    <w:rsid w:val="00202BDD"/>
    <w:rsid w:val="002034DC"/>
    <w:rsid w:val="00204089"/>
    <w:rsid w:val="00204D29"/>
    <w:rsid w:val="00205E8E"/>
    <w:rsid w:val="00206942"/>
    <w:rsid w:val="0021317C"/>
    <w:rsid w:val="002159EB"/>
    <w:rsid w:val="00215DB9"/>
    <w:rsid w:val="00215E20"/>
    <w:rsid w:val="00215E22"/>
    <w:rsid w:val="0022204D"/>
    <w:rsid w:val="00227EBD"/>
    <w:rsid w:val="0023099A"/>
    <w:rsid w:val="00231BEB"/>
    <w:rsid w:val="00232C6B"/>
    <w:rsid w:val="00232F32"/>
    <w:rsid w:val="00234AC3"/>
    <w:rsid w:val="00235B32"/>
    <w:rsid w:val="002360BB"/>
    <w:rsid w:val="00240DC6"/>
    <w:rsid w:val="00243991"/>
    <w:rsid w:val="00243D10"/>
    <w:rsid w:val="002502F4"/>
    <w:rsid w:val="00250456"/>
    <w:rsid w:val="00250D0E"/>
    <w:rsid w:val="002541BF"/>
    <w:rsid w:val="0025665A"/>
    <w:rsid w:val="0025728E"/>
    <w:rsid w:val="002578B0"/>
    <w:rsid w:val="00257CDA"/>
    <w:rsid w:val="002631CA"/>
    <w:rsid w:val="00266999"/>
    <w:rsid w:val="00270250"/>
    <w:rsid w:val="0027053F"/>
    <w:rsid w:val="00271037"/>
    <w:rsid w:val="002719F1"/>
    <w:rsid w:val="002729AE"/>
    <w:rsid w:val="00273AFB"/>
    <w:rsid w:val="00283416"/>
    <w:rsid w:val="00283C67"/>
    <w:rsid w:val="00285B6E"/>
    <w:rsid w:val="00286A29"/>
    <w:rsid w:val="00287E76"/>
    <w:rsid w:val="00294513"/>
    <w:rsid w:val="002A07CD"/>
    <w:rsid w:val="002A1AFE"/>
    <w:rsid w:val="002A2109"/>
    <w:rsid w:val="002A43C3"/>
    <w:rsid w:val="002A64F5"/>
    <w:rsid w:val="002A69D1"/>
    <w:rsid w:val="002B28DE"/>
    <w:rsid w:val="002B29B8"/>
    <w:rsid w:val="002B2DAD"/>
    <w:rsid w:val="002B7A2A"/>
    <w:rsid w:val="002C0B0D"/>
    <w:rsid w:val="002C146A"/>
    <w:rsid w:val="002C2C0A"/>
    <w:rsid w:val="002C2C3B"/>
    <w:rsid w:val="002C448E"/>
    <w:rsid w:val="002C4CC9"/>
    <w:rsid w:val="002C6F73"/>
    <w:rsid w:val="002D2E47"/>
    <w:rsid w:val="002D3B60"/>
    <w:rsid w:val="002D3E50"/>
    <w:rsid w:val="002D4D6A"/>
    <w:rsid w:val="002E04F6"/>
    <w:rsid w:val="002E0FE1"/>
    <w:rsid w:val="002E14CD"/>
    <w:rsid w:val="002E1E3B"/>
    <w:rsid w:val="002E27C6"/>
    <w:rsid w:val="002E648C"/>
    <w:rsid w:val="002F1307"/>
    <w:rsid w:val="002F1D4D"/>
    <w:rsid w:val="002F1EA8"/>
    <w:rsid w:val="002F2566"/>
    <w:rsid w:val="002F3F1D"/>
    <w:rsid w:val="002F457B"/>
    <w:rsid w:val="002F7B8F"/>
    <w:rsid w:val="00300166"/>
    <w:rsid w:val="00303D13"/>
    <w:rsid w:val="00305ABE"/>
    <w:rsid w:val="003066A3"/>
    <w:rsid w:val="0030695C"/>
    <w:rsid w:val="00306F53"/>
    <w:rsid w:val="00307384"/>
    <w:rsid w:val="00310045"/>
    <w:rsid w:val="003103B4"/>
    <w:rsid w:val="0032036E"/>
    <w:rsid w:val="00320CB6"/>
    <w:rsid w:val="00321256"/>
    <w:rsid w:val="003213C9"/>
    <w:rsid w:val="0032246F"/>
    <w:rsid w:val="00327685"/>
    <w:rsid w:val="00330200"/>
    <w:rsid w:val="003303D2"/>
    <w:rsid w:val="003347C6"/>
    <w:rsid w:val="00334D71"/>
    <w:rsid w:val="003350DE"/>
    <w:rsid w:val="00336523"/>
    <w:rsid w:val="00336E35"/>
    <w:rsid w:val="003402E3"/>
    <w:rsid w:val="00341309"/>
    <w:rsid w:val="00345CFD"/>
    <w:rsid w:val="0034608B"/>
    <w:rsid w:val="00346F00"/>
    <w:rsid w:val="00352733"/>
    <w:rsid w:val="003546BC"/>
    <w:rsid w:val="0035611B"/>
    <w:rsid w:val="00357416"/>
    <w:rsid w:val="00362BCF"/>
    <w:rsid w:val="00362F76"/>
    <w:rsid w:val="00364522"/>
    <w:rsid w:val="00364D78"/>
    <w:rsid w:val="003674EF"/>
    <w:rsid w:val="00367BB0"/>
    <w:rsid w:val="003717E4"/>
    <w:rsid w:val="003760B8"/>
    <w:rsid w:val="00381755"/>
    <w:rsid w:val="00382B45"/>
    <w:rsid w:val="00384323"/>
    <w:rsid w:val="003872FF"/>
    <w:rsid w:val="003879B2"/>
    <w:rsid w:val="003A0C77"/>
    <w:rsid w:val="003B177B"/>
    <w:rsid w:val="003B301D"/>
    <w:rsid w:val="003B37CD"/>
    <w:rsid w:val="003B5485"/>
    <w:rsid w:val="003B7468"/>
    <w:rsid w:val="003B798F"/>
    <w:rsid w:val="003C00C9"/>
    <w:rsid w:val="003C1664"/>
    <w:rsid w:val="003C3EDA"/>
    <w:rsid w:val="003C5087"/>
    <w:rsid w:val="003D23B1"/>
    <w:rsid w:val="003D315A"/>
    <w:rsid w:val="003E1DC9"/>
    <w:rsid w:val="003E3086"/>
    <w:rsid w:val="003E7E18"/>
    <w:rsid w:val="003F0B02"/>
    <w:rsid w:val="003F5490"/>
    <w:rsid w:val="003F5B02"/>
    <w:rsid w:val="003F7CB2"/>
    <w:rsid w:val="004047DF"/>
    <w:rsid w:val="00405CAC"/>
    <w:rsid w:val="00406FFD"/>
    <w:rsid w:val="0041037A"/>
    <w:rsid w:val="004121A1"/>
    <w:rsid w:val="004129C5"/>
    <w:rsid w:val="00413537"/>
    <w:rsid w:val="004139B2"/>
    <w:rsid w:val="004170CA"/>
    <w:rsid w:val="004177E7"/>
    <w:rsid w:val="00421DF9"/>
    <w:rsid w:val="004342E8"/>
    <w:rsid w:val="004349CF"/>
    <w:rsid w:val="00435255"/>
    <w:rsid w:val="00435D6B"/>
    <w:rsid w:val="00436B93"/>
    <w:rsid w:val="00442829"/>
    <w:rsid w:val="004432B5"/>
    <w:rsid w:val="00444476"/>
    <w:rsid w:val="0044550E"/>
    <w:rsid w:val="00446CA1"/>
    <w:rsid w:val="00450D74"/>
    <w:rsid w:val="00451D3D"/>
    <w:rsid w:val="00452C3D"/>
    <w:rsid w:val="004549AC"/>
    <w:rsid w:val="00457660"/>
    <w:rsid w:val="00460236"/>
    <w:rsid w:val="00460A67"/>
    <w:rsid w:val="00460D9A"/>
    <w:rsid w:val="004623C6"/>
    <w:rsid w:val="0046269C"/>
    <w:rsid w:val="00462708"/>
    <w:rsid w:val="00462EEC"/>
    <w:rsid w:val="00466920"/>
    <w:rsid w:val="00466E56"/>
    <w:rsid w:val="0047222A"/>
    <w:rsid w:val="004724DD"/>
    <w:rsid w:val="00472D30"/>
    <w:rsid w:val="00474BF4"/>
    <w:rsid w:val="004766E6"/>
    <w:rsid w:val="00477C56"/>
    <w:rsid w:val="00482CCF"/>
    <w:rsid w:val="00483A9E"/>
    <w:rsid w:val="004848A1"/>
    <w:rsid w:val="0048721B"/>
    <w:rsid w:val="0048725C"/>
    <w:rsid w:val="00487B2F"/>
    <w:rsid w:val="00490442"/>
    <w:rsid w:val="00491F09"/>
    <w:rsid w:val="004A308F"/>
    <w:rsid w:val="004A48C7"/>
    <w:rsid w:val="004A5901"/>
    <w:rsid w:val="004A6E3C"/>
    <w:rsid w:val="004B19DF"/>
    <w:rsid w:val="004B218B"/>
    <w:rsid w:val="004B34A2"/>
    <w:rsid w:val="004C0932"/>
    <w:rsid w:val="004C197B"/>
    <w:rsid w:val="004C2EB6"/>
    <w:rsid w:val="004C2FE2"/>
    <w:rsid w:val="004C3D8D"/>
    <w:rsid w:val="004C5A63"/>
    <w:rsid w:val="004C7210"/>
    <w:rsid w:val="004D350A"/>
    <w:rsid w:val="004D6F72"/>
    <w:rsid w:val="004E0319"/>
    <w:rsid w:val="004E3C49"/>
    <w:rsid w:val="004E3F5C"/>
    <w:rsid w:val="004E6352"/>
    <w:rsid w:val="004E7668"/>
    <w:rsid w:val="004F1066"/>
    <w:rsid w:val="004F12AB"/>
    <w:rsid w:val="004F4D56"/>
    <w:rsid w:val="004F5B0A"/>
    <w:rsid w:val="004F5D90"/>
    <w:rsid w:val="004F785E"/>
    <w:rsid w:val="00500F6F"/>
    <w:rsid w:val="00502D83"/>
    <w:rsid w:val="005044BB"/>
    <w:rsid w:val="00507CE1"/>
    <w:rsid w:val="00511E05"/>
    <w:rsid w:val="005121BC"/>
    <w:rsid w:val="00514614"/>
    <w:rsid w:val="005146E5"/>
    <w:rsid w:val="0052054C"/>
    <w:rsid w:val="0052083F"/>
    <w:rsid w:val="00520B73"/>
    <w:rsid w:val="0052304D"/>
    <w:rsid w:val="00525DB4"/>
    <w:rsid w:val="00527DE4"/>
    <w:rsid w:val="0053003F"/>
    <w:rsid w:val="00531B6F"/>
    <w:rsid w:val="0053275E"/>
    <w:rsid w:val="00533896"/>
    <w:rsid w:val="00533B34"/>
    <w:rsid w:val="00534C9C"/>
    <w:rsid w:val="005358F2"/>
    <w:rsid w:val="00537D3B"/>
    <w:rsid w:val="00541A49"/>
    <w:rsid w:val="00546C31"/>
    <w:rsid w:val="00547B37"/>
    <w:rsid w:val="0055572D"/>
    <w:rsid w:val="00556686"/>
    <w:rsid w:val="005626D2"/>
    <w:rsid w:val="00563C52"/>
    <w:rsid w:val="00564047"/>
    <w:rsid w:val="00564596"/>
    <w:rsid w:val="0056671B"/>
    <w:rsid w:val="00566C8A"/>
    <w:rsid w:val="005679FE"/>
    <w:rsid w:val="00571227"/>
    <w:rsid w:val="0057141B"/>
    <w:rsid w:val="00574088"/>
    <w:rsid w:val="00574AE5"/>
    <w:rsid w:val="00575447"/>
    <w:rsid w:val="00577D7D"/>
    <w:rsid w:val="00580FE8"/>
    <w:rsid w:val="00581C95"/>
    <w:rsid w:val="005832AC"/>
    <w:rsid w:val="005833EC"/>
    <w:rsid w:val="00583A31"/>
    <w:rsid w:val="0058475F"/>
    <w:rsid w:val="00584C91"/>
    <w:rsid w:val="005860DF"/>
    <w:rsid w:val="00586A61"/>
    <w:rsid w:val="00591F0B"/>
    <w:rsid w:val="00594654"/>
    <w:rsid w:val="00594A40"/>
    <w:rsid w:val="005961CD"/>
    <w:rsid w:val="00597BC6"/>
    <w:rsid w:val="005A0C49"/>
    <w:rsid w:val="005A13F4"/>
    <w:rsid w:val="005A20BA"/>
    <w:rsid w:val="005A32FF"/>
    <w:rsid w:val="005A459E"/>
    <w:rsid w:val="005B134D"/>
    <w:rsid w:val="005B3A56"/>
    <w:rsid w:val="005B4620"/>
    <w:rsid w:val="005C1557"/>
    <w:rsid w:val="005C16A7"/>
    <w:rsid w:val="005C1BFF"/>
    <w:rsid w:val="005C1EBC"/>
    <w:rsid w:val="005C31FB"/>
    <w:rsid w:val="005C5990"/>
    <w:rsid w:val="005C599E"/>
    <w:rsid w:val="005C67FA"/>
    <w:rsid w:val="005C7CAA"/>
    <w:rsid w:val="005C7F55"/>
    <w:rsid w:val="005D0F7F"/>
    <w:rsid w:val="005D176B"/>
    <w:rsid w:val="005D1914"/>
    <w:rsid w:val="005D2EA7"/>
    <w:rsid w:val="005D46C3"/>
    <w:rsid w:val="005D525E"/>
    <w:rsid w:val="005D57F6"/>
    <w:rsid w:val="005D5C69"/>
    <w:rsid w:val="005D5DE5"/>
    <w:rsid w:val="005D7F86"/>
    <w:rsid w:val="005E5303"/>
    <w:rsid w:val="005E597C"/>
    <w:rsid w:val="005E5FD4"/>
    <w:rsid w:val="005F241D"/>
    <w:rsid w:val="005F25F9"/>
    <w:rsid w:val="005F4578"/>
    <w:rsid w:val="00603045"/>
    <w:rsid w:val="00605CFC"/>
    <w:rsid w:val="00606599"/>
    <w:rsid w:val="006068F3"/>
    <w:rsid w:val="006077E9"/>
    <w:rsid w:val="00607D30"/>
    <w:rsid w:val="0061066C"/>
    <w:rsid w:val="00612DDB"/>
    <w:rsid w:val="006136F3"/>
    <w:rsid w:val="00614683"/>
    <w:rsid w:val="0061678A"/>
    <w:rsid w:val="006171CB"/>
    <w:rsid w:val="00617A2F"/>
    <w:rsid w:val="00620664"/>
    <w:rsid w:val="006218AF"/>
    <w:rsid w:val="00621CAC"/>
    <w:rsid w:val="00622A50"/>
    <w:rsid w:val="006256AC"/>
    <w:rsid w:val="00626903"/>
    <w:rsid w:val="00627BC6"/>
    <w:rsid w:val="006323F3"/>
    <w:rsid w:val="006331B4"/>
    <w:rsid w:val="006331D1"/>
    <w:rsid w:val="00633684"/>
    <w:rsid w:val="00633BCB"/>
    <w:rsid w:val="00634EC6"/>
    <w:rsid w:val="00636529"/>
    <w:rsid w:val="00637D5C"/>
    <w:rsid w:val="00640042"/>
    <w:rsid w:val="00640614"/>
    <w:rsid w:val="00646DDF"/>
    <w:rsid w:val="006546ED"/>
    <w:rsid w:val="00654AA2"/>
    <w:rsid w:val="00655150"/>
    <w:rsid w:val="00656A42"/>
    <w:rsid w:val="006573AB"/>
    <w:rsid w:val="00661928"/>
    <w:rsid w:val="0066370E"/>
    <w:rsid w:val="00664C82"/>
    <w:rsid w:val="006673C7"/>
    <w:rsid w:val="00670A10"/>
    <w:rsid w:val="0067166D"/>
    <w:rsid w:val="00671C92"/>
    <w:rsid w:val="00672D00"/>
    <w:rsid w:val="00673ACF"/>
    <w:rsid w:val="00674874"/>
    <w:rsid w:val="00675C03"/>
    <w:rsid w:val="006801E1"/>
    <w:rsid w:val="006818DA"/>
    <w:rsid w:val="00682722"/>
    <w:rsid w:val="00683837"/>
    <w:rsid w:val="00685228"/>
    <w:rsid w:val="0068555B"/>
    <w:rsid w:val="0069563F"/>
    <w:rsid w:val="00696087"/>
    <w:rsid w:val="00696A72"/>
    <w:rsid w:val="006A1467"/>
    <w:rsid w:val="006A2318"/>
    <w:rsid w:val="006A3684"/>
    <w:rsid w:val="006A6994"/>
    <w:rsid w:val="006A6D64"/>
    <w:rsid w:val="006A7F79"/>
    <w:rsid w:val="006B104D"/>
    <w:rsid w:val="006B244B"/>
    <w:rsid w:val="006B36A4"/>
    <w:rsid w:val="006B3DF3"/>
    <w:rsid w:val="006B51F9"/>
    <w:rsid w:val="006C09B9"/>
    <w:rsid w:val="006C774B"/>
    <w:rsid w:val="006D03FE"/>
    <w:rsid w:val="006D3194"/>
    <w:rsid w:val="006D381E"/>
    <w:rsid w:val="006D54E0"/>
    <w:rsid w:val="006D5C6A"/>
    <w:rsid w:val="006E0029"/>
    <w:rsid w:val="006E2480"/>
    <w:rsid w:val="006E493B"/>
    <w:rsid w:val="006E4ECC"/>
    <w:rsid w:val="006E5A11"/>
    <w:rsid w:val="006E5FD3"/>
    <w:rsid w:val="006E70F5"/>
    <w:rsid w:val="006E79AA"/>
    <w:rsid w:val="006F0B7B"/>
    <w:rsid w:val="006F141C"/>
    <w:rsid w:val="006F2418"/>
    <w:rsid w:val="006F2851"/>
    <w:rsid w:val="006F345B"/>
    <w:rsid w:val="006F3CC4"/>
    <w:rsid w:val="006F4ACE"/>
    <w:rsid w:val="006F6545"/>
    <w:rsid w:val="006F663F"/>
    <w:rsid w:val="006F6A67"/>
    <w:rsid w:val="00702824"/>
    <w:rsid w:val="007028F1"/>
    <w:rsid w:val="007047DF"/>
    <w:rsid w:val="00704846"/>
    <w:rsid w:val="00704958"/>
    <w:rsid w:val="00711078"/>
    <w:rsid w:val="00712453"/>
    <w:rsid w:val="0072038F"/>
    <w:rsid w:val="00721F7D"/>
    <w:rsid w:val="0072512E"/>
    <w:rsid w:val="00726C47"/>
    <w:rsid w:val="00726F49"/>
    <w:rsid w:val="0072751B"/>
    <w:rsid w:val="00730635"/>
    <w:rsid w:val="007327F9"/>
    <w:rsid w:val="00736DC1"/>
    <w:rsid w:val="007372B7"/>
    <w:rsid w:val="0074027F"/>
    <w:rsid w:val="0074136B"/>
    <w:rsid w:val="007422BB"/>
    <w:rsid w:val="00743AF9"/>
    <w:rsid w:val="0075264F"/>
    <w:rsid w:val="0075404E"/>
    <w:rsid w:val="00755264"/>
    <w:rsid w:val="00755931"/>
    <w:rsid w:val="00760B63"/>
    <w:rsid w:val="0076104C"/>
    <w:rsid w:val="007610ED"/>
    <w:rsid w:val="00761151"/>
    <w:rsid w:val="00771B00"/>
    <w:rsid w:val="00776328"/>
    <w:rsid w:val="007776F8"/>
    <w:rsid w:val="00777CFE"/>
    <w:rsid w:val="007840B2"/>
    <w:rsid w:val="0078410B"/>
    <w:rsid w:val="00791C53"/>
    <w:rsid w:val="00793251"/>
    <w:rsid w:val="0079685F"/>
    <w:rsid w:val="00796A01"/>
    <w:rsid w:val="007A164E"/>
    <w:rsid w:val="007A1DB6"/>
    <w:rsid w:val="007A23C8"/>
    <w:rsid w:val="007A27B7"/>
    <w:rsid w:val="007A38FD"/>
    <w:rsid w:val="007A40F3"/>
    <w:rsid w:val="007A45B7"/>
    <w:rsid w:val="007A5F82"/>
    <w:rsid w:val="007A6CCC"/>
    <w:rsid w:val="007A71F1"/>
    <w:rsid w:val="007A7468"/>
    <w:rsid w:val="007B09AD"/>
    <w:rsid w:val="007B0AF1"/>
    <w:rsid w:val="007B11FA"/>
    <w:rsid w:val="007B16A8"/>
    <w:rsid w:val="007B2A4C"/>
    <w:rsid w:val="007B69DE"/>
    <w:rsid w:val="007C2A7F"/>
    <w:rsid w:val="007D3DC7"/>
    <w:rsid w:val="007D42B7"/>
    <w:rsid w:val="007D4B7A"/>
    <w:rsid w:val="007D5B30"/>
    <w:rsid w:val="007D7C3E"/>
    <w:rsid w:val="007E0F8B"/>
    <w:rsid w:val="007E34DC"/>
    <w:rsid w:val="007E38F5"/>
    <w:rsid w:val="007F2756"/>
    <w:rsid w:val="007F3C4C"/>
    <w:rsid w:val="007F52E2"/>
    <w:rsid w:val="007F5DDB"/>
    <w:rsid w:val="008005A3"/>
    <w:rsid w:val="00803871"/>
    <w:rsid w:val="00803D9D"/>
    <w:rsid w:val="00803F28"/>
    <w:rsid w:val="00805089"/>
    <w:rsid w:val="00807078"/>
    <w:rsid w:val="008077C0"/>
    <w:rsid w:val="00813D03"/>
    <w:rsid w:val="008144DD"/>
    <w:rsid w:val="0081489E"/>
    <w:rsid w:val="00817438"/>
    <w:rsid w:val="00817EA2"/>
    <w:rsid w:val="00821B49"/>
    <w:rsid w:val="0082248D"/>
    <w:rsid w:val="00822C18"/>
    <w:rsid w:val="00825191"/>
    <w:rsid w:val="00825792"/>
    <w:rsid w:val="00826B77"/>
    <w:rsid w:val="00827A04"/>
    <w:rsid w:val="008322F8"/>
    <w:rsid w:val="00835365"/>
    <w:rsid w:val="008358EE"/>
    <w:rsid w:val="00837DBD"/>
    <w:rsid w:val="00841FDA"/>
    <w:rsid w:val="00842158"/>
    <w:rsid w:val="00843F82"/>
    <w:rsid w:val="00844383"/>
    <w:rsid w:val="00845A1A"/>
    <w:rsid w:val="00845B3B"/>
    <w:rsid w:val="00845F30"/>
    <w:rsid w:val="00847EAE"/>
    <w:rsid w:val="0085062E"/>
    <w:rsid w:val="00852921"/>
    <w:rsid w:val="0085470E"/>
    <w:rsid w:val="00854AC3"/>
    <w:rsid w:val="0085684C"/>
    <w:rsid w:val="00861BAE"/>
    <w:rsid w:val="00863E6C"/>
    <w:rsid w:val="00864A58"/>
    <w:rsid w:val="00870E14"/>
    <w:rsid w:val="0087375A"/>
    <w:rsid w:val="00873C15"/>
    <w:rsid w:val="00873D3B"/>
    <w:rsid w:val="00873D41"/>
    <w:rsid w:val="00874FAB"/>
    <w:rsid w:val="00880914"/>
    <w:rsid w:val="00880D7B"/>
    <w:rsid w:val="00885267"/>
    <w:rsid w:val="008853AC"/>
    <w:rsid w:val="00886ACD"/>
    <w:rsid w:val="00891500"/>
    <w:rsid w:val="008925BE"/>
    <w:rsid w:val="0089269E"/>
    <w:rsid w:val="00894175"/>
    <w:rsid w:val="00897420"/>
    <w:rsid w:val="008A4243"/>
    <w:rsid w:val="008A5D8C"/>
    <w:rsid w:val="008A6805"/>
    <w:rsid w:val="008A6AFC"/>
    <w:rsid w:val="008A724E"/>
    <w:rsid w:val="008A768F"/>
    <w:rsid w:val="008B0238"/>
    <w:rsid w:val="008B062E"/>
    <w:rsid w:val="008B0DB3"/>
    <w:rsid w:val="008B1CFF"/>
    <w:rsid w:val="008B77D9"/>
    <w:rsid w:val="008B7E45"/>
    <w:rsid w:val="008C1DA6"/>
    <w:rsid w:val="008C3649"/>
    <w:rsid w:val="008C52A7"/>
    <w:rsid w:val="008C568E"/>
    <w:rsid w:val="008D0315"/>
    <w:rsid w:val="008D78BC"/>
    <w:rsid w:val="008D79D2"/>
    <w:rsid w:val="008E09A4"/>
    <w:rsid w:val="008E24B3"/>
    <w:rsid w:val="008E3CB7"/>
    <w:rsid w:val="008F51ED"/>
    <w:rsid w:val="008F7AB6"/>
    <w:rsid w:val="00901138"/>
    <w:rsid w:val="00901D55"/>
    <w:rsid w:val="00903033"/>
    <w:rsid w:val="00903E05"/>
    <w:rsid w:val="0090790C"/>
    <w:rsid w:val="00912A7E"/>
    <w:rsid w:val="00914A44"/>
    <w:rsid w:val="00914D62"/>
    <w:rsid w:val="0091516C"/>
    <w:rsid w:val="0091592C"/>
    <w:rsid w:val="0091616D"/>
    <w:rsid w:val="00916A15"/>
    <w:rsid w:val="00917A1E"/>
    <w:rsid w:val="009210D5"/>
    <w:rsid w:val="00921529"/>
    <w:rsid w:val="00921758"/>
    <w:rsid w:val="009217CB"/>
    <w:rsid w:val="009226F3"/>
    <w:rsid w:val="00924D79"/>
    <w:rsid w:val="00932139"/>
    <w:rsid w:val="009355C2"/>
    <w:rsid w:val="00935C8A"/>
    <w:rsid w:val="00937A3A"/>
    <w:rsid w:val="00937C90"/>
    <w:rsid w:val="009403F4"/>
    <w:rsid w:val="0094194C"/>
    <w:rsid w:val="009453DE"/>
    <w:rsid w:val="00945C06"/>
    <w:rsid w:val="00947889"/>
    <w:rsid w:val="00947B79"/>
    <w:rsid w:val="0095239C"/>
    <w:rsid w:val="009525C1"/>
    <w:rsid w:val="00952627"/>
    <w:rsid w:val="00954B21"/>
    <w:rsid w:val="00954FEC"/>
    <w:rsid w:val="0096194B"/>
    <w:rsid w:val="00961FA8"/>
    <w:rsid w:val="009630E1"/>
    <w:rsid w:val="0096422F"/>
    <w:rsid w:val="0096600D"/>
    <w:rsid w:val="00966B79"/>
    <w:rsid w:val="00970262"/>
    <w:rsid w:val="00976AEE"/>
    <w:rsid w:val="00980411"/>
    <w:rsid w:val="00980B6A"/>
    <w:rsid w:val="00980CE6"/>
    <w:rsid w:val="00982727"/>
    <w:rsid w:val="00984A75"/>
    <w:rsid w:val="00986B6E"/>
    <w:rsid w:val="0099114D"/>
    <w:rsid w:val="009925C1"/>
    <w:rsid w:val="0099317F"/>
    <w:rsid w:val="009A1A2C"/>
    <w:rsid w:val="009A26E0"/>
    <w:rsid w:val="009A3AD6"/>
    <w:rsid w:val="009A51E0"/>
    <w:rsid w:val="009A5E6B"/>
    <w:rsid w:val="009A65F0"/>
    <w:rsid w:val="009A6E7F"/>
    <w:rsid w:val="009A702B"/>
    <w:rsid w:val="009B50B4"/>
    <w:rsid w:val="009B7D3A"/>
    <w:rsid w:val="009C2876"/>
    <w:rsid w:val="009C49C3"/>
    <w:rsid w:val="009C7880"/>
    <w:rsid w:val="009C797E"/>
    <w:rsid w:val="009C7CDA"/>
    <w:rsid w:val="009D0458"/>
    <w:rsid w:val="009D09CC"/>
    <w:rsid w:val="009D12D0"/>
    <w:rsid w:val="009D16CB"/>
    <w:rsid w:val="009D2807"/>
    <w:rsid w:val="009D2CBE"/>
    <w:rsid w:val="009D2E37"/>
    <w:rsid w:val="009D4A52"/>
    <w:rsid w:val="009D5E92"/>
    <w:rsid w:val="009D62EB"/>
    <w:rsid w:val="009D7DC8"/>
    <w:rsid w:val="009E2EFA"/>
    <w:rsid w:val="009E48C3"/>
    <w:rsid w:val="009E626A"/>
    <w:rsid w:val="009E6424"/>
    <w:rsid w:val="009F2F7D"/>
    <w:rsid w:val="009F44A4"/>
    <w:rsid w:val="009F4CFE"/>
    <w:rsid w:val="009F57C7"/>
    <w:rsid w:val="009F5EE9"/>
    <w:rsid w:val="009F70BF"/>
    <w:rsid w:val="009F72EC"/>
    <w:rsid w:val="00A00E1A"/>
    <w:rsid w:val="00A032A4"/>
    <w:rsid w:val="00A05CB2"/>
    <w:rsid w:val="00A07745"/>
    <w:rsid w:val="00A11710"/>
    <w:rsid w:val="00A148FA"/>
    <w:rsid w:val="00A17308"/>
    <w:rsid w:val="00A2318A"/>
    <w:rsid w:val="00A236C4"/>
    <w:rsid w:val="00A23E73"/>
    <w:rsid w:val="00A25F4E"/>
    <w:rsid w:val="00A31349"/>
    <w:rsid w:val="00A31BF3"/>
    <w:rsid w:val="00A329DD"/>
    <w:rsid w:val="00A33C06"/>
    <w:rsid w:val="00A33EEC"/>
    <w:rsid w:val="00A360F0"/>
    <w:rsid w:val="00A41E2B"/>
    <w:rsid w:val="00A44048"/>
    <w:rsid w:val="00A44A1C"/>
    <w:rsid w:val="00A50D39"/>
    <w:rsid w:val="00A54136"/>
    <w:rsid w:val="00A55B06"/>
    <w:rsid w:val="00A55B43"/>
    <w:rsid w:val="00A57075"/>
    <w:rsid w:val="00A57F22"/>
    <w:rsid w:val="00A603EF"/>
    <w:rsid w:val="00A631F4"/>
    <w:rsid w:val="00A643F4"/>
    <w:rsid w:val="00A70398"/>
    <w:rsid w:val="00A71A3D"/>
    <w:rsid w:val="00A75C07"/>
    <w:rsid w:val="00A77090"/>
    <w:rsid w:val="00A800B4"/>
    <w:rsid w:val="00A80E6B"/>
    <w:rsid w:val="00A84271"/>
    <w:rsid w:val="00A84A11"/>
    <w:rsid w:val="00A85AFF"/>
    <w:rsid w:val="00A86181"/>
    <w:rsid w:val="00A90529"/>
    <w:rsid w:val="00A9157E"/>
    <w:rsid w:val="00A919EB"/>
    <w:rsid w:val="00A930E3"/>
    <w:rsid w:val="00A94519"/>
    <w:rsid w:val="00A955F1"/>
    <w:rsid w:val="00A96277"/>
    <w:rsid w:val="00AA0D44"/>
    <w:rsid w:val="00AA4F95"/>
    <w:rsid w:val="00AB1977"/>
    <w:rsid w:val="00AB2479"/>
    <w:rsid w:val="00AB2884"/>
    <w:rsid w:val="00AB3A9A"/>
    <w:rsid w:val="00AB48B1"/>
    <w:rsid w:val="00AB5BC9"/>
    <w:rsid w:val="00AB64A9"/>
    <w:rsid w:val="00AC2BF3"/>
    <w:rsid w:val="00AC3836"/>
    <w:rsid w:val="00AC51F6"/>
    <w:rsid w:val="00AC7FE5"/>
    <w:rsid w:val="00AD1285"/>
    <w:rsid w:val="00AD270F"/>
    <w:rsid w:val="00AD4E58"/>
    <w:rsid w:val="00AD54CB"/>
    <w:rsid w:val="00AD54CD"/>
    <w:rsid w:val="00AD5F60"/>
    <w:rsid w:val="00AD6724"/>
    <w:rsid w:val="00AD7076"/>
    <w:rsid w:val="00AD7536"/>
    <w:rsid w:val="00AE0081"/>
    <w:rsid w:val="00AE0916"/>
    <w:rsid w:val="00AE5A63"/>
    <w:rsid w:val="00AE6162"/>
    <w:rsid w:val="00AF02DB"/>
    <w:rsid w:val="00AF1F6D"/>
    <w:rsid w:val="00AF5353"/>
    <w:rsid w:val="00B02815"/>
    <w:rsid w:val="00B1136C"/>
    <w:rsid w:val="00B12F37"/>
    <w:rsid w:val="00B13B3B"/>
    <w:rsid w:val="00B14019"/>
    <w:rsid w:val="00B16F00"/>
    <w:rsid w:val="00B26437"/>
    <w:rsid w:val="00B30385"/>
    <w:rsid w:val="00B420F0"/>
    <w:rsid w:val="00B4481A"/>
    <w:rsid w:val="00B45A1E"/>
    <w:rsid w:val="00B45F09"/>
    <w:rsid w:val="00B516FF"/>
    <w:rsid w:val="00B53250"/>
    <w:rsid w:val="00B53944"/>
    <w:rsid w:val="00B53A39"/>
    <w:rsid w:val="00B54FC8"/>
    <w:rsid w:val="00B5783F"/>
    <w:rsid w:val="00B579DC"/>
    <w:rsid w:val="00B60301"/>
    <w:rsid w:val="00B658D8"/>
    <w:rsid w:val="00B71CC8"/>
    <w:rsid w:val="00B73619"/>
    <w:rsid w:val="00B805FE"/>
    <w:rsid w:val="00B81488"/>
    <w:rsid w:val="00B82328"/>
    <w:rsid w:val="00B82837"/>
    <w:rsid w:val="00B83BBB"/>
    <w:rsid w:val="00B842CE"/>
    <w:rsid w:val="00B90AD5"/>
    <w:rsid w:val="00B93067"/>
    <w:rsid w:val="00B93158"/>
    <w:rsid w:val="00B931CA"/>
    <w:rsid w:val="00B934FB"/>
    <w:rsid w:val="00B95036"/>
    <w:rsid w:val="00B950BE"/>
    <w:rsid w:val="00BA3042"/>
    <w:rsid w:val="00BA3F57"/>
    <w:rsid w:val="00BA7A4C"/>
    <w:rsid w:val="00BB3060"/>
    <w:rsid w:val="00BB7057"/>
    <w:rsid w:val="00BB758B"/>
    <w:rsid w:val="00BC10FC"/>
    <w:rsid w:val="00BC142C"/>
    <w:rsid w:val="00BC236C"/>
    <w:rsid w:val="00BC2D1E"/>
    <w:rsid w:val="00BC3218"/>
    <w:rsid w:val="00BC6931"/>
    <w:rsid w:val="00BC75A9"/>
    <w:rsid w:val="00BD09D7"/>
    <w:rsid w:val="00BD10C7"/>
    <w:rsid w:val="00BD1C2B"/>
    <w:rsid w:val="00BD4FCE"/>
    <w:rsid w:val="00BD68A6"/>
    <w:rsid w:val="00BD74F3"/>
    <w:rsid w:val="00BE2EB8"/>
    <w:rsid w:val="00BE318D"/>
    <w:rsid w:val="00BE3B49"/>
    <w:rsid w:val="00BE3DDA"/>
    <w:rsid w:val="00BE5544"/>
    <w:rsid w:val="00BE6F62"/>
    <w:rsid w:val="00BF0E42"/>
    <w:rsid w:val="00BF2CDF"/>
    <w:rsid w:val="00BF3DDE"/>
    <w:rsid w:val="00BF4131"/>
    <w:rsid w:val="00C00428"/>
    <w:rsid w:val="00C0106D"/>
    <w:rsid w:val="00C01100"/>
    <w:rsid w:val="00C05066"/>
    <w:rsid w:val="00C05630"/>
    <w:rsid w:val="00C0683C"/>
    <w:rsid w:val="00C07590"/>
    <w:rsid w:val="00C07D66"/>
    <w:rsid w:val="00C11DD2"/>
    <w:rsid w:val="00C11FFF"/>
    <w:rsid w:val="00C1228D"/>
    <w:rsid w:val="00C159D2"/>
    <w:rsid w:val="00C175DA"/>
    <w:rsid w:val="00C20045"/>
    <w:rsid w:val="00C20B1D"/>
    <w:rsid w:val="00C3092D"/>
    <w:rsid w:val="00C30B21"/>
    <w:rsid w:val="00C32D39"/>
    <w:rsid w:val="00C33337"/>
    <w:rsid w:val="00C338B4"/>
    <w:rsid w:val="00C34501"/>
    <w:rsid w:val="00C35BF1"/>
    <w:rsid w:val="00C40CB0"/>
    <w:rsid w:val="00C447EF"/>
    <w:rsid w:val="00C44F32"/>
    <w:rsid w:val="00C452E5"/>
    <w:rsid w:val="00C46177"/>
    <w:rsid w:val="00C46C99"/>
    <w:rsid w:val="00C5239C"/>
    <w:rsid w:val="00C55B45"/>
    <w:rsid w:val="00C56750"/>
    <w:rsid w:val="00C579B1"/>
    <w:rsid w:val="00C61121"/>
    <w:rsid w:val="00C63326"/>
    <w:rsid w:val="00C643CD"/>
    <w:rsid w:val="00C6566B"/>
    <w:rsid w:val="00C66EB9"/>
    <w:rsid w:val="00C711E4"/>
    <w:rsid w:val="00C71967"/>
    <w:rsid w:val="00C76518"/>
    <w:rsid w:val="00C83B33"/>
    <w:rsid w:val="00C85138"/>
    <w:rsid w:val="00C851E4"/>
    <w:rsid w:val="00C85B4A"/>
    <w:rsid w:val="00C87DFC"/>
    <w:rsid w:val="00C9396C"/>
    <w:rsid w:val="00C94E87"/>
    <w:rsid w:val="00CA1126"/>
    <w:rsid w:val="00CA224A"/>
    <w:rsid w:val="00CA258F"/>
    <w:rsid w:val="00CA2AD3"/>
    <w:rsid w:val="00CA2DDA"/>
    <w:rsid w:val="00CA6215"/>
    <w:rsid w:val="00CB0C84"/>
    <w:rsid w:val="00CB28B3"/>
    <w:rsid w:val="00CB2E8E"/>
    <w:rsid w:val="00CB46A6"/>
    <w:rsid w:val="00CB50B2"/>
    <w:rsid w:val="00CB53AC"/>
    <w:rsid w:val="00CB580A"/>
    <w:rsid w:val="00CB64FE"/>
    <w:rsid w:val="00CC113C"/>
    <w:rsid w:val="00CC28E3"/>
    <w:rsid w:val="00CC3E7B"/>
    <w:rsid w:val="00CC4BF8"/>
    <w:rsid w:val="00CC5E00"/>
    <w:rsid w:val="00CD0092"/>
    <w:rsid w:val="00CD38B5"/>
    <w:rsid w:val="00CD5147"/>
    <w:rsid w:val="00CD7902"/>
    <w:rsid w:val="00CE01E2"/>
    <w:rsid w:val="00CE2C1F"/>
    <w:rsid w:val="00CE4176"/>
    <w:rsid w:val="00CE5083"/>
    <w:rsid w:val="00CE6218"/>
    <w:rsid w:val="00CE64FB"/>
    <w:rsid w:val="00CF0683"/>
    <w:rsid w:val="00CF0D57"/>
    <w:rsid w:val="00CF2A69"/>
    <w:rsid w:val="00CF4C93"/>
    <w:rsid w:val="00CF63A3"/>
    <w:rsid w:val="00CF67CF"/>
    <w:rsid w:val="00D01012"/>
    <w:rsid w:val="00D02198"/>
    <w:rsid w:val="00D1064E"/>
    <w:rsid w:val="00D11420"/>
    <w:rsid w:val="00D11EC3"/>
    <w:rsid w:val="00D13295"/>
    <w:rsid w:val="00D13971"/>
    <w:rsid w:val="00D15261"/>
    <w:rsid w:val="00D15713"/>
    <w:rsid w:val="00D178F6"/>
    <w:rsid w:val="00D20A49"/>
    <w:rsid w:val="00D23CDF"/>
    <w:rsid w:val="00D265C7"/>
    <w:rsid w:val="00D27860"/>
    <w:rsid w:val="00D27BAF"/>
    <w:rsid w:val="00D32FF5"/>
    <w:rsid w:val="00D3612F"/>
    <w:rsid w:val="00D417EE"/>
    <w:rsid w:val="00D43095"/>
    <w:rsid w:val="00D455DE"/>
    <w:rsid w:val="00D50228"/>
    <w:rsid w:val="00D518D1"/>
    <w:rsid w:val="00D52ADA"/>
    <w:rsid w:val="00D57994"/>
    <w:rsid w:val="00D64701"/>
    <w:rsid w:val="00D65339"/>
    <w:rsid w:val="00D65B6E"/>
    <w:rsid w:val="00D70929"/>
    <w:rsid w:val="00D73FF9"/>
    <w:rsid w:val="00D74F50"/>
    <w:rsid w:val="00D75FB8"/>
    <w:rsid w:val="00D7745C"/>
    <w:rsid w:val="00D779AA"/>
    <w:rsid w:val="00D831A0"/>
    <w:rsid w:val="00D839DB"/>
    <w:rsid w:val="00D84B58"/>
    <w:rsid w:val="00D8532A"/>
    <w:rsid w:val="00D9008A"/>
    <w:rsid w:val="00D906B0"/>
    <w:rsid w:val="00D913C0"/>
    <w:rsid w:val="00D9368B"/>
    <w:rsid w:val="00D96237"/>
    <w:rsid w:val="00D969D5"/>
    <w:rsid w:val="00DA2B78"/>
    <w:rsid w:val="00DA46D4"/>
    <w:rsid w:val="00DA5005"/>
    <w:rsid w:val="00DA6EC1"/>
    <w:rsid w:val="00DB3267"/>
    <w:rsid w:val="00DB5B6F"/>
    <w:rsid w:val="00DB6F17"/>
    <w:rsid w:val="00DB7D1D"/>
    <w:rsid w:val="00DC235A"/>
    <w:rsid w:val="00DC24EF"/>
    <w:rsid w:val="00DC3F81"/>
    <w:rsid w:val="00DC4B75"/>
    <w:rsid w:val="00DC52A4"/>
    <w:rsid w:val="00DC7FCC"/>
    <w:rsid w:val="00DD11FA"/>
    <w:rsid w:val="00DD4176"/>
    <w:rsid w:val="00DE00BF"/>
    <w:rsid w:val="00DE285F"/>
    <w:rsid w:val="00DE4C00"/>
    <w:rsid w:val="00DE4E23"/>
    <w:rsid w:val="00DE7024"/>
    <w:rsid w:val="00DF0972"/>
    <w:rsid w:val="00DF0A03"/>
    <w:rsid w:val="00DF12F0"/>
    <w:rsid w:val="00DF2503"/>
    <w:rsid w:val="00DF3789"/>
    <w:rsid w:val="00DF5561"/>
    <w:rsid w:val="00DF67C6"/>
    <w:rsid w:val="00E0007B"/>
    <w:rsid w:val="00E01064"/>
    <w:rsid w:val="00E01997"/>
    <w:rsid w:val="00E022AD"/>
    <w:rsid w:val="00E05898"/>
    <w:rsid w:val="00E06900"/>
    <w:rsid w:val="00E06CF4"/>
    <w:rsid w:val="00E071A9"/>
    <w:rsid w:val="00E13FA2"/>
    <w:rsid w:val="00E14512"/>
    <w:rsid w:val="00E173AE"/>
    <w:rsid w:val="00E178BB"/>
    <w:rsid w:val="00E17B69"/>
    <w:rsid w:val="00E20B8D"/>
    <w:rsid w:val="00E21568"/>
    <w:rsid w:val="00E24FEE"/>
    <w:rsid w:val="00E27D2B"/>
    <w:rsid w:val="00E32141"/>
    <w:rsid w:val="00E3239F"/>
    <w:rsid w:val="00E356A6"/>
    <w:rsid w:val="00E35AAE"/>
    <w:rsid w:val="00E362C5"/>
    <w:rsid w:val="00E41F72"/>
    <w:rsid w:val="00E43FFE"/>
    <w:rsid w:val="00E44A78"/>
    <w:rsid w:val="00E44BCA"/>
    <w:rsid w:val="00E472B8"/>
    <w:rsid w:val="00E50729"/>
    <w:rsid w:val="00E51229"/>
    <w:rsid w:val="00E55239"/>
    <w:rsid w:val="00E57DC1"/>
    <w:rsid w:val="00E6128D"/>
    <w:rsid w:val="00E62D79"/>
    <w:rsid w:val="00E63E21"/>
    <w:rsid w:val="00E64712"/>
    <w:rsid w:val="00E64D8B"/>
    <w:rsid w:val="00E66BF3"/>
    <w:rsid w:val="00E704A5"/>
    <w:rsid w:val="00E72744"/>
    <w:rsid w:val="00E731E8"/>
    <w:rsid w:val="00E74379"/>
    <w:rsid w:val="00E81651"/>
    <w:rsid w:val="00E81FD2"/>
    <w:rsid w:val="00E849AF"/>
    <w:rsid w:val="00E953B8"/>
    <w:rsid w:val="00E95CE4"/>
    <w:rsid w:val="00E97BCB"/>
    <w:rsid w:val="00EA00F0"/>
    <w:rsid w:val="00EA15A5"/>
    <w:rsid w:val="00EA22E4"/>
    <w:rsid w:val="00EA3BEA"/>
    <w:rsid w:val="00EA5FF8"/>
    <w:rsid w:val="00EA6132"/>
    <w:rsid w:val="00EB16D9"/>
    <w:rsid w:val="00EB41EE"/>
    <w:rsid w:val="00EC218B"/>
    <w:rsid w:val="00EC26DB"/>
    <w:rsid w:val="00EC398F"/>
    <w:rsid w:val="00EC7BBF"/>
    <w:rsid w:val="00EC7BE9"/>
    <w:rsid w:val="00ED0ED9"/>
    <w:rsid w:val="00ED22B9"/>
    <w:rsid w:val="00ED5567"/>
    <w:rsid w:val="00EE072D"/>
    <w:rsid w:val="00EE508A"/>
    <w:rsid w:val="00EE7F5E"/>
    <w:rsid w:val="00EF1473"/>
    <w:rsid w:val="00EF390F"/>
    <w:rsid w:val="00EF4658"/>
    <w:rsid w:val="00EF5455"/>
    <w:rsid w:val="00F008BD"/>
    <w:rsid w:val="00F122A7"/>
    <w:rsid w:val="00F135A7"/>
    <w:rsid w:val="00F17898"/>
    <w:rsid w:val="00F17B48"/>
    <w:rsid w:val="00F17B9B"/>
    <w:rsid w:val="00F21C48"/>
    <w:rsid w:val="00F2407A"/>
    <w:rsid w:val="00F245D9"/>
    <w:rsid w:val="00F24B01"/>
    <w:rsid w:val="00F25A70"/>
    <w:rsid w:val="00F31F0F"/>
    <w:rsid w:val="00F31F81"/>
    <w:rsid w:val="00F36E95"/>
    <w:rsid w:val="00F43B5C"/>
    <w:rsid w:val="00F43D15"/>
    <w:rsid w:val="00F43FEA"/>
    <w:rsid w:val="00F44465"/>
    <w:rsid w:val="00F46172"/>
    <w:rsid w:val="00F47DB8"/>
    <w:rsid w:val="00F525F5"/>
    <w:rsid w:val="00F528FF"/>
    <w:rsid w:val="00F54793"/>
    <w:rsid w:val="00F548D8"/>
    <w:rsid w:val="00F56C33"/>
    <w:rsid w:val="00F62801"/>
    <w:rsid w:val="00F65CD1"/>
    <w:rsid w:val="00F6673D"/>
    <w:rsid w:val="00F66CCD"/>
    <w:rsid w:val="00F71DC3"/>
    <w:rsid w:val="00F71E69"/>
    <w:rsid w:val="00F72F31"/>
    <w:rsid w:val="00F74279"/>
    <w:rsid w:val="00F74B94"/>
    <w:rsid w:val="00F750AC"/>
    <w:rsid w:val="00F75F9A"/>
    <w:rsid w:val="00F76FDF"/>
    <w:rsid w:val="00F77CC8"/>
    <w:rsid w:val="00F81DCB"/>
    <w:rsid w:val="00F820CD"/>
    <w:rsid w:val="00F827D6"/>
    <w:rsid w:val="00F84210"/>
    <w:rsid w:val="00F845A6"/>
    <w:rsid w:val="00F85211"/>
    <w:rsid w:val="00F8618B"/>
    <w:rsid w:val="00F87099"/>
    <w:rsid w:val="00F90618"/>
    <w:rsid w:val="00F90ADC"/>
    <w:rsid w:val="00F91D4A"/>
    <w:rsid w:val="00F9299D"/>
    <w:rsid w:val="00F95650"/>
    <w:rsid w:val="00FA011F"/>
    <w:rsid w:val="00FA2951"/>
    <w:rsid w:val="00FA39CB"/>
    <w:rsid w:val="00FA4754"/>
    <w:rsid w:val="00FA5BE9"/>
    <w:rsid w:val="00FA5FB3"/>
    <w:rsid w:val="00FB08B3"/>
    <w:rsid w:val="00FB4EF7"/>
    <w:rsid w:val="00FB5120"/>
    <w:rsid w:val="00FB6931"/>
    <w:rsid w:val="00FB7DE5"/>
    <w:rsid w:val="00FC134C"/>
    <w:rsid w:val="00FC24D7"/>
    <w:rsid w:val="00FC5699"/>
    <w:rsid w:val="00FC690B"/>
    <w:rsid w:val="00FD203B"/>
    <w:rsid w:val="00FD2284"/>
    <w:rsid w:val="00FD28DA"/>
    <w:rsid w:val="00FE2966"/>
    <w:rsid w:val="00FE3563"/>
    <w:rsid w:val="00FE3DC6"/>
    <w:rsid w:val="00FE5B68"/>
    <w:rsid w:val="00FE7B1D"/>
    <w:rsid w:val="00FF091D"/>
    <w:rsid w:val="00FF1C69"/>
    <w:rsid w:val="00FF4017"/>
    <w:rsid w:val="00FF634A"/>
    <w:rsid w:val="01584A09"/>
    <w:rsid w:val="018F231E"/>
    <w:rsid w:val="02635127"/>
    <w:rsid w:val="026659F0"/>
    <w:rsid w:val="028A595E"/>
    <w:rsid w:val="02F509BF"/>
    <w:rsid w:val="03AB55C9"/>
    <w:rsid w:val="040A684F"/>
    <w:rsid w:val="0430207C"/>
    <w:rsid w:val="050414F1"/>
    <w:rsid w:val="05044B12"/>
    <w:rsid w:val="054A7852"/>
    <w:rsid w:val="059A3C03"/>
    <w:rsid w:val="05BB54E1"/>
    <w:rsid w:val="05C54482"/>
    <w:rsid w:val="05F11A75"/>
    <w:rsid w:val="05F23986"/>
    <w:rsid w:val="06EB0AC9"/>
    <w:rsid w:val="07BC4304"/>
    <w:rsid w:val="07C136C9"/>
    <w:rsid w:val="07C7643F"/>
    <w:rsid w:val="086A5B0F"/>
    <w:rsid w:val="0913314F"/>
    <w:rsid w:val="09181B1F"/>
    <w:rsid w:val="0A5D15DD"/>
    <w:rsid w:val="0A795F10"/>
    <w:rsid w:val="0A9A34DF"/>
    <w:rsid w:val="0AAB7AA3"/>
    <w:rsid w:val="0AB539B9"/>
    <w:rsid w:val="0AC00826"/>
    <w:rsid w:val="0B2E094A"/>
    <w:rsid w:val="0B750A15"/>
    <w:rsid w:val="0BB9723C"/>
    <w:rsid w:val="0D293687"/>
    <w:rsid w:val="0D3522FF"/>
    <w:rsid w:val="0D7D62E4"/>
    <w:rsid w:val="0E1907C7"/>
    <w:rsid w:val="0EE3391E"/>
    <w:rsid w:val="0F016FE0"/>
    <w:rsid w:val="0F092072"/>
    <w:rsid w:val="0FB07B44"/>
    <w:rsid w:val="10881153"/>
    <w:rsid w:val="124620DA"/>
    <w:rsid w:val="127777A6"/>
    <w:rsid w:val="12915983"/>
    <w:rsid w:val="12EF13DF"/>
    <w:rsid w:val="14B867E5"/>
    <w:rsid w:val="14D902A4"/>
    <w:rsid w:val="14E81A99"/>
    <w:rsid w:val="150712B5"/>
    <w:rsid w:val="15684C1E"/>
    <w:rsid w:val="158F3258"/>
    <w:rsid w:val="15F41EFD"/>
    <w:rsid w:val="1687534A"/>
    <w:rsid w:val="17CD3EA5"/>
    <w:rsid w:val="183E5A1C"/>
    <w:rsid w:val="18A65666"/>
    <w:rsid w:val="18EA6F23"/>
    <w:rsid w:val="18EF36B3"/>
    <w:rsid w:val="19F62B74"/>
    <w:rsid w:val="1A8A04AA"/>
    <w:rsid w:val="1B110E9B"/>
    <w:rsid w:val="1B333926"/>
    <w:rsid w:val="1B490617"/>
    <w:rsid w:val="1B5A2B3A"/>
    <w:rsid w:val="1BEF4851"/>
    <w:rsid w:val="1C1C0EDB"/>
    <w:rsid w:val="1C297D63"/>
    <w:rsid w:val="1CC41839"/>
    <w:rsid w:val="1D4E111E"/>
    <w:rsid w:val="1D61352C"/>
    <w:rsid w:val="1D6B0FE0"/>
    <w:rsid w:val="1E537319"/>
    <w:rsid w:val="1EF037A8"/>
    <w:rsid w:val="1F1D7028"/>
    <w:rsid w:val="1FBE078F"/>
    <w:rsid w:val="1FC64E5D"/>
    <w:rsid w:val="203C6A6E"/>
    <w:rsid w:val="205F4CF0"/>
    <w:rsid w:val="2060790C"/>
    <w:rsid w:val="20DF4F0A"/>
    <w:rsid w:val="217D645B"/>
    <w:rsid w:val="22171089"/>
    <w:rsid w:val="222A0600"/>
    <w:rsid w:val="22380508"/>
    <w:rsid w:val="225F6B14"/>
    <w:rsid w:val="227D6A35"/>
    <w:rsid w:val="22B7763C"/>
    <w:rsid w:val="22E96925"/>
    <w:rsid w:val="24FA7396"/>
    <w:rsid w:val="25516108"/>
    <w:rsid w:val="25D41548"/>
    <w:rsid w:val="265D09CD"/>
    <w:rsid w:val="26B309F2"/>
    <w:rsid w:val="26DF137B"/>
    <w:rsid w:val="27EE00B2"/>
    <w:rsid w:val="28A31407"/>
    <w:rsid w:val="28AE449B"/>
    <w:rsid w:val="28F73665"/>
    <w:rsid w:val="29C54A1B"/>
    <w:rsid w:val="2A14023B"/>
    <w:rsid w:val="2B11309C"/>
    <w:rsid w:val="2B597DC5"/>
    <w:rsid w:val="2B9D19F7"/>
    <w:rsid w:val="2BC72034"/>
    <w:rsid w:val="2BFC1BD6"/>
    <w:rsid w:val="2C526A9F"/>
    <w:rsid w:val="2C6C4A11"/>
    <w:rsid w:val="2D6B7CCB"/>
    <w:rsid w:val="2D6E6C09"/>
    <w:rsid w:val="2E515C35"/>
    <w:rsid w:val="2F3C2508"/>
    <w:rsid w:val="2F451FD6"/>
    <w:rsid w:val="2FCF6DE1"/>
    <w:rsid w:val="30180724"/>
    <w:rsid w:val="305B5598"/>
    <w:rsid w:val="30667938"/>
    <w:rsid w:val="31576451"/>
    <w:rsid w:val="31D426B3"/>
    <w:rsid w:val="31EA2B82"/>
    <w:rsid w:val="32052435"/>
    <w:rsid w:val="32876602"/>
    <w:rsid w:val="345A6156"/>
    <w:rsid w:val="34B703D7"/>
    <w:rsid w:val="35A273AD"/>
    <w:rsid w:val="35DD44C9"/>
    <w:rsid w:val="365518DE"/>
    <w:rsid w:val="3700570C"/>
    <w:rsid w:val="37AB4790"/>
    <w:rsid w:val="38EC097B"/>
    <w:rsid w:val="38F153E2"/>
    <w:rsid w:val="39042E4A"/>
    <w:rsid w:val="39194863"/>
    <w:rsid w:val="391D25A6"/>
    <w:rsid w:val="39E66E3B"/>
    <w:rsid w:val="3A205374"/>
    <w:rsid w:val="3A6D4E67"/>
    <w:rsid w:val="3ACA050B"/>
    <w:rsid w:val="3B1F243A"/>
    <w:rsid w:val="3B2B4BF6"/>
    <w:rsid w:val="3B31102A"/>
    <w:rsid w:val="3B725FEC"/>
    <w:rsid w:val="3BC874A4"/>
    <w:rsid w:val="3BD16374"/>
    <w:rsid w:val="3C3C236C"/>
    <w:rsid w:val="3CDC4526"/>
    <w:rsid w:val="3D18555E"/>
    <w:rsid w:val="3D1D51DD"/>
    <w:rsid w:val="3D89645B"/>
    <w:rsid w:val="3DEA6D00"/>
    <w:rsid w:val="3E5C6585"/>
    <w:rsid w:val="3E737EB5"/>
    <w:rsid w:val="3E9D741A"/>
    <w:rsid w:val="3EB5502E"/>
    <w:rsid w:val="3EFB6EE5"/>
    <w:rsid w:val="3F0947DE"/>
    <w:rsid w:val="3FBC6805"/>
    <w:rsid w:val="402B1A4C"/>
    <w:rsid w:val="40C64610"/>
    <w:rsid w:val="40F07AC8"/>
    <w:rsid w:val="42021C48"/>
    <w:rsid w:val="42562684"/>
    <w:rsid w:val="42666D6B"/>
    <w:rsid w:val="42E908C7"/>
    <w:rsid w:val="42F205FF"/>
    <w:rsid w:val="438F40A0"/>
    <w:rsid w:val="43A01E6B"/>
    <w:rsid w:val="43E71EF6"/>
    <w:rsid w:val="440F15C9"/>
    <w:rsid w:val="443E27B7"/>
    <w:rsid w:val="44AC1F08"/>
    <w:rsid w:val="454D4212"/>
    <w:rsid w:val="46A6067E"/>
    <w:rsid w:val="4823017E"/>
    <w:rsid w:val="4864002C"/>
    <w:rsid w:val="48875F9F"/>
    <w:rsid w:val="48D744E3"/>
    <w:rsid w:val="48E27488"/>
    <w:rsid w:val="48EC19A3"/>
    <w:rsid w:val="4A0C332A"/>
    <w:rsid w:val="4A4A769D"/>
    <w:rsid w:val="4A6C3AF2"/>
    <w:rsid w:val="4AA46683"/>
    <w:rsid w:val="4B357F0C"/>
    <w:rsid w:val="4BD2728C"/>
    <w:rsid w:val="4CA66864"/>
    <w:rsid w:val="4D1E4381"/>
    <w:rsid w:val="4D434953"/>
    <w:rsid w:val="4DB7412A"/>
    <w:rsid w:val="4DC572D5"/>
    <w:rsid w:val="4DC57691"/>
    <w:rsid w:val="4DD74AFC"/>
    <w:rsid w:val="50BB0061"/>
    <w:rsid w:val="50C64E79"/>
    <w:rsid w:val="515C3687"/>
    <w:rsid w:val="516A7EFA"/>
    <w:rsid w:val="51C22AD4"/>
    <w:rsid w:val="53DB68EF"/>
    <w:rsid w:val="53E638DE"/>
    <w:rsid w:val="545E3D46"/>
    <w:rsid w:val="54CF5441"/>
    <w:rsid w:val="55135268"/>
    <w:rsid w:val="55870606"/>
    <w:rsid w:val="55F81F79"/>
    <w:rsid w:val="55FC3817"/>
    <w:rsid w:val="56737877"/>
    <w:rsid w:val="56751CFB"/>
    <w:rsid w:val="56DC3A16"/>
    <w:rsid w:val="5768568F"/>
    <w:rsid w:val="57980E90"/>
    <w:rsid w:val="57A53FB9"/>
    <w:rsid w:val="57B303A3"/>
    <w:rsid w:val="57B8376D"/>
    <w:rsid w:val="58215132"/>
    <w:rsid w:val="58A32C8C"/>
    <w:rsid w:val="58B756C8"/>
    <w:rsid w:val="59BB5797"/>
    <w:rsid w:val="5A613945"/>
    <w:rsid w:val="5A7D47FA"/>
    <w:rsid w:val="5B1C04B7"/>
    <w:rsid w:val="5B1F1D55"/>
    <w:rsid w:val="5B613566"/>
    <w:rsid w:val="5C0556E7"/>
    <w:rsid w:val="5C063805"/>
    <w:rsid w:val="5C6E4D42"/>
    <w:rsid w:val="5CCD2CF8"/>
    <w:rsid w:val="5CE56E44"/>
    <w:rsid w:val="5D3543FB"/>
    <w:rsid w:val="5D4F4313"/>
    <w:rsid w:val="5D740137"/>
    <w:rsid w:val="5E0D16E3"/>
    <w:rsid w:val="5E605410"/>
    <w:rsid w:val="5E7D2E2C"/>
    <w:rsid w:val="5EDD61AF"/>
    <w:rsid w:val="5F3A29AE"/>
    <w:rsid w:val="5FD31794"/>
    <w:rsid w:val="60CC4489"/>
    <w:rsid w:val="60F82E2D"/>
    <w:rsid w:val="61EF1FD2"/>
    <w:rsid w:val="61EF56A6"/>
    <w:rsid w:val="620A0D5B"/>
    <w:rsid w:val="624502F4"/>
    <w:rsid w:val="6311467A"/>
    <w:rsid w:val="634A2441"/>
    <w:rsid w:val="63727480"/>
    <w:rsid w:val="63F0429A"/>
    <w:rsid w:val="6431364F"/>
    <w:rsid w:val="644D299A"/>
    <w:rsid w:val="65136CE7"/>
    <w:rsid w:val="65522FA3"/>
    <w:rsid w:val="665078A0"/>
    <w:rsid w:val="66EC2B1A"/>
    <w:rsid w:val="673D71FC"/>
    <w:rsid w:val="684C5299"/>
    <w:rsid w:val="68512E97"/>
    <w:rsid w:val="68887DB8"/>
    <w:rsid w:val="68F3411A"/>
    <w:rsid w:val="695928D6"/>
    <w:rsid w:val="699078AA"/>
    <w:rsid w:val="69AE2C22"/>
    <w:rsid w:val="6A413A96"/>
    <w:rsid w:val="6ADD6004"/>
    <w:rsid w:val="6BD909D7"/>
    <w:rsid w:val="6C117498"/>
    <w:rsid w:val="6C3A35DA"/>
    <w:rsid w:val="6CCF08B0"/>
    <w:rsid w:val="6CFB0BB6"/>
    <w:rsid w:val="6D8773F2"/>
    <w:rsid w:val="6D9E52FD"/>
    <w:rsid w:val="6DD42D38"/>
    <w:rsid w:val="6DE07122"/>
    <w:rsid w:val="6E5E65A2"/>
    <w:rsid w:val="6EF46A1B"/>
    <w:rsid w:val="6F7B42C2"/>
    <w:rsid w:val="6FE93EA0"/>
    <w:rsid w:val="702358AB"/>
    <w:rsid w:val="703D5F43"/>
    <w:rsid w:val="705B0619"/>
    <w:rsid w:val="70936FAD"/>
    <w:rsid w:val="70A86B14"/>
    <w:rsid w:val="716F008B"/>
    <w:rsid w:val="717C53B4"/>
    <w:rsid w:val="7213174C"/>
    <w:rsid w:val="72470C31"/>
    <w:rsid w:val="733C705D"/>
    <w:rsid w:val="734838B3"/>
    <w:rsid w:val="7406249D"/>
    <w:rsid w:val="74E53678"/>
    <w:rsid w:val="75447682"/>
    <w:rsid w:val="75ED062E"/>
    <w:rsid w:val="76B86E8E"/>
    <w:rsid w:val="773B789A"/>
    <w:rsid w:val="775F730A"/>
    <w:rsid w:val="77752FD1"/>
    <w:rsid w:val="78062831"/>
    <w:rsid w:val="7859644F"/>
    <w:rsid w:val="79425135"/>
    <w:rsid w:val="796377C2"/>
    <w:rsid w:val="798C78C7"/>
    <w:rsid w:val="7A0F74F6"/>
    <w:rsid w:val="7ACF47A6"/>
    <w:rsid w:val="7AD85B2A"/>
    <w:rsid w:val="7B8431AD"/>
    <w:rsid w:val="7CC77E2B"/>
    <w:rsid w:val="7D4039C4"/>
    <w:rsid w:val="7D7707AB"/>
    <w:rsid w:val="7E672306"/>
    <w:rsid w:val="7EB66DF5"/>
    <w:rsid w:val="7EE132AF"/>
    <w:rsid w:val="7F031A27"/>
    <w:rsid w:val="7F315A30"/>
    <w:rsid w:val="7F8750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4"/>
      <w:szCs w:val="24"/>
      <w:lang w:val="en-US" w:eastAsia="zh-CN" w:bidi="ar-SA"/>
    </w:rPr>
  </w:style>
  <w:style w:type="paragraph" w:styleId="3">
    <w:name w:val="heading 1"/>
    <w:basedOn w:val="1"/>
    <w:next w:val="1"/>
    <w:link w:val="45"/>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6"/>
    <w:autoRedefine/>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47"/>
    <w:autoRedefine/>
    <w:qFormat/>
    <w:uiPriority w:val="0"/>
    <w:pPr>
      <w:keepNext/>
      <w:keepLines/>
      <w:snapToGrid w:val="0"/>
      <w:spacing w:before="160" w:after="40" w:line="312" w:lineRule="auto"/>
      <w:jc w:val="left"/>
      <w:outlineLvl w:val="2"/>
    </w:pPr>
    <w:rPr>
      <w:rFonts w:hint="eastAsia" w:ascii="黑体" w:hAnsi="宋体" w:eastAsia="黑体"/>
      <w:b/>
      <w:snapToGrid w:val="0"/>
      <w:kern w:val="0"/>
      <w:sz w:val="30"/>
      <w:szCs w:val="20"/>
    </w:rPr>
  </w:style>
  <w:style w:type="paragraph" w:styleId="6">
    <w:name w:val="heading 4"/>
    <w:basedOn w:val="1"/>
    <w:next w:val="7"/>
    <w:link w:val="48"/>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35">
    <w:name w:val="Default Paragraph Font"/>
    <w:semiHidden/>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44"/>
    <w:autoRedefine/>
    <w:unhideWhenUsed/>
    <w:qFormat/>
    <w:uiPriority w:val="0"/>
    <w:pPr>
      <w:spacing w:after="120"/>
    </w:pPr>
  </w:style>
  <w:style w:type="paragraph" w:styleId="7">
    <w:name w:val="Normal Indent"/>
    <w:basedOn w:val="1"/>
    <w:link w:val="71"/>
    <w:autoRedefine/>
    <w:qFormat/>
    <w:uiPriority w:val="0"/>
    <w:pPr>
      <w:widowControl/>
      <w:ind w:firstLine="420"/>
      <w:jc w:val="left"/>
    </w:pPr>
    <w:rPr>
      <w:kern w:val="0"/>
      <w:sz w:val="20"/>
      <w:szCs w:val="20"/>
    </w:rPr>
  </w:style>
  <w:style w:type="paragraph" w:styleId="8">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9">
    <w:name w:val="index 8"/>
    <w:basedOn w:val="1"/>
    <w:next w:val="1"/>
    <w:autoRedefine/>
    <w:qFormat/>
    <w:uiPriority w:val="0"/>
    <w:pPr>
      <w:ind w:left="1400" w:leftChars="1400"/>
    </w:pPr>
  </w:style>
  <w:style w:type="paragraph" w:styleId="10">
    <w:name w:val="Document Map"/>
    <w:basedOn w:val="1"/>
    <w:link w:val="66"/>
    <w:autoRedefine/>
    <w:unhideWhenUsed/>
    <w:qFormat/>
    <w:uiPriority w:val="0"/>
    <w:rPr>
      <w:rFonts w:ascii="微软雅黑" w:eastAsia="微软雅黑"/>
      <w:sz w:val="18"/>
      <w:szCs w:val="18"/>
    </w:rPr>
  </w:style>
  <w:style w:type="paragraph" w:styleId="11">
    <w:name w:val="toa heading"/>
    <w:basedOn w:val="1"/>
    <w:next w:val="1"/>
    <w:autoRedefine/>
    <w:qFormat/>
    <w:uiPriority w:val="0"/>
    <w:pPr>
      <w:spacing w:before="120"/>
    </w:pPr>
    <w:rPr>
      <w:rFonts w:ascii="Arial" w:hAnsi="Arial" w:cs="Arial"/>
    </w:rPr>
  </w:style>
  <w:style w:type="paragraph" w:styleId="12">
    <w:name w:val="annotation text"/>
    <w:basedOn w:val="1"/>
    <w:link w:val="58"/>
    <w:autoRedefine/>
    <w:qFormat/>
    <w:uiPriority w:val="99"/>
    <w:pPr>
      <w:adjustRightInd w:val="0"/>
      <w:spacing w:line="360" w:lineRule="atLeast"/>
      <w:jc w:val="left"/>
      <w:textAlignment w:val="baseline"/>
    </w:pPr>
    <w:rPr>
      <w:kern w:val="0"/>
      <w:szCs w:val="20"/>
    </w:rPr>
  </w:style>
  <w:style w:type="paragraph" w:styleId="13">
    <w:name w:val="Body Text Indent"/>
    <w:basedOn w:val="1"/>
    <w:next w:val="14"/>
    <w:autoRedefine/>
    <w:qFormat/>
    <w:uiPriority w:val="99"/>
    <w:pPr>
      <w:ind w:left="420" w:leftChars="200"/>
    </w:pPr>
  </w:style>
  <w:style w:type="paragraph" w:styleId="14">
    <w:name w:val="Body Text First Indent 2"/>
    <w:basedOn w:val="13"/>
    <w:next w:val="15"/>
    <w:autoRedefine/>
    <w:qFormat/>
    <w:uiPriority w:val="0"/>
    <w:pPr>
      <w:spacing w:after="120"/>
      <w:ind w:firstLine="420" w:firstLineChars="200"/>
    </w:pPr>
    <w:rPr>
      <w:rFonts w:ascii="Times New Roman"/>
      <w:sz w:val="21"/>
    </w:rPr>
  </w:style>
  <w:style w:type="paragraph" w:styleId="15">
    <w:name w:val="Body Text First Indent"/>
    <w:basedOn w:val="2"/>
    <w:autoRedefine/>
    <w:qFormat/>
    <w:uiPriority w:val="0"/>
    <w:pPr>
      <w:ind w:firstLine="420" w:firstLineChars="100"/>
    </w:pPr>
    <w:rPr>
      <w:rFonts w:eastAsia="仿宋_GB2312"/>
      <w:sz w:val="30"/>
    </w:rPr>
  </w:style>
  <w:style w:type="paragraph" w:styleId="16">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17">
    <w:name w:val="toc 3"/>
    <w:basedOn w:val="1"/>
    <w:next w:val="1"/>
    <w:autoRedefine/>
    <w:qFormat/>
    <w:uiPriority w:val="39"/>
    <w:pPr>
      <w:tabs>
        <w:tab w:val="right" w:leader="dot" w:pos="9016"/>
      </w:tabs>
      <w:spacing w:line="320" w:lineRule="exact"/>
      <w:ind w:left="840" w:leftChars="400"/>
    </w:pPr>
  </w:style>
  <w:style w:type="paragraph" w:styleId="18">
    <w:name w:val="Plain Text"/>
    <w:basedOn w:val="1"/>
    <w:next w:val="1"/>
    <w:link w:val="54"/>
    <w:autoRedefine/>
    <w:qFormat/>
    <w:uiPriority w:val="0"/>
    <w:rPr>
      <w:rFonts w:ascii="宋体" w:hAnsi="Courier New"/>
      <w:color w:val="000000"/>
      <w:szCs w:val="20"/>
    </w:rPr>
  </w:style>
  <w:style w:type="paragraph" w:styleId="19">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0">
    <w:name w:val="Date"/>
    <w:basedOn w:val="1"/>
    <w:next w:val="1"/>
    <w:link w:val="55"/>
    <w:autoRedefine/>
    <w:semiHidden/>
    <w:unhideWhenUsed/>
    <w:qFormat/>
    <w:uiPriority w:val="99"/>
    <w:pPr>
      <w:ind w:left="100" w:leftChars="2500"/>
    </w:pPr>
  </w:style>
  <w:style w:type="paragraph" w:styleId="21">
    <w:name w:val="Body Text Indent 2"/>
    <w:basedOn w:val="1"/>
    <w:autoRedefine/>
    <w:qFormat/>
    <w:uiPriority w:val="0"/>
    <w:pPr>
      <w:spacing w:line="500" w:lineRule="exact"/>
      <w:ind w:firstLine="510"/>
    </w:pPr>
    <w:rPr>
      <w:rFonts w:ascii="宋体"/>
    </w:rPr>
  </w:style>
  <w:style w:type="paragraph" w:styleId="22">
    <w:name w:val="Balloon Text"/>
    <w:basedOn w:val="1"/>
    <w:link w:val="67"/>
    <w:autoRedefine/>
    <w:semiHidden/>
    <w:unhideWhenUsed/>
    <w:qFormat/>
    <w:uiPriority w:val="99"/>
    <w:rPr>
      <w:sz w:val="18"/>
      <w:szCs w:val="18"/>
    </w:rPr>
  </w:style>
  <w:style w:type="paragraph" w:styleId="23">
    <w:name w:val="footer"/>
    <w:basedOn w:val="1"/>
    <w:link w:val="50"/>
    <w:autoRedefine/>
    <w:unhideWhenUsed/>
    <w:qFormat/>
    <w:uiPriority w:val="99"/>
    <w:pPr>
      <w:tabs>
        <w:tab w:val="center" w:pos="4153"/>
        <w:tab w:val="right" w:pos="8306"/>
      </w:tabs>
      <w:snapToGrid w:val="0"/>
      <w:jc w:val="left"/>
    </w:pPr>
    <w:rPr>
      <w:sz w:val="18"/>
      <w:szCs w:val="18"/>
    </w:rPr>
  </w:style>
  <w:style w:type="paragraph" w:styleId="24">
    <w:name w:val="header"/>
    <w:basedOn w:val="1"/>
    <w:link w:val="4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tabs>
        <w:tab w:val="right" w:leader="dot" w:pos="9016"/>
      </w:tabs>
      <w:spacing w:beforeLines="50" w:afterLines="50"/>
    </w:pPr>
    <w:rPr>
      <w:rFonts w:ascii="宋体" w:hAnsi="宋体"/>
      <w:b/>
      <w:szCs w:val="21"/>
    </w:rPr>
  </w:style>
  <w:style w:type="paragraph" w:styleId="26">
    <w:name w:val="toc 4"/>
    <w:basedOn w:val="1"/>
    <w:next w:val="1"/>
    <w:autoRedefine/>
    <w:unhideWhenUsed/>
    <w:qFormat/>
    <w:uiPriority w:val="39"/>
    <w:pPr>
      <w:ind w:left="1260" w:leftChars="600"/>
    </w:pPr>
    <w:rPr>
      <w:rFonts w:asciiTheme="minorHAnsi" w:hAnsiTheme="minorHAnsi" w:eastAsiaTheme="minorEastAsia" w:cstheme="minorBidi"/>
      <w:szCs w:val="22"/>
    </w:rPr>
  </w:style>
  <w:style w:type="paragraph" w:styleId="27">
    <w:name w:val="toc 6"/>
    <w:basedOn w:val="1"/>
    <w:next w:val="1"/>
    <w:autoRedefine/>
    <w:unhideWhenUsed/>
    <w:qFormat/>
    <w:uiPriority w:val="39"/>
    <w:pPr>
      <w:ind w:left="2100" w:leftChars="1000"/>
    </w:pPr>
    <w:rPr>
      <w:rFonts w:asciiTheme="minorHAnsi" w:hAnsiTheme="minorHAnsi" w:eastAsiaTheme="minorEastAsia" w:cstheme="minorBidi"/>
      <w:szCs w:val="22"/>
    </w:rPr>
  </w:style>
  <w:style w:type="paragraph" w:styleId="28">
    <w:name w:val="Body Text Indent 3"/>
    <w:basedOn w:val="1"/>
    <w:link w:val="59"/>
    <w:autoRedefine/>
    <w:qFormat/>
    <w:uiPriority w:val="0"/>
    <w:pPr>
      <w:spacing w:after="120"/>
      <w:ind w:left="420" w:leftChars="200"/>
    </w:pPr>
    <w:rPr>
      <w:sz w:val="16"/>
      <w:szCs w:val="16"/>
    </w:rPr>
  </w:style>
  <w:style w:type="paragraph" w:styleId="29">
    <w:name w:val="toc 2"/>
    <w:basedOn w:val="1"/>
    <w:next w:val="1"/>
    <w:autoRedefine/>
    <w:qFormat/>
    <w:uiPriority w:val="39"/>
    <w:pPr>
      <w:tabs>
        <w:tab w:val="left" w:pos="1155"/>
        <w:tab w:val="right" w:leader="dot" w:pos="9016"/>
      </w:tabs>
      <w:ind w:left="420" w:leftChars="200"/>
    </w:pPr>
  </w:style>
  <w:style w:type="paragraph" w:styleId="30">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1">
    <w:name w:val="Normal (Web)"/>
    <w:basedOn w:val="1"/>
    <w:autoRedefine/>
    <w:qFormat/>
    <w:uiPriority w:val="99"/>
    <w:pPr>
      <w:widowControl/>
      <w:spacing w:before="120" w:after="120" w:line="360" w:lineRule="atLeast"/>
      <w:ind w:left="600" w:right="600" w:firstLine="560"/>
      <w:jc w:val="left"/>
    </w:pPr>
    <w:rPr>
      <w:rFonts w:ascii="宋体" w:hAnsi="宋体" w:cs="宋体"/>
      <w:color w:val="000000"/>
      <w:kern w:val="0"/>
      <w:sz w:val="28"/>
      <w:szCs w:val="28"/>
    </w:rPr>
  </w:style>
  <w:style w:type="paragraph" w:styleId="32">
    <w:name w:val="annotation subject"/>
    <w:basedOn w:val="12"/>
    <w:next w:val="12"/>
    <w:link w:val="72"/>
    <w:autoRedefine/>
    <w:semiHidden/>
    <w:unhideWhenUsed/>
    <w:qFormat/>
    <w:uiPriority w:val="99"/>
    <w:pPr>
      <w:adjustRightInd/>
      <w:spacing w:line="240" w:lineRule="auto"/>
      <w:textAlignment w:val="auto"/>
    </w:pPr>
    <w:rPr>
      <w:b/>
      <w:bCs/>
      <w:kern w:val="2"/>
      <w:sz w:val="21"/>
      <w:szCs w:val="24"/>
    </w:rPr>
  </w:style>
  <w:style w:type="table" w:styleId="34">
    <w:name w:val="Table Grid"/>
    <w:basedOn w:val="3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autoRedefine/>
    <w:qFormat/>
    <w:uiPriority w:val="22"/>
    <w:rPr>
      <w:b/>
      <w:bCs/>
    </w:rPr>
  </w:style>
  <w:style w:type="character" w:styleId="37">
    <w:name w:val="Hyperlink"/>
    <w:basedOn w:val="35"/>
    <w:autoRedefine/>
    <w:unhideWhenUsed/>
    <w:qFormat/>
    <w:uiPriority w:val="99"/>
    <w:rPr>
      <w:color w:val="0563C1" w:themeColor="hyperlink"/>
      <w:u w:val="single"/>
      <w14:textFill>
        <w14:solidFill>
          <w14:schemeClr w14:val="hlink"/>
        </w14:solidFill>
      </w14:textFill>
    </w:rPr>
  </w:style>
  <w:style w:type="character" w:styleId="38">
    <w:name w:val="annotation reference"/>
    <w:basedOn w:val="35"/>
    <w:autoRedefine/>
    <w:semiHidden/>
    <w:unhideWhenUsed/>
    <w:qFormat/>
    <w:uiPriority w:val="99"/>
    <w:rPr>
      <w:sz w:val="21"/>
      <w:szCs w:val="21"/>
    </w:rPr>
  </w:style>
  <w:style w:type="character" w:styleId="39">
    <w:name w:val="footnote reference"/>
    <w:autoRedefine/>
    <w:qFormat/>
    <w:uiPriority w:val="0"/>
    <w:rPr>
      <w:vertAlign w:val="superscript"/>
    </w:rPr>
  </w:style>
  <w:style w:type="paragraph" w:customStyle="1" w:styleId="40">
    <w:name w:val="Default"/>
    <w:autoRedefine/>
    <w:qFormat/>
    <w:uiPriority w:val="0"/>
    <w:pPr>
      <w:widowControl w:val="0"/>
      <w:autoSpaceDE w:val="0"/>
      <w:autoSpaceDN w:val="0"/>
      <w:adjustRightInd w:val="0"/>
      <w:spacing w:after="200" w:line="276" w:lineRule="auto"/>
    </w:pPr>
    <w:rPr>
      <w:rFonts w:ascii="宋体" w:hAnsi="Times New Roman" w:eastAsia="宋体" w:cs="Times New Roman"/>
      <w:color w:val="000000"/>
      <w:sz w:val="24"/>
      <w:szCs w:val="24"/>
      <w:lang w:val="en-US" w:eastAsia="zh-CN" w:bidi="ar-SA"/>
    </w:rPr>
  </w:style>
  <w:style w:type="paragraph" w:customStyle="1" w:styleId="41">
    <w:name w:val="正文1"/>
    <w:next w:val="15"/>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2">
    <w:name w:val="正文首行缩进 21"/>
    <w:basedOn w:val="43"/>
    <w:autoRedefine/>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Cs w:val="20"/>
    </w:rPr>
  </w:style>
  <w:style w:type="paragraph" w:customStyle="1" w:styleId="43">
    <w:name w:val="正文文本缩进1"/>
    <w:basedOn w:val="1"/>
    <w:autoRedefine/>
    <w:qFormat/>
    <w:uiPriority w:val="0"/>
    <w:pPr>
      <w:ind w:left="420" w:leftChars="200"/>
    </w:pPr>
  </w:style>
  <w:style w:type="character" w:customStyle="1" w:styleId="44">
    <w:name w:val="正文文本 Char"/>
    <w:basedOn w:val="35"/>
    <w:link w:val="2"/>
    <w:autoRedefine/>
    <w:qFormat/>
    <w:uiPriority w:val="0"/>
    <w:rPr>
      <w:rFonts w:ascii="Calibri" w:hAnsi="Calibri" w:eastAsia="宋体" w:cs="Times New Roman"/>
      <w:szCs w:val="24"/>
    </w:rPr>
  </w:style>
  <w:style w:type="character" w:customStyle="1" w:styleId="45">
    <w:name w:val="标题 1 Char"/>
    <w:basedOn w:val="35"/>
    <w:link w:val="3"/>
    <w:autoRedefine/>
    <w:qFormat/>
    <w:uiPriority w:val="0"/>
    <w:rPr>
      <w:rFonts w:ascii="Calibri" w:hAnsi="Calibri" w:eastAsia="宋体" w:cs="Times New Roman"/>
      <w:b/>
      <w:bCs/>
      <w:kern w:val="44"/>
      <w:sz w:val="44"/>
      <w:szCs w:val="44"/>
    </w:rPr>
  </w:style>
  <w:style w:type="character" w:customStyle="1" w:styleId="46">
    <w:name w:val="标题 2 Char"/>
    <w:basedOn w:val="35"/>
    <w:link w:val="4"/>
    <w:autoRedefine/>
    <w:qFormat/>
    <w:uiPriority w:val="0"/>
    <w:rPr>
      <w:rFonts w:ascii="Arial" w:hAnsi="Arial" w:eastAsia="黑体" w:cs="Times New Roman"/>
      <w:b/>
      <w:bCs/>
      <w:sz w:val="32"/>
      <w:szCs w:val="32"/>
    </w:rPr>
  </w:style>
  <w:style w:type="character" w:customStyle="1" w:styleId="47">
    <w:name w:val="标题 3 Char"/>
    <w:basedOn w:val="35"/>
    <w:link w:val="5"/>
    <w:autoRedefine/>
    <w:qFormat/>
    <w:uiPriority w:val="0"/>
    <w:rPr>
      <w:rFonts w:ascii="黑体" w:hAnsi="宋体" w:eastAsia="黑体" w:cs="Times New Roman"/>
      <w:b/>
      <w:snapToGrid w:val="0"/>
      <w:kern w:val="0"/>
      <w:sz w:val="30"/>
      <w:szCs w:val="20"/>
    </w:rPr>
  </w:style>
  <w:style w:type="character" w:customStyle="1" w:styleId="48">
    <w:name w:val="标题 4 Char"/>
    <w:basedOn w:val="35"/>
    <w:link w:val="6"/>
    <w:autoRedefine/>
    <w:qFormat/>
    <w:uiPriority w:val="0"/>
    <w:rPr>
      <w:rFonts w:ascii="Arial" w:hAnsi="Arial" w:eastAsia="黑体" w:cs="Times New Roman"/>
      <w:b/>
      <w:bCs/>
      <w:sz w:val="28"/>
      <w:szCs w:val="28"/>
    </w:rPr>
  </w:style>
  <w:style w:type="character" w:customStyle="1" w:styleId="49">
    <w:name w:val="页眉 Char"/>
    <w:basedOn w:val="35"/>
    <w:link w:val="24"/>
    <w:autoRedefine/>
    <w:qFormat/>
    <w:uiPriority w:val="99"/>
    <w:rPr>
      <w:sz w:val="18"/>
      <w:szCs w:val="18"/>
    </w:rPr>
  </w:style>
  <w:style w:type="character" w:customStyle="1" w:styleId="50">
    <w:name w:val="页脚 Char"/>
    <w:basedOn w:val="35"/>
    <w:link w:val="23"/>
    <w:autoRedefine/>
    <w:qFormat/>
    <w:uiPriority w:val="99"/>
    <w:rPr>
      <w:sz w:val="18"/>
      <w:szCs w:val="18"/>
    </w:rPr>
  </w:style>
  <w:style w:type="character" w:customStyle="1" w:styleId="51">
    <w:name w:val="不明显参考1"/>
    <w:basedOn w:val="35"/>
    <w:autoRedefine/>
    <w:qFormat/>
    <w:uiPriority w:val="31"/>
    <w:rPr>
      <w:smallCaps/>
      <w:color w:val="595959" w:themeColor="text1" w:themeTint="A6"/>
      <w14:textFill>
        <w14:solidFill>
          <w14:schemeClr w14:val="tx1">
            <w14:lumMod w14:val="65000"/>
            <w14:lumOff w14:val="35000"/>
          </w14:schemeClr>
        </w14:solidFill>
      </w14:textFill>
    </w:rPr>
  </w:style>
  <w:style w:type="paragraph" w:styleId="52">
    <w:name w:val="Quote"/>
    <w:basedOn w:val="1"/>
    <w:next w:val="1"/>
    <w:link w:val="53"/>
    <w:autoRedefine/>
    <w:qFormat/>
    <w:uiPriority w:val="2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53">
    <w:name w:val="引用 Char"/>
    <w:basedOn w:val="35"/>
    <w:link w:val="52"/>
    <w:autoRedefine/>
    <w:qFormat/>
    <w:uiPriority w:val="29"/>
    <w:rPr>
      <w:i/>
      <w:iCs/>
      <w:color w:val="404040" w:themeColor="text1" w:themeTint="BF"/>
      <w14:textFill>
        <w14:solidFill>
          <w14:schemeClr w14:val="tx1">
            <w14:lumMod w14:val="75000"/>
            <w14:lumOff w14:val="25000"/>
          </w14:schemeClr>
        </w14:solidFill>
      </w14:textFill>
    </w:rPr>
  </w:style>
  <w:style w:type="character" w:customStyle="1" w:styleId="54">
    <w:name w:val="纯文本 Char"/>
    <w:basedOn w:val="35"/>
    <w:link w:val="18"/>
    <w:autoRedefine/>
    <w:qFormat/>
    <w:uiPriority w:val="0"/>
    <w:rPr>
      <w:rFonts w:ascii="宋体" w:hAnsi="Courier New" w:eastAsia="宋体" w:cs="Times New Roman"/>
      <w:color w:val="000000"/>
      <w:szCs w:val="20"/>
    </w:rPr>
  </w:style>
  <w:style w:type="character" w:customStyle="1" w:styleId="55">
    <w:name w:val="日期 Char"/>
    <w:basedOn w:val="35"/>
    <w:link w:val="20"/>
    <w:autoRedefine/>
    <w:semiHidden/>
    <w:qFormat/>
    <w:uiPriority w:val="99"/>
    <w:rPr>
      <w:rFonts w:ascii="Calibri" w:hAnsi="Calibri" w:eastAsia="宋体" w:cs="Times New Roman"/>
      <w:szCs w:val="24"/>
    </w:rPr>
  </w:style>
  <w:style w:type="paragraph" w:customStyle="1" w:styleId="56">
    <w:name w:val="样式 样式 首行缩进:  2.57 字符 + 首行缩进:  2.57 字符"/>
    <w:basedOn w:val="1"/>
    <w:autoRedefine/>
    <w:qFormat/>
    <w:uiPriority w:val="0"/>
    <w:pPr>
      <w:spacing w:line="360" w:lineRule="auto"/>
      <w:ind w:firstLine="771" w:firstLineChars="257"/>
    </w:pPr>
    <w:rPr>
      <w:rFonts w:eastAsia="仿宋" w:cs="宋体"/>
      <w:sz w:val="30"/>
      <w:szCs w:val="20"/>
    </w:rPr>
  </w:style>
  <w:style w:type="paragraph" w:customStyle="1" w:styleId="57">
    <w:name w:val="p0"/>
    <w:basedOn w:val="1"/>
    <w:autoRedefine/>
    <w:qFormat/>
    <w:uiPriority w:val="0"/>
    <w:pPr>
      <w:widowControl/>
    </w:pPr>
    <w:rPr>
      <w:kern w:val="0"/>
      <w:szCs w:val="21"/>
    </w:rPr>
  </w:style>
  <w:style w:type="character" w:customStyle="1" w:styleId="58">
    <w:name w:val="批注文字 Char"/>
    <w:basedOn w:val="35"/>
    <w:link w:val="12"/>
    <w:autoRedefine/>
    <w:qFormat/>
    <w:uiPriority w:val="99"/>
    <w:rPr>
      <w:rFonts w:ascii="Calibri" w:hAnsi="Calibri" w:eastAsia="宋体" w:cs="Times New Roman"/>
      <w:kern w:val="0"/>
      <w:sz w:val="24"/>
      <w:szCs w:val="20"/>
    </w:rPr>
  </w:style>
  <w:style w:type="character" w:customStyle="1" w:styleId="59">
    <w:name w:val="正文文本缩进 3 Char"/>
    <w:basedOn w:val="35"/>
    <w:link w:val="28"/>
    <w:autoRedefine/>
    <w:qFormat/>
    <w:uiPriority w:val="0"/>
    <w:rPr>
      <w:rFonts w:ascii="Calibri" w:hAnsi="Calibri" w:eastAsia="宋体" w:cs="Times New Roman"/>
      <w:sz w:val="16"/>
      <w:szCs w:val="16"/>
    </w:rPr>
  </w:style>
  <w:style w:type="paragraph" w:customStyle="1" w:styleId="60">
    <w:name w:val="_Style 2"/>
    <w:basedOn w:val="1"/>
    <w:autoRedefine/>
    <w:qFormat/>
    <w:uiPriority w:val="0"/>
    <w:pPr>
      <w:widowControl/>
      <w:jc w:val="left"/>
    </w:pPr>
    <w:rPr>
      <w:kern w:val="0"/>
      <w:szCs w:val="21"/>
    </w:rPr>
  </w:style>
  <w:style w:type="paragraph" w:customStyle="1" w:styleId="61">
    <w:name w:val="Normal_0"/>
    <w:autoRedefine/>
    <w:qFormat/>
    <w:uiPriority w:val="0"/>
    <w:pPr>
      <w:widowControl w:val="0"/>
      <w:jc w:val="both"/>
    </w:pPr>
    <w:rPr>
      <w:rFonts w:ascii="Calibri" w:hAnsi="Calibri" w:eastAsia="宋体" w:cs="Times New Roman"/>
      <w:lang w:val="en-US" w:eastAsia="zh-CN" w:bidi="ar-SA"/>
    </w:rPr>
  </w:style>
  <w:style w:type="paragraph" w:customStyle="1" w:styleId="62">
    <w:name w:val="正文2"/>
    <w:basedOn w:val="1"/>
    <w:autoRedefine/>
    <w:qFormat/>
    <w:uiPriority w:val="0"/>
    <w:pPr>
      <w:spacing w:before="156" w:line="360" w:lineRule="auto"/>
      <w:ind w:firstLine="510" w:firstLineChars="200"/>
    </w:pPr>
    <w:rPr>
      <w:szCs w:val="20"/>
    </w:rPr>
  </w:style>
  <w:style w:type="character" w:customStyle="1" w:styleId="63">
    <w:name w:val="未处理的提及1"/>
    <w:basedOn w:val="35"/>
    <w:autoRedefine/>
    <w:semiHidden/>
    <w:unhideWhenUsed/>
    <w:qFormat/>
    <w:uiPriority w:val="99"/>
    <w:rPr>
      <w:color w:val="605E5C"/>
      <w:shd w:val="clear" w:color="auto" w:fill="E1DFDD"/>
    </w:rPr>
  </w:style>
  <w:style w:type="character" w:customStyle="1" w:styleId="64">
    <w:name w:val="Unresolved Mention"/>
    <w:basedOn w:val="35"/>
    <w:autoRedefine/>
    <w:semiHidden/>
    <w:unhideWhenUsed/>
    <w:qFormat/>
    <w:uiPriority w:val="99"/>
    <w:rPr>
      <w:color w:val="605E5C"/>
      <w:shd w:val="clear" w:color="auto" w:fill="E1DFDD"/>
    </w:rPr>
  </w:style>
  <w:style w:type="paragraph" w:styleId="65">
    <w:name w:val="List Paragraph"/>
    <w:basedOn w:val="1"/>
    <w:autoRedefine/>
    <w:qFormat/>
    <w:uiPriority w:val="99"/>
    <w:pPr>
      <w:ind w:firstLine="420" w:firstLineChars="200"/>
    </w:pPr>
  </w:style>
  <w:style w:type="character" w:customStyle="1" w:styleId="66">
    <w:name w:val="文档结构图 Char"/>
    <w:basedOn w:val="35"/>
    <w:link w:val="10"/>
    <w:autoRedefine/>
    <w:qFormat/>
    <w:uiPriority w:val="0"/>
    <w:rPr>
      <w:rFonts w:ascii="微软雅黑" w:hAnsi="Calibri" w:eastAsia="微软雅黑" w:cs="Times New Roman"/>
      <w:kern w:val="2"/>
      <w:sz w:val="18"/>
      <w:szCs w:val="18"/>
    </w:rPr>
  </w:style>
  <w:style w:type="character" w:customStyle="1" w:styleId="67">
    <w:name w:val="批注框文本 Char"/>
    <w:basedOn w:val="35"/>
    <w:link w:val="22"/>
    <w:autoRedefine/>
    <w:semiHidden/>
    <w:qFormat/>
    <w:uiPriority w:val="99"/>
    <w:rPr>
      <w:rFonts w:ascii="Calibri" w:hAnsi="Calibri" w:eastAsia="宋体" w:cs="Times New Roman"/>
      <w:kern w:val="2"/>
      <w:sz w:val="18"/>
      <w:szCs w:val="18"/>
    </w:rPr>
  </w:style>
  <w:style w:type="paragraph" w:customStyle="1" w:styleId="68">
    <w:name w:val="xl27"/>
    <w:basedOn w:val="1"/>
    <w:autoRedefine/>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kern w:val="0"/>
      <w:szCs w:val="20"/>
    </w:rPr>
  </w:style>
  <w:style w:type="character" w:customStyle="1" w:styleId="69">
    <w:name w:val="grame"/>
    <w:autoRedefine/>
    <w:qFormat/>
    <w:uiPriority w:val="0"/>
  </w:style>
  <w:style w:type="paragraph" w:customStyle="1" w:styleId="70">
    <w:name w:val="修订1"/>
    <w:autoRedefine/>
    <w:hidden/>
    <w:unhideWhenUsed/>
    <w:qFormat/>
    <w:uiPriority w:val="99"/>
    <w:rPr>
      <w:rFonts w:ascii="Calibri" w:hAnsi="Calibri" w:eastAsia="宋体" w:cs="Times New Roman"/>
      <w:kern w:val="2"/>
      <w:sz w:val="21"/>
      <w:szCs w:val="24"/>
      <w:lang w:val="en-US" w:eastAsia="zh-CN" w:bidi="ar-SA"/>
    </w:rPr>
  </w:style>
  <w:style w:type="character" w:customStyle="1" w:styleId="71">
    <w:name w:val="正文缩进 Char"/>
    <w:link w:val="7"/>
    <w:autoRedefine/>
    <w:qFormat/>
    <w:uiPriority w:val="0"/>
    <w:rPr>
      <w:rFonts w:ascii="Calibri" w:hAnsi="Calibri"/>
    </w:rPr>
  </w:style>
  <w:style w:type="character" w:customStyle="1" w:styleId="72">
    <w:name w:val="批注主题 Char"/>
    <w:basedOn w:val="58"/>
    <w:link w:val="32"/>
    <w:autoRedefine/>
    <w:semiHidden/>
    <w:qFormat/>
    <w:uiPriority w:val="99"/>
    <w:rPr>
      <w:rFonts w:ascii="Calibri" w:hAnsi="Calibri" w:eastAsia="宋体" w:cs="Times New Roman"/>
      <w:b/>
      <w:bCs/>
      <w:kern w:val="2"/>
      <w:sz w:val="21"/>
      <w:szCs w:val="24"/>
    </w:rPr>
  </w:style>
  <w:style w:type="paragraph" w:customStyle="1" w:styleId="73">
    <w:name w:val="p2"/>
    <w:basedOn w:val="1"/>
    <w:autoRedefine/>
    <w:qFormat/>
    <w:uiPriority w:val="99"/>
    <w:pPr>
      <w:widowControl/>
      <w:spacing w:line="480" w:lineRule="auto"/>
      <w:ind w:firstLine="420"/>
      <w:jc w:val="left"/>
    </w:pPr>
    <w:rPr>
      <w:rFonts w:ascii="宋体" w:hAnsi="宋体" w:cs="宋体"/>
      <w:kern w:val="0"/>
    </w:rPr>
  </w:style>
  <w:style w:type="paragraph" w:customStyle="1" w:styleId="74">
    <w:name w:val="表格文字"/>
    <w:basedOn w:val="1"/>
    <w:autoRedefine/>
    <w:qFormat/>
    <w:uiPriority w:val="0"/>
    <w:pPr>
      <w:adjustRightInd w:val="0"/>
      <w:spacing w:line="360" w:lineRule="auto"/>
      <w:ind w:firstLine="200" w:firstLineChars="200"/>
      <w:jc w:val="left"/>
      <w:textAlignment w:val="baseline"/>
    </w:pPr>
    <w:rPr>
      <w:rFonts w:ascii="Arial" w:hAnsi="Arial"/>
    </w:rPr>
  </w:style>
  <w:style w:type="character" w:customStyle="1" w:styleId="75">
    <w:name w:val="font21"/>
    <w:basedOn w:val="35"/>
    <w:autoRedefine/>
    <w:qFormat/>
    <w:uiPriority w:val="0"/>
    <w:rPr>
      <w:rFonts w:hint="eastAsia" w:ascii="宋体" w:hAnsi="宋体" w:eastAsia="宋体" w:cs="宋体"/>
      <w:color w:val="000000"/>
      <w:sz w:val="24"/>
      <w:szCs w:val="24"/>
      <w:u w:val="none"/>
    </w:rPr>
  </w:style>
  <w:style w:type="paragraph" w:customStyle="1" w:styleId="76">
    <w:name w:val="Other|1"/>
    <w:basedOn w:val="1"/>
    <w:autoRedefine/>
    <w:qFormat/>
    <w:uiPriority w:val="0"/>
    <w:pPr>
      <w:spacing w:line="480" w:lineRule="auto"/>
      <w:ind w:firstLine="400"/>
    </w:pPr>
    <w:rPr>
      <w:rFonts w:ascii="宋体" w:hAnsi="宋体" w:cs="宋体"/>
      <w:sz w:val="20"/>
      <w:szCs w:val="20"/>
      <w:lang w:val="zh-TW" w:eastAsia="zh-TW" w:bidi="zh-TW"/>
    </w:rPr>
  </w:style>
  <w:style w:type="character" w:customStyle="1" w:styleId="77">
    <w:name w:val="font51"/>
    <w:basedOn w:val="35"/>
    <w:autoRedefine/>
    <w:qFormat/>
    <w:uiPriority w:val="0"/>
    <w:rPr>
      <w:rFonts w:hint="eastAsia" w:ascii="宋体" w:hAnsi="宋体" w:eastAsia="宋体" w:cs="宋体"/>
      <w:color w:val="000000"/>
      <w:sz w:val="20"/>
      <w:szCs w:val="20"/>
      <w:u w:val="none"/>
    </w:rPr>
  </w:style>
  <w:style w:type="paragraph" w:customStyle="1" w:styleId="78">
    <w:name w:val="Normal_1"/>
    <w:autoRedefine/>
    <w:qFormat/>
    <w:uiPriority w:val="0"/>
    <w:pPr>
      <w:widowControl w:val="0"/>
      <w:spacing w:after="200" w:line="276" w:lineRule="auto"/>
      <w:jc w:val="both"/>
    </w:pPr>
    <w:rPr>
      <w:rFonts w:ascii="Calibri" w:hAnsi="Calibri" w:eastAsia="宋体" w:cs="宋体"/>
      <w:kern w:val="2"/>
      <w:sz w:val="21"/>
      <w:lang w:val="en-US" w:eastAsia="zh-CN" w:bidi="ar-SA"/>
    </w:rPr>
  </w:style>
  <w:style w:type="paragraph" w:customStyle="1" w:styleId="79">
    <w:name w:val="Blockquote"/>
    <w:basedOn w:val="1"/>
    <w:autoRedefine/>
    <w:qFormat/>
    <w:uiPriority w:val="0"/>
    <w:pPr>
      <w:autoSpaceDE w:val="0"/>
      <w:autoSpaceDN w:val="0"/>
      <w:adjustRightInd w:val="0"/>
      <w:spacing w:before="100" w:after="100"/>
      <w:ind w:left="360" w:right="360"/>
      <w:jc w:val="left"/>
    </w:pPr>
    <w:rPr>
      <w:kern w:val="0"/>
      <w:szCs w:val="20"/>
    </w:rPr>
  </w:style>
  <w:style w:type="paragraph" w:customStyle="1" w:styleId="80">
    <w:name w:val="style4"/>
    <w:basedOn w:val="41"/>
    <w:next w:val="81"/>
    <w:autoRedefine/>
    <w:qFormat/>
    <w:uiPriority w:val="0"/>
    <w:pPr>
      <w:spacing w:before="100" w:beforeAutospacing="1" w:after="100" w:afterAutospacing="1"/>
      <w:jc w:val="left"/>
    </w:pPr>
    <w:rPr>
      <w:rFonts w:ascii="宋体" w:hAnsi="宋体" w:cs="宋体"/>
      <w:kern w:val="0"/>
      <w:sz w:val="18"/>
      <w:szCs w:val="18"/>
    </w:rPr>
  </w:style>
  <w:style w:type="paragraph" w:customStyle="1" w:styleId="81">
    <w:name w:val="2"/>
    <w:basedOn w:val="1"/>
    <w:next w:val="1"/>
    <w:autoRedefine/>
    <w:qFormat/>
    <w:uiPriority w:val="0"/>
    <w:pPr>
      <w:spacing w:line="360" w:lineRule="auto"/>
    </w:pPr>
    <w:rPr>
      <w:rFonts w:ascii="Times New Roman" w:hAnsi="Times New Roman" w:eastAsia="仿宋_GB2312"/>
      <w:sz w:val="28"/>
      <w:szCs w:val="28"/>
    </w:rPr>
  </w:style>
  <w:style w:type="paragraph" w:customStyle="1" w:styleId="82">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标题二）"/>
    <w:basedOn w:val="4"/>
    <w:next w:val="1"/>
    <w:autoRedefine/>
    <w:qFormat/>
    <w:uiPriority w:val="0"/>
    <w:pPr>
      <w:tabs>
        <w:tab w:val="left" w:pos="1680"/>
      </w:tabs>
      <w:ind w:left="1680" w:hanging="420"/>
    </w:pPr>
    <w:rPr>
      <w:sz w:val="36"/>
    </w:rPr>
  </w:style>
  <w:style w:type="paragraph" w:customStyle="1" w:styleId="84">
    <w:name w:val="??"/>
    <w:autoRedefine/>
    <w:qFormat/>
    <w:uiPriority w:val="0"/>
    <w:pPr>
      <w:widowControl w:val="0"/>
      <w:overflowPunct w:val="0"/>
      <w:autoSpaceDE w:val="0"/>
      <w:autoSpaceDN w:val="0"/>
      <w:adjustRightInd w:val="0"/>
      <w:spacing w:line="360" w:lineRule="auto"/>
      <w:ind w:firstLine="480" w:firstLineChars="200"/>
      <w:jc w:val="both"/>
      <w:textAlignment w:val="baseline"/>
    </w:pPr>
    <w:rPr>
      <w:rFonts w:cs="Times New Roman" w:asciiTheme="minorEastAsia" w:hAnsiTheme="minorEastAsia" w:eastAsiaTheme="minorEastAsia"/>
      <w:sz w:val="24"/>
      <w:szCs w:val="24"/>
      <w:lang w:val="en-US" w:eastAsia="zh-TW" w:bidi="ar-SA"/>
    </w:rPr>
  </w:style>
  <w:style w:type="character" w:customStyle="1" w:styleId="85">
    <w:name w:val="font41"/>
    <w:basedOn w:val="35"/>
    <w:autoRedefine/>
    <w:qFormat/>
    <w:uiPriority w:val="0"/>
    <w:rPr>
      <w:rFonts w:hint="eastAsia" w:ascii="仿宋" w:hAnsi="仿宋" w:eastAsia="仿宋" w:cs="仿宋"/>
      <w:color w:val="000000"/>
      <w:sz w:val="32"/>
      <w:szCs w:val="32"/>
      <w:u w:val="none"/>
    </w:rPr>
  </w:style>
  <w:style w:type="character" w:customStyle="1" w:styleId="86">
    <w:name w:val="font11"/>
    <w:basedOn w:val="35"/>
    <w:autoRedefine/>
    <w:qFormat/>
    <w:uiPriority w:val="0"/>
    <w:rPr>
      <w:rFonts w:hint="eastAsia" w:ascii="宋体" w:hAnsi="宋体" w:eastAsia="宋体" w:cs="宋体"/>
      <w:color w:val="000000"/>
      <w:sz w:val="22"/>
      <w:szCs w:val="22"/>
      <w:u w:val="none"/>
    </w:rPr>
  </w:style>
  <w:style w:type="paragraph" w:customStyle="1" w:styleId="87">
    <w:name w:val="Body text|1"/>
    <w:basedOn w:val="1"/>
    <w:autoRedefine/>
    <w:qFormat/>
    <w:uiPriority w:val="0"/>
    <w:pPr>
      <w:spacing w:line="288" w:lineRule="auto"/>
      <w:ind w:firstLine="400"/>
    </w:pPr>
    <w:rPr>
      <w:sz w:val="20"/>
      <w:szCs w:val="20"/>
      <w:lang w:val="zh-TW" w:eastAsia="zh-TW" w:bidi="zh-TW"/>
    </w:rPr>
  </w:style>
  <w:style w:type="paragraph" w:customStyle="1" w:styleId="88">
    <w:name w:val="Table Text"/>
    <w:basedOn w:val="1"/>
    <w:semiHidden/>
    <w:qFormat/>
    <w:uiPriority w:val="0"/>
    <w:pPr>
      <w:widowControl/>
      <w:kinsoku w:val="0"/>
      <w:autoSpaceDE w:val="0"/>
      <w:autoSpaceDN w:val="0"/>
      <w:adjustRightInd w:val="0"/>
      <w:snapToGrid w:val="0"/>
    </w:pPr>
    <w:rPr>
      <w:color w:val="000000"/>
      <w:kern w:val="0"/>
      <w:lang w:eastAsia="en-US"/>
    </w:rPr>
  </w:style>
  <w:style w:type="paragraph" w:customStyle="1" w:styleId="89">
    <w:name w:val="首行缩进"/>
    <w:basedOn w:val="1"/>
    <w:autoRedefine/>
    <w:qFormat/>
    <w:uiPriority w:val="0"/>
    <w:pPr>
      <w:spacing w:line="360" w:lineRule="auto"/>
      <w:ind w:firstLine="480" w:firstLineChars="200"/>
    </w:pPr>
    <w:rPr>
      <w:szCs w:val="22"/>
      <w:lang w:val="zh-CN"/>
    </w:rPr>
  </w:style>
  <w:style w:type="paragraph" w:customStyle="1" w:styleId="90">
    <w:name w:val="Body Text First Indent1"/>
    <w:basedOn w:val="2"/>
    <w:autoRedefine/>
    <w:qFormat/>
    <w:uiPriority w:val="0"/>
    <w:pPr>
      <w:spacing w:after="0"/>
      <w:ind w:firstLine="420" w:firstLineChars="100"/>
    </w:pPr>
    <w:rPr>
      <w:sz w:val="21"/>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3771C-12B7-448F-9C6E-55C92DCA3457}">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39139</Words>
  <Characters>42770</Characters>
  <Lines>335</Lines>
  <Paragraphs>94</Paragraphs>
  <TotalTime>14</TotalTime>
  <ScaleCrop>false</ScaleCrop>
  <LinksUpToDate>false</LinksUpToDate>
  <CharactersWithSpaces>45338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2024-08-12T10:33:00Z</dcterms:created>
  <dc:creator>1185781033@qq.com</dc:creator>
  <cp:lastModifiedBy>隔壁→_→老杨</cp:lastModifiedBy>
  <cp:lastPrinted>2022-08-01T02:34:00Z</cp:lastPrinted>
  <dcterms:modified xsi:type="dcterms:W3CDTF">2024-08-12T14:31:23Z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B6F5C1D2DB06491CB3B65691B087E657_13</vt:lpwstr>
  </property>
  <property fmtid="{D5CDD505-2E9C-101B-9397-08002B2CF9AE}" pid="3" name="KSOProductBuildVer">
    <vt:lpwstr>2052-12.1.0.16250</vt:lpwstr>
  </property>
</Properties>
</file>