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版本号：N510682202500013420250926001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什邡市2025年小麦产业集群复合肥料采购项目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N5106822025000134</w:t>
      </w:r>
    </w:p>
    <w:p>
      <w:pPr>
        <w:pStyle w:val="null3"/>
        <w:jc w:val="left"/>
        <w:outlineLvl w:val="2"/>
      </w:pPr>
      <w:r>
        <w:rPr>
          <w:rFonts w:ascii="仿宋_GB2312" w:hAnsi="仿宋_GB2312" w:cs="仿宋_GB2312" w:eastAsia="仿宋_GB2312"/>
          <w:sz w:val="28"/>
          <w:b/>
        </w:rPr>
        <w:t>什邡市农业农村局</w:t>
      </w:r>
    </w:p>
    <w:p>
      <w:pPr>
        <w:pStyle w:val="null3"/>
        <w:jc w:val="center"/>
        <w:outlineLvl w:val="2"/>
      </w:pPr>
      <w:r>
        <w:rPr>
          <w:rFonts w:ascii="仿宋_GB2312" w:hAnsi="仿宋_GB2312" w:cs="仿宋_GB2312" w:eastAsia="仿宋_GB2312"/>
          <w:sz w:val="28"/>
          <w:b/>
        </w:rPr>
        <w:t>四川正焜项目管理有限公司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四川正焜项目管理有限公司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什邡市农业农村局</w:t>
      </w:r>
      <w:r>
        <w:rPr>
          <w:rFonts w:ascii="仿宋_GB2312" w:hAnsi="仿宋_GB2312" w:cs="仿宋_GB2312" w:eastAsia="仿宋_GB2312"/>
        </w:rPr>
        <w:t xml:space="preserve"> 委托，拟对 </w:t>
      </w:r>
      <w:r>
        <w:rPr>
          <w:rFonts w:ascii="仿宋_GB2312" w:hAnsi="仿宋_GB2312" w:cs="仿宋_GB2312" w:eastAsia="仿宋_GB2312"/>
        </w:rPr>
        <w:t>什邡市2025年小麦产业集群复合肥料采购项目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德阳市什邡市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N5106822025000134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什邡市2025年小麦产业集群复合肥料采购项目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主要功能或目标：采购一批小麦配方肥（复合肥料），符合相关标准，满足采购人需求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1、1、供应商为制造商的，须提供《工业产品生产许可证》；供应商为非制造商的，须提供制造商的《工业产品生产许可证》（提供证明材料扫描件）。 2、提供投标产品省级(含省级)以上农业主管部门颁发的肥料登记证或备案证明，若因肥料登记或备案取消不能提供的，则需提供省级(含省级)以上农业主管部门出具的证明材料或文件。（描述：1、供应商为制造商的，须提供《工业产品生产许可证》；供应商为非制造商的，须提供制造商的《工业产品生产许可证》（提供证明材料扫描件）。 2、提供投标产品省级(含省级)以上农业主管部门颁发的肥料登记证或备案证明，若因肥料登记或备案取消不能提供的，则需提供省级(含省级)以上农业主管部门出具的证明材料或文件。）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什邡市农业农村局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方亭街道办小花园街110号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0838-8220136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四川正焜项目管理有限公司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四川省德阳市旌阳区德阳市密江街富贵世家8栋2-11、2-12号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0838-3866521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合同签订前向采购人缴纳</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180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代理服务费收费标准：依照成本加合理利润的原则,参照原国家计委颁布的计价格2002[1980]号文，下浮20%收取。本项目代理服务费：34000.00元（大写：叁万肆仟元整）代理服务费由中标人支付。 收款单位：四川正焜项目管理有限公司 开户行：长城华西银行股份有限公司德阳旌阳支行 银行账号：1008110000001456</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什邡市农业农村局</w:t>
      </w:r>
      <w:r>
        <w:rPr>
          <w:rFonts w:ascii="仿宋_GB2312" w:hAnsi="仿宋_GB2312" w:cs="仿宋_GB2312" w:eastAsia="仿宋_GB2312"/>
        </w:rPr>
        <w:t xml:space="preserve"> 和 </w:t>
      </w:r>
      <w:r>
        <w:rPr>
          <w:rFonts w:ascii="仿宋_GB2312" w:hAnsi="仿宋_GB2312" w:cs="仿宋_GB2312" w:eastAsia="仿宋_GB2312"/>
        </w:rPr>
        <w:t>四川正焜项目管理有限公司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什邡市农业农村局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四川正焜项目管理有限公司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所有货物交至采购人指定地点后，按文件约定抽检、送检合格；按采购文件要求发放、培训完成，移交全套资料后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按采购文件相关约定执行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按采购文件相关约定执行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按采购文件相关约定执行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按采购文件相关约定执行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按采购文件相关约定执行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什邡市农业农村局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四川正焜项目管理有限公司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四川正焜项目管理有限公司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联系人：蒋老师</w:t>
      </w:r>
    </w:p>
    <w:p>
      <w:pPr>
        <w:pStyle w:val="null3"/>
        <w:jc w:val="left"/>
      </w:pPr>
      <w:r>
        <w:rPr>
          <w:rFonts w:ascii="仿宋_GB2312" w:hAnsi="仿宋_GB2312" w:cs="仿宋_GB2312" w:eastAsia="仿宋_GB2312"/>
        </w:rPr>
        <w:t>联系电话：0838-8220136</w:t>
      </w:r>
    </w:p>
    <w:p>
      <w:pPr>
        <w:pStyle w:val="null3"/>
        <w:jc w:val="left"/>
      </w:pPr>
      <w:r>
        <w:rPr>
          <w:rFonts w:ascii="仿宋_GB2312" w:hAnsi="仿宋_GB2312" w:cs="仿宋_GB2312" w:eastAsia="仿宋_GB2312"/>
        </w:rPr>
        <w:t>地址： 方亭街道办小花园街110号</w:t>
      </w:r>
    </w:p>
    <w:p>
      <w:pPr>
        <w:pStyle w:val="null3"/>
        <w:jc w:val="left"/>
      </w:pPr>
      <w:r>
        <w:rPr>
          <w:rFonts w:ascii="仿宋_GB2312" w:hAnsi="仿宋_GB2312" w:cs="仿宋_GB2312" w:eastAsia="仿宋_GB2312"/>
        </w:rPr>
        <w:t>邮编：618400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联系人：叶女士</w:t>
      </w:r>
    </w:p>
    <w:p>
      <w:pPr>
        <w:pStyle w:val="null3"/>
        <w:jc w:val="left"/>
      </w:pPr>
      <w:r>
        <w:rPr>
          <w:rFonts w:ascii="仿宋_GB2312" w:hAnsi="仿宋_GB2312" w:cs="仿宋_GB2312" w:eastAsia="仿宋_GB2312"/>
        </w:rPr>
        <w:t>联系电话：0838-3866521</w:t>
      </w:r>
    </w:p>
    <w:p>
      <w:pPr>
        <w:pStyle w:val="null3"/>
        <w:jc w:val="left"/>
      </w:pPr>
      <w:r>
        <w:rPr>
          <w:rFonts w:ascii="仿宋_GB2312" w:hAnsi="仿宋_GB2312" w:cs="仿宋_GB2312" w:eastAsia="仿宋_GB2312"/>
        </w:rPr>
        <w:t>地址：四川省德阳市旌阳区德阳市密江街富贵世家8栋2-11、2-12号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小麦配方肥（复合肥料）</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小麦配方肥（复合肥料）</w:t>
            </w:r>
          </w:p>
        </w:tc>
        <w:tc>
          <w:tcPr>
            <w:tcW w:type="dxa" w:w="977"/>
          </w:tcPr>
          <w:p>
            <w:pPr>
              <w:pStyle w:val="null3"/>
              <w:jc w:val="center"/>
            </w:pPr>
            <w:r>
              <w:rPr>
                <w:rFonts w:ascii="仿宋_GB2312" w:hAnsi="仿宋_GB2312" w:cs="仿宋_GB2312" w:eastAsia="仿宋_GB2312"/>
              </w:rPr>
              <w:t>吨</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3,000.00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次报价包含货物成本费、装卸费、运杂费（含多次转运）、仓储费、发放费、售后服务费、税费、保险费、现场抽样检测费、技术培训指导费等全部费用。采购人不再支付其它任何费用。投标报价估算错误等引起的风险由投标人自行承担。</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A07080104 化学肥料</w:t>
            </w:r>
          </w:p>
        </w:tc>
        <w:tc>
          <w:tcPr>
            <w:tcW w:type="dxa" w:w="2492"/>
          </w:tcPr>
          <w:p>
            <w:pPr>
              <w:pStyle w:val="null3"/>
              <w:jc w:val="left"/>
            </w:pPr>
            <w:r>
              <w:rPr>
                <w:rFonts w:ascii="仿宋_GB2312" w:hAnsi="仿宋_GB2312" w:cs="仿宋_GB2312" w:eastAsia="仿宋_GB2312"/>
              </w:rPr>
              <w:t>小麦配方肥（复合肥料）</w:t>
            </w:r>
          </w:p>
        </w:tc>
        <w:tc>
          <w:tcPr>
            <w:tcW w:type="dxa" w:w="2492"/>
          </w:tcPr>
          <w:p>
            <w:pPr>
              <w:pStyle w:val="null3"/>
              <w:jc w:val="left"/>
            </w:pPr>
            <w:r>
              <w:rPr>
                <w:rFonts w:ascii="仿宋_GB2312" w:hAnsi="仿宋_GB2312" w:cs="仿宋_GB2312" w:eastAsia="仿宋_GB2312"/>
              </w:rPr>
              <w:t>小麦配方肥（复合肥料）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标的名称：小麦配方肥（复合肥料）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总养分</w:t>
            </w:r>
            <w:r>
              <w:rPr>
                <w:rFonts w:ascii="仿宋_GB2312" w:hAnsi="仿宋_GB2312" w:cs="仿宋_GB2312" w:eastAsia="仿宋_GB2312"/>
                <w:sz w:val="24"/>
              </w:rPr>
              <w:t>(N+P</w:t>
            </w:r>
            <w:r>
              <w:rPr>
                <w:rFonts w:ascii="仿宋_GB2312" w:hAnsi="仿宋_GB2312" w:cs="仿宋_GB2312" w:eastAsia="仿宋_GB2312"/>
              </w:rPr>
              <w:t>2</w:t>
            </w:r>
            <w:r>
              <w:rPr>
                <w:rFonts w:ascii="仿宋_GB2312" w:hAnsi="仿宋_GB2312" w:cs="仿宋_GB2312" w:eastAsia="仿宋_GB2312"/>
                <w:sz w:val="24"/>
              </w:rPr>
              <w:t>O</w:t>
            </w:r>
            <w:r>
              <w:rPr>
                <w:rFonts w:ascii="仿宋_GB2312" w:hAnsi="仿宋_GB2312" w:cs="仿宋_GB2312" w:eastAsia="仿宋_GB2312"/>
              </w:rPr>
              <w:t>5</w:t>
            </w:r>
            <w:r>
              <w:rPr>
                <w:rFonts w:ascii="仿宋_GB2312" w:hAnsi="仿宋_GB2312" w:cs="仿宋_GB2312" w:eastAsia="仿宋_GB2312"/>
                <w:sz w:val="24"/>
              </w:rPr>
              <w:t>+K</w:t>
            </w:r>
            <w:r>
              <w:rPr>
                <w:rFonts w:ascii="仿宋_GB2312" w:hAnsi="仿宋_GB2312" w:cs="仿宋_GB2312" w:eastAsia="仿宋_GB2312"/>
              </w:rPr>
              <w:t>2</w:t>
            </w:r>
            <w:r>
              <w:rPr>
                <w:rFonts w:ascii="仿宋_GB2312" w:hAnsi="仿宋_GB2312" w:cs="仿宋_GB2312" w:eastAsia="仿宋_GB2312"/>
                <w:sz w:val="24"/>
              </w:rPr>
              <w:t>O)的质量分数≥45%。其中：N≥20%、P</w:t>
            </w:r>
            <w:r>
              <w:rPr>
                <w:rFonts w:ascii="仿宋_GB2312" w:hAnsi="仿宋_GB2312" w:cs="仿宋_GB2312" w:eastAsia="仿宋_GB2312"/>
              </w:rPr>
              <w:t>2</w:t>
            </w:r>
            <w:r>
              <w:rPr>
                <w:rFonts w:ascii="仿宋_GB2312" w:hAnsi="仿宋_GB2312" w:cs="仿宋_GB2312" w:eastAsia="仿宋_GB2312"/>
                <w:sz w:val="24"/>
              </w:rPr>
              <w:t>O</w:t>
            </w:r>
            <w:r>
              <w:rPr>
                <w:rFonts w:ascii="仿宋_GB2312" w:hAnsi="仿宋_GB2312" w:cs="仿宋_GB2312" w:eastAsia="仿宋_GB2312"/>
              </w:rPr>
              <w:t>5</w:t>
            </w:r>
            <w:r>
              <w:rPr>
                <w:rFonts w:ascii="仿宋_GB2312" w:hAnsi="仿宋_GB2312" w:cs="仿宋_GB2312" w:eastAsia="仿宋_GB2312"/>
                <w:sz w:val="24"/>
              </w:rPr>
              <w:t>≥10%、K</w:t>
            </w:r>
            <w:r>
              <w:rPr>
                <w:rFonts w:ascii="仿宋_GB2312" w:hAnsi="仿宋_GB2312" w:cs="仿宋_GB2312" w:eastAsia="仿宋_GB2312"/>
              </w:rPr>
              <w:t>2</w:t>
            </w:r>
            <w:r>
              <w:rPr>
                <w:rFonts w:ascii="仿宋_GB2312" w:hAnsi="仿宋_GB2312" w:cs="仿宋_GB2312" w:eastAsia="仿宋_GB2312"/>
                <w:sz w:val="24"/>
              </w:rPr>
              <w:t>O≥15%</w:t>
            </w:r>
            <w:r>
              <w:rPr>
                <w:rFonts w:ascii="仿宋_GB2312" w:hAnsi="仿宋_GB2312" w:cs="仿宋_GB2312" w:eastAsia="仿宋_GB2312"/>
                <w:sz w:val="24"/>
              </w:rPr>
              <w:t>。</w:t>
            </w:r>
            <w:r>
              <w:rPr>
                <w:rFonts w:ascii="仿宋_GB2312" w:hAnsi="仿宋_GB2312" w:cs="仿宋_GB2312" w:eastAsia="仿宋_GB2312"/>
                <w:sz w:val="24"/>
              </w:rPr>
              <w:t>（以肥料登记证或备案证明上标注数据为准并提供</w:t>
            </w:r>
            <w:r>
              <w:rPr>
                <w:rFonts w:ascii="仿宋_GB2312" w:hAnsi="仿宋_GB2312" w:cs="仿宋_GB2312" w:eastAsia="仿宋_GB2312"/>
                <w:sz w:val="24"/>
              </w:rPr>
              <w:t>2024</w:t>
            </w:r>
            <w:r>
              <w:rPr>
                <w:rFonts w:ascii="仿宋_GB2312" w:hAnsi="仿宋_GB2312" w:cs="仿宋_GB2312" w:eastAsia="仿宋_GB2312"/>
                <w:sz w:val="24"/>
              </w:rPr>
              <w:t>年</w:t>
            </w:r>
            <w:r>
              <w:rPr>
                <w:rFonts w:ascii="仿宋_GB2312" w:hAnsi="仿宋_GB2312" w:cs="仿宋_GB2312" w:eastAsia="仿宋_GB2312"/>
                <w:sz w:val="24"/>
              </w:rPr>
              <w:t>1</w:t>
            </w:r>
            <w:r>
              <w:rPr>
                <w:rFonts w:ascii="仿宋_GB2312" w:hAnsi="仿宋_GB2312" w:cs="仿宋_GB2312" w:eastAsia="仿宋_GB2312"/>
                <w:sz w:val="24"/>
              </w:rPr>
              <w:t>月</w:t>
            </w:r>
            <w:r>
              <w:rPr>
                <w:rFonts w:ascii="仿宋_GB2312" w:hAnsi="仿宋_GB2312" w:cs="仿宋_GB2312" w:eastAsia="仿宋_GB2312"/>
                <w:sz w:val="24"/>
              </w:rPr>
              <w:t>1</w:t>
            </w:r>
            <w:r>
              <w:rPr>
                <w:rFonts w:ascii="仿宋_GB2312" w:hAnsi="仿宋_GB2312" w:cs="仿宋_GB2312" w:eastAsia="仿宋_GB2312"/>
                <w:sz w:val="24"/>
              </w:rPr>
              <w:t>日至今具有资质的检测机构出具的带</w:t>
            </w:r>
            <w:r>
              <w:rPr>
                <w:rFonts w:ascii="仿宋_GB2312" w:hAnsi="仿宋_GB2312" w:cs="仿宋_GB2312" w:eastAsia="仿宋_GB2312"/>
                <w:sz w:val="24"/>
              </w:rPr>
              <w:t>CMA</w:t>
            </w:r>
            <w:r>
              <w:rPr>
                <w:rFonts w:ascii="仿宋_GB2312" w:hAnsi="仿宋_GB2312" w:cs="仿宋_GB2312" w:eastAsia="仿宋_GB2312"/>
                <w:sz w:val="24"/>
              </w:rPr>
              <w:t>标识的检测报告佐证</w:t>
            </w:r>
            <w:r>
              <w:rPr>
                <w:rFonts w:ascii="仿宋_GB2312" w:hAnsi="仿宋_GB2312" w:cs="仿宋_GB2312" w:eastAsia="仿宋_GB2312"/>
                <w:sz w:val="24"/>
              </w:rPr>
              <w:t>）</w:t>
            </w:r>
          </w:p>
          <w:p>
            <w:pPr>
              <w:pStyle w:val="null3"/>
              <w:jc w:val="both"/>
            </w:pPr>
            <w:r>
              <w:rPr>
                <w:rFonts w:ascii="仿宋_GB2312" w:hAnsi="仿宋_GB2312" w:cs="仿宋_GB2312" w:eastAsia="仿宋_GB2312"/>
              </w:rPr>
              <w:t>2、</w:t>
            </w:r>
            <w:r>
              <w:rPr>
                <w:rFonts w:ascii="仿宋_GB2312" w:hAnsi="仿宋_GB2312" w:cs="仿宋_GB2312" w:eastAsia="仿宋_GB2312"/>
                <w:sz w:val="24"/>
              </w:rPr>
              <w:t>投标产品必须符合</w:t>
            </w:r>
            <w:r>
              <w:rPr>
                <w:rFonts w:ascii="仿宋_GB2312" w:hAnsi="仿宋_GB2312" w:cs="仿宋_GB2312" w:eastAsia="仿宋_GB2312"/>
                <w:sz w:val="24"/>
              </w:rPr>
              <w:t>GB 38400-2019《肥料中有毒有害物质的限量要求》标准要求：1、总镉≤10mg/kg；2、总汞≤5mg/kg；3、总砷≤50mg/kg；4、总铅≤200mg/kg；5、总铬≤500mg/kg；6、总铊≤2.5mg/kg；7、缩二脲≤1.5%。（提供2024年1月1日至今有资质的检测机构出具的带有CMA标识的检测报告佐证）</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由于采购系统固化，本项目参数评分根据“技术参数与性能指标”内的“▲”符号进行评审打分</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1、氯离子的质量分数≤15.0%；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2、水溶性磷占有效磷百分率≥60%；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、产品为颗粒状；粒度（</w:t>
            </w:r>
            <w:r>
              <w:rPr>
                <w:rFonts w:ascii="仿宋_GB2312" w:hAnsi="仿宋_GB2312" w:cs="仿宋_GB2312" w:eastAsia="仿宋_GB2312"/>
                <w:sz w:val="24"/>
              </w:rPr>
              <w:t>1.00mm～4.75mm）≥90%；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4、水分（H</w:t>
            </w:r>
            <w:r>
              <w:rPr>
                <w:rFonts w:ascii="仿宋_GB2312" w:hAnsi="仿宋_GB2312" w:cs="仿宋_GB2312" w:eastAsia="仿宋_GB2312"/>
              </w:rPr>
              <w:t>2</w:t>
            </w:r>
            <w:r>
              <w:rPr>
                <w:rFonts w:ascii="仿宋_GB2312" w:hAnsi="仿宋_GB2312" w:cs="仿宋_GB2312" w:eastAsia="仿宋_GB2312"/>
                <w:sz w:val="24"/>
              </w:rPr>
              <w:t>O）≤2.0%；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、包装规格为</w:t>
            </w:r>
            <w:r>
              <w:rPr>
                <w:rFonts w:ascii="仿宋_GB2312" w:hAnsi="仿宋_GB2312" w:cs="仿宋_GB2312" w:eastAsia="仿宋_GB2312"/>
                <w:sz w:val="24"/>
              </w:rPr>
              <w:t>40</w:t>
            </w:r>
            <w:r>
              <w:rPr>
                <w:rFonts w:ascii="仿宋_GB2312" w:hAnsi="仿宋_GB2312" w:cs="仿宋_GB2312" w:eastAsia="仿宋_GB2312"/>
                <w:sz w:val="24"/>
              </w:rPr>
              <w:t>千克</w:t>
            </w:r>
            <w:r>
              <w:rPr>
                <w:rFonts w:ascii="仿宋_GB2312" w:hAnsi="仿宋_GB2312" w:cs="仿宋_GB2312" w:eastAsia="仿宋_GB2312"/>
                <w:sz w:val="24"/>
              </w:rPr>
              <w:t>/</w:t>
            </w:r>
            <w:r>
              <w:rPr>
                <w:rFonts w:ascii="仿宋_GB2312" w:hAnsi="仿宋_GB2312" w:cs="仿宋_GB2312" w:eastAsia="仿宋_GB2312"/>
                <w:sz w:val="24"/>
              </w:rPr>
              <w:t>袋。</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rPr>
              <w:t>1、采购人在中标人交货时组织验收，对货物进行抽样检测。中标人按照中标数量在什邡市集中堆放后，采购人组织人员进行抽样，将抽样样品一分为三进行密封，甲乙双方各保存一份，第三份由采购人送到有资质的检测机构检测，取样后货物封存场所由中标人负责，出具带CMA检测标识的检测机构出具的检测报告显示检测结果符合采购要求，中标人立即组织发放。</w:t>
            </w:r>
          </w:p>
          <w:p>
            <w:pPr>
              <w:pStyle w:val="null3"/>
              <w:ind w:firstLine="482"/>
              <w:jc w:val="both"/>
            </w:pPr>
            <w:r>
              <w:rPr>
                <w:rFonts w:ascii="仿宋_GB2312" w:hAnsi="仿宋_GB2312" w:cs="仿宋_GB2312" w:eastAsia="仿宋_GB2312"/>
                <w:sz w:val="24"/>
              </w:rPr>
              <w:t>2、</w:t>
            </w:r>
            <w:r>
              <w:rPr>
                <w:rFonts w:ascii="仿宋_GB2312" w:hAnsi="仿宋_GB2312" w:cs="仿宋_GB2312" w:eastAsia="仿宋_GB2312"/>
                <w:sz w:val="24"/>
              </w:rPr>
              <w:t>经采购人抽检，如货物出现包装问题，则中标人在采购人规定的时间内进行</w:t>
            </w:r>
            <w:r>
              <w:rPr>
                <w:rFonts w:ascii="仿宋_GB2312" w:hAnsi="仿宋_GB2312" w:cs="仿宋_GB2312" w:eastAsia="仿宋_GB2312"/>
                <w:sz w:val="24"/>
              </w:rPr>
              <w:t>更换。如货物质量出现问题，</w:t>
            </w:r>
            <w:r>
              <w:rPr>
                <w:rFonts w:ascii="仿宋_GB2312" w:hAnsi="仿宋_GB2312" w:cs="仿宋_GB2312" w:eastAsia="仿宋_GB2312"/>
                <w:sz w:val="24"/>
              </w:rPr>
              <w:t>中标人</w:t>
            </w:r>
            <w:r>
              <w:rPr>
                <w:rFonts w:ascii="仿宋_GB2312" w:hAnsi="仿宋_GB2312" w:cs="仿宋_GB2312" w:eastAsia="仿宋_GB2312"/>
                <w:sz w:val="24"/>
              </w:rPr>
              <w:t>在</w:t>
            </w:r>
            <w:r>
              <w:rPr>
                <w:rFonts w:ascii="仿宋_GB2312" w:hAnsi="仿宋_GB2312" w:cs="仿宋_GB2312" w:eastAsia="仿宋_GB2312"/>
                <w:sz w:val="24"/>
              </w:rPr>
              <w:t>30天内</w:t>
            </w:r>
            <w:r>
              <w:rPr>
                <w:rFonts w:ascii="仿宋_GB2312" w:hAnsi="仿宋_GB2312" w:cs="仿宋_GB2312" w:eastAsia="仿宋_GB2312"/>
                <w:sz w:val="24"/>
              </w:rPr>
              <w:t>未</w:t>
            </w:r>
            <w:r>
              <w:rPr>
                <w:rFonts w:ascii="仿宋_GB2312" w:hAnsi="仿宋_GB2312" w:cs="仿宋_GB2312" w:eastAsia="仿宋_GB2312"/>
                <w:sz w:val="24"/>
              </w:rPr>
              <w:t>更换合格的货物</w:t>
            </w:r>
            <w:r>
              <w:rPr>
                <w:rFonts w:ascii="仿宋_GB2312" w:hAnsi="仿宋_GB2312" w:cs="仿宋_GB2312" w:eastAsia="仿宋_GB2312"/>
                <w:sz w:val="24"/>
              </w:rPr>
              <w:t>，</w:t>
            </w:r>
            <w:r>
              <w:rPr>
                <w:rFonts w:ascii="仿宋_GB2312" w:hAnsi="仿宋_GB2312" w:cs="仿宋_GB2312" w:eastAsia="仿宋_GB2312"/>
                <w:sz w:val="24"/>
              </w:rPr>
              <w:t>采购人有权解除合同，有权拒付货款并要求退货，因此而产生的损失和费用由中标人承</w:t>
            </w:r>
            <w:r>
              <w:rPr>
                <w:rFonts w:ascii="仿宋_GB2312" w:hAnsi="仿宋_GB2312" w:cs="仿宋_GB2312" w:eastAsia="仿宋_GB2312"/>
                <w:sz w:val="24"/>
              </w:rPr>
              <w:t>担。</w:t>
            </w:r>
            <w:r>
              <w:rPr>
                <w:rFonts w:ascii="仿宋_GB2312" w:hAnsi="仿宋_GB2312" w:cs="仿宋_GB2312" w:eastAsia="仿宋_GB2312"/>
                <w:sz w:val="24"/>
              </w:rPr>
              <w:t>因货物质量问题引起的一切负面影响及经济损失，由中标人负责解决并承担一切费用</w:t>
            </w:r>
            <w:r>
              <w:rPr>
                <w:rFonts w:ascii="仿宋_GB2312" w:hAnsi="仿宋_GB2312" w:cs="仿宋_GB2312" w:eastAsia="仿宋_GB2312"/>
                <w:sz w:val="24"/>
                <w:b/>
              </w:rPr>
              <w:t>（投标人须在投标文件中对此</w:t>
            </w:r>
            <w:r>
              <w:rPr>
                <w:rFonts w:ascii="仿宋_GB2312" w:hAnsi="仿宋_GB2312" w:cs="仿宋_GB2312" w:eastAsia="仿宋_GB2312"/>
                <w:sz w:val="24"/>
                <w:b/>
              </w:rPr>
              <w:t>单独</w:t>
            </w:r>
            <w:r>
              <w:rPr>
                <w:rFonts w:ascii="仿宋_GB2312" w:hAnsi="仿宋_GB2312" w:cs="仿宋_GB2312" w:eastAsia="仿宋_GB2312"/>
                <w:sz w:val="24"/>
                <w:b/>
              </w:rPr>
              <w:t>提供承诺书并加盖投标人单位公章）</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因中标人提供的产品质量问题而导致合同无法履行，责任由中标人承担。</w:t>
            </w:r>
          </w:p>
          <w:p>
            <w:pPr>
              <w:pStyle w:val="null3"/>
              <w:ind w:firstLine="482"/>
              <w:jc w:val="both"/>
            </w:pPr>
            <w:r>
              <w:rPr>
                <w:rFonts w:ascii="仿宋_GB2312" w:hAnsi="仿宋_GB2312" w:cs="仿宋_GB2312" w:eastAsia="仿宋_GB2312"/>
                <w:sz w:val="24"/>
              </w:rPr>
              <w:t>4、</w:t>
            </w:r>
            <w:r>
              <w:rPr>
                <w:rFonts w:ascii="仿宋_GB2312" w:hAnsi="仿宋_GB2312" w:cs="仿宋_GB2312" w:eastAsia="仿宋_GB2312"/>
                <w:sz w:val="24"/>
              </w:rPr>
              <w:t>投标人</w:t>
            </w:r>
            <w:r>
              <w:rPr>
                <w:rFonts w:ascii="仿宋_GB2312" w:hAnsi="仿宋_GB2312" w:cs="仿宋_GB2312" w:eastAsia="仿宋_GB2312"/>
                <w:sz w:val="24"/>
              </w:rPr>
              <w:t>承诺中标后，须提供</w:t>
            </w:r>
            <w:r>
              <w:rPr>
                <w:rFonts w:ascii="仿宋_GB2312" w:hAnsi="仿宋_GB2312" w:cs="仿宋_GB2312" w:eastAsia="仿宋_GB2312"/>
                <w:sz w:val="24"/>
              </w:rPr>
              <w:t>售后技术资料，集中指导、培训农户如何使用，指派专人负责售后服务事宜。</w:t>
            </w:r>
            <w:r>
              <w:rPr>
                <w:rFonts w:ascii="仿宋_GB2312" w:hAnsi="仿宋_GB2312" w:cs="仿宋_GB2312" w:eastAsia="仿宋_GB2312"/>
                <w:sz w:val="24"/>
              </w:rPr>
              <w:t>协助项目镇、村</w:t>
            </w:r>
            <w:r>
              <w:rPr>
                <w:rFonts w:ascii="仿宋_GB2312" w:hAnsi="仿宋_GB2312" w:cs="仿宋_GB2312" w:eastAsia="仿宋_GB2312"/>
                <w:sz w:val="24"/>
              </w:rPr>
              <w:t>建立</w:t>
            </w:r>
            <w:r>
              <w:rPr>
                <w:rFonts w:ascii="仿宋_GB2312" w:hAnsi="仿宋_GB2312" w:cs="仿宋_GB2312" w:eastAsia="仿宋_GB2312"/>
                <w:sz w:val="24"/>
              </w:rPr>
              <w:t>小麦配方肥</w:t>
            </w:r>
            <w:r>
              <w:rPr>
                <w:rFonts w:ascii="仿宋_GB2312" w:hAnsi="仿宋_GB2312" w:cs="仿宋_GB2312" w:eastAsia="仿宋_GB2312"/>
                <w:sz w:val="24"/>
              </w:rPr>
              <w:t>发放</w:t>
            </w:r>
            <w:r>
              <w:rPr>
                <w:rFonts w:ascii="仿宋_GB2312" w:hAnsi="仿宋_GB2312" w:cs="仿宋_GB2312" w:eastAsia="仿宋_GB2312"/>
                <w:sz w:val="24"/>
              </w:rPr>
              <w:t>台账（农户签字并留联系方式）</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收集汇总台账、照片、收货单等相关资料</w:t>
            </w:r>
            <w:r>
              <w:rPr>
                <w:rFonts w:ascii="仿宋_GB2312" w:hAnsi="仿宋_GB2312" w:cs="仿宋_GB2312" w:eastAsia="仿宋_GB2312"/>
                <w:sz w:val="24"/>
              </w:rPr>
              <w:t>。</w:t>
            </w:r>
            <w:r>
              <w:rPr>
                <w:rFonts w:ascii="仿宋_GB2312" w:hAnsi="仿宋_GB2312" w:cs="仿宋_GB2312" w:eastAsia="仿宋_GB2312"/>
                <w:sz w:val="24"/>
                <w:b/>
              </w:rPr>
              <w:t>(单独提供承诺函，格式自拟)</w:t>
            </w:r>
          </w:p>
          <w:p>
            <w:pPr>
              <w:pStyle w:val="null3"/>
              <w:ind w:firstLine="482"/>
              <w:jc w:val="both"/>
            </w:pPr>
            <w:r>
              <w:rPr>
                <w:rFonts w:ascii="仿宋_GB2312" w:hAnsi="仿宋_GB2312" w:cs="仿宋_GB2312" w:eastAsia="仿宋_GB2312"/>
                <w:sz w:val="24"/>
              </w:rPr>
              <w:t>5、安全责任：</w:t>
            </w:r>
            <w:r>
              <w:rPr>
                <w:rFonts w:ascii="仿宋_GB2312" w:hAnsi="仿宋_GB2312" w:cs="仿宋_GB2312" w:eastAsia="仿宋_GB2312"/>
                <w:sz w:val="24"/>
              </w:rPr>
              <w:t>在本项目服务过程中所涉及的安全责任由中标人全权承担。</w:t>
            </w:r>
            <w:r>
              <w:rPr>
                <w:rFonts w:ascii="仿宋_GB2312" w:hAnsi="仿宋_GB2312" w:cs="仿宋_GB2312" w:eastAsia="仿宋_GB2312"/>
                <w:sz w:val="24"/>
                <w:b/>
              </w:rPr>
              <w:t>(单独提供承诺函，格式自拟)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（一）合同签订时间要求 合同签订时间原则上不迟于2025年10月30日。 （二）货物送达要求 1、货物到什邡集中堆放时间：合同签订生效后10日内。 2、货物发放至采购人指定地点（含镇、村所在地）：原则上不迟于2025年11月30日。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什邡市采购人指定地点（含镇、村所在地）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1、中标方按照中标数量在什邡市集中堆放后，经抽样检验合格后，乙方向甲方出具合法有效完整的完税发票及相关凭证资料，达到付款条件起20日内，支付合同总金额的40.00%</w:t>
            </w:r>
          </w:p>
          <w:p>
            <w:pPr>
              <w:pStyle w:val="null3"/>
              <w:jc w:val="left"/>
            </w:pPr>
            <w:r>
              <w:rPr>
                <w:rFonts w:ascii="仿宋_GB2312" w:hAnsi="仿宋_GB2312" w:cs="仿宋_GB2312" w:eastAsia="仿宋_GB2312"/>
              </w:rPr>
              <w:t>2、全部货物按时送达到指定地点，并经甲方验收合格后；乙方向甲方出具合法有效完整的完税发票及相关凭证资料，达到付款条件起30日内，支付合同总金额的60.00%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1、中标人所提交商品不符合规定或要求的由中标人负责调整，并承担因调整而产生的一切费用。若不按要求调整的，按不能履约处理。 2、按照国家相应法律法规及采购文件月底的抽检验收的要求进行履约验收。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一个种植季</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（1）采购人无正当理由拒收货物的，采购人应偿付合同总价百分之十的违约金。 2、中标人违约责任 （1）中标人交付的货物质量不符合合同规定的，中标人应向采购人支付合同总价的百分之十的违约金，并须在合同规定的交货时间内更换合格的货物给采购人，否则，视作中标人不能交付货物而违约，按本条本款下述第“（2）”项规定由中标人偿付违约赔偿金给采购人。 （2）中标人不能交付货物或逾期交付货物而违约的，除应及时交足货物外，应向采购人偿付逾期交货部分货款总额的千分之一/天的违约金；逾期交货超过30天，采购人有权终止合同，中标人则应按合同总价的百分之十的款额向采购人偿付赔偿金，并须全额退还采购人已经付给中标人的货款及其利息。 （3）中标人货物经采购人送交具有检测资质的检测机构检测后，如检测结果认定货物质量不符合本合同规定标准的，则视为中标人没有按时交货而违约，中标人须在30天内无条件更换合格的货物，如逾期不能更换合格的货物，采购人有权终止本合同，中标人应另付合同总价的百分之十的赔偿金给采购人。 （4）中标人保证本合同货物的权利无瑕疵，包括货物所有权及知识产权等权利无瑕疵。如任何第三方经法院（或仲裁机构）裁决有权对上述货物主张权利或国家机关依法对货物进行没收查处的，中标人除应向采购人返还已收款项外，还应另按合同总价的百分之十向采购人支付违约金。 （5）中标人偿付的违约金不足以弥补采购人损失的，还应按采购人损失尚未弥补的部分，支付赔偿金给采购人。</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文件编制要求： 1、投标人根据本项目采购需求编制项目实施方案，包括：（1）货源组织；（2）供货进度安排；（3）配送人员及车辆安排；（4）货物储存保管措施；（5）安全保障措施；（6）特殊情况下紧急供货措施。 2、投标人根据本项目采购需求编制售后服务方案，包括（1）售后服务机构及人员设置；（2）售后服务处理程序；（3）培训及技术指导方案；（4）施肥建议及资料收集整理；（5）售后服务响应时间及应急处理预案；（6）包装破损售后方案及包装保障措施。 3、投标人如有2023年1月1日以来同类产品（复合肥）业绩，请按采购文件提供相关证明材料。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独立承担民事责任能力的证明材料（供应商根据自身实际情况提供下列任意一种证明材料并完成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均提供复印件。</w:t>
            </w:r>
          </w:p>
        </w:tc>
        <w:tc>
          <w:tcPr>
            <w:tcW w:type="dxa" w:w="1910"/>
          </w:tcPr>
          <w:p>
            <w:pPr>
              <w:pStyle w:val="null3"/>
              <w:jc w:val="left"/>
            </w:pPr>
            <w:r>
              <w:rPr>
                <w:rFonts w:ascii="仿宋_GB2312" w:hAnsi="仿宋_GB2312" w:cs="仿宋_GB2312" w:eastAsia="仿宋_GB2312"/>
              </w:rPr>
              <w:t>投标文件封面,独立承担民事责任能力的证明材料.docx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具有健全的财务会计制度的证明材料：（供应商可提供以下任意一种证明材料并进行电子签章）</w:t>
              <w:br/>
              <w:t>1）经具有资质的审计机构审计过的“2023年”或“2024年”年度的财务报告（包含审计报告和审计报告中所涉及的财务报表和报表附注，以及会计师事务所营业执照、执业许可证书、注册会计师证书）（复印件）。</w:t>
              <w:br/>
              <w:t>2）供应商“2023年”或“2024年”年度的财务报表（至少包含资产负债表、利润表）（复印件）；</w:t>
              <w:br/>
              <w:t>3）截至投标文件递交截止时间一个工作日前供应商成立时间不足一年的，也可提供在工商备案的公司章程复印件或银行开户证明材料复印件。</w:t>
            </w:r>
          </w:p>
        </w:tc>
        <w:tc>
          <w:tcPr>
            <w:tcW w:type="dxa" w:w="1910"/>
          </w:tcPr>
          <w:p>
            <w:pPr>
              <w:pStyle w:val="null3"/>
              <w:jc w:val="left"/>
            </w:pPr>
            <w:r>
              <w:rPr>
                <w:rFonts w:ascii="仿宋_GB2312" w:hAnsi="仿宋_GB2312" w:cs="仿宋_GB2312" w:eastAsia="仿宋_GB2312"/>
              </w:rPr>
              <w:t>具有健全的财务会计制度的证明材料.docx,投标（响应）函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1、供应商为制造商的，须提供《工业产品生产许可证》；供应商为非制造商的，须提供制造商的《工业产品生产许可证》（提供证明材料扫描件）。 2、提供投标产品省级(含省级)以上农业主管部门颁发的肥料登记证或备案证明，若因肥料登记或备案取消不能提供的，则需提供省级(含省级)以上农业主管部门出具的证明材料或文件。</w:t>
            </w:r>
          </w:p>
        </w:tc>
        <w:tc>
          <w:tcPr>
            <w:tcW w:type="dxa" w:w="3322"/>
          </w:tcPr>
          <w:p>
            <w:pPr>
              <w:pStyle w:val="null3"/>
              <w:jc w:val="left"/>
            </w:pPr>
            <w:r>
              <w:rPr>
                <w:rFonts w:ascii="仿宋_GB2312" w:hAnsi="仿宋_GB2312" w:cs="仿宋_GB2312" w:eastAsia="仿宋_GB2312"/>
              </w:rPr>
              <w:t>1、供应商为制造商的，须提供《工业产品生产许可证》；供应商为非制造商的，须提供制造商的《工业产品生产许可证》（提供证明材料扫描件）。 2、提供投标产品省级(含省级)以上农业主管部门颁发的肥料登记证或备案证明，若因肥料登记或备案取消不能提供的，则需提供省级(含省级)以上农业主管部门出具的证明材料或文件。</w:t>
            </w:r>
          </w:p>
        </w:tc>
        <w:tc>
          <w:tcPr>
            <w:tcW w:type="dxa" w:w="1910"/>
          </w:tcPr>
          <w:p>
            <w:pPr>
              <w:pStyle w:val="null3"/>
              <w:jc w:val="left"/>
            </w:pPr>
            <w:r>
              <w:rPr>
                <w:rFonts w:ascii="仿宋_GB2312" w:hAnsi="仿宋_GB2312" w:cs="仿宋_GB2312" w:eastAsia="仿宋_GB2312"/>
              </w:rPr>
              <w:t>特定资格证明材料.docx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并提交相关证明材料。投标人书面说明应当按照国家财务会计制度的规定要求，逐项就供应商提供的货物的主营业务成本、税金及附加、销售费用、管理费用、财务费用等成本构成事项详细陈述。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符合采购文件的实质性要求且不属于响应无效的供应商</w:t>
            </w:r>
          </w:p>
        </w:tc>
        <w:tc>
          <w:tcPr>
            <w:tcW w:type="dxa" w:w="3322"/>
          </w:tcPr>
          <w:p>
            <w:pPr>
              <w:pStyle w:val="null3"/>
              <w:jc w:val="left"/>
            </w:pPr>
            <w:r>
              <w:rPr>
                <w:rFonts w:ascii="仿宋_GB2312" w:hAnsi="仿宋_GB2312" w:cs="仿宋_GB2312" w:eastAsia="仿宋_GB2312"/>
              </w:rPr>
              <w:t>供应商按照采购文件要求上传响应文件，且不属于响应无效的供应商</w:t>
            </w:r>
          </w:p>
        </w:tc>
        <w:tc>
          <w:tcPr>
            <w:tcW w:type="dxa" w:w="1910"/>
          </w:tcPr>
          <w:p>
            <w:pPr>
              <w:pStyle w:val="null3"/>
              <w:jc w:val="left"/>
            </w:pPr>
            <w:r>
              <w:rPr>
                <w:rFonts w:ascii="仿宋_GB2312" w:hAnsi="仿宋_GB2312" w:cs="仿宋_GB2312" w:eastAsia="仿宋_GB2312"/>
              </w:rPr>
              <w:t>技术要求、服务要求响应表.docx,商务应答表.docx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详细评审64.00分</w:t>
            </w:r>
          </w:p>
          <w:p>
            <w:pPr>
              <w:pStyle w:val="null3"/>
              <w:jc w:val="left"/>
            </w:pPr>
            <w:r>
              <w:rPr>
                <w:rFonts w:ascii="仿宋_GB2312" w:hAnsi="仿宋_GB2312" w:cs="仿宋_GB2312" w:eastAsia="仿宋_GB2312"/>
              </w:rPr>
              <w:t>报价得分36.00分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投标产品完全满足招标文件参数及要求无偏离得30分。“▲”参数共计5项，一项不满足扣6分，扣完为止。 说明：1、针对投标产品的“▲”号条款技术参数，投标人应提供2024年1月1日至今的具有检测资质的检测机构出具的带CMA标识的检验报告佐证。 2、投标人在制定参数偏离表时应尽可能标明相对应支持资料出处、页码等。</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技术要求、服务要求响应表.docx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供应商2023年1月1日以来同类产品（复合肥）业绩，每有1个得2分，最多得4分。 注：提供合同复印件。</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类似业绩及证明材料.docx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应根据采购项目需求编制项目实施方案，方案包括：（1）货源组织；（2）供货进度安排；（3）配送人员及车辆安排；（4）货物储存保管措施；（5）安全保障措施；（6）特殊情况下紧急供货措施。实施方案包含以上六项内容，且不存在缺失（缺陷）的得12分。方案中每有一项内容要素存在缺失的扣2分，方案内容要素中每存在一处缺陷扣1分，单项内容要素扣减分值不超过2分，扣完为止。 注:缺陷是指存在项目名称错误、地点区域错误，内容与本项目需求无关、方案内容矛盾或表述前后不一致、仅有框架或标题、适用的标准(方法)错误等任意一种情形。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投标人应根据采购项目需求编制售后服务方案，方案包括：（1）售后服务机构及人员设置；（2）售后服务处理程序；（3）培训及技术指导方案；（4）施肥建议及资料收集整理；（5）售后服务响应时间及应急处理预案；（6）包装破损售后方案及包装保障措施。售后服务方案包含以上六项内容，且不存在缺失（缺陷）的得18分。方案中每有一项内容要素存在缺失的扣3分，方案内容要素中每存在一处缺陷扣1.5分，单项内容要素扣减分值不超过3分。扣完为止。 注:缺陷是指存在项目名称错误、地点区域错误，内容与本项目需求无关、方案内容矛盾或表述前后不一致、仅有框架或标题、适用的标准(方法)错误等任意一种情形。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小麦配方肥（复合肥料）</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详见附件：独立承担民事责任能力的证明材料.docx</w:t>
      </w:r>
    </w:p>
    <w:p>
      <w:pPr>
        <w:pStyle w:val="null3"/>
        <w:ind w:firstLine="960"/>
        <w:jc w:val="left"/>
      </w:pPr>
      <w:r>
        <w:rPr>
          <w:rFonts w:ascii="仿宋_GB2312" w:hAnsi="仿宋_GB2312" w:cs="仿宋_GB2312" w:eastAsia="仿宋_GB2312"/>
        </w:rPr>
        <w:t>详见附件：技术要求、服务要求响应表.docx</w:t>
      </w:r>
    </w:p>
    <w:p>
      <w:pPr>
        <w:pStyle w:val="null3"/>
        <w:ind w:firstLine="960"/>
        <w:jc w:val="left"/>
      </w:pPr>
      <w:r>
        <w:rPr>
          <w:rFonts w:ascii="仿宋_GB2312" w:hAnsi="仿宋_GB2312" w:cs="仿宋_GB2312" w:eastAsia="仿宋_GB2312"/>
        </w:rPr>
        <w:t>详见附件：具有健全的财务会计制度的证明材料.docx</w:t>
      </w:r>
    </w:p>
    <w:p>
      <w:pPr>
        <w:pStyle w:val="null3"/>
        <w:ind w:firstLine="960"/>
        <w:jc w:val="left"/>
      </w:pPr>
      <w:r>
        <w:rPr>
          <w:rFonts w:ascii="仿宋_GB2312" w:hAnsi="仿宋_GB2312" w:cs="仿宋_GB2312" w:eastAsia="仿宋_GB2312"/>
        </w:rPr>
        <w:t>详见附件：类似业绩及证明材料.docx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详见附件：特定资格证明材料.docx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